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407A8">
      <w:pPr>
        <w:pStyle w:val="4"/>
        <w:spacing w:before="0" w:line="500" w:lineRule="exact"/>
        <w:ind w:left="0" w:firstLine="320" w:firstLineChars="100"/>
        <w:jc w:val="left"/>
        <w:textAlignment w:val="auto"/>
        <w:rPr>
          <w:b w:val="0"/>
          <w:bCs w:val="0"/>
          <w:color w:val="auto"/>
        </w:rPr>
      </w:pPr>
      <w:r>
        <w:rPr>
          <w:b w:val="0"/>
          <w:bCs w:val="0"/>
          <w:color w:val="auto"/>
        </w:rPr>
        <w:t>项目编号：</w:t>
      </w:r>
      <w:r>
        <w:rPr>
          <w:rFonts w:hint="eastAsia"/>
          <w:b w:val="0"/>
          <w:bCs w:val="0"/>
          <w:color w:val="auto"/>
        </w:rPr>
        <w:t>YC24440097(CGP)</w:t>
      </w:r>
    </w:p>
    <w:p w14:paraId="1EA6B64A">
      <w:pPr>
        <w:pStyle w:val="4"/>
        <w:spacing w:before="0" w:line="500" w:lineRule="exact"/>
        <w:ind w:left="0" w:firstLine="643" w:firstLineChars="200"/>
        <w:jc w:val="left"/>
        <w:textAlignment w:val="auto"/>
        <w:rPr>
          <w:color w:val="auto"/>
        </w:rPr>
      </w:pPr>
    </w:p>
    <w:p w14:paraId="7CABEAE7">
      <w:pPr>
        <w:pStyle w:val="9"/>
        <w:spacing w:line="500" w:lineRule="exact"/>
        <w:textAlignment w:val="auto"/>
        <w:rPr>
          <w:b/>
          <w:color w:val="auto"/>
          <w:sz w:val="42"/>
          <w:lang w:eastAsia="zh-CN"/>
        </w:rPr>
      </w:pPr>
    </w:p>
    <w:p w14:paraId="6A5F9EB2">
      <w:pPr>
        <w:pStyle w:val="9"/>
        <w:widowControl w:val="0"/>
        <w:kinsoku/>
        <w:ind w:firstLine="1040" w:firstLineChars="200"/>
        <w:jc w:val="both"/>
        <w:textAlignment w:val="auto"/>
        <w:rPr>
          <w:rFonts w:ascii="华文中宋" w:hAnsi="华文中宋" w:eastAsia="华文中宋" w:cs="华文中宋"/>
          <w:color w:val="auto"/>
          <w:sz w:val="52"/>
          <w:szCs w:val="52"/>
          <w:lang w:eastAsia="zh-CN"/>
        </w:rPr>
      </w:pPr>
      <w:bookmarkStart w:id="0" w:name="镇坪县2022年常规监测项目(二次)"/>
      <w:bookmarkEnd w:id="0"/>
      <w:r>
        <w:rPr>
          <w:rFonts w:hint="eastAsia" w:ascii="华文中宋" w:hAnsi="华文中宋" w:eastAsia="华文中宋" w:cs="华文中宋"/>
          <w:color w:val="auto"/>
          <w:sz w:val="52"/>
          <w:szCs w:val="52"/>
          <w:lang w:eastAsia="zh-CN"/>
        </w:rPr>
        <w:t>石泉县职业技术教育中心职校技能</w:t>
      </w:r>
    </w:p>
    <w:p w14:paraId="7157F963">
      <w:pPr>
        <w:pStyle w:val="9"/>
        <w:widowControl w:val="0"/>
        <w:kinsoku/>
        <w:ind w:firstLine="3120" w:firstLineChars="600"/>
        <w:jc w:val="both"/>
        <w:textAlignment w:val="auto"/>
        <w:rPr>
          <w:rFonts w:ascii="华文中宋" w:hAnsi="华文中宋" w:eastAsia="华文中宋" w:cs="华文中宋"/>
          <w:color w:val="auto"/>
          <w:sz w:val="25"/>
          <w:lang w:eastAsia="zh-CN"/>
        </w:rPr>
      </w:pPr>
      <w:r>
        <w:rPr>
          <w:rFonts w:hint="eastAsia" w:ascii="华文中宋" w:hAnsi="华文中宋" w:eastAsia="华文中宋" w:cs="华文中宋"/>
          <w:color w:val="auto"/>
          <w:sz w:val="52"/>
          <w:szCs w:val="52"/>
          <w:lang w:eastAsia="zh-CN"/>
        </w:rPr>
        <w:t>大赛比赛设备</w:t>
      </w:r>
    </w:p>
    <w:p w14:paraId="57074C4A">
      <w:pPr>
        <w:pStyle w:val="5"/>
        <w:widowControl w:val="0"/>
        <w:kinsoku/>
        <w:spacing w:before="120" w:beforeLines="50" w:after="120" w:afterLines="50"/>
        <w:ind w:left="0"/>
        <w:jc w:val="center"/>
        <w:textAlignment w:val="auto"/>
        <w:rPr>
          <w:rFonts w:ascii="华文中宋" w:hAnsi="华文中宋" w:eastAsia="华文中宋" w:cs="华文中宋"/>
          <w:b w:val="0"/>
          <w:bCs w:val="0"/>
          <w:color w:val="auto"/>
          <w:sz w:val="72"/>
        </w:rPr>
      </w:pPr>
    </w:p>
    <w:p w14:paraId="4E06A081">
      <w:pPr>
        <w:pStyle w:val="5"/>
        <w:widowControl w:val="0"/>
        <w:kinsoku/>
        <w:spacing w:before="120" w:beforeLines="50" w:after="120" w:afterLines="50"/>
        <w:ind w:left="0"/>
        <w:jc w:val="center"/>
        <w:textAlignment w:val="auto"/>
        <w:rPr>
          <w:rFonts w:ascii="华文中宋" w:hAnsi="华文中宋" w:eastAsia="华文中宋" w:cs="华文中宋"/>
          <w:b w:val="0"/>
          <w:bCs w:val="0"/>
          <w:color w:val="auto"/>
          <w:sz w:val="72"/>
        </w:rPr>
      </w:pPr>
      <w:r>
        <w:rPr>
          <w:rFonts w:hint="eastAsia"/>
          <w:color w:val="auto"/>
          <w:spacing w:val="20"/>
          <w:sz w:val="28"/>
          <w:szCs w:val="28"/>
          <w:lang w:val="en-US" w:bidi="ar-SA"/>
        </w:rPr>
        <w:drawing>
          <wp:anchor distT="0" distB="0" distL="114300" distR="114300" simplePos="0" relativeHeight="251661312" behindDoc="0" locked="0" layoutInCell="1" allowOverlap="1">
            <wp:simplePos x="0" y="0"/>
            <wp:positionH relativeFrom="column">
              <wp:posOffset>1967865</wp:posOffset>
            </wp:positionH>
            <wp:positionV relativeFrom="paragraph">
              <wp:posOffset>684530</wp:posOffset>
            </wp:positionV>
            <wp:extent cx="2285365" cy="2219960"/>
            <wp:effectExtent l="0" t="0" r="635" b="508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4"/>
                    <a:stretch>
                      <a:fillRect/>
                    </a:stretch>
                  </pic:blipFill>
                  <pic:spPr>
                    <a:xfrm>
                      <a:off x="0" y="0"/>
                      <a:ext cx="2285365" cy="2219960"/>
                    </a:xfrm>
                    <a:prstGeom prst="rect">
                      <a:avLst/>
                    </a:prstGeom>
                    <a:noFill/>
                    <a:ln>
                      <a:noFill/>
                    </a:ln>
                  </pic:spPr>
                </pic:pic>
              </a:graphicData>
            </a:graphic>
          </wp:anchor>
        </w:drawing>
      </w:r>
      <w:r>
        <w:rPr>
          <w:rFonts w:hint="eastAsia" w:ascii="华文中宋" w:hAnsi="华文中宋" w:eastAsia="华文中宋" w:cs="华文中宋"/>
          <w:b w:val="0"/>
          <w:bCs w:val="0"/>
          <w:color w:val="auto"/>
          <w:sz w:val="72"/>
        </w:rPr>
        <w:t>竞争性磋商文件</w:t>
      </w:r>
    </w:p>
    <w:p w14:paraId="6F4844BC">
      <w:pPr>
        <w:pStyle w:val="9"/>
        <w:widowControl w:val="0"/>
        <w:kinsoku/>
        <w:ind w:firstLine="1440" w:firstLineChars="200"/>
        <w:textAlignment w:val="auto"/>
        <w:rPr>
          <w:rFonts w:ascii="华文中宋" w:hAnsi="华文中宋" w:eastAsia="华文中宋" w:cs="华文中宋"/>
          <w:color w:val="auto"/>
          <w:sz w:val="72"/>
          <w:lang w:eastAsia="zh-CN"/>
        </w:rPr>
      </w:pPr>
    </w:p>
    <w:p w14:paraId="4281D243">
      <w:pPr>
        <w:pStyle w:val="9"/>
        <w:spacing w:line="500" w:lineRule="exact"/>
        <w:ind w:firstLine="1661" w:firstLineChars="200"/>
        <w:textAlignment w:val="auto"/>
        <w:rPr>
          <w:b/>
          <w:color w:val="auto"/>
          <w:sz w:val="83"/>
          <w:lang w:eastAsia="zh-CN"/>
        </w:rPr>
      </w:pPr>
    </w:p>
    <w:p w14:paraId="096C38D3">
      <w:pPr>
        <w:pStyle w:val="9"/>
        <w:spacing w:line="500" w:lineRule="exact"/>
        <w:ind w:firstLine="1661" w:firstLineChars="200"/>
        <w:textAlignment w:val="auto"/>
        <w:rPr>
          <w:b/>
          <w:color w:val="auto"/>
          <w:sz w:val="83"/>
          <w:lang w:eastAsia="zh-CN"/>
        </w:rPr>
      </w:pPr>
    </w:p>
    <w:p w14:paraId="17CC9A05">
      <w:pPr>
        <w:pStyle w:val="9"/>
        <w:spacing w:line="500" w:lineRule="exact"/>
        <w:ind w:firstLine="1661" w:firstLineChars="200"/>
        <w:textAlignment w:val="auto"/>
        <w:rPr>
          <w:b/>
          <w:color w:val="auto"/>
          <w:sz w:val="83"/>
          <w:lang w:eastAsia="zh-CN"/>
        </w:rPr>
      </w:pPr>
    </w:p>
    <w:p w14:paraId="1F3D8178">
      <w:pPr>
        <w:pStyle w:val="9"/>
        <w:spacing w:line="500" w:lineRule="exact"/>
        <w:ind w:firstLine="1661" w:firstLineChars="200"/>
        <w:textAlignment w:val="auto"/>
        <w:rPr>
          <w:b/>
          <w:color w:val="auto"/>
          <w:sz w:val="83"/>
          <w:lang w:eastAsia="zh-CN"/>
        </w:rPr>
      </w:pPr>
    </w:p>
    <w:p w14:paraId="159C8F4B">
      <w:pPr>
        <w:pStyle w:val="9"/>
        <w:spacing w:line="500" w:lineRule="exact"/>
        <w:ind w:firstLine="1661" w:firstLineChars="200"/>
        <w:textAlignment w:val="auto"/>
        <w:rPr>
          <w:b/>
          <w:color w:val="auto"/>
          <w:sz w:val="83"/>
          <w:lang w:eastAsia="zh-CN"/>
        </w:rPr>
      </w:pPr>
    </w:p>
    <w:p w14:paraId="3231FAA7">
      <w:pPr>
        <w:pStyle w:val="9"/>
        <w:spacing w:line="500" w:lineRule="exact"/>
        <w:ind w:firstLine="1661" w:firstLineChars="200"/>
        <w:textAlignment w:val="auto"/>
        <w:rPr>
          <w:b/>
          <w:color w:val="auto"/>
          <w:sz w:val="83"/>
          <w:lang w:eastAsia="zh-CN"/>
        </w:rPr>
      </w:pPr>
    </w:p>
    <w:p w14:paraId="42699A4E">
      <w:pPr>
        <w:pStyle w:val="9"/>
        <w:spacing w:line="500" w:lineRule="exact"/>
        <w:textAlignment w:val="auto"/>
        <w:rPr>
          <w:b/>
          <w:color w:val="auto"/>
          <w:sz w:val="83"/>
          <w:lang w:eastAsia="zh-CN"/>
        </w:rPr>
      </w:pPr>
    </w:p>
    <w:p w14:paraId="685180AB">
      <w:pPr>
        <w:pStyle w:val="9"/>
        <w:spacing w:line="500" w:lineRule="exact"/>
        <w:textAlignment w:val="auto"/>
        <w:rPr>
          <w:b/>
          <w:color w:val="auto"/>
          <w:sz w:val="83"/>
          <w:lang w:eastAsia="zh-CN"/>
        </w:rPr>
      </w:pPr>
    </w:p>
    <w:p w14:paraId="19C21443">
      <w:pPr>
        <w:pStyle w:val="2"/>
        <w:tabs>
          <w:tab w:val="left" w:pos="1555"/>
          <w:tab w:val="left" w:pos="2309"/>
        </w:tabs>
        <w:spacing w:line="500" w:lineRule="exact"/>
        <w:ind w:left="0"/>
        <w:jc w:val="both"/>
        <w:textAlignment w:val="auto"/>
        <w:rPr>
          <w:b w:val="0"/>
          <w:bCs w:val="0"/>
          <w:color w:val="auto"/>
          <w:sz w:val="32"/>
          <w:szCs w:val="32"/>
        </w:rPr>
      </w:pPr>
    </w:p>
    <w:p w14:paraId="459016A5">
      <w:pPr>
        <w:pStyle w:val="2"/>
        <w:tabs>
          <w:tab w:val="left" w:pos="1555"/>
          <w:tab w:val="left" w:pos="2309"/>
        </w:tabs>
        <w:spacing w:line="500" w:lineRule="exact"/>
        <w:ind w:left="0" w:firstLine="1600" w:firstLineChars="500"/>
        <w:jc w:val="both"/>
        <w:textAlignment w:val="auto"/>
        <w:rPr>
          <w:b w:val="0"/>
          <w:bCs w:val="0"/>
          <w:color w:val="auto"/>
          <w:sz w:val="32"/>
          <w:szCs w:val="32"/>
          <w:u w:val="thick"/>
          <w:lang w:val="en-US"/>
        </w:rPr>
      </w:pPr>
      <w:r>
        <w:rPr>
          <w:rFonts w:hint="eastAsia"/>
          <w:b w:val="0"/>
          <w:bCs w:val="0"/>
          <w:color w:val="auto"/>
          <w:sz w:val="32"/>
          <w:szCs w:val="32"/>
        </w:rPr>
        <w:t>采</w:t>
      </w:r>
      <w:r>
        <w:rPr>
          <w:rFonts w:hint="eastAsia"/>
          <w:b w:val="0"/>
          <w:bCs w:val="0"/>
          <w:color w:val="auto"/>
          <w:sz w:val="32"/>
          <w:szCs w:val="32"/>
          <w:lang w:val="en-US"/>
        </w:rPr>
        <w:t xml:space="preserve">   </w:t>
      </w:r>
      <w:r>
        <w:rPr>
          <w:rFonts w:hint="eastAsia"/>
          <w:b w:val="0"/>
          <w:bCs w:val="0"/>
          <w:color w:val="auto"/>
          <w:sz w:val="32"/>
          <w:szCs w:val="32"/>
        </w:rPr>
        <w:t>购</w:t>
      </w:r>
      <w:r>
        <w:rPr>
          <w:rFonts w:hint="eastAsia"/>
          <w:b w:val="0"/>
          <w:bCs w:val="0"/>
          <w:color w:val="auto"/>
          <w:sz w:val="32"/>
          <w:szCs w:val="32"/>
          <w:lang w:val="en-US"/>
        </w:rPr>
        <w:t xml:space="preserve">   </w:t>
      </w:r>
      <w:r>
        <w:rPr>
          <w:rFonts w:hint="eastAsia"/>
          <w:b w:val="0"/>
          <w:bCs w:val="0"/>
          <w:color w:val="auto"/>
          <w:sz w:val="32"/>
          <w:szCs w:val="32"/>
        </w:rPr>
        <w:t>人：</w:t>
      </w:r>
      <w:r>
        <w:rPr>
          <w:rFonts w:hint="eastAsia"/>
          <w:b w:val="0"/>
          <w:bCs w:val="0"/>
          <w:color w:val="auto"/>
          <w:sz w:val="32"/>
          <w:szCs w:val="32"/>
          <w:u w:val="thick"/>
          <w:lang w:val="en-US"/>
        </w:rPr>
        <w:t xml:space="preserve">     石泉县职业技术教育中心  </w:t>
      </w:r>
    </w:p>
    <w:p w14:paraId="43C19CA5">
      <w:pPr>
        <w:jc w:val="center"/>
        <w:textAlignment w:val="auto"/>
        <w:rPr>
          <w:rFonts w:ascii="宋体" w:hAnsi="宋体" w:eastAsia="宋体" w:cs="宋体"/>
          <w:color w:val="auto"/>
          <w:sz w:val="32"/>
          <w:szCs w:val="32"/>
          <w:lang w:eastAsia="zh-CN"/>
        </w:rPr>
      </w:pPr>
      <w:bookmarkStart w:id="31" w:name="_GoBack"/>
      <w:bookmarkEnd w:id="31"/>
    </w:p>
    <w:p w14:paraId="75A34493">
      <w:pPr>
        <w:pStyle w:val="9"/>
        <w:spacing w:line="500" w:lineRule="exact"/>
        <w:jc w:val="center"/>
        <w:textAlignment w:val="auto"/>
        <w:rPr>
          <w:rFonts w:ascii="宋体" w:hAnsi="宋体" w:eastAsia="宋体" w:cs="宋体"/>
          <w:color w:val="auto"/>
          <w:sz w:val="32"/>
          <w:szCs w:val="32"/>
          <w:lang w:eastAsia="zh-CN"/>
        </w:rPr>
      </w:pPr>
    </w:p>
    <w:p w14:paraId="138AA50E">
      <w:pPr>
        <w:spacing w:line="500" w:lineRule="exact"/>
        <w:ind w:firstLine="1600" w:firstLineChars="500"/>
        <w:jc w:val="both"/>
        <w:textAlignment w:val="auto"/>
        <w:rPr>
          <w:rFonts w:ascii="宋体" w:hAnsi="宋体" w:eastAsia="宋体" w:cs="宋体"/>
          <w:color w:val="auto"/>
          <w:sz w:val="32"/>
          <w:szCs w:val="32"/>
          <w:u w:val="thick"/>
          <w:lang w:eastAsia="zh-CN"/>
        </w:rPr>
      </w:pPr>
      <w:r>
        <w:rPr>
          <w:rFonts w:hint="eastAsia" w:ascii="宋体" w:hAnsi="宋体" w:eastAsia="宋体" w:cs="宋体"/>
          <w:color w:val="auto"/>
          <w:sz w:val="32"/>
          <w:szCs w:val="32"/>
          <w:lang w:eastAsia="zh-CN"/>
        </w:rPr>
        <w:t>采</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购</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代</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理</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机</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构</w:t>
      </w:r>
      <w:r>
        <w:rPr>
          <w:rFonts w:hint="eastAsia" w:eastAsia="宋体" w:cs="宋体"/>
          <w:color w:val="auto"/>
          <w:sz w:val="32"/>
          <w:szCs w:val="32"/>
          <w:lang w:eastAsia="zh-CN"/>
        </w:rPr>
        <w:t xml:space="preserve"> </w:t>
      </w:r>
      <w:r>
        <w:rPr>
          <w:rFonts w:hint="eastAsia" w:ascii="宋体" w:hAnsi="宋体" w:eastAsia="宋体" w:cs="宋体"/>
          <w:color w:val="auto"/>
          <w:sz w:val="32"/>
          <w:szCs w:val="32"/>
          <w:lang w:eastAsia="zh-CN"/>
        </w:rPr>
        <w:t>：</w:t>
      </w:r>
      <w:r>
        <w:rPr>
          <w:rFonts w:hint="eastAsia" w:eastAsia="宋体" w:cs="宋体"/>
          <w:color w:val="auto"/>
          <w:sz w:val="32"/>
          <w:szCs w:val="32"/>
          <w:u w:val="thick"/>
          <w:lang w:eastAsia="zh-CN"/>
        </w:rPr>
        <w:t xml:space="preserve"> </w:t>
      </w:r>
      <w:r>
        <w:rPr>
          <w:rFonts w:hint="eastAsia" w:ascii="宋体" w:hAnsi="宋体" w:eastAsia="宋体" w:cs="宋体"/>
          <w:color w:val="auto"/>
          <w:sz w:val="32"/>
          <w:szCs w:val="32"/>
          <w:u w:val="thick"/>
          <w:lang w:val="zh-CN" w:eastAsia="zh-CN" w:bidi="zh-CN"/>
        </w:rPr>
        <w:t>亿诚建设项目管理有限公司</w:t>
      </w:r>
      <w:r>
        <w:rPr>
          <w:rFonts w:hint="eastAsia" w:eastAsia="宋体" w:cs="宋体"/>
          <w:color w:val="auto"/>
          <w:sz w:val="32"/>
          <w:szCs w:val="32"/>
          <w:u w:val="thick"/>
          <w:lang w:eastAsia="zh-CN" w:bidi="zh-CN"/>
        </w:rPr>
        <w:t xml:space="preserve">  </w:t>
      </w:r>
    </w:p>
    <w:p w14:paraId="48EAC20F">
      <w:pPr>
        <w:pStyle w:val="9"/>
        <w:spacing w:line="500" w:lineRule="exact"/>
        <w:jc w:val="both"/>
        <w:textAlignment w:val="auto"/>
        <w:rPr>
          <w:rFonts w:ascii="宋体" w:hAnsi="宋体" w:eastAsia="宋体" w:cs="宋体"/>
          <w:color w:val="auto"/>
          <w:sz w:val="32"/>
          <w:szCs w:val="32"/>
          <w:lang w:eastAsia="zh-CN"/>
        </w:rPr>
      </w:pPr>
    </w:p>
    <w:p w14:paraId="46D18485">
      <w:pPr>
        <w:pStyle w:val="9"/>
        <w:spacing w:line="500" w:lineRule="exact"/>
        <w:jc w:val="center"/>
        <w:textAlignment w:val="auto"/>
        <w:rPr>
          <w:rFonts w:cs="宋体"/>
          <w:color w:val="auto"/>
          <w:sz w:val="32"/>
          <w:szCs w:val="32"/>
          <w:lang w:eastAsia="zh-CN"/>
        </w:rPr>
        <w:sectPr>
          <w:footerReference r:id="rId3" w:type="default"/>
          <w:pgSz w:w="11906" w:h="16839"/>
          <w:pgMar w:top="1415" w:right="1078" w:bottom="1327" w:left="1091" w:header="0" w:footer="1148" w:gutter="0"/>
          <w:cols w:space="720" w:num="1"/>
        </w:sectPr>
      </w:pPr>
      <w:r>
        <w:rPr>
          <w:rFonts w:hint="eastAsia" w:cs="宋体"/>
          <w:color w:val="auto"/>
          <w:sz w:val="32"/>
          <w:szCs w:val="32"/>
          <w:lang w:eastAsia="zh-CN"/>
        </w:rPr>
        <w:t xml:space="preserve">                2024</w:t>
      </w:r>
      <w:r>
        <w:rPr>
          <w:rFonts w:hint="eastAsia" w:ascii="宋体" w:hAnsi="宋体" w:eastAsia="宋体" w:cs="宋体"/>
          <w:color w:val="auto"/>
          <w:sz w:val="32"/>
          <w:szCs w:val="32"/>
          <w:lang w:eastAsia="zh-CN"/>
        </w:rPr>
        <w:t>年</w:t>
      </w:r>
      <w:r>
        <w:rPr>
          <w:rFonts w:hint="eastAsia" w:cs="宋体"/>
          <w:color w:val="auto"/>
          <w:sz w:val="32"/>
          <w:szCs w:val="32"/>
          <w:lang w:eastAsia="zh-CN"/>
        </w:rPr>
        <w:t>11</w:t>
      </w:r>
      <w:r>
        <w:rPr>
          <w:rFonts w:hint="eastAsia" w:ascii="宋体" w:hAnsi="宋体" w:eastAsia="宋体" w:cs="宋体"/>
          <w:color w:val="auto"/>
          <w:sz w:val="32"/>
          <w:szCs w:val="32"/>
          <w:lang w:eastAsia="zh-CN"/>
        </w:rPr>
        <w:t>月</w:t>
      </w:r>
      <w:r>
        <w:rPr>
          <w:rFonts w:hint="eastAsia" w:cs="宋体"/>
          <w:color w:val="auto"/>
          <w:sz w:val="32"/>
          <w:szCs w:val="32"/>
          <w:lang w:eastAsia="zh-CN"/>
        </w:rPr>
        <w:t>07日</w:t>
      </w:r>
    </w:p>
    <w:p w14:paraId="7B07845F">
      <w:pPr>
        <w:widowControl w:val="0"/>
        <w:kinsoku/>
        <w:autoSpaceDE/>
        <w:autoSpaceDN/>
        <w:adjustRightInd/>
        <w:snapToGrid/>
        <w:spacing w:line="480" w:lineRule="auto"/>
        <w:jc w:val="center"/>
        <w:textAlignment w:val="auto"/>
        <w:outlineLvl w:val="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特别提醒</w:t>
      </w:r>
    </w:p>
    <w:p w14:paraId="6A6E3BA7">
      <w:pPr>
        <w:spacing w:before="89" w:line="360" w:lineRule="auto"/>
        <w:ind w:right="3817"/>
        <w:rPr>
          <w:color w:val="auto"/>
          <w:lang w:eastAsia="zh-CN"/>
        </w:rPr>
      </w:pPr>
      <w:r>
        <w:rPr>
          <w:rFonts w:hint="eastAsia" w:ascii="宋体" w:hAnsi="宋体" w:eastAsia="宋体" w:cs="宋体"/>
          <w:color w:val="auto"/>
          <w:lang w:eastAsia="zh-CN"/>
        </w:rPr>
        <w:t>一</w:t>
      </w:r>
      <w:r>
        <w:rPr>
          <w:color w:val="auto"/>
          <w:lang w:eastAsia="zh-CN"/>
        </w:rPr>
        <w:t>、关于需要特别提醒供应商的内容</w:t>
      </w:r>
    </w:p>
    <w:p w14:paraId="21F35B59">
      <w:pPr>
        <w:spacing w:line="360" w:lineRule="auto"/>
        <w:ind w:right="325" w:firstLine="398" w:firstLineChars="200"/>
        <w:rPr>
          <w:color w:val="auto"/>
          <w:lang w:eastAsia="zh-CN"/>
        </w:rPr>
      </w:pPr>
      <w:r>
        <w:rPr>
          <w:rFonts w:ascii="Times New Roman" w:eastAsia="Times New Roman"/>
          <w:color w:val="auto"/>
          <w:w w:val="95"/>
          <w:lang w:eastAsia="zh-CN"/>
        </w:rPr>
        <w:t>1</w:t>
      </w:r>
      <w:r>
        <w:rPr>
          <w:rFonts w:ascii="宋体" w:hAnsi="宋体" w:eastAsia="宋体" w:cs="宋体"/>
          <w:color w:val="auto"/>
          <w:lang w:eastAsia="zh-CN"/>
        </w:rPr>
        <w:t>、本项目采用电子化投标及远程不见面开标方式（无需提供纸质版文件，无需到开标现场）。</w:t>
      </w:r>
      <w:r>
        <w:rPr>
          <w:color w:val="auto"/>
          <w:lang w:eastAsia="zh-CN"/>
        </w:rPr>
        <w:t>开标时请务必携带数字认证证书，如因供应商自身原因未携带数字认证证书造成无法解密投标文件，按无效投标对待。</w:t>
      </w:r>
    </w:p>
    <w:p w14:paraId="10042B78">
      <w:pPr>
        <w:spacing w:line="360" w:lineRule="auto"/>
        <w:ind w:right="428" w:firstLine="420" w:firstLineChars="200"/>
        <w:rPr>
          <w:color w:val="auto"/>
          <w:lang w:eastAsia="zh-CN"/>
        </w:rPr>
      </w:pPr>
      <w:r>
        <w:rPr>
          <w:rFonts w:ascii="Times New Roman" w:eastAsia="Times New Roman"/>
          <w:color w:val="auto"/>
          <w:lang w:eastAsia="zh-CN"/>
        </w:rPr>
        <w:t>2</w:t>
      </w:r>
      <w:r>
        <w:rPr>
          <w:color w:val="auto"/>
          <w:spacing w:val="-9"/>
          <w:lang w:eastAsia="zh-CN"/>
        </w:rPr>
        <w:t>、电子开标、评标无法进行时，按照《安康市公共资源交易平台电子化交易应急处置管理办法</w:t>
      </w:r>
      <w:r>
        <w:rPr>
          <w:rFonts w:ascii="Times New Roman" w:eastAsia="Times New Roman"/>
          <w:color w:val="auto"/>
          <w:spacing w:val="-9"/>
          <w:lang w:eastAsia="zh-CN"/>
        </w:rPr>
        <w:t>(</w:t>
      </w:r>
      <w:r>
        <w:rPr>
          <w:color w:val="auto"/>
          <w:spacing w:val="-9"/>
          <w:lang w:eastAsia="zh-CN"/>
        </w:rPr>
        <w:t>试行</w:t>
      </w:r>
      <w:r>
        <w:rPr>
          <w:rFonts w:ascii="Times New Roman" w:eastAsia="Times New Roman"/>
          <w:color w:val="auto"/>
          <w:spacing w:val="-9"/>
          <w:lang w:eastAsia="zh-CN"/>
        </w:rPr>
        <w:t>)</w:t>
      </w:r>
      <w:r>
        <w:rPr>
          <w:color w:val="auto"/>
          <w:spacing w:val="-9"/>
          <w:lang w:eastAsia="zh-CN"/>
        </w:rPr>
        <w:t>》规定执行。</w:t>
      </w:r>
    </w:p>
    <w:p w14:paraId="0B044EAC">
      <w:pPr>
        <w:spacing w:line="360" w:lineRule="auto"/>
        <w:ind w:firstLine="420" w:firstLineChars="200"/>
        <w:rPr>
          <w:color w:val="auto"/>
          <w:sz w:val="15"/>
          <w:lang w:eastAsia="zh-CN"/>
        </w:rPr>
      </w:pPr>
      <w:r>
        <w:rPr>
          <w:rFonts w:ascii="Times New Roman" w:eastAsia="Times New Roman"/>
          <w:color w:val="auto"/>
          <w:lang w:eastAsia="zh-CN"/>
        </w:rPr>
        <w:t>3</w:t>
      </w:r>
      <w:r>
        <w:rPr>
          <w:color w:val="auto"/>
          <w:lang w:eastAsia="zh-CN"/>
        </w:rPr>
        <w:t>、制作电子投标文件</w:t>
      </w:r>
    </w:p>
    <w:p w14:paraId="3F4AD92D">
      <w:pPr>
        <w:spacing w:before="1" w:line="360" w:lineRule="auto"/>
        <w:ind w:right="421" w:firstLine="404" w:firstLineChars="200"/>
        <w:jc w:val="both"/>
        <w:rPr>
          <w:rFonts w:ascii="宋体" w:hAnsi="宋体" w:eastAsia="宋体" w:cs="宋体"/>
          <w:color w:val="auto"/>
          <w:lang w:eastAsia="zh-CN"/>
        </w:rPr>
      </w:pPr>
      <w:r>
        <w:rPr>
          <w:rFonts w:hint="eastAsia" w:ascii="宋体" w:hAnsi="宋体" w:eastAsia="宋体" w:cs="宋体"/>
          <w:color w:val="auto"/>
          <w:spacing w:val="-4"/>
          <w:lang w:eastAsia="zh-CN"/>
        </w:rPr>
        <w:t>投</w:t>
      </w:r>
      <w:r>
        <w:rPr>
          <w:color w:val="auto"/>
          <w:spacing w:val="-4"/>
          <w:lang w:eastAsia="zh-CN"/>
        </w:rPr>
        <w:t>标供应商须在“全国公共资源交易中心平台</w:t>
      </w:r>
      <w:r>
        <w:rPr>
          <w:color w:val="auto"/>
          <w:lang w:eastAsia="zh-CN"/>
        </w:rPr>
        <w:t>（陕西</w:t>
      </w:r>
      <w:r>
        <w:rPr>
          <w:rFonts w:ascii="宋体" w:hAnsi="宋体" w:eastAsia="宋体" w:cs="宋体"/>
          <w:color w:val="auto"/>
          <w:lang w:eastAsia="zh-CN"/>
        </w:rPr>
        <w:t>省）（</w:t>
      </w:r>
      <w:r>
        <w:rPr>
          <w:color w:val="auto"/>
        </w:rPr>
        <w:fldChar w:fldCharType="begin"/>
      </w:r>
      <w:r>
        <w:rPr>
          <w:color w:val="auto"/>
        </w:rPr>
        <w:instrText xml:space="preserve"> HYPERLINK "http://www.sxggzyjy.cn/" \h </w:instrText>
      </w:r>
      <w:r>
        <w:rPr>
          <w:color w:val="auto"/>
        </w:rPr>
        <w:fldChar w:fldCharType="separate"/>
      </w:r>
      <w:r>
        <w:rPr>
          <w:rFonts w:ascii="宋体" w:hAnsi="宋体" w:eastAsia="宋体" w:cs="宋体"/>
          <w:color w:val="auto"/>
          <w:lang w:eastAsia="zh-CN"/>
        </w:rPr>
        <w:t>http://www.sxggzyjy.cn/</w:t>
      </w:r>
      <w:r>
        <w:rPr>
          <w:rFonts w:ascii="宋体" w:hAnsi="宋体" w:eastAsia="宋体" w:cs="宋体"/>
          <w:color w:val="auto"/>
          <w:lang w:eastAsia="zh-CN"/>
        </w:rPr>
        <w:fldChar w:fldCharType="end"/>
      </w:r>
      <w:r>
        <w:rPr>
          <w:rFonts w:ascii="宋体" w:hAnsi="宋体" w:eastAsia="宋体" w:cs="宋体"/>
          <w:color w:val="auto"/>
          <w:lang w:eastAsia="zh-CN"/>
        </w:rPr>
        <w:t>）”的“服务指南”栏目“下载专区”中，免费下载“陕西省公共资源交易平台政府采购电子标书制作工具</w:t>
      </w:r>
      <w:r>
        <w:rPr>
          <w:rFonts w:hint="eastAsia" w:ascii="宋体" w:hAnsi="宋体" w:eastAsia="宋体" w:cs="宋体"/>
          <w:color w:val="auto"/>
          <w:lang w:eastAsia="zh-CN"/>
        </w:rPr>
        <w:t>(V8.0.1.06)</w:t>
      </w:r>
      <w:r>
        <w:rPr>
          <w:rFonts w:ascii="宋体" w:hAnsi="宋体" w:eastAsia="宋体" w:cs="宋体"/>
          <w:color w:val="auto"/>
          <w:lang w:eastAsia="zh-CN"/>
        </w:rPr>
        <w:t>”，并升级至最新版本，使用该客户端制作电子投标文件，制作扩展名为“.SXSTF”的   电子投标文件。”</w:t>
      </w:r>
    </w:p>
    <w:p w14:paraId="357A7222">
      <w:pPr>
        <w:spacing w:line="360" w:lineRule="auto"/>
        <w:ind w:firstLine="420" w:firstLineChars="200"/>
        <w:rPr>
          <w:color w:val="auto"/>
          <w:sz w:val="15"/>
          <w:lang w:eastAsia="zh-CN"/>
        </w:rPr>
      </w:pPr>
      <w:r>
        <w:rPr>
          <w:rFonts w:ascii="Times New Roman" w:eastAsia="Times New Roman"/>
          <w:color w:val="auto"/>
          <w:lang w:eastAsia="zh-CN"/>
        </w:rPr>
        <w:t>4</w:t>
      </w:r>
      <w:r>
        <w:rPr>
          <w:color w:val="auto"/>
          <w:lang w:eastAsia="zh-CN"/>
        </w:rPr>
        <w:t>、递交电子投标文件</w:t>
      </w:r>
    </w:p>
    <w:p w14:paraId="35795393">
      <w:pPr>
        <w:spacing w:line="360" w:lineRule="auto"/>
        <w:ind w:right="428" w:firstLine="420" w:firstLineChars="200"/>
        <w:jc w:val="both"/>
        <w:rPr>
          <w:color w:val="auto"/>
          <w:lang w:eastAsia="zh-CN"/>
        </w:rPr>
      </w:pPr>
      <w:r>
        <w:rPr>
          <w:rFonts w:ascii="宋体" w:hAnsi="宋体" w:eastAsia="宋体" w:cs="宋体"/>
          <w:color w:val="auto"/>
          <w:lang w:eastAsia="zh-CN"/>
        </w:rPr>
        <w:t>登录全国公共资源交易中心平台（陕西省）（</w:t>
      </w:r>
      <w:r>
        <w:rPr>
          <w:color w:val="auto"/>
        </w:rPr>
        <w:fldChar w:fldCharType="begin"/>
      </w:r>
      <w:r>
        <w:rPr>
          <w:color w:val="auto"/>
        </w:rPr>
        <w:instrText xml:space="preserve"> HYPERLINK "http://www.sxggzyjy.cn/" \h </w:instrText>
      </w:r>
      <w:r>
        <w:rPr>
          <w:color w:val="auto"/>
        </w:rPr>
        <w:fldChar w:fldCharType="separate"/>
      </w:r>
      <w:r>
        <w:rPr>
          <w:rFonts w:ascii="宋体" w:hAnsi="宋体" w:eastAsia="宋体" w:cs="宋体"/>
          <w:color w:val="auto"/>
          <w:lang w:eastAsia="zh-CN"/>
        </w:rPr>
        <w:t>http://www.sxggzyjy.cn/</w:t>
      </w:r>
      <w:r>
        <w:rPr>
          <w:rFonts w:ascii="宋体" w:hAnsi="宋体" w:eastAsia="宋体" w:cs="宋体"/>
          <w:color w:val="auto"/>
          <w:lang w:eastAsia="zh-CN"/>
        </w:rPr>
        <w:fldChar w:fldCharType="end"/>
      </w:r>
      <w:r>
        <w:rPr>
          <w:rFonts w:ascii="宋体" w:hAnsi="宋体" w:eastAsia="宋体" w:cs="宋体"/>
          <w:color w:val="auto"/>
          <w:lang w:eastAsia="zh-CN"/>
        </w:rPr>
        <w:t>），选择“电子交易平   台—陕西政府采购交易系统—企业端”进行登录，登录后选择“交易乙方”身份进入，进入菜单“采购业务—我的项目——项目流程——上传响</w:t>
      </w:r>
      <w:r>
        <w:rPr>
          <w:color w:val="auto"/>
          <w:lang w:eastAsia="zh-CN"/>
        </w:rPr>
        <w:t>应文件”，上传加密的电子投标文件。上传成功后，电子化平台将予以记录。</w:t>
      </w:r>
    </w:p>
    <w:p w14:paraId="0A880459">
      <w:pPr>
        <w:spacing w:line="360" w:lineRule="auto"/>
        <w:rPr>
          <w:color w:val="auto"/>
          <w:sz w:val="15"/>
          <w:lang w:eastAsia="zh-CN"/>
        </w:rPr>
      </w:pPr>
      <w:r>
        <w:rPr>
          <w:rFonts w:hint="eastAsia" w:ascii="宋体" w:hAnsi="宋体" w:eastAsia="宋体" w:cs="宋体"/>
          <w:color w:val="auto"/>
          <w:lang w:eastAsia="zh-CN"/>
        </w:rPr>
        <w:t>二</w:t>
      </w:r>
      <w:r>
        <w:rPr>
          <w:color w:val="auto"/>
          <w:lang w:eastAsia="zh-CN"/>
        </w:rPr>
        <w:t>、关于投标</w:t>
      </w:r>
    </w:p>
    <w:p w14:paraId="1F1B8AEC">
      <w:pPr>
        <w:spacing w:line="360" w:lineRule="auto"/>
        <w:ind w:right="431" w:firstLine="420" w:firstLineChars="200"/>
        <w:rPr>
          <w:color w:val="auto"/>
          <w:lang w:eastAsia="zh-CN"/>
        </w:rPr>
      </w:pPr>
      <w:r>
        <w:rPr>
          <w:rFonts w:ascii="Times New Roman" w:eastAsia="Times New Roman"/>
          <w:color w:val="auto"/>
          <w:lang w:eastAsia="zh-CN"/>
        </w:rPr>
        <w:t>1</w:t>
      </w:r>
      <w:r>
        <w:rPr>
          <w:color w:val="auto"/>
          <w:spacing w:val="-10"/>
          <w:lang w:eastAsia="zh-CN"/>
        </w:rPr>
        <w:t>、</w:t>
      </w:r>
      <w:r>
        <w:rPr>
          <w:rFonts w:hint="eastAsia"/>
          <w:color w:val="auto"/>
          <w:spacing w:val="-10"/>
          <w:lang w:eastAsia="zh-CN"/>
        </w:rPr>
        <w:t>报名</w:t>
      </w:r>
      <w:r>
        <w:rPr>
          <w:color w:val="auto"/>
          <w:spacing w:val="-10"/>
          <w:lang w:eastAsia="zh-CN"/>
        </w:rPr>
        <w:t xml:space="preserve">须知：使用捆绑省交易平台的 </w:t>
      </w:r>
      <w:r>
        <w:rPr>
          <w:rFonts w:ascii="Times New Roman" w:eastAsia="Times New Roman"/>
          <w:color w:val="auto"/>
          <w:lang w:eastAsia="zh-CN"/>
        </w:rPr>
        <w:t xml:space="preserve">CA </w:t>
      </w:r>
      <w:r>
        <w:rPr>
          <w:color w:val="auto"/>
          <w:spacing w:val="-2"/>
          <w:lang w:eastAsia="zh-CN"/>
        </w:rPr>
        <w:t>锁登录电子交易平台，通过政府采购系统企业端进入，点击我要投标，完善相关投标信息；</w:t>
      </w:r>
    </w:p>
    <w:p w14:paraId="7EAD493C">
      <w:pPr>
        <w:spacing w:line="360" w:lineRule="auto"/>
        <w:ind w:right="428" w:firstLine="420" w:firstLineChars="200"/>
        <w:jc w:val="both"/>
        <w:rPr>
          <w:rFonts w:ascii="宋体" w:hAnsi="宋体" w:eastAsia="宋体" w:cs="宋体"/>
          <w:color w:val="auto"/>
          <w:lang w:eastAsia="zh-CN"/>
        </w:rPr>
      </w:pPr>
      <w:r>
        <w:rPr>
          <w:rFonts w:ascii="宋体" w:hAnsi="宋体" w:eastAsia="宋体" w:cs="宋体"/>
          <w:color w:val="auto"/>
          <w:lang w:eastAsia="zh-CN"/>
        </w:rPr>
        <w:t>2</w:t>
      </w:r>
      <w:r>
        <w:rPr>
          <w:rFonts w:hint="eastAsia" w:ascii="宋体" w:hAnsi="宋体" w:eastAsia="宋体" w:cs="宋体"/>
          <w:color w:val="auto"/>
          <w:lang w:eastAsia="zh-CN"/>
        </w:rPr>
        <w:t>、</w:t>
      </w:r>
      <w:r>
        <w:rPr>
          <w:rFonts w:hint="eastAsia" w:cs="宋体"/>
          <w:color w:val="auto"/>
          <w:lang w:eastAsia="zh-CN"/>
        </w:rPr>
        <w:t>报名</w:t>
      </w:r>
      <w:r>
        <w:rPr>
          <w:rFonts w:ascii="宋体" w:hAnsi="宋体" w:eastAsia="宋体" w:cs="宋体"/>
          <w:color w:val="auto"/>
          <w:lang w:eastAsia="zh-CN"/>
        </w:rPr>
        <w:t>确认：请在文件</w:t>
      </w:r>
      <w:r>
        <w:rPr>
          <w:rFonts w:hint="eastAsia" w:cs="宋体"/>
          <w:color w:val="auto"/>
          <w:lang w:eastAsia="zh-CN"/>
        </w:rPr>
        <w:t>获取</w:t>
      </w:r>
      <w:r>
        <w:rPr>
          <w:rFonts w:ascii="宋体" w:hAnsi="宋体" w:eastAsia="宋体" w:cs="宋体"/>
          <w:color w:val="auto"/>
          <w:lang w:eastAsia="zh-CN"/>
        </w:rPr>
        <w:t>时间以内将网上投标成功回执单、法人授权书、被授权人身份证、营业执照（复印件加盖公章）在代理机构处进行投标登记，确认完成</w:t>
      </w:r>
      <w:r>
        <w:rPr>
          <w:rFonts w:hint="eastAsia" w:cs="宋体"/>
          <w:color w:val="auto"/>
          <w:lang w:eastAsia="zh-CN"/>
        </w:rPr>
        <w:t>报名</w:t>
      </w:r>
      <w:r>
        <w:rPr>
          <w:rFonts w:ascii="宋体" w:hAnsi="宋体" w:eastAsia="宋体" w:cs="宋体"/>
          <w:color w:val="auto"/>
          <w:lang w:eastAsia="zh-CN"/>
        </w:rPr>
        <w:t>流程，否则投标无效，确认完毕后方可下载文件；</w:t>
      </w:r>
    </w:p>
    <w:p w14:paraId="58DF8A44">
      <w:pPr>
        <w:spacing w:line="360" w:lineRule="auto"/>
        <w:ind w:right="428" w:firstLine="420" w:firstLineChars="200"/>
        <w:jc w:val="both"/>
        <w:rPr>
          <w:rFonts w:ascii="宋体" w:hAnsi="宋体" w:eastAsia="宋体" w:cs="宋体"/>
          <w:color w:val="auto"/>
          <w:lang w:eastAsia="zh-CN"/>
        </w:rPr>
      </w:pPr>
      <w:r>
        <w:rPr>
          <w:rFonts w:ascii="宋体" w:hAnsi="宋体" w:eastAsia="宋体" w:cs="宋体"/>
          <w:color w:val="auto"/>
          <w:lang w:eastAsia="zh-CN"/>
        </w:rPr>
        <w:t>3、未完成网上投标成功的或未经采购代理公司</w:t>
      </w:r>
      <w:r>
        <w:rPr>
          <w:rFonts w:hint="eastAsia" w:cs="宋体"/>
          <w:color w:val="auto"/>
          <w:lang w:eastAsia="zh-CN"/>
        </w:rPr>
        <w:t>报名</w:t>
      </w:r>
      <w:r>
        <w:rPr>
          <w:rFonts w:ascii="宋体" w:hAnsi="宋体" w:eastAsia="宋体" w:cs="宋体"/>
          <w:color w:val="auto"/>
          <w:lang w:eastAsia="zh-CN"/>
        </w:rPr>
        <w:t>确认或未在规定时间内在平台上下载文件的，无法完成后续流程；</w:t>
      </w:r>
    </w:p>
    <w:p w14:paraId="12C83C21">
      <w:pPr>
        <w:spacing w:line="360" w:lineRule="auto"/>
        <w:ind w:right="428" w:firstLine="420" w:firstLineChars="200"/>
        <w:jc w:val="both"/>
        <w:rPr>
          <w:rFonts w:ascii="宋体" w:hAnsi="宋体" w:eastAsia="宋体" w:cs="宋体"/>
          <w:color w:val="auto"/>
          <w:lang w:eastAsia="zh-CN"/>
        </w:rPr>
      </w:pPr>
      <w:r>
        <w:rPr>
          <w:rFonts w:ascii="宋体" w:hAnsi="宋体" w:eastAsia="宋体" w:cs="宋体"/>
          <w:color w:val="auto"/>
          <w:lang w:eastAsia="zh-CN"/>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14:paraId="26B78745">
      <w:pPr>
        <w:spacing w:line="360" w:lineRule="auto"/>
        <w:ind w:right="428" w:firstLine="420" w:firstLineChars="200"/>
        <w:jc w:val="both"/>
        <w:rPr>
          <w:rFonts w:ascii="宋体" w:hAnsi="宋体" w:eastAsia="宋体" w:cs="宋体"/>
          <w:color w:val="auto"/>
          <w:lang w:eastAsia="zh-CN"/>
        </w:rPr>
      </w:pPr>
      <w:r>
        <w:rPr>
          <w:rFonts w:ascii="宋体" w:hAnsi="宋体" w:eastAsia="宋体" w:cs="宋体"/>
          <w:color w:val="auto"/>
          <w:lang w:eastAsia="zh-CN"/>
        </w:rPr>
        <w:t>5、电子</w:t>
      </w:r>
      <w:r>
        <w:rPr>
          <w:rFonts w:hint="eastAsia" w:cs="宋体"/>
          <w:color w:val="auto"/>
          <w:lang w:eastAsia="zh-CN"/>
        </w:rPr>
        <w:t>招标</w:t>
      </w:r>
      <w:r>
        <w:rPr>
          <w:rFonts w:ascii="宋体" w:hAnsi="宋体" w:eastAsia="宋体" w:cs="宋体"/>
          <w:color w:val="auto"/>
          <w:lang w:eastAsia="zh-CN"/>
        </w:rPr>
        <w:t>文件技术支持：4009280095、4009980000。</w:t>
      </w:r>
    </w:p>
    <w:p w14:paraId="69CD2E44">
      <w:pPr>
        <w:spacing w:before="89" w:line="360" w:lineRule="auto"/>
        <w:rPr>
          <w:color w:val="auto"/>
          <w:sz w:val="15"/>
          <w:lang w:eastAsia="zh-CN"/>
        </w:rPr>
      </w:pPr>
      <w:r>
        <w:rPr>
          <w:rFonts w:hint="eastAsia" w:ascii="宋体" w:hAnsi="宋体" w:eastAsia="宋体" w:cs="宋体"/>
          <w:color w:val="auto"/>
          <w:lang w:eastAsia="zh-CN"/>
        </w:rPr>
        <w:t>三</w:t>
      </w:r>
      <w:r>
        <w:rPr>
          <w:color w:val="auto"/>
          <w:lang w:eastAsia="zh-CN"/>
        </w:rPr>
        <w:t>、关于文件的制作和签名</w:t>
      </w:r>
    </w:p>
    <w:p w14:paraId="7F74DC7D">
      <w:pPr>
        <w:pStyle w:val="22"/>
        <w:tabs>
          <w:tab w:val="left" w:pos="928"/>
        </w:tabs>
        <w:spacing w:line="360" w:lineRule="auto"/>
        <w:ind w:right="433"/>
        <w:jc w:val="both"/>
        <w:rPr>
          <w:color w:val="auto"/>
          <w:lang w:eastAsia="zh-CN"/>
        </w:rPr>
      </w:pPr>
      <w:r>
        <w:rPr>
          <w:rFonts w:hint="eastAsia"/>
          <w:color w:val="auto"/>
          <w:lang w:eastAsia="zh-CN"/>
        </w:rPr>
        <w:t>1、</w:t>
      </w:r>
      <w:r>
        <w:rPr>
          <w:color w:val="auto"/>
          <w:lang w:eastAsia="zh-CN"/>
        </w:rPr>
        <w:t>为确保采购项目顺利开展，本项目采用电子化投标及远程不见面开标方式</w:t>
      </w:r>
      <w:r>
        <w:rPr>
          <w:color w:val="auto"/>
          <w:spacing w:val="4"/>
          <w:lang w:eastAsia="zh-CN"/>
        </w:rPr>
        <w:t>（</w:t>
      </w:r>
      <w:r>
        <w:rPr>
          <w:color w:val="auto"/>
          <w:lang w:eastAsia="zh-CN"/>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413B95EE">
      <w:pPr>
        <w:pStyle w:val="22"/>
        <w:tabs>
          <w:tab w:val="left" w:pos="1031"/>
        </w:tabs>
        <w:spacing w:line="360" w:lineRule="auto"/>
        <w:ind w:right="431"/>
        <w:jc w:val="both"/>
        <w:rPr>
          <w:color w:val="auto"/>
          <w:lang w:eastAsia="zh-CN"/>
        </w:rPr>
      </w:pPr>
      <w:r>
        <w:rPr>
          <w:rFonts w:hint="eastAsia" w:ascii="宋体" w:hAnsi="宋体" w:eastAsia="宋体" w:cs="宋体"/>
          <w:color w:val="auto"/>
          <w:lang w:eastAsia="zh-CN"/>
        </w:rPr>
        <w:t>2、</w:t>
      </w:r>
      <w:r>
        <w:rPr>
          <w:rFonts w:ascii="宋体" w:hAnsi="宋体" w:eastAsia="宋体" w:cs="宋体"/>
          <w:color w:val="auto"/>
          <w:lang w:eastAsia="zh-CN"/>
        </w:rPr>
        <w:t>编制电子投标文件时，应使用最新发布的电子</w:t>
      </w:r>
      <w:r>
        <w:rPr>
          <w:rFonts w:hint="eastAsia" w:cs="宋体"/>
          <w:color w:val="auto"/>
          <w:lang w:eastAsia="zh-CN"/>
        </w:rPr>
        <w:t>招标</w:t>
      </w:r>
      <w:r>
        <w:rPr>
          <w:rFonts w:ascii="宋体" w:hAnsi="宋体" w:eastAsia="宋体" w:cs="宋体"/>
          <w:color w:val="auto"/>
          <w:lang w:eastAsia="zh-CN"/>
        </w:rPr>
        <w:t>文件及专用制作工具进行编制。并使用数</w:t>
      </w:r>
      <w:r>
        <w:rPr>
          <w:color w:val="auto"/>
          <w:spacing w:val="-3"/>
          <w:lang w:eastAsia="zh-CN"/>
        </w:rPr>
        <w:t>字认证证书（</w:t>
      </w:r>
      <w:r>
        <w:rPr>
          <w:rFonts w:ascii="Times New Roman" w:eastAsia="Times New Roman"/>
          <w:color w:val="auto"/>
          <w:spacing w:val="-3"/>
          <w:lang w:eastAsia="zh-CN"/>
        </w:rPr>
        <w:t>CA</w:t>
      </w:r>
      <w:r>
        <w:rPr>
          <w:color w:val="auto"/>
          <w:spacing w:val="-3"/>
          <w:lang w:eastAsia="zh-CN"/>
        </w:rPr>
        <w:t>）对电子投标文件进行签署、加密、递交及开标时解密等相关操作。</w:t>
      </w:r>
    </w:p>
    <w:p w14:paraId="25F3A24E">
      <w:pPr>
        <w:pStyle w:val="22"/>
        <w:tabs>
          <w:tab w:val="left" w:pos="1294"/>
        </w:tabs>
        <w:spacing w:line="360" w:lineRule="auto"/>
        <w:rPr>
          <w:color w:val="auto"/>
          <w:sz w:val="15"/>
          <w:lang w:eastAsia="zh-CN"/>
        </w:rPr>
      </w:pPr>
      <w:r>
        <w:rPr>
          <w:rFonts w:hint="eastAsia" w:ascii="宋体" w:hAnsi="宋体" w:eastAsia="宋体" w:cs="宋体"/>
          <w:color w:val="auto"/>
          <w:lang w:eastAsia="zh-CN"/>
        </w:rPr>
        <w:t>（</w:t>
      </w:r>
      <w:r>
        <w:rPr>
          <w:rFonts w:hint="eastAsia"/>
          <w:color w:val="auto"/>
          <w:lang w:eastAsia="zh-CN"/>
        </w:rPr>
        <w:t>1）</w:t>
      </w:r>
      <w:r>
        <w:rPr>
          <w:color w:val="auto"/>
          <w:lang w:eastAsia="zh-CN"/>
        </w:rPr>
        <w:t>电子</w:t>
      </w:r>
      <w:r>
        <w:rPr>
          <w:rFonts w:hint="eastAsia"/>
          <w:color w:val="auto"/>
          <w:lang w:eastAsia="zh-CN"/>
        </w:rPr>
        <w:t>招标</w:t>
      </w:r>
      <w:r>
        <w:rPr>
          <w:color w:val="auto"/>
          <w:lang w:eastAsia="zh-CN"/>
        </w:rPr>
        <w:t>文件下载</w:t>
      </w:r>
    </w:p>
    <w:p w14:paraId="0EA651D2">
      <w:pPr>
        <w:spacing w:line="360" w:lineRule="auto"/>
        <w:ind w:right="428" w:firstLine="420" w:firstLineChars="200"/>
        <w:rPr>
          <w:rFonts w:ascii="宋体" w:hAnsi="宋体" w:eastAsia="宋体" w:cs="宋体"/>
          <w:color w:val="auto"/>
          <w:szCs w:val="22"/>
          <w:lang w:val="zh-CN" w:eastAsia="zh-CN" w:bidi="zh-CN"/>
        </w:rPr>
      </w:pPr>
      <w:r>
        <w:rPr>
          <w:rFonts w:ascii="宋体" w:hAnsi="宋体" w:eastAsia="宋体" w:cs="宋体"/>
          <w:color w:val="auto"/>
          <w:szCs w:val="22"/>
          <w:lang w:val="zh-CN" w:eastAsia="zh-CN" w:bidi="zh-CN"/>
        </w:rPr>
        <w:t>供应商登录全国公共资源交易平台（陕西省）网站[电子交易平台-企业端]后，在[我的项目] 中点击“项目流程-交易文件下载”下载电子</w:t>
      </w:r>
      <w:r>
        <w:rPr>
          <w:rFonts w:hint="eastAsia" w:cs="宋体"/>
          <w:color w:val="auto"/>
          <w:szCs w:val="22"/>
          <w:lang w:val="zh-CN" w:eastAsia="zh-CN" w:bidi="zh-CN"/>
        </w:rPr>
        <w:t>招标</w:t>
      </w:r>
      <w:r>
        <w:rPr>
          <w:rFonts w:ascii="宋体" w:hAnsi="宋体" w:eastAsia="宋体" w:cs="宋体"/>
          <w:color w:val="auto"/>
          <w:szCs w:val="22"/>
          <w:lang w:val="zh-CN" w:eastAsia="zh-CN" w:bidi="zh-CN"/>
        </w:rPr>
        <w:t>文件（*.SXSZF）;</w:t>
      </w:r>
    </w:p>
    <w:p w14:paraId="1D9DA3B5">
      <w:pPr>
        <w:spacing w:line="360" w:lineRule="auto"/>
        <w:ind w:right="431" w:firstLine="420" w:firstLineChars="200"/>
        <w:rPr>
          <w:rFonts w:ascii="宋体" w:hAnsi="宋体" w:eastAsia="宋体" w:cs="宋体"/>
          <w:color w:val="auto"/>
          <w:szCs w:val="22"/>
          <w:lang w:val="zh-CN" w:eastAsia="zh-CN" w:bidi="zh-CN"/>
        </w:rPr>
      </w:pPr>
      <w:r>
        <w:rPr>
          <w:rFonts w:ascii="宋体" w:hAnsi="宋体" w:eastAsia="宋体" w:cs="宋体"/>
          <w:color w:val="auto"/>
          <w:szCs w:val="22"/>
          <w:lang w:val="zh-CN" w:eastAsia="zh-CN" w:bidi="zh-CN"/>
        </w:rPr>
        <w:t>注意：该项目如有变更文件，则应点击“项目流程&gt;答疑文件下载”下载更新后的电子</w:t>
      </w:r>
      <w:r>
        <w:rPr>
          <w:rFonts w:hint="eastAsia" w:cs="宋体"/>
          <w:color w:val="auto"/>
          <w:szCs w:val="22"/>
          <w:lang w:val="zh-CN" w:eastAsia="zh-CN" w:bidi="zh-CN"/>
        </w:rPr>
        <w:t>招标</w:t>
      </w:r>
      <w:r>
        <w:rPr>
          <w:rFonts w:ascii="宋体" w:hAnsi="宋体" w:eastAsia="宋体" w:cs="宋体"/>
          <w:color w:val="auto"/>
          <w:szCs w:val="22"/>
          <w:lang w:val="zh-CN" w:eastAsia="zh-CN" w:bidi="zh-CN"/>
        </w:rPr>
        <w:t>文   件（*.SXSCF），使用旧版电子</w:t>
      </w:r>
      <w:r>
        <w:rPr>
          <w:rFonts w:hint="eastAsia" w:cs="宋体"/>
          <w:color w:val="auto"/>
          <w:szCs w:val="22"/>
          <w:lang w:val="zh-CN" w:eastAsia="zh-CN" w:bidi="zh-CN"/>
        </w:rPr>
        <w:t>招标</w:t>
      </w:r>
      <w:r>
        <w:rPr>
          <w:rFonts w:ascii="宋体" w:hAnsi="宋体" w:eastAsia="宋体" w:cs="宋体"/>
          <w:color w:val="auto"/>
          <w:szCs w:val="22"/>
          <w:lang w:val="zh-CN" w:eastAsia="zh-CN" w:bidi="zh-CN"/>
        </w:rPr>
        <w:t>文件制作的电子投标文件，系统将拒绝接收。</w:t>
      </w:r>
    </w:p>
    <w:p w14:paraId="439E15FE">
      <w:pPr>
        <w:pStyle w:val="22"/>
        <w:widowControl w:val="0"/>
        <w:tabs>
          <w:tab w:val="left" w:pos="1294"/>
        </w:tabs>
        <w:kinsoku/>
        <w:autoSpaceDE/>
        <w:autoSpaceDN/>
        <w:adjustRightInd/>
        <w:snapToGrid/>
        <w:spacing w:line="360" w:lineRule="auto"/>
        <w:textAlignment w:val="auto"/>
        <w:rPr>
          <w:color w:val="auto"/>
          <w:sz w:val="15"/>
          <w:lang w:eastAsia="zh-CN"/>
        </w:rPr>
      </w:pPr>
      <w:r>
        <w:rPr>
          <w:rFonts w:hint="eastAsia" w:ascii="宋体" w:hAnsi="宋体" w:eastAsia="宋体" w:cs="宋体"/>
          <w:color w:val="auto"/>
          <w:lang w:eastAsia="zh-CN"/>
        </w:rPr>
        <w:t>（</w:t>
      </w:r>
      <w:r>
        <w:rPr>
          <w:rFonts w:hint="eastAsia"/>
          <w:color w:val="auto"/>
          <w:lang w:eastAsia="zh-CN"/>
        </w:rPr>
        <w:t>2）</w:t>
      </w:r>
      <w:r>
        <w:rPr>
          <w:color w:val="auto"/>
          <w:lang w:eastAsia="zh-CN"/>
        </w:rPr>
        <w:t>电子</w:t>
      </w:r>
      <w:r>
        <w:rPr>
          <w:rFonts w:hint="eastAsia"/>
          <w:color w:val="auto"/>
          <w:lang w:eastAsia="zh-CN"/>
        </w:rPr>
        <w:t>招标</w:t>
      </w:r>
      <w:r>
        <w:rPr>
          <w:color w:val="auto"/>
          <w:lang w:eastAsia="zh-CN"/>
        </w:rPr>
        <w:t>文件需要使用专用软件打开、浏览</w:t>
      </w:r>
    </w:p>
    <w:p w14:paraId="22BE96CE">
      <w:pPr>
        <w:widowControl w:val="0"/>
        <w:kinsoku/>
        <w:autoSpaceDE/>
        <w:autoSpaceDN/>
        <w:adjustRightInd/>
        <w:snapToGrid/>
        <w:spacing w:line="360" w:lineRule="auto"/>
        <w:ind w:right="433" w:firstLine="420" w:firstLineChars="200"/>
        <w:textAlignment w:val="auto"/>
        <w:rPr>
          <w:rFonts w:ascii="宋体" w:hAnsi="宋体" w:eastAsia="宋体" w:cs="宋体"/>
          <w:color w:val="auto"/>
          <w:szCs w:val="22"/>
          <w:lang w:val="zh-CN" w:eastAsia="zh-CN" w:bidi="zh-CN"/>
        </w:rPr>
      </w:pPr>
      <w:r>
        <w:rPr>
          <w:rFonts w:hint="eastAsia" w:ascii="宋体" w:hAnsi="宋体" w:eastAsia="宋体" w:cs="宋体"/>
          <w:color w:val="auto"/>
          <w:lang w:eastAsia="zh-CN"/>
        </w:rPr>
        <w:t>供</w:t>
      </w:r>
      <w:r>
        <w:rPr>
          <w:color w:val="auto"/>
          <w:lang w:eastAsia="zh-CN"/>
        </w:rPr>
        <w:t>应商登录全国公共资源交易平台（陕西省）网站</w:t>
      </w:r>
      <w:r>
        <w:rPr>
          <w:rFonts w:ascii="Times New Roman" w:eastAsia="Times New Roman"/>
          <w:color w:val="auto"/>
          <w:spacing w:val="-3"/>
          <w:lang w:eastAsia="zh-CN"/>
        </w:rPr>
        <w:t>[</w:t>
      </w:r>
      <w:r>
        <w:rPr>
          <w:color w:val="auto"/>
          <w:lang w:eastAsia="zh-CN"/>
        </w:rPr>
        <w:t>服务指南</w:t>
      </w:r>
      <w:r>
        <w:rPr>
          <w:rFonts w:ascii="Times New Roman" w:eastAsia="Times New Roman"/>
          <w:color w:val="auto"/>
          <w:lang w:eastAsia="zh-CN"/>
        </w:rPr>
        <w:t>-</w:t>
      </w:r>
      <w:r>
        <w:rPr>
          <w:color w:val="auto"/>
          <w:lang w:eastAsia="zh-CN"/>
        </w:rPr>
        <w:t>下载专区</w:t>
      </w:r>
      <w:r>
        <w:rPr>
          <w:rFonts w:ascii="Times New Roman" w:eastAsia="Times New Roman"/>
          <w:color w:val="auto"/>
          <w:lang w:eastAsia="zh-CN"/>
        </w:rPr>
        <w:t>]</w:t>
      </w:r>
      <w:r>
        <w:rPr>
          <w:color w:val="auto"/>
          <w:lang w:eastAsia="zh-CN"/>
        </w:rPr>
        <w:t>免费下载《陕西省公共资源交易平台政府采购电子标书制作工具</w:t>
      </w:r>
      <w:r>
        <w:rPr>
          <w:rFonts w:hint="eastAsia" w:ascii="Times New Roman" w:eastAsia="Times New Roman"/>
          <w:color w:val="auto"/>
          <w:lang w:eastAsia="zh-CN"/>
        </w:rPr>
        <w:t>(V8.0.1.0</w:t>
      </w:r>
      <w:r>
        <w:rPr>
          <w:rFonts w:hint="eastAsia" w:ascii="Times New Roman" w:eastAsia="宋体"/>
          <w:color w:val="auto"/>
          <w:lang w:eastAsia="zh-CN"/>
        </w:rPr>
        <w:t>6</w:t>
      </w:r>
      <w:r>
        <w:rPr>
          <w:rFonts w:hint="eastAsia" w:ascii="Times New Roman" w:eastAsia="Times New Roman"/>
          <w:color w:val="auto"/>
          <w:lang w:eastAsia="zh-CN"/>
        </w:rPr>
        <w:t>)</w:t>
      </w:r>
      <w:r>
        <w:rPr>
          <w:color w:val="auto"/>
          <w:lang w:eastAsia="zh-CN"/>
        </w:rPr>
        <w:t xml:space="preserve">》，下载网址： </w:t>
      </w:r>
      <w:r>
        <w:rPr>
          <w:color w:val="auto"/>
        </w:rPr>
        <w:fldChar w:fldCharType="begin"/>
      </w:r>
      <w:r>
        <w:rPr>
          <w:color w:val="auto"/>
        </w:rPr>
        <w:instrText xml:space="preserve"> HYPERLINK "http://www.sxggzyjy.cn/fwzn/004003/20180827/c8c8fb15-a7cc-4011-a244-806289d7cf3b.html" \h </w:instrText>
      </w:r>
      <w:r>
        <w:rPr>
          <w:color w:val="auto"/>
        </w:rPr>
        <w:fldChar w:fldCharType="separate"/>
      </w:r>
      <w:r>
        <w:rPr>
          <w:rFonts w:ascii="宋体" w:hAnsi="宋体" w:eastAsia="宋体" w:cs="宋体"/>
          <w:color w:val="auto"/>
          <w:szCs w:val="22"/>
          <w:lang w:val="zh-CN" w:eastAsia="zh-CN" w:bidi="zh-CN"/>
        </w:rPr>
        <w:t>http://www.sxggzyjy.cn/fwzn/004003/20180827/c8c8fb15-a7cc-4011-a244806289d7cf3b.html</w:t>
      </w:r>
      <w:r>
        <w:rPr>
          <w:rFonts w:ascii="宋体" w:hAnsi="宋体" w:eastAsia="宋体" w:cs="宋体"/>
          <w:color w:val="auto"/>
          <w:szCs w:val="22"/>
          <w:lang w:val="zh-CN" w:eastAsia="zh-CN" w:bidi="zh-CN"/>
        </w:rPr>
        <w:fldChar w:fldCharType="end"/>
      </w:r>
      <w:r>
        <w:rPr>
          <w:rFonts w:ascii="宋体" w:hAnsi="宋体" w:eastAsia="宋体" w:cs="宋体"/>
          <w:color w:val="auto"/>
          <w:szCs w:val="22"/>
          <w:lang w:val="zh-CN" w:eastAsia="zh-CN" w:bidi="zh-CN"/>
        </w:rPr>
        <w:t>，并升级至最新版本，使用该客户端可以打开电子</w:t>
      </w:r>
      <w:r>
        <w:rPr>
          <w:rFonts w:hint="eastAsia" w:cs="宋体"/>
          <w:color w:val="auto"/>
          <w:szCs w:val="22"/>
          <w:lang w:val="zh-CN" w:eastAsia="zh-CN" w:bidi="zh-CN"/>
        </w:rPr>
        <w:t>招标</w:t>
      </w:r>
      <w:r>
        <w:rPr>
          <w:rFonts w:ascii="宋体" w:hAnsi="宋体" w:eastAsia="宋体" w:cs="宋体"/>
          <w:color w:val="auto"/>
          <w:szCs w:val="22"/>
          <w:lang w:val="zh-CN" w:eastAsia="zh-CN" w:bidi="zh-CN"/>
        </w:rPr>
        <w:t>文件。软件操作手册详见全国公共资源交易平台（陕西省）网站[服务指南-下载专区]中的《陕西省公共资源交易（政府采购类）投标文件制作软件操作手</w:t>
      </w:r>
      <w:r>
        <w:rPr>
          <w:color w:val="auto"/>
          <w:lang w:eastAsia="zh-CN"/>
        </w:rPr>
        <w:t>册》</w:t>
      </w:r>
      <w:r>
        <w:rPr>
          <w:rFonts w:ascii="Times New Roman" w:eastAsia="Times New Roman"/>
          <w:color w:val="auto"/>
          <w:lang w:eastAsia="zh-CN"/>
        </w:rPr>
        <w:t>,</w:t>
      </w:r>
      <w:r>
        <w:rPr>
          <w:color w:val="auto"/>
          <w:lang w:eastAsia="zh-CN"/>
        </w:rPr>
        <w:t>下载网址：</w:t>
      </w:r>
      <w:r>
        <w:rPr>
          <w:color w:val="auto"/>
        </w:rPr>
        <w:fldChar w:fldCharType="begin"/>
      </w:r>
      <w:r>
        <w:rPr>
          <w:color w:val="auto"/>
        </w:rPr>
        <w:instrText xml:space="preserve"> HYPERLINK "http://www.sxggzyjy.cn/fwzn/004003/20170821/c3afa05b-f5e6-4e64-9fb0-e397ef73413d.html" \h </w:instrText>
      </w:r>
      <w:r>
        <w:rPr>
          <w:color w:val="auto"/>
        </w:rPr>
        <w:fldChar w:fldCharType="separate"/>
      </w:r>
      <w:r>
        <w:rPr>
          <w:rFonts w:ascii="宋体" w:hAnsi="宋体" w:eastAsia="宋体" w:cs="宋体"/>
          <w:color w:val="auto"/>
          <w:szCs w:val="22"/>
          <w:lang w:val="zh-CN" w:eastAsia="zh-CN" w:bidi="zh-CN"/>
        </w:rPr>
        <w:t>http://www.sxggzyjy.cn/fwzn/004003/20170821/c3afa05b-f5e6-4e64-9fb0-e397ef73413d.html</w:t>
      </w:r>
      <w:r>
        <w:rPr>
          <w:rFonts w:ascii="宋体" w:hAnsi="宋体" w:eastAsia="宋体" w:cs="宋体"/>
          <w:color w:val="auto"/>
          <w:szCs w:val="22"/>
          <w:lang w:val="zh-CN" w:eastAsia="zh-CN" w:bidi="zh-CN"/>
        </w:rPr>
        <w:fldChar w:fldCharType="end"/>
      </w:r>
      <w:r>
        <w:rPr>
          <w:rFonts w:ascii="宋体" w:hAnsi="宋体" w:eastAsia="宋体" w:cs="宋体"/>
          <w:color w:val="auto"/>
          <w:szCs w:val="22"/>
          <w:lang w:val="zh-CN" w:eastAsia="zh-CN" w:bidi="zh-CN"/>
        </w:rPr>
        <w:t>；</w:t>
      </w:r>
    </w:p>
    <w:p w14:paraId="04AC1509">
      <w:pPr>
        <w:pStyle w:val="22"/>
        <w:tabs>
          <w:tab w:val="left" w:pos="1294"/>
        </w:tabs>
        <w:spacing w:before="1" w:line="360" w:lineRule="auto"/>
        <w:rPr>
          <w:color w:val="auto"/>
          <w:sz w:val="15"/>
          <w:lang w:eastAsia="zh-CN"/>
        </w:rPr>
      </w:pPr>
      <w:r>
        <w:rPr>
          <w:rFonts w:hint="eastAsia" w:ascii="宋体" w:hAnsi="宋体" w:eastAsia="宋体" w:cs="宋体"/>
          <w:color w:val="auto"/>
          <w:lang w:eastAsia="zh-CN"/>
        </w:rPr>
        <w:t>（</w:t>
      </w:r>
      <w:r>
        <w:rPr>
          <w:rFonts w:hint="eastAsia"/>
          <w:color w:val="auto"/>
          <w:lang w:eastAsia="zh-CN"/>
        </w:rPr>
        <w:t>3）</w:t>
      </w:r>
      <w:r>
        <w:rPr>
          <w:color w:val="auto"/>
          <w:lang w:eastAsia="zh-CN"/>
        </w:rPr>
        <w:t>制作电子投标文件</w:t>
      </w:r>
    </w:p>
    <w:p w14:paraId="58AFB696">
      <w:pPr>
        <w:spacing w:line="360" w:lineRule="auto"/>
        <w:ind w:right="433" w:firstLine="420" w:firstLineChars="200"/>
        <w:rPr>
          <w:color w:val="auto"/>
          <w:lang w:eastAsia="zh-CN"/>
        </w:rPr>
      </w:pPr>
      <w:r>
        <w:rPr>
          <w:rFonts w:hint="eastAsia" w:ascii="宋体" w:hAnsi="宋体" w:eastAsia="宋体" w:cs="宋体"/>
          <w:color w:val="auto"/>
          <w:lang w:eastAsia="zh-CN"/>
        </w:rPr>
        <w:t>电</w:t>
      </w:r>
      <w:r>
        <w:rPr>
          <w:color w:val="auto"/>
          <w:lang w:eastAsia="zh-CN"/>
        </w:rPr>
        <w:t>子投标文件同样需要使用上述软件进行编制。在编制过程中，如有技术性问题，请先翻阅操作手册或致电软件开发商，技术支持热线：</w:t>
      </w:r>
      <w:r>
        <w:rPr>
          <w:rFonts w:ascii="Times New Roman" w:eastAsia="Times New Roman"/>
          <w:color w:val="auto"/>
          <w:lang w:eastAsia="zh-CN"/>
        </w:rPr>
        <w:t>4009280095</w:t>
      </w:r>
      <w:r>
        <w:rPr>
          <w:color w:val="auto"/>
          <w:lang w:eastAsia="zh-CN"/>
        </w:rPr>
        <w:t>、</w:t>
      </w:r>
      <w:r>
        <w:rPr>
          <w:rFonts w:ascii="Times New Roman" w:eastAsia="Times New Roman"/>
          <w:color w:val="auto"/>
          <w:lang w:eastAsia="zh-CN"/>
        </w:rPr>
        <w:t>4009980000</w:t>
      </w:r>
      <w:r>
        <w:rPr>
          <w:color w:val="auto"/>
          <w:lang w:eastAsia="zh-CN"/>
        </w:rPr>
        <w:t>。</w:t>
      </w:r>
    </w:p>
    <w:p w14:paraId="67FC7ACC">
      <w:pPr>
        <w:spacing w:before="89" w:line="360" w:lineRule="auto"/>
        <w:rPr>
          <w:color w:val="auto"/>
          <w:lang w:eastAsia="zh-CN"/>
        </w:rPr>
      </w:pPr>
      <w:r>
        <w:rPr>
          <w:rFonts w:hint="eastAsia" w:ascii="宋体" w:hAnsi="宋体" w:eastAsia="宋体" w:cs="宋体"/>
          <w:color w:val="auto"/>
          <w:lang w:eastAsia="zh-CN"/>
        </w:rPr>
        <w:t>四</w:t>
      </w:r>
      <w:r>
        <w:rPr>
          <w:color w:val="auto"/>
          <w:lang w:eastAsia="zh-CN"/>
        </w:rPr>
        <w:t>、关于响应文件递交与解密</w:t>
      </w:r>
    </w:p>
    <w:p w14:paraId="5BFFC9EF">
      <w:pPr>
        <w:spacing w:before="89" w:line="360" w:lineRule="auto"/>
        <w:ind w:firstLine="420" w:firstLineChars="200"/>
        <w:rPr>
          <w:color w:val="auto"/>
          <w:lang w:eastAsia="zh-CN"/>
        </w:rPr>
      </w:pPr>
      <w:r>
        <w:rPr>
          <w:rFonts w:hint="eastAsia"/>
          <w:color w:val="auto"/>
          <w:lang w:eastAsia="zh-CN"/>
        </w:rPr>
        <w:t>1、</w:t>
      </w:r>
      <w:r>
        <w:rPr>
          <w:color w:val="auto"/>
          <w:lang w:eastAsia="zh-CN"/>
        </w:rPr>
        <w:t>文件递交</w:t>
      </w:r>
    </w:p>
    <w:p w14:paraId="7EF2D041">
      <w:pPr>
        <w:spacing w:before="89" w:line="360" w:lineRule="auto"/>
        <w:ind w:right="361" w:firstLine="412" w:firstLineChars="200"/>
        <w:rPr>
          <w:rFonts w:ascii="宋体" w:hAnsi="宋体" w:eastAsia="宋体" w:cs="宋体"/>
          <w:color w:val="auto"/>
          <w:lang w:eastAsia="zh-CN"/>
        </w:rPr>
      </w:pPr>
      <w:r>
        <w:rPr>
          <w:rFonts w:hint="eastAsia" w:ascii="宋体" w:hAnsi="宋体" w:eastAsia="宋体" w:cs="宋体"/>
          <w:color w:val="auto"/>
          <w:spacing w:val="-2"/>
          <w:lang w:eastAsia="zh-CN"/>
        </w:rPr>
        <w:t>电</w:t>
      </w:r>
      <w:r>
        <w:rPr>
          <w:color w:val="auto"/>
          <w:spacing w:val="-2"/>
          <w:lang w:eastAsia="zh-CN"/>
        </w:rPr>
        <w:t>子投标文件可于提交投标文件截止时间前任意时段登录全国公共资源交易平台</w:t>
      </w:r>
      <w:r>
        <w:rPr>
          <w:color w:val="auto"/>
          <w:lang w:eastAsia="zh-CN"/>
        </w:rPr>
        <w:t>（陕西省）网站</w:t>
      </w:r>
      <w:r>
        <w:rPr>
          <w:rFonts w:ascii="Times New Roman" w:hAnsi="Times New Roman" w:eastAsia="Times New Roman"/>
          <w:color w:val="auto"/>
          <w:lang w:eastAsia="zh-CN"/>
        </w:rPr>
        <w:t>[</w:t>
      </w:r>
      <w:r>
        <w:rPr>
          <w:color w:val="auto"/>
          <w:lang w:eastAsia="zh-CN"/>
        </w:rPr>
        <w:t>电子交易平台</w:t>
      </w:r>
      <w:r>
        <w:rPr>
          <w:rFonts w:ascii="Times New Roman" w:hAnsi="Times New Roman" w:eastAsia="Times New Roman"/>
          <w:color w:val="auto"/>
          <w:lang w:eastAsia="zh-CN"/>
        </w:rPr>
        <w:t>-</w:t>
      </w:r>
      <w:r>
        <w:rPr>
          <w:color w:val="auto"/>
          <w:lang w:eastAsia="zh-CN"/>
        </w:rPr>
        <w:t>企业端</w:t>
      </w:r>
      <w:r>
        <w:rPr>
          <w:rFonts w:ascii="Times New Roman" w:hAnsi="Times New Roman" w:eastAsia="Times New Roman"/>
          <w:color w:val="auto"/>
          <w:lang w:eastAsia="zh-CN"/>
        </w:rPr>
        <w:t>]</w:t>
      </w:r>
      <w:r>
        <w:rPr>
          <w:color w:val="auto"/>
          <w:lang w:eastAsia="zh-CN"/>
        </w:rPr>
        <w:t>进行提交，逾期系统将拒绝接收。提交时，供应商</w:t>
      </w:r>
      <w:r>
        <w:rPr>
          <w:rFonts w:ascii="宋体" w:hAnsi="宋体" w:eastAsia="宋体" w:cs="宋体"/>
          <w:color w:val="auto"/>
          <w:lang w:eastAsia="zh-CN"/>
        </w:rPr>
        <w:t>应登录全国公共资源交易中心平台（陕西省），选择[“首页&gt;电子交易平台&gt;企业端&gt;我的项目”，点击[项目</w:t>
      </w:r>
      <w:r>
        <w:rPr>
          <w:rFonts w:hint="eastAsia" w:ascii="宋体" w:hAnsi="宋体" w:eastAsia="宋体" w:cs="宋体"/>
          <w:color w:val="auto"/>
          <w:lang w:eastAsia="zh-CN"/>
        </w:rPr>
        <w:t>-</w:t>
      </w:r>
      <w:r>
        <w:rPr>
          <w:rFonts w:ascii="宋体" w:hAnsi="宋体" w:eastAsia="宋体" w:cs="宋体"/>
          <w:color w:val="auto"/>
          <w:lang w:eastAsia="zh-CN"/>
        </w:rPr>
        <w:t>流程]，在打开的[项目管理]对话框中选择[上传响应文件]，上传加密的电子投标文件（*.SXSTF）， 上传成功后，电子化平台将予以记录。</w:t>
      </w:r>
    </w:p>
    <w:p w14:paraId="442C462C">
      <w:pPr>
        <w:pStyle w:val="22"/>
        <w:tabs>
          <w:tab w:val="left" w:pos="928"/>
        </w:tabs>
        <w:spacing w:line="360" w:lineRule="auto"/>
        <w:rPr>
          <w:color w:val="auto"/>
          <w:sz w:val="15"/>
          <w:lang w:eastAsia="zh-CN"/>
        </w:rPr>
      </w:pPr>
      <w:r>
        <w:rPr>
          <w:rFonts w:hint="eastAsia"/>
          <w:color w:val="auto"/>
          <w:lang w:eastAsia="zh-CN"/>
        </w:rPr>
        <w:t>2、</w:t>
      </w:r>
      <w:r>
        <w:rPr>
          <w:color w:val="auto"/>
          <w:lang w:eastAsia="zh-CN"/>
        </w:rPr>
        <w:t>文件开启与解密</w:t>
      </w:r>
    </w:p>
    <w:p w14:paraId="718CE9DC">
      <w:pPr>
        <w:pStyle w:val="22"/>
        <w:tabs>
          <w:tab w:val="left" w:pos="1294"/>
        </w:tabs>
        <w:spacing w:line="360" w:lineRule="auto"/>
        <w:ind w:right="431"/>
        <w:jc w:val="both"/>
        <w:rPr>
          <w:color w:val="auto"/>
          <w:lang w:eastAsia="zh-CN"/>
        </w:rPr>
      </w:pPr>
      <w:r>
        <w:rPr>
          <w:rFonts w:hint="eastAsia" w:ascii="宋体" w:hAnsi="宋体" w:eastAsia="宋体" w:cs="宋体"/>
          <w:color w:val="auto"/>
          <w:lang w:eastAsia="zh-CN"/>
        </w:rPr>
        <w:t>（</w:t>
      </w:r>
      <w:r>
        <w:rPr>
          <w:rFonts w:hint="eastAsia"/>
          <w:color w:val="auto"/>
          <w:lang w:eastAsia="zh-CN"/>
        </w:rPr>
        <w:t>1）</w:t>
      </w:r>
      <w:r>
        <w:rPr>
          <w:color w:val="auto"/>
          <w:lang w:eastAsia="zh-CN"/>
        </w:rPr>
        <w:t>开标时，供应商须使用电子投标文件加密时所用的数字认证证书（</w:t>
      </w:r>
      <w:r>
        <w:rPr>
          <w:rFonts w:ascii="Times New Roman" w:eastAsia="Times New Roman"/>
          <w:color w:val="auto"/>
          <w:lang w:eastAsia="zh-CN"/>
        </w:rPr>
        <w:t>CA</w:t>
      </w:r>
      <w:r>
        <w:rPr>
          <w:rFonts w:ascii="Times New Roman" w:eastAsia="Times New Roman"/>
          <w:color w:val="auto"/>
          <w:spacing w:val="-16"/>
          <w:lang w:eastAsia="zh-CN"/>
        </w:rPr>
        <w:t xml:space="preserve"> </w:t>
      </w:r>
      <w:r>
        <w:rPr>
          <w:color w:val="auto"/>
          <w:lang w:eastAsia="zh-CN"/>
        </w:rPr>
        <w:t>锁）在各自办公场所的电脑上自行解密电子投标文件。</w:t>
      </w:r>
    </w:p>
    <w:p w14:paraId="45F4A1FF">
      <w:pPr>
        <w:pStyle w:val="22"/>
        <w:tabs>
          <w:tab w:val="left" w:pos="1294"/>
        </w:tabs>
        <w:spacing w:line="360" w:lineRule="auto"/>
        <w:ind w:right="431"/>
        <w:jc w:val="both"/>
        <w:rPr>
          <w:rFonts w:ascii="宋体" w:hAnsi="宋体" w:eastAsia="宋体" w:cs="宋体"/>
          <w:color w:val="auto"/>
          <w:lang w:eastAsia="zh-CN"/>
        </w:rPr>
      </w:pPr>
      <w:r>
        <w:rPr>
          <w:rFonts w:hint="eastAsia" w:ascii="宋体" w:hAnsi="宋体" w:eastAsia="宋体" w:cs="宋体"/>
          <w:color w:val="auto"/>
          <w:lang w:eastAsia="zh-CN"/>
        </w:rPr>
        <w:t>（2）</w:t>
      </w:r>
      <w:r>
        <w:rPr>
          <w:rFonts w:ascii="宋体" w:hAnsi="宋体" w:eastAsia="宋体" w:cs="宋体"/>
          <w:color w:val="auto"/>
          <w:lang w:eastAsia="zh-CN"/>
        </w:rPr>
        <w:t>电子开标、评标无法进行时，按照《安康市公共资源交易平台电子化交易应急处置管理办法(试行)》规定执行。</w:t>
      </w:r>
    </w:p>
    <w:p w14:paraId="54F77DE4">
      <w:pPr>
        <w:pStyle w:val="22"/>
        <w:tabs>
          <w:tab w:val="left" w:pos="1297"/>
        </w:tabs>
        <w:spacing w:line="360" w:lineRule="auto"/>
        <w:ind w:right="433"/>
        <w:jc w:val="both"/>
        <w:rPr>
          <w:color w:val="auto"/>
          <w:lang w:eastAsia="zh-CN"/>
        </w:rPr>
      </w:pPr>
      <w:r>
        <w:rPr>
          <w:rFonts w:hint="eastAsia" w:ascii="宋体" w:hAnsi="宋体" w:eastAsia="宋体" w:cs="宋体"/>
          <w:color w:val="auto"/>
          <w:lang w:eastAsia="zh-CN"/>
        </w:rPr>
        <w:t>（</w:t>
      </w:r>
      <w:r>
        <w:rPr>
          <w:rFonts w:hint="eastAsia"/>
          <w:color w:val="auto"/>
          <w:lang w:eastAsia="zh-CN"/>
        </w:rPr>
        <w:t>3）</w:t>
      </w:r>
      <w:r>
        <w:rPr>
          <w:color w:val="auto"/>
          <w:lang w:eastAsia="zh-CN"/>
        </w:rPr>
        <w:t>编制的电子投标文件，须使用数字认证证书（</w:t>
      </w:r>
      <w:r>
        <w:rPr>
          <w:rFonts w:ascii="Times New Roman" w:eastAsia="Times New Roman"/>
          <w:color w:val="auto"/>
          <w:lang w:eastAsia="zh-CN"/>
        </w:rPr>
        <w:t>CA</w:t>
      </w:r>
      <w:r>
        <w:rPr>
          <w:color w:val="auto"/>
          <w:lang w:eastAsia="zh-CN"/>
        </w:rPr>
        <w:t>）对电子投标文件进行签署、加密、递交及开标时解密等相关操作。响应文件中签名不能采用机打签名方式，应采用手写方式，因此导致废标或未中标，投标供应商自行承担责任。</w:t>
      </w:r>
    </w:p>
    <w:p w14:paraId="35A56DE5">
      <w:pPr>
        <w:pStyle w:val="22"/>
        <w:tabs>
          <w:tab w:val="left" w:pos="1294"/>
        </w:tabs>
        <w:spacing w:line="360" w:lineRule="auto"/>
        <w:rPr>
          <w:color w:val="auto"/>
          <w:lang w:eastAsia="zh-CN"/>
        </w:rPr>
      </w:pPr>
      <w:r>
        <w:rPr>
          <w:rFonts w:hint="eastAsia" w:ascii="宋体" w:hAnsi="宋体" w:eastAsia="宋体" w:cs="宋体"/>
          <w:color w:val="auto"/>
          <w:lang w:eastAsia="zh-CN"/>
        </w:rPr>
        <w:t>（</w:t>
      </w:r>
      <w:r>
        <w:rPr>
          <w:rFonts w:hint="eastAsia"/>
          <w:color w:val="auto"/>
          <w:lang w:eastAsia="zh-CN"/>
        </w:rPr>
        <w:t>4）</w:t>
      </w:r>
      <w:r>
        <w:rPr>
          <w:color w:val="auto"/>
          <w:lang w:eastAsia="zh-CN"/>
        </w:rPr>
        <w:t>在开标环节出现下列情况之一的，其电子投标文件视为无效文件：</w:t>
      </w:r>
    </w:p>
    <w:p w14:paraId="2675AA68">
      <w:pPr>
        <w:pStyle w:val="22"/>
        <w:tabs>
          <w:tab w:val="left" w:pos="1294"/>
        </w:tabs>
        <w:spacing w:line="360" w:lineRule="auto"/>
        <w:rPr>
          <w:color w:val="auto"/>
          <w:lang w:eastAsia="zh-CN"/>
        </w:rPr>
      </w:pPr>
    </w:p>
    <w:p w14:paraId="0B1724D0">
      <w:pPr>
        <w:pStyle w:val="22"/>
        <w:tabs>
          <w:tab w:val="left" w:pos="1297"/>
        </w:tabs>
        <w:spacing w:line="360" w:lineRule="auto"/>
        <w:ind w:right="433"/>
        <w:jc w:val="both"/>
        <w:rPr>
          <w:color w:val="auto"/>
          <w:lang w:eastAsia="zh-CN"/>
        </w:rPr>
      </w:pPr>
      <w:r>
        <w:rPr>
          <w:rFonts w:hint="eastAsia"/>
          <w:color w:val="auto"/>
          <w:lang w:eastAsia="zh-CN"/>
        </w:rPr>
        <w:t>a.</w:t>
      </w:r>
      <w:r>
        <w:rPr>
          <w:color w:val="auto"/>
          <w:lang w:eastAsia="zh-CN"/>
        </w:rPr>
        <w:t>供应商拒绝对电子投标文件进行解密的；</w:t>
      </w:r>
    </w:p>
    <w:p w14:paraId="11EBE88D">
      <w:pPr>
        <w:pStyle w:val="22"/>
        <w:tabs>
          <w:tab w:val="left" w:pos="1297"/>
        </w:tabs>
        <w:spacing w:line="360" w:lineRule="auto"/>
        <w:ind w:right="433"/>
        <w:jc w:val="both"/>
        <w:rPr>
          <w:color w:val="auto"/>
          <w:lang w:eastAsia="zh-CN"/>
        </w:rPr>
      </w:pPr>
      <w:r>
        <w:rPr>
          <w:rFonts w:hint="eastAsia"/>
          <w:color w:val="auto"/>
          <w:lang w:eastAsia="zh-CN"/>
        </w:rPr>
        <w:t>b.</w:t>
      </w:r>
      <w:r>
        <w:rPr>
          <w:color w:val="auto"/>
          <w:lang w:eastAsia="zh-CN"/>
        </w:rPr>
        <w:t>因供应商自身原因（如未带 CA 锁、或所带 CA 锁与制作电子投标文件使用的 CA 锁不一致、或沿用旧版</w:t>
      </w:r>
      <w:r>
        <w:rPr>
          <w:rFonts w:hint="eastAsia"/>
          <w:color w:val="auto"/>
          <w:lang w:eastAsia="zh-CN"/>
        </w:rPr>
        <w:t>招标</w:t>
      </w:r>
      <w:r>
        <w:rPr>
          <w:color w:val="auto"/>
          <w:lang w:eastAsia="zh-CN"/>
        </w:rPr>
        <w:t>文件编制投标文件等情形），导致在规定时间内无法解密投标文件的；</w:t>
      </w:r>
    </w:p>
    <w:p w14:paraId="22452A6A">
      <w:pPr>
        <w:pStyle w:val="22"/>
        <w:tabs>
          <w:tab w:val="left" w:pos="1297"/>
        </w:tabs>
        <w:spacing w:line="360" w:lineRule="auto"/>
        <w:ind w:right="433"/>
        <w:jc w:val="both"/>
        <w:rPr>
          <w:color w:val="auto"/>
          <w:lang w:eastAsia="zh-CN"/>
        </w:rPr>
      </w:pPr>
      <w:r>
        <w:rPr>
          <w:rFonts w:hint="eastAsia"/>
          <w:color w:val="auto"/>
          <w:lang w:eastAsia="zh-CN"/>
        </w:rPr>
        <w:t>c.</w:t>
      </w:r>
      <w:r>
        <w:rPr>
          <w:color w:val="auto"/>
          <w:lang w:eastAsia="zh-CN"/>
        </w:rPr>
        <w:t>上传的电子投标文件无法打开的；</w:t>
      </w:r>
    </w:p>
    <w:p w14:paraId="5278D908">
      <w:pPr>
        <w:pStyle w:val="22"/>
        <w:tabs>
          <w:tab w:val="left" w:pos="1297"/>
        </w:tabs>
        <w:spacing w:line="360" w:lineRule="auto"/>
        <w:ind w:right="433"/>
        <w:jc w:val="both"/>
        <w:rPr>
          <w:color w:val="auto"/>
          <w:lang w:eastAsia="zh-CN"/>
        </w:rPr>
      </w:pPr>
      <w:r>
        <w:rPr>
          <w:rFonts w:hint="eastAsia"/>
          <w:color w:val="auto"/>
          <w:lang w:eastAsia="zh-CN"/>
        </w:rPr>
        <w:t>d.</w:t>
      </w:r>
      <w:r>
        <w:rPr>
          <w:color w:val="auto"/>
          <w:lang w:eastAsia="zh-CN"/>
        </w:rPr>
        <w:t>政府采购法律法规规定的其他无效情形。</w:t>
      </w:r>
    </w:p>
    <w:p w14:paraId="012AEE6A">
      <w:pPr>
        <w:pStyle w:val="22"/>
        <w:tabs>
          <w:tab w:val="left" w:pos="1297"/>
        </w:tabs>
        <w:spacing w:line="360" w:lineRule="auto"/>
        <w:ind w:right="433"/>
        <w:jc w:val="both"/>
        <w:rPr>
          <w:color w:val="auto"/>
          <w:lang w:eastAsia="zh-CN"/>
        </w:rPr>
      </w:pPr>
      <w:r>
        <w:rPr>
          <w:rFonts w:hint="eastAsia" w:ascii="宋体" w:hAnsi="宋体" w:eastAsia="宋体" w:cs="宋体"/>
          <w:color w:val="auto"/>
          <w:lang w:eastAsia="zh-CN"/>
        </w:rPr>
        <w:t>（</w:t>
      </w:r>
      <w:r>
        <w:rPr>
          <w:rFonts w:hint="eastAsia"/>
          <w:color w:val="auto"/>
          <w:lang w:eastAsia="zh-CN"/>
        </w:rPr>
        <w:t>5）</w:t>
      </w:r>
      <w:r>
        <w:rPr>
          <w:color w:val="auto"/>
          <w:lang w:eastAsia="zh-CN"/>
        </w:rPr>
        <w:t>特殊情形下的应急处置</w:t>
      </w:r>
    </w:p>
    <w:p w14:paraId="6708F833">
      <w:pPr>
        <w:spacing w:line="360" w:lineRule="auto"/>
        <w:ind w:right="327" w:firstLine="420" w:firstLineChars="200"/>
        <w:rPr>
          <w:color w:val="auto"/>
          <w:spacing w:val="-7"/>
          <w:lang w:eastAsia="zh-CN"/>
        </w:rPr>
      </w:pPr>
      <w:r>
        <w:rPr>
          <w:rFonts w:hint="eastAsia" w:ascii="宋体" w:hAnsi="宋体" w:eastAsia="宋体" w:cs="宋体"/>
          <w:color w:val="auto"/>
          <w:lang w:eastAsia="zh-CN"/>
        </w:rPr>
        <w:t>在</w:t>
      </w:r>
      <w:r>
        <w:rPr>
          <w:color w:val="auto"/>
          <w:lang w:eastAsia="zh-CN"/>
        </w:rPr>
        <w:t>开标、评审过程中，如因停电、断网、电子化系统故障等特殊原因导致电子化开、评标无</w:t>
      </w:r>
      <w:r>
        <w:rPr>
          <w:color w:val="auto"/>
          <w:spacing w:val="-10"/>
          <w:lang w:eastAsia="zh-CN"/>
        </w:rPr>
        <w:t>法正常进行时， 按照《安康市公共资源交易平台电子化交易应急处置管理办法</w:t>
      </w:r>
      <w:r>
        <w:rPr>
          <w:rFonts w:ascii="Times New Roman" w:eastAsia="Times New Roman"/>
          <w:color w:val="auto"/>
          <w:lang w:eastAsia="zh-CN"/>
        </w:rPr>
        <w:t>(</w:t>
      </w:r>
      <w:r>
        <w:rPr>
          <w:color w:val="auto"/>
          <w:lang w:eastAsia="zh-CN"/>
        </w:rPr>
        <w:t>试行</w:t>
      </w:r>
      <w:r>
        <w:rPr>
          <w:rFonts w:ascii="Times New Roman" w:eastAsia="Times New Roman"/>
          <w:color w:val="auto"/>
          <w:lang w:eastAsia="zh-CN"/>
        </w:rPr>
        <w:t>)</w:t>
      </w:r>
      <w:r>
        <w:rPr>
          <w:color w:val="auto"/>
          <w:spacing w:val="-7"/>
          <w:lang w:eastAsia="zh-CN"/>
        </w:rPr>
        <w:t>》规定执行。</w:t>
      </w:r>
    </w:p>
    <w:p w14:paraId="519FCDB0">
      <w:pPr>
        <w:spacing w:line="360" w:lineRule="auto"/>
        <w:rPr>
          <w:color w:val="auto"/>
          <w:lang w:eastAsia="zh-CN"/>
        </w:rPr>
        <w:sectPr>
          <w:pgSz w:w="11906" w:h="16839"/>
          <w:pgMar w:top="1415" w:right="1078" w:bottom="1327" w:left="1091" w:header="0" w:footer="1148" w:gutter="0"/>
          <w:cols w:space="720" w:num="1"/>
        </w:sectPr>
      </w:pPr>
    </w:p>
    <w:p w14:paraId="0E2EDA11">
      <w:pPr>
        <w:pStyle w:val="9"/>
        <w:spacing w:line="500" w:lineRule="exact"/>
        <w:jc w:val="center"/>
        <w:textAlignment w:val="auto"/>
        <w:rPr>
          <w:rFonts w:ascii="宋体" w:hAnsi="宋体" w:eastAsia="宋体" w:cs="宋体"/>
          <w:b/>
          <w:color w:val="auto"/>
          <w:sz w:val="32"/>
          <w:szCs w:val="32"/>
          <w:lang w:eastAsia="zh-CN"/>
        </w:rPr>
      </w:pPr>
    </w:p>
    <w:sdt>
      <w:sdtPr>
        <w:rPr>
          <w:rFonts w:ascii="宋体" w:hAnsi="宋体" w:eastAsia="宋体" w:cs="宋体"/>
          <w:color w:val="auto"/>
          <w:sz w:val="47"/>
          <w:szCs w:val="47"/>
        </w:rPr>
        <w:id w:val="1"/>
        <w:docPartObj>
          <w:docPartGallery w:val="Table of Contents"/>
          <w:docPartUnique/>
        </w:docPartObj>
      </w:sdtPr>
      <w:sdtEndPr>
        <w:rPr>
          <w:rFonts w:ascii="宋体" w:hAnsi="宋体" w:eastAsia="宋体" w:cs="宋体"/>
          <w:color w:val="auto"/>
          <w:sz w:val="30"/>
          <w:szCs w:val="30"/>
        </w:rPr>
      </w:sdtEndPr>
      <w:sdtContent>
        <w:p w14:paraId="36706E35">
          <w:pPr>
            <w:spacing w:before="96" w:line="225" w:lineRule="auto"/>
            <w:ind w:left="4010"/>
            <w:rPr>
              <w:rFonts w:ascii="宋体" w:hAnsi="宋体" w:eastAsia="宋体" w:cs="宋体"/>
              <w:color w:val="auto"/>
              <w:sz w:val="47"/>
              <w:szCs w:val="47"/>
              <w:lang w:eastAsia="zh-CN"/>
            </w:rPr>
          </w:pPr>
          <w:r>
            <w:rPr>
              <w:rFonts w:ascii="宋体" w:hAnsi="宋体" w:eastAsia="宋体" w:cs="宋体"/>
              <w:color w:val="auto"/>
              <w:spacing w:val="-51"/>
              <w:sz w:val="47"/>
              <w:szCs w:val="47"/>
              <w:lang w:eastAsia="zh-CN"/>
              <w14:textOutline w14:w="8712" w14:cap="sq" w14:cmpd="sng" w14:algn="ctr">
                <w14:solidFill>
                  <w14:srgbClr w14:val="000000"/>
                </w14:solidFill>
                <w14:prstDash w14:val="solid"/>
                <w14:bevel/>
              </w14:textOutline>
            </w:rPr>
            <w:t>目</w:t>
          </w:r>
          <w:r>
            <w:rPr>
              <w:rFonts w:ascii="宋体" w:hAnsi="宋体" w:eastAsia="宋体" w:cs="宋体"/>
              <w:color w:val="auto"/>
              <w:spacing w:val="11"/>
              <w:sz w:val="47"/>
              <w:szCs w:val="47"/>
              <w:lang w:eastAsia="zh-CN"/>
            </w:rPr>
            <w:t xml:space="preserve">    </w:t>
          </w:r>
          <w:r>
            <w:rPr>
              <w:rFonts w:ascii="宋体" w:hAnsi="宋体" w:eastAsia="宋体" w:cs="宋体"/>
              <w:color w:val="auto"/>
              <w:spacing w:val="-51"/>
              <w:sz w:val="47"/>
              <w:szCs w:val="47"/>
              <w:lang w:eastAsia="zh-CN"/>
              <w14:textOutline w14:w="8712" w14:cap="sq" w14:cmpd="sng" w14:algn="ctr">
                <w14:solidFill>
                  <w14:srgbClr w14:val="000000"/>
                </w14:solidFill>
                <w14:prstDash w14:val="solid"/>
                <w14:bevel/>
              </w14:textOutline>
            </w:rPr>
            <w:t>录</w:t>
          </w:r>
        </w:p>
        <w:p w14:paraId="1240AB4B">
          <w:pPr>
            <w:pStyle w:val="9"/>
            <w:spacing w:line="271" w:lineRule="auto"/>
            <w:rPr>
              <w:color w:val="auto"/>
              <w:lang w:eastAsia="zh-CN"/>
            </w:rPr>
          </w:pPr>
        </w:p>
        <w:p w14:paraId="55F80D06">
          <w:pPr>
            <w:pStyle w:val="9"/>
            <w:spacing w:line="272" w:lineRule="auto"/>
            <w:rPr>
              <w:color w:val="auto"/>
              <w:lang w:eastAsia="zh-CN"/>
            </w:rPr>
          </w:pPr>
        </w:p>
        <w:p w14:paraId="28188289">
          <w:pPr>
            <w:pStyle w:val="9"/>
            <w:spacing w:line="272" w:lineRule="auto"/>
            <w:rPr>
              <w:color w:val="auto"/>
              <w:lang w:eastAsia="zh-CN"/>
            </w:rPr>
          </w:pPr>
        </w:p>
        <w:p w14:paraId="4F549610">
          <w:pPr>
            <w:tabs>
              <w:tab w:val="right" w:leader="dot" w:pos="9732"/>
            </w:tabs>
            <w:spacing w:before="98" w:line="184" w:lineRule="auto"/>
            <w:rPr>
              <w:rFonts w:ascii="宋体" w:hAnsi="宋体" w:eastAsia="宋体" w:cs="宋体"/>
              <w:color w:val="auto"/>
              <w:sz w:val="30"/>
              <w:szCs w:val="30"/>
              <w:lang w:eastAsia="zh-CN"/>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1"/>
              <w:sz w:val="30"/>
              <w:szCs w:val="30"/>
              <w:lang w:eastAsia="zh-CN"/>
            </w:rPr>
            <w:t>第一章  竞争性磋商公告</w:t>
          </w:r>
          <w:r>
            <w:rPr>
              <w:rFonts w:ascii="宋体" w:hAnsi="宋体" w:eastAsia="宋体" w:cs="宋体"/>
              <w:color w:val="auto"/>
              <w:sz w:val="30"/>
              <w:szCs w:val="30"/>
              <w:lang w:eastAsia="zh-CN"/>
            </w:rPr>
            <w:tab/>
          </w:r>
          <w:r>
            <w:rPr>
              <w:rFonts w:ascii="宋体" w:hAnsi="宋体" w:eastAsia="宋体" w:cs="宋体"/>
              <w:color w:val="auto"/>
              <w:spacing w:val="4"/>
              <w:sz w:val="30"/>
              <w:szCs w:val="30"/>
              <w:lang w:eastAsia="zh-CN"/>
            </w:rPr>
            <w:t>1</w:t>
          </w:r>
          <w:r>
            <w:rPr>
              <w:rFonts w:ascii="宋体" w:hAnsi="宋体" w:eastAsia="宋体" w:cs="宋体"/>
              <w:color w:val="auto"/>
              <w:spacing w:val="4"/>
              <w:sz w:val="30"/>
              <w:szCs w:val="30"/>
              <w:lang w:eastAsia="zh-CN"/>
            </w:rPr>
            <w:fldChar w:fldCharType="end"/>
          </w:r>
        </w:p>
        <w:p w14:paraId="7B0DCAE9">
          <w:pPr>
            <w:pStyle w:val="9"/>
            <w:spacing w:line="268" w:lineRule="auto"/>
            <w:rPr>
              <w:color w:val="auto"/>
              <w:lang w:eastAsia="zh-CN"/>
            </w:rPr>
          </w:pPr>
        </w:p>
        <w:p w14:paraId="5B2E4A73">
          <w:pPr>
            <w:pStyle w:val="9"/>
            <w:spacing w:line="268" w:lineRule="auto"/>
            <w:rPr>
              <w:color w:val="auto"/>
              <w:lang w:eastAsia="zh-CN"/>
            </w:rPr>
          </w:pPr>
        </w:p>
        <w:p w14:paraId="19EAF6B8">
          <w:pPr>
            <w:tabs>
              <w:tab w:val="right" w:leader="dot" w:pos="9732"/>
            </w:tabs>
            <w:spacing w:before="97" w:line="184" w:lineRule="auto"/>
            <w:rPr>
              <w:rFonts w:ascii="宋体" w:hAnsi="宋体" w:eastAsia="宋体" w:cs="宋体"/>
              <w:color w:val="auto"/>
              <w:sz w:val="30"/>
              <w:szCs w:val="30"/>
              <w:lang w:eastAsia="zh-CN"/>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2"/>
              <w:sz w:val="30"/>
              <w:szCs w:val="30"/>
              <w:lang w:eastAsia="zh-CN"/>
            </w:rPr>
            <w:t>第二章  磋商须知</w:t>
          </w:r>
          <w:r>
            <w:rPr>
              <w:rFonts w:ascii="宋体" w:hAnsi="宋体" w:eastAsia="宋体" w:cs="宋体"/>
              <w:color w:val="auto"/>
              <w:sz w:val="30"/>
              <w:szCs w:val="30"/>
              <w:lang w:eastAsia="zh-CN"/>
            </w:rPr>
            <w:tab/>
          </w:r>
          <w:r>
            <w:rPr>
              <w:rFonts w:ascii="宋体" w:hAnsi="宋体" w:eastAsia="宋体" w:cs="宋体"/>
              <w:color w:val="auto"/>
              <w:spacing w:val="16"/>
              <w:sz w:val="30"/>
              <w:szCs w:val="30"/>
              <w:lang w:eastAsia="zh-CN"/>
            </w:rPr>
            <w:t>6</w:t>
          </w:r>
          <w:r>
            <w:rPr>
              <w:rFonts w:ascii="宋体" w:hAnsi="宋体" w:eastAsia="宋体" w:cs="宋体"/>
              <w:color w:val="auto"/>
              <w:spacing w:val="16"/>
              <w:sz w:val="30"/>
              <w:szCs w:val="30"/>
              <w:lang w:eastAsia="zh-CN"/>
            </w:rPr>
            <w:fldChar w:fldCharType="end"/>
          </w:r>
        </w:p>
        <w:p w14:paraId="6607BB9F">
          <w:pPr>
            <w:pStyle w:val="9"/>
            <w:spacing w:line="268" w:lineRule="auto"/>
            <w:rPr>
              <w:color w:val="auto"/>
              <w:lang w:eastAsia="zh-CN"/>
            </w:rPr>
          </w:pPr>
        </w:p>
        <w:p w14:paraId="51B5A73D">
          <w:pPr>
            <w:pStyle w:val="9"/>
            <w:spacing w:line="268" w:lineRule="auto"/>
            <w:rPr>
              <w:color w:val="auto"/>
              <w:lang w:eastAsia="zh-CN"/>
            </w:rPr>
          </w:pPr>
        </w:p>
        <w:p w14:paraId="40DDBF41">
          <w:pPr>
            <w:tabs>
              <w:tab w:val="right" w:leader="dot" w:pos="9735"/>
            </w:tabs>
            <w:spacing w:before="97" w:line="184" w:lineRule="auto"/>
            <w:rPr>
              <w:rFonts w:ascii="宋体" w:hAnsi="宋体" w:eastAsia="宋体" w:cs="宋体"/>
              <w:color w:val="auto"/>
              <w:sz w:val="30"/>
              <w:szCs w:val="30"/>
              <w:lang w:eastAsia="zh-CN"/>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2"/>
              <w:sz w:val="30"/>
              <w:szCs w:val="30"/>
              <w:lang w:eastAsia="zh-CN"/>
            </w:rPr>
            <w:t>第三章  合同主要条款</w:t>
          </w:r>
          <w:r>
            <w:rPr>
              <w:rFonts w:ascii="宋体" w:hAnsi="宋体" w:eastAsia="宋体" w:cs="宋体"/>
              <w:color w:val="auto"/>
              <w:sz w:val="30"/>
              <w:szCs w:val="30"/>
              <w:lang w:eastAsia="zh-CN"/>
            </w:rPr>
            <w:tab/>
          </w:r>
          <w:r>
            <w:rPr>
              <w:rFonts w:ascii="宋体" w:hAnsi="宋体" w:eastAsia="宋体" w:cs="宋体"/>
              <w:color w:val="auto"/>
              <w:spacing w:val="4"/>
              <w:sz w:val="30"/>
              <w:szCs w:val="30"/>
              <w:lang w:eastAsia="zh-CN"/>
            </w:rPr>
            <w:t>23</w:t>
          </w:r>
          <w:r>
            <w:rPr>
              <w:rFonts w:ascii="宋体" w:hAnsi="宋体" w:eastAsia="宋体" w:cs="宋体"/>
              <w:color w:val="auto"/>
              <w:spacing w:val="4"/>
              <w:sz w:val="30"/>
              <w:szCs w:val="30"/>
              <w:lang w:eastAsia="zh-CN"/>
            </w:rPr>
            <w:fldChar w:fldCharType="end"/>
          </w:r>
        </w:p>
        <w:p w14:paraId="15FEF044">
          <w:pPr>
            <w:pStyle w:val="9"/>
            <w:spacing w:line="268" w:lineRule="auto"/>
            <w:rPr>
              <w:color w:val="auto"/>
              <w:lang w:eastAsia="zh-CN"/>
            </w:rPr>
          </w:pPr>
        </w:p>
        <w:p w14:paraId="70541766">
          <w:pPr>
            <w:pStyle w:val="9"/>
            <w:spacing w:line="268" w:lineRule="auto"/>
            <w:rPr>
              <w:color w:val="auto"/>
              <w:lang w:eastAsia="zh-CN"/>
            </w:rPr>
          </w:pPr>
        </w:p>
        <w:p w14:paraId="651294D2">
          <w:pPr>
            <w:tabs>
              <w:tab w:val="right" w:leader="dot" w:pos="9732"/>
            </w:tabs>
            <w:spacing w:before="98" w:line="184" w:lineRule="auto"/>
            <w:rPr>
              <w:rFonts w:ascii="宋体" w:hAnsi="宋体" w:eastAsia="宋体" w:cs="宋体"/>
              <w:color w:val="auto"/>
              <w:sz w:val="30"/>
              <w:szCs w:val="30"/>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1"/>
              <w:sz w:val="30"/>
              <w:szCs w:val="30"/>
              <w:lang w:eastAsia="zh-CN"/>
            </w:rPr>
            <w:t>第四章  采购内容及需求</w:t>
          </w:r>
          <w:r>
            <w:rPr>
              <w:rFonts w:ascii="宋体" w:hAnsi="宋体" w:eastAsia="宋体" w:cs="宋体"/>
              <w:color w:val="auto"/>
              <w:sz w:val="30"/>
              <w:szCs w:val="30"/>
              <w:lang w:eastAsia="zh-CN"/>
            </w:rPr>
            <w:tab/>
          </w:r>
          <w:r>
            <w:rPr>
              <w:rFonts w:ascii="宋体" w:hAnsi="宋体" w:eastAsia="宋体" w:cs="宋体"/>
              <w:color w:val="auto"/>
              <w:sz w:val="30"/>
              <w:szCs w:val="30"/>
              <w:lang w:eastAsia="zh-CN"/>
            </w:rPr>
            <w:t>121</w:t>
          </w:r>
          <w:r>
            <w:rPr>
              <w:rFonts w:ascii="宋体" w:hAnsi="宋体" w:eastAsia="宋体" w:cs="宋体"/>
              <w:color w:val="auto"/>
              <w:sz w:val="30"/>
              <w:szCs w:val="30"/>
              <w:lang w:eastAsia="zh-CN"/>
            </w:rPr>
            <w:fldChar w:fldCharType="end"/>
          </w:r>
        </w:p>
        <w:p w14:paraId="14E4245E">
          <w:pPr>
            <w:pStyle w:val="9"/>
            <w:spacing w:line="267" w:lineRule="auto"/>
            <w:rPr>
              <w:color w:val="auto"/>
              <w:lang w:eastAsia="zh-CN"/>
            </w:rPr>
          </w:pPr>
        </w:p>
        <w:p w14:paraId="0F53E917">
          <w:pPr>
            <w:pStyle w:val="9"/>
            <w:spacing w:line="267" w:lineRule="auto"/>
            <w:rPr>
              <w:color w:val="auto"/>
              <w:lang w:eastAsia="zh-CN"/>
            </w:rPr>
          </w:pPr>
        </w:p>
        <w:p w14:paraId="2121E103">
          <w:pPr>
            <w:tabs>
              <w:tab w:val="right" w:leader="dot" w:pos="9732"/>
            </w:tabs>
            <w:spacing w:before="98" w:line="219" w:lineRule="auto"/>
            <w:rPr>
              <w:rFonts w:ascii="宋体" w:hAnsi="宋体" w:eastAsia="宋体" w:cs="宋体"/>
              <w:color w:val="auto"/>
              <w:sz w:val="30"/>
              <w:szCs w:val="30"/>
              <w:lang w:eastAsia="zh-CN"/>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1"/>
              <w:sz w:val="30"/>
              <w:szCs w:val="30"/>
              <w:lang w:eastAsia="zh-CN"/>
            </w:rPr>
            <w:t>第五章  磋商响应文件基本格式</w:t>
          </w:r>
          <w:r>
            <w:rPr>
              <w:rFonts w:ascii="宋体" w:hAnsi="宋体" w:eastAsia="宋体" w:cs="宋体"/>
              <w:color w:val="auto"/>
              <w:sz w:val="30"/>
              <w:szCs w:val="30"/>
              <w:lang w:eastAsia="zh-CN"/>
            </w:rPr>
            <w:tab/>
          </w:r>
          <w:r>
            <w:rPr>
              <w:rFonts w:ascii="宋体" w:hAnsi="宋体" w:eastAsia="宋体" w:cs="宋体"/>
              <w:color w:val="auto"/>
              <w:spacing w:val="21"/>
              <w:sz w:val="30"/>
              <w:szCs w:val="30"/>
              <w:lang w:eastAsia="zh-CN"/>
            </w:rPr>
            <w:t>124</w:t>
          </w:r>
          <w:r>
            <w:rPr>
              <w:rFonts w:ascii="宋体" w:hAnsi="宋体" w:eastAsia="宋体" w:cs="宋体"/>
              <w:color w:val="auto"/>
              <w:spacing w:val="21"/>
              <w:sz w:val="30"/>
              <w:szCs w:val="30"/>
              <w:lang w:eastAsia="zh-CN"/>
            </w:rPr>
            <w:fldChar w:fldCharType="end"/>
          </w:r>
        </w:p>
      </w:sdtContent>
    </w:sdt>
    <w:p w14:paraId="7B639DAF">
      <w:pPr>
        <w:spacing w:line="219" w:lineRule="auto"/>
        <w:rPr>
          <w:rFonts w:ascii="宋体" w:hAnsi="宋体" w:eastAsia="宋体" w:cs="宋体"/>
          <w:color w:val="auto"/>
          <w:sz w:val="30"/>
          <w:szCs w:val="30"/>
          <w:lang w:eastAsia="zh-CN"/>
        </w:rPr>
        <w:sectPr>
          <w:pgSz w:w="11906" w:h="16839"/>
          <w:pgMar w:top="1415" w:right="1078" w:bottom="1327" w:left="1091" w:header="0" w:footer="1148" w:gutter="0"/>
          <w:cols w:space="720" w:num="1"/>
        </w:sectPr>
      </w:pPr>
    </w:p>
    <w:p w14:paraId="4B717EBF">
      <w:pPr>
        <w:spacing w:before="139" w:line="223" w:lineRule="auto"/>
        <w:ind w:left="2978"/>
        <w:outlineLvl w:val="0"/>
        <w:rPr>
          <w:rFonts w:ascii="宋体" w:hAnsi="宋体" w:eastAsia="宋体" w:cs="宋体"/>
          <w:color w:val="auto"/>
          <w:sz w:val="31"/>
          <w:szCs w:val="31"/>
          <w:lang w:eastAsia="zh-CN"/>
        </w:rPr>
      </w:pPr>
      <w:bookmarkStart w:id="1" w:name="bookmark1"/>
      <w:bookmarkEnd w:id="1"/>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第一章</w:t>
      </w:r>
      <w:r>
        <w:rPr>
          <w:rFonts w:ascii="宋体" w:hAnsi="宋体" w:eastAsia="宋体" w:cs="宋体"/>
          <w:color w:val="auto"/>
          <w:spacing w:val="8"/>
          <w:sz w:val="31"/>
          <w:szCs w:val="31"/>
          <w:lang w:eastAsia="zh-CN"/>
        </w:rPr>
        <w:t xml:space="preserve">  </w:t>
      </w:r>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竞争性磋商公告</w:t>
      </w:r>
    </w:p>
    <w:p w14:paraId="5C1855C7">
      <w:pPr>
        <w:kinsoku/>
        <w:autoSpaceDE/>
        <w:autoSpaceDN/>
        <w:adjustRightInd/>
        <w:snapToGrid/>
        <w:spacing w:before="3" w:line="500" w:lineRule="exact"/>
        <w:ind w:right="1" w:firstLine="480" w:firstLineChars="200"/>
        <w:textAlignment w:val="auto"/>
        <w:rPr>
          <w:rFonts w:asciiTheme="majorEastAsia" w:hAnsiTheme="majorEastAsia" w:eastAsiaTheme="majorEastAsia" w:cstheme="majorEastAsia"/>
          <w:color w:val="auto"/>
          <w:sz w:val="24"/>
          <w:szCs w:val="24"/>
          <w:lang w:eastAsia="zh-CN"/>
        </w:rPr>
      </w:pPr>
      <w:bookmarkStart w:id="2" w:name="bookmark2"/>
      <w:bookmarkEnd w:id="2"/>
      <w:r>
        <w:rPr>
          <w:rFonts w:hint="eastAsia" w:asciiTheme="majorEastAsia" w:hAnsiTheme="majorEastAsia" w:eastAsiaTheme="majorEastAsia" w:cstheme="majorEastAsia"/>
          <w:color w:val="auto"/>
          <w:sz w:val="24"/>
          <w:szCs w:val="24"/>
          <w:lang w:eastAsia="zh-CN"/>
        </w:rPr>
        <w:t>石泉县职业技术教育中心职校技能大赛比赛设备的潜在供应商应在全国公共资源交易中心平台（陕西省.安康市）获取招标文件，并于2024年11月21日14时00分（北京时间）前提交投标文件。</w:t>
      </w:r>
    </w:p>
    <w:p w14:paraId="2C9F9ED1">
      <w:pPr>
        <w:kinsoku/>
        <w:adjustRightInd/>
        <w:snapToGrid/>
        <w:spacing w:before="203" w:line="500" w:lineRule="exact"/>
        <w:textAlignment w:val="auto"/>
        <w:outlineLvl w:val="1"/>
        <w:rPr>
          <w:rFonts w:asciiTheme="majorEastAsia" w:hAnsiTheme="majorEastAsia" w:eastAsiaTheme="majorEastAsia" w:cstheme="majorEastAsia"/>
          <w:b/>
          <w:color w:val="auto"/>
          <w:sz w:val="24"/>
          <w:szCs w:val="24"/>
          <w:lang w:eastAsia="zh-CN"/>
        </w:rPr>
      </w:pPr>
      <w:bookmarkStart w:id="3" w:name="一、项目基本情况"/>
      <w:bookmarkEnd w:id="3"/>
      <w:bookmarkStart w:id="4" w:name="_Toc25362"/>
      <w:r>
        <w:rPr>
          <w:rFonts w:hint="eastAsia" w:asciiTheme="majorEastAsia" w:hAnsiTheme="majorEastAsia" w:eastAsiaTheme="majorEastAsia" w:cstheme="majorEastAsia"/>
          <w:b/>
          <w:color w:val="auto"/>
          <w:sz w:val="24"/>
          <w:szCs w:val="24"/>
          <w:lang w:eastAsia="zh-CN"/>
        </w:rPr>
        <w:t>一、项目基本情况</w:t>
      </w:r>
      <w:bookmarkEnd w:id="4"/>
    </w:p>
    <w:p w14:paraId="029C8482">
      <w:pPr>
        <w:widowControl w:val="0"/>
        <w:kinsoku/>
        <w:autoSpaceDE/>
        <w:autoSpaceDN/>
        <w:adjustRightInd/>
        <w:snapToGrid/>
        <w:spacing w:before="52" w:line="500" w:lineRule="exact"/>
        <w:ind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项目编号：YC24440097(CGP)</w:t>
      </w:r>
    </w:p>
    <w:p w14:paraId="499414C4">
      <w:pPr>
        <w:widowControl w:val="0"/>
        <w:tabs>
          <w:tab w:val="left" w:pos="10300"/>
        </w:tabs>
        <w:kinsoku/>
        <w:autoSpaceDE/>
        <w:autoSpaceDN/>
        <w:adjustRightInd/>
        <w:snapToGrid/>
        <w:spacing w:before="52" w:line="500" w:lineRule="exact"/>
        <w:ind w:right="110"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项目名称：石泉县职业技术教育中心职校技能大赛比赛设备</w:t>
      </w:r>
    </w:p>
    <w:p w14:paraId="50ED7D1E">
      <w:pPr>
        <w:widowControl w:val="0"/>
        <w:tabs>
          <w:tab w:val="left" w:pos="10300"/>
        </w:tabs>
        <w:kinsoku/>
        <w:autoSpaceDE/>
        <w:autoSpaceDN/>
        <w:adjustRightInd/>
        <w:snapToGrid/>
        <w:spacing w:before="52" w:line="500" w:lineRule="exact"/>
        <w:ind w:right="110"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采购方式：竞争性磋商</w:t>
      </w:r>
    </w:p>
    <w:p w14:paraId="41E5D78B">
      <w:pPr>
        <w:widowControl w:val="0"/>
        <w:kinsoku/>
        <w:autoSpaceDE/>
        <w:autoSpaceDN/>
        <w:adjustRightInd/>
        <w:snapToGrid/>
        <w:spacing w:line="500" w:lineRule="exact"/>
        <w:ind w:right="4487"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预算金额：537100.00元</w:t>
      </w:r>
    </w:p>
    <w:p w14:paraId="298ABBB3">
      <w:pPr>
        <w:widowControl w:val="0"/>
        <w:kinsoku/>
        <w:autoSpaceDE/>
        <w:autoSpaceDN/>
        <w:adjustRightInd/>
        <w:snapToGrid/>
        <w:spacing w:line="500" w:lineRule="exact"/>
        <w:ind w:right="4487"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采购需求：</w:t>
      </w:r>
    </w:p>
    <w:p w14:paraId="4A4F9173">
      <w:pPr>
        <w:widowControl w:val="0"/>
        <w:tabs>
          <w:tab w:val="left" w:pos="10300"/>
        </w:tabs>
        <w:kinsoku/>
        <w:autoSpaceDE/>
        <w:autoSpaceDN/>
        <w:adjustRightInd/>
        <w:snapToGrid/>
        <w:spacing w:before="52" w:line="500" w:lineRule="exact"/>
        <w:ind w:right="110"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合同包 1(石泉县职业技术教育中心职校技能大赛比赛设备):</w:t>
      </w:r>
    </w:p>
    <w:p w14:paraId="698BD74B">
      <w:pPr>
        <w:widowControl w:val="0"/>
        <w:tabs>
          <w:tab w:val="left" w:pos="10300"/>
        </w:tabs>
        <w:kinsoku/>
        <w:autoSpaceDE/>
        <w:autoSpaceDN/>
        <w:adjustRightInd/>
        <w:snapToGrid/>
        <w:spacing w:before="52" w:line="500" w:lineRule="exact"/>
        <w:ind w:right="110" w:firstLine="480" w:firstLineChars="200"/>
        <w:textAlignment w:val="auto"/>
        <w:rPr>
          <w:rFonts w:asciiTheme="majorEastAsia" w:hAnsiTheme="majorEastAsia" w:eastAsiaTheme="majorEastAsia" w:cstheme="majorEastAsia"/>
          <w:color w:val="auto"/>
          <w:sz w:val="24"/>
          <w:szCs w:val="24"/>
          <w:lang w:val="zh-CN" w:eastAsia="zh-CN"/>
        </w:rPr>
      </w:pPr>
      <w:r>
        <w:rPr>
          <w:rFonts w:hint="eastAsia" w:asciiTheme="majorEastAsia" w:hAnsiTheme="majorEastAsia" w:eastAsiaTheme="majorEastAsia" w:cstheme="majorEastAsia"/>
          <w:color w:val="auto"/>
          <w:sz w:val="24"/>
          <w:szCs w:val="24"/>
          <w:lang w:val="zh-CN" w:eastAsia="zh-CN"/>
        </w:rPr>
        <w:t>合同包预算金额：</w:t>
      </w:r>
      <w:r>
        <w:rPr>
          <w:rFonts w:hint="eastAsia" w:asciiTheme="majorEastAsia" w:hAnsiTheme="majorEastAsia" w:eastAsiaTheme="majorEastAsia" w:cstheme="majorEastAsia"/>
          <w:color w:val="auto"/>
          <w:sz w:val="24"/>
          <w:szCs w:val="24"/>
          <w:lang w:eastAsia="zh-CN"/>
        </w:rPr>
        <w:t>537100.00</w:t>
      </w:r>
      <w:r>
        <w:rPr>
          <w:rFonts w:hint="eastAsia" w:asciiTheme="majorEastAsia" w:hAnsiTheme="majorEastAsia" w:eastAsiaTheme="majorEastAsia" w:cstheme="majorEastAsia"/>
          <w:color w:val="auto"/>
          <w:sz w:val="24"/>
          <w:szCs w:val="24"/>
          <w:lang w:val="zh-CN" w:eastAsia="zh-CN"/>
        </w:rPr>
        <w:t>元</w:t>
      </w:r>
    </w:p>
    <w:p w14:paraId="34CF5561">
      <w:pPr>
        <w:widowControl w:val="0"/>
        <w:tabs>
          <w:tab w:val="left" w:pos="10300"/>
        </w:tabs>
        <w:kinsoku/>
        <w:autoSpaceDE/>
        <w:autoSpaceDN/>
        <w:adjustRightInd/>
        <w:snapToGrid/>
        <w:spacing w:before="52" w:line="500" w:lineRule="exact"/>
        <w:ind w:right="110" w:firstLine="480" w:firstLineChars="200"/>
        <w:textAlignment w:val="auto"/>
        <w:rPr>
          <w:rFonts w:asciiTheme="majorEastAsia" w:hAnsiTheme="majorEastAsia" w:eastAsiaTheme="majorEastAsia" w:cstheme="majorEastAsia"/>
          <w:color w:val="auto"/>
          <w:sz w:val="24"/>
          <w:szCs w:val="24"/>
          <w:lang w:val="zh-CN" w:eastAsia="zh-CN"/>
        </w:rPr>
      </w:pPr>
      <w:r>
        <w:rPr>
          <w:rFonts w:hint="eastAsia" w:asciiTheme="majorEastAsia" w:hAnsiTheme="majorEastAsia" w:eastAsiaTheme="majorEastAsia" w:cstheme="majorEastAsia"/>
          <w:color w:val="auto"/>
          <w:sz w:val="24"/>
          <w:szCs w:val="24"/>
          <w:lang w:val="zh-CN" w:eastAsia="zh-CN"/>
        </w:rPr>
        <w:t>合同包最高限价：</w:t>
      </w:r>
      <w:r>
        <w:rPr>
          <w:rFonts w:hint="eastAsia" w:asciiTheme="majorEastAsia" w:hAnsiTheme="majorEastAsia" w:eastAsiaTheme="majorEastAsia" w:cstheme="majorEastAsia"/>
          <w:color w:val="auto"/>
          <w:sz w:val="24"/>
          <w:szCs w:val="24"/>
          <w:lang w:eastAsia="zh-CN"/>
        </w:rPr>
        <w:t>537100.00</w:t>
      </w:r>
      <w:r>
        <w:rPr>
          <w:rFonts w:hint="eastAsia" w:asciiTheme="majorEastAsia" w:hAnsiTheme="majorEastAsia" w:eastAsiaTheme="majorEastAsia" w:cstheme="majorEastAsia"/>
          <w:color w:val="auto"/>
          <w:sz w:val="24"/>
          <w:szCs w:val="24"/>
          <w:lang w:val="zh-CN" w:eastAsia="zh-CN"/>
        </w:rPr>
        <w:t>元</w:t>
      </w:r>
    </w:p>
    <w:tbl>
      <w:tblPr>
        <w:tblStyle w:val="18"/>
        <w:tblpPr w:leftFromText="180" w:rightFromText="180" w:vertAnchor="text" w:horzAnchor="page" w:tblpXSpec="center" w:tblpY="25"/>
        <w:tblOverlap w:val="never"/>
        <w:tblW w:w="10656"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50"/>
        <w:gridCol w:w="1405"/>
        <w:gridCol w:w="1627"/>
        <w:gridCol w:w="1305"/>
        <w:gridCol w:w="2022"/>
        <w:gridCol w:w="1754"/>
        <w:gridCol w:w="1693"/>
      </w:tblGrid>
      <w:tr w14:paraId="5C44503E">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26" w:hRule="atLeast"/>
          <w:jc w:val="center"/>
        </w:trPr>
        <w:tc>
          <w:tcPr>
            <w:tcW w:w="850" w:type="dxa"/>
            <w:tcBorders>
              <w:top w:val="single" w:color="auto" w:sz="4" w:space="0"/>
              <w:left w:val="single" w:color="auto" w:sz="4" w:space="0"/>
              <w:bottom w:val="single" w:color="auto" w:sz="4" w:space="0"/>
            </w:tcBorders>
            <w:vAlign w:val="center"/>
          </w:tcPr>
          <w:p w14:paraId="110B2AC1">
            <w:pPr>
              <w:pStyle w:val="23"/>
              <w:kinsoku/>
              <w:adjustRightInd/>
              <w:snapToGrid/>
              <w:spacing w:before="46" w:line="500" w:lineRule="exact"/>
              <w:ind w:right="159"/>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品目号</w:t>
            </w:r>
          </w:p>
        </w:tc>
        <w:tc>
          <w:tcPr>
            <w:tcW w:w="1405" w:type="dxa"/>
            <w:tcBorders>
              <w:top w:val="single" w:color="auto" w:sz="4" w:space="0"/>
              <w:bottom w:val="single" w:color="auto" w:sz="4" w:space="0"/>
            </w:tcBorders>
            <w:vAlign w:val="center"/>
          </w:tcPr>
          <w:p w14:paraId="7473F0A6">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品目名称</w:t>
            </w:r>
          </w:p>
        </w:tc>
        <w:tc>
          <w:tcPr>
            <w:tcW w:w="1627" w:type="dxa"/>
            <w:tcBorders>
              <w:top w:val="single" w:color="auto" w:sz="4" w:space="0"/>
              <w:bottom w:val="single" w:color="auto" w:sz="4" w:space="0"/>
            </w:tcBorders>
            <w:vAlign w:val="center"/>
          </w:tcPr>
          <w:p w14:paraId="1EE3F589">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采购标的</w:t>
            </w:r>
          </w:p>
        </w:tc>
        <w:tc>
          <w:tcPr>
            <w:tcW w:w="1305" w:type="dxa"/>
            <w:tcBorders>
              <w:top w:val="single" w:color="auto" w:sz="4" w:space="0"/>
              <w:bottom w:val="single" w:color="auto" w:sz="4" w:space="0"/>
            </w:tcBorders>
            <w:vAlign w:val="center"/>
          </w:tcPr>
          <w:p w14:paraId="2A4F4B88">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数量</w:t>
            </w:r>
          </w:p>
          <w:p w14:paraId="3F11742D">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（单位）</w:t>
            </w:r>
          </w:p>
        </w:tc>
        <w:tc>
          <w:tcPr>
            <w:tcW w:w="2022" w:type="dxa"/>
            <w:tcBorders>
              <w:top w:val="single" w:color="auto" w:sz="4" w:space="0"/>
              <w:bottom w:val="single" w:color="auto" w:sz="4" w:space="0"/>
            </w:tcBorders>
            <w:vAlign w:val="center"/>
          </w:tcPr>
          <w:p w14:paraId="1BA2BF09">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技术规格、参数及要求</w:t>
            </w:r>
          </w:p>
        </w:tc>
        <w:tc>
          <w:tcPr>
            <w:tcW w:w="1754" w:type="dxa"/>
            <w:tcBorders>
              <w:top w:val="single" w:color="auto" w:sz="4" w:space="0"/>
              <w:bottom w:val="single" w:color="auto" w:sz="4" w:space="0"/>
            </w:tcBorders>
            <w:vAlign w:val="center"/>
          </w:tcPr>
          <w:p w14:paraId="4D878A32">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品目预算(元)</w:t>
            </w:r>
          </w:p>
        </w:tc>
        <w:tc>
          <w:tcPr>
            <w:tcW w:w="1693" w:type="dxa"/>
            <w:tcBorders>
              <w:top w:val="single" w:color="auto" w:sz="4" w:space="0"/>
              <w:bottom w:val="single" w:color="auto" w:sz="4" w:space="0"/>
              <w:right w:val="single" w:color="auto" w:sz="4" w:space="0"/>
            </w:tcBorders>
            <w:vAlign w:val="center"/>
          </w:tcPr>
          <w:p w14:paraId="63CD7668">
            <w:pPr>
              <w:pStyle w:val="23"/>
              <w:kinsoku/>
              <w:adjustRightInd/>
              <w:snapToGrid/>
              <w:spacing w:line="500" w:lineRule="exact"/>
              <w:ind w:right="236"/>
              <w:jc w:val="center"/>
              <w:textAlignment w:val="auto"/>
              <w:rPr>
                <w:rFonts w:asciiTheme="majorEastAsia" w:hAnsiTheme="majorEastAsia" w:eastAsiaTheme="majorEastAsia" w:cstheme="majorEastAsia"/>
                <w:b/>
                <w:bCs/>
                <w:color w:val="auto"/>
                <w:spacing w:val="-20"/>
                <w:kern w:val="2"/>
                <w:sz w:val="24"/>
                <w:szCs w:val="24"/>
                <w:lang w:val="en-US" w:bidi="ar-SA"/>
              </w:rPr>
            </w:pPr>
            <w:r>
              <w:rPr>
                <w:rFonts w:hint="eastAsia" w:asciiTheme="majorEastAsia" w:hAnsiTheme="majorEastAsia" w:eastAsiaTheme="majorEastAsia" w:cstheme="majorEastAsia"/>
                <w:b/>
                <w:bCs/>
                <w:color w:val="auto"/>
                <w:spacing w:val="-20"/>
                <w:kern w:val="2"/>
                <w:sz w:val="24"/>
                <w:szCs w:val="24"/>
                <w:lang w:val="en-US" w:bidi="ar-SA"/>
              </w:rPr>
              <w:t>最高限价(元)</w:t>
            </w:r>
          </w:p>
        </w:tc>
      </w:tr>
      <w:tr w14:paraId="2878285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95" w:hRule="atLeast"/>
          <w:jc w:val="center"/>
        </w:trPr>
        <w:tc>
          <w:tcPr>
            <w:tcW w:w="850" w:type="dxa"/>
            <w:tcBorders>
              <w:top w:val="single" w:color="auto" w:sz="4" w:space="0"/>
              <w:left w:val="single" w:color="auto" w:sz="4" w:space="0"/>
              <w:bottom w:val="single" w:color="auto" w:sz="4" w:space="0"/>
            </w:tcBorders>
            <w:vAlign w:val="center"/>
          </w:tcPr>
          <w:p w14:paraId="43C739E8">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bidi="ar-SA"/>
              </w:rPr>
            </w:pPr>
            <w:r>
              <w:rPr>
                <w:rFonts w:hint="eastAsia" w:asciiTheme="majorEastAsia" w:hAnsiTheme="majorEastAsia" w:eastAsiaTheme="majorEastAsia" w:cstheme="majorEastAsia"/>
                <w:color w:val="auto"/>
                <w:kern w:val="2"/>
                <w:sz w:val="24"/>
                <w:szCs w:val="24"/>
                <w:lang w:val="en-US" w:bidi="ar-SA"/>
              </w:rPr>
              <w:t>1</w:t>
            </w:r>
          </w:p>
        </w:tc>
        <w:tc>
          <w:tcPr>
            <w:tcW w:w="1405" w:type="dxa"/>
            <w:tcBorders>
              <w:top w:val="single" w:color="auto" w:sz="4" w:space="0"/>
              <w:bottom w:val="single" w:color="auto" w:sz="4" w:space="0"/>
            </w:tcBorders>
            <w:vAlign w:val="center"/>
          </w:tcPr>
          <w:p w14:paraId="4D055BE3">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教学仪器</w:t>
            </w:r>
          </w:p>
        </w:tc>
        <w:tc>
          <w:tcPr>
            <w:tcW w:w="1627" w:type="dxa"/>
            <w:tcBorders>
              <w:top w:val="single" w:color="auto" w:sz="4" w:space="0"/>
              <w:bottom w:val="single" w:color="auto" w:sz="4" w:space="0"/>
            </w:tcBorders>
            <w:vAlign w:val="center"/>
          </w:tcPr>
          <w:p w14:paraId="61A2EECD">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人工智能实训平台</w:t>
            </w:r>
          </w:p>
        </w:tc>
        <w:tc>
          <w:tcPr>
            <w:tcW w:w="1305" w:type="dxa"/>
            <w:tcBorders>
              <w:top w:val="single" w:color="auto" w:sz="4" w:space="0"/>
              <w:bottom w:val="single" w:color="auto" w:sz="4" w:space="0"/>
            </w:tcBorders>
            <w:vAlign w:val="center"/>
          </w:tcPr>
          <w:p w14:paraId="42B0186C">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2套</w:t>
            </w:r>
          </w:p>
        </w:tc>
        <w:tc>
          <w:tcPr>
            <w:tcW w:w="2022" w:type="dxa"/>
            <w:tcBorders>
              <w:top w:val="single" w:color="auto" w:sz="4" w:space="0"/>
              <w:bottom w:val="single" w:color="auto" w:sz="4" w:space="0"/>
            </w:tcBorders>
            <w:vAlign w:val="center"/>
          </w:tcPr>
          <w:p w14:paraId="78A5BAED">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详见采购文件</w:t>
            </w:r>
          </w:p>
        </w:tc>
        <w:tc>
          <w:tcPr>
            <w:tcW w:w="1754" w:type="dxa"/>
            <w:tcBorders>
              <w:top w:val="single" w:color="auto" w:sz="4" w:space="0"/>
              <w:bottom w:val="single" w:color="auto" w:sz="4" w:space="0"/>
            </w:tcBorders>
            <w:vAlign w:val="center"/>
          </w:tcPr>
          <w:p w14:paraId="0901122F">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304000.00元</w:t>
            </w:r>
          </w:p>
        </w:tc>
        <w:tc>
          <w:tcPr>
            <w:tcW w:w="1693" w:type="dxa"/>
            <w:tcBorders>
              <w:top w:val="single" w:color="auto" w:sz="4" w:space="0"/>
              <w:bottom w:val="single" w:color="auto" w:sz="4" w:space="0"/>
              <w:right w:val="single" w:color="auto" w:sz="4" w:space="0"/>
            </w:tcBorders>
            <w:vAlign w:val="center"/>
          </w:tcPr>
          <w:p w14:paraId="092340C3">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304000.00元</w:t>
            </w:r>
          </w:p>
        </w:tc>
      </w:tr>
      <w:tr w14:paraId="6136D1F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95" w:hRule="atLeast"/>
          <w:jc w:val="center"/>
        </w:trPr>
        <w:tc>
          <w:tcPr>
            <w:tcW w:w="850" w:type="dxa"/>
            <w:tcBorders>
              <w:top w:val="single" w:color="auto" w:sz="4" w:space="0"/>
              <w:left w:val="single" w:color="auto" w:sz="4" w:space="0"/>
              <w:bottom w:val="single" w:color="auto" w:sz="4" w:space="0"/>
            </w:tcBorders>
            <w:vAlign w:val="center"/>
          </w:tcPr>
          <w:p w14:paraId="24B097F4">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bidi="ar-SA"/>
              </w:rPr>
            </w:pPr>
            <w:r>
              <w:rPr>
                <w:rFonts w:hint="eastAsia" w:asciiTheme="majorEastAsia" w:hAnsiTheme="majorEastAsia" w:eastAsiaTheme="majorEastAsia" w:cstheme="majorEastAsia"/>
                <w:color w:val="auto"/>
                <w:kern w:val="2"/>
                <w:sz w:val="24"/>
                <w:szCs w:val="24"/>
                <w:lang w:val="en-US" w:bidi="ar-SA"/>
              </w:rPr>
              <w:t>2</w:t>
            </w:r>
          </w:p>
        </w:tc>
        <w:tc>
          <w:tcPr>
            <w:tcW w:w="1405" w:type="dxa"/>
            <w:tcBorders>
              <w:top w:val="single" w:color="auto" w:sz="4" w:space="0"/>
              <w:bottom w:val="single" w:color="auto" w:sz="4" w:space="0"/>
            </w:tcBorders>
            <w:vAlign w:val="center"/>
          </w:tcPr>
          <w:p w14:paraId="25C23945">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应用软件</w:t>
            </w:r>
          </w:p>
        </w:tc>
        <w:tc>
          <w:tcPr>
            <w:tcW w:w="1627" w:type="dxa"/>
            <w:tcBorders>
              <w:top w:val="single" w:color="auto" w:sz="4" w:space="0"/>
              <w:bottom w:val="single" w:color="auto" w:sz="4" w:space="0"/>
            </w:tcBorders>
            <w:vAlign w:val="center"/>
          </w:tcPr>
          <w:p w14:paraId="271BC670">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人工智能实训软件</w:t>
            </w:r>
          </w:p>
        </w:tc>
        <w:tc>
          <w:tcPr>
            <w:tcW w:w="1305" w:type="dxa"/>
            <w:tcBorders>
              <w:top w:val="single" w:color="auto" w:sz="4" w:space="0"/>
              <w:bottom w:val="single" w:color="auto" w:sz="4" w:space="0"/>
            </w:tcBorders>
            <w:vAlign w:val="center"/>
          </w:tcPr>
          <w:p w14:paraId="6F987D44">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2套</w:t>
            </w:r>
          </w:p>
        </w:tc>
        <w:tc>
          <w:tcPr>
            <w:tcW w:w="2022" w:type="dxa"/>
            <w:tcBorders>
              <w:top w:val="single" w:color="auto" w:sz="4" w:space="0"/>
              <w:bottom w:val="single" w:color="auto" w:sz="4" w:space="0"/>
            </w:tcBorders>
            <w:vAlign w:val="center"/>
          </w:tcPr>
          <w:p w14:paraId="480A9DF4">
            <w:pPr>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详见采购文件</w:t>
            </w:r>
          </w:p>
        </w:tc>
        <w:tc>
          <w:tcPr>
            <w:tcW w:w="1754" w:type="dxa"/>
            <w:tcBorders>
              <w:top w:val="single" w:color="auto" w:sz="4" w:space="0"/>
              <w:bottom w:val="single" w:color="auto" w:sz="4" w:space="0"/>
            </w:tcBorders>
            <w:vAlign w:val="center"/>
          </w:tcPr>
          <w:p w14:paraId="5A5A640B">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156000.00元</w:t>
            </w:r>
          </w:p>
        </w:tc>
        <w:tc>
          <w:tcPr>
            <w:tcW w:w="1693" w:type="dxa"/>
            <w:tcBorders>
              <w:top w:val="single" w:color="auto" w:sz="4" w:space="0"/>
              <w:bottom w:val="single" w:color="auto" w:sz="4" w:space="0"/>
              <w:right w:val="single" w:color="auto" w:sz="4" w:space="0"/>
            </w:tcBorders>
            <w:vAlign w:val="center"/>
          </w:tcPr>
          <w:p w14:paraId="58BCE1FF">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156000.00元</w:t>
            </w:r>
          </w:p>
        </w:tc>
      </w:tr>
      <w:tr w14:paraId="169D9DC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95" w:hRule="atLeast"/>
          <w:jc w:val="center"/>
        </w:trPr>
        <w:tc>
          <w:tcPr>
            <w:tcW w:w="850" w:type="dxa"/>
            <w:tcBorders>
              <w:top w:val="single" w:color="auto" w:sz="4" w:space="0"/>
              <w:left w:val="single" w:color="auto" w:sz="4" w:space="0"/>
              <w:bottom w:val="single" w:color="auto" w:sz="4" w:space="0"/>
            </w:tcBorders>
            <w:vAlign w:val="center"/>
          </w:tcPr>
          <w:p w14:paraId="0F220B3C">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bidi="ar-SA"/>
              </w:rPr>
            </w:pPr>
            <w:r>
              <w:rPr>
                <w:rFonts w:hint="eastAsia" w:asciiTheme="majorEastAsia" w:hAnsiTheme="majorEastAsia" w:eastAsiaTheme="majorEastAsia" w:cstheme="majorEastAsia"/>
                <w:color w:val="auto"/>
                <w:kern w:val="2"/>
                <w:sz w:val="24"/>
                <w:szCs w:val="24"/>
                <w:lang w:val="en-US" w:bidi="ar-SA"/>
              </w:rPr>
              <w:t>3</w:t>
            </w:r>
          </w:p>
        </w:tc>
        <w:tc>
          <w:tcPr>
            <w:tcW w:w="1405" w:type="dxa"/>
            <w:tcBorders>
              <w:top w:val="single" w:color="auto" w:sz="4" w:space="0"/>
              <w:bottom w:val="single" w:color="auto" w:sz="4" w:space="0"/>
            </w:tcBorders>
            <w:vAlign w:val="center"/>
          </w:tcPr>
          <w:p w14:paraId="2815C51B">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图形工作站</w:t>
            </w:r>
          </w:p>
        </w:tc>
        <w:tc>
          <w:tcPr>
            <w:tcW w:w="1627" w:type="dxa"/>
            <w:tcBorders>
              <w:top w:val="single" w:color="auto" w:sz="4" w:space="0"/>
              <w:bottom w:val="single" w:color="auto" w:sz="4" w:space="0"/>
            </w:tcBorders>
            <w:vAlign w:val="center"/>
          </w:tcPr>
          <w:p w14:paraId="66375B26">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专业配套工作站</w:t>
            </w:r>
          </w:p>
        </w:tc>
        <w:tc>
          <w:tcPr>
            <w:tcW w:w="1305" w:type="dxa"/>
            <w:tcBorders>
              <w:top w:val="single" w:color="auto" w:sz="4" w:space="0"/>
              <w:bottom w:val="single" w:color="auto" w:sz="4" w:space="0"/>
            </w:tcBorders>
            <w:vAlign w:val="center"/>
          </w:tcPr>
          <w:p w14:paraId="74B09F70">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5套</w:t>
            </w:r>
          </w:p>
        </w:tc>
        <w:tc>
          <w:tcPr>
            <w:tcW w:w="2022" w:type="dxa"/>
            <w:tcBorders>
              <w:top w:val="single" w:color="auto" w:sz="4" w:space="0"/>
              <w:bottom w:val="single" w:color="auto" w:sz="4" w:space="0"/>
            </w:tcBorders>
            <w:vAlign w:val="center"/>
          </w:tcPr>
          <w:p w14:paraId="36E17556">
            <w:pPr>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详见采购文件</w:t>
            </w:r>
          </w:p>
        </w:tc>
        <w:tc>
          <w:tcPr>
            <w:tcW w:w="1754" w:type="dxa"/>
            <w:tcBorders>
              <w:top w:val="single" w:color="auto" w:sz="4" w:space="0"/>
              <w:bottom w:val="single" w:color="auto" w:sz="4" w:space="0"/>
            </w:tcBorders>
            <w:vAlign w:val="center"/>
          </w:tcPr>
          <w:p w14:paraId="025F4295">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32500.00元</w:t>
            </w:r>
          </w:p>
        </w:tc>
        <w:tc>
          <w:tcPr>
            <w:tcW w:w="1693" w:type="dxa"/>
            <w:tcBorders>
              <w:top w:val="single" w:color="auto" w:sz="4" w:space="0"/>
              <w:bottom w:val="single" w:color="auto" w:sz="4" w:space="0"/>
              <w:right w:val="single" w:color="auto" w:sz="4" w:space="0"/>
            </w:tcBorders>
            <w:vAlign w:val="center"/>
          </w:tcPr>
          <w:p w14:paraId="1B89F58B">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32500.00元</w:t>
            </w:r>
          </w:p>
        </w:tc>
      </w:tr>
      <w:tr w14:paraId="50EEEC4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95" w:hRule="atLeast"/>
          <w:jc w:val="center"/>
        </w:trPr>
        <w:tc>
          <w:tcPr>
            <w:tcW w:w="850" w:type="dxa"/>
            <w:tcBorders>
              <w:top w:val="single" w:color="auto" w:sz="4" w:space="0"/>
              <w:left w:val="single" w:color="auto" w:sz="4" w:space="0"/>
              <w:bottom w:val="single" w:color="auto" w:sz="4" w:space="0"/>
            </w:tcBorders>
            <w:vAlign w:val="center"/>
          </w:tcPr>
          <w:p w14:paraId="37BBBD2E">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bidi="ar-SA"/>
              </w:rPr>
            </w:pPr>
            <w:r>
              <w:rPr>
                <w:rFonts w:hint="eastAsia" w:asciiTheme="majorEastAsia" w:hAnsiTheme="majorEastAsia" w:eastAsiaTheme="majorEastAsia" w:cstheme="majorEastAsia"/>
                <w:color w:val="auto"/>
                <w:kern w:val="2"/>
                <w:sz w:val="24"/>
                <w:szCs w:val="24"/>
                <w:lang w:val="en-US" w:bidi="ar-SA"/>
              </w:rPr>
              <w:t>4</w:t>
            </w:r>
          </w:p>
        </w:tc>
        <w:tc>
          <w:tcPr>
            <w:tcW w:w="1405" w:type="dxa"/>
            <w:tcBorders>
              <w:top w:val="single" w:color="auto" w:sz="4" w:space="0"/>
              <w:bottom w:val="single" w:color="auto" w:sz="4" w:space="0"/>
            </w:tcBorders>
            <w:vAlign w:val="center"/>
          </w:tcPr>
          <w:p w14:paraId="38556348">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图形工作站</w:t>
            </w:r>
          </w:p>
        </w:tc>
        <w:tc>
          <w:tcPr>
            <w:tcW w:w="1627" w:type="dxa"/>
            <w:tcBorders>
              <w:top w:val="single" w:color="auto" w:sz="4" w:space="0"/>
              <w:bottom w:val="single" w:color="auto" w:sz="4" w:space="0"/>
            </w:tcBorders>
            <w:vAlign w:val="center"/>
          </w:tcPr>
          <w:p w14:paraId="3ECE8544">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集成配套工作站</w:t>
            </w:r>
          </w:p>
        </w:tc>
        <w:tc>
          <w:tcPr>
            <w:tcW w:w="1305" w:type="dxa"/>
            <w:tcBorders>
              <w:top w:val="single" w:color="auto" w:sz="4" w:space="0"/>
              <w:bottom w:val="single" w:color="auto" w:sz="4" w:space="0"/>
            </w:tcBorders>
            <w:vAlign w:val="center"/>
          </w:tcPr>
          <w:p w14:paraId="13DB5FD1">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4组</w:t>
            </w:r>
          </w:p>
        </w:tc>
        <w:tc>
          <w:tcPr>
            <w:tcW w:w="2022" w:type="dxa"/>
            <w:tcBorders>
              <w:top w:val="single" w:color="auto" w:sz="4" w:space="0"/>
              <w:bottom w:val="single" w:color="auto" w:sz="4" w:space="0"/>
            </w:tcBorders>
            <w:vAlign w:val="center"/>
          </w:tcPr>
          <w:p w14:paraId="61F78DCB">
            <w:pPr>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详见采购文件</w:t>
            </w:r>
          </w:p>
        </w:tc>
        <w:tc>
          <w:tcPr>
            <w:tcW w:w="1754" w:type="dxa"/>
            <w:tcBorders>
              <w:top w:val="single" w:color="auto" w:sz="4" w:space="0"/>
              <w:bottom w:val="single" w:color="auto" w:sz="4" w:space="0"/>
            </w:tcBorders>
            <w:vAlign w:val="center"/>
          </w:tcPr>
          <w:p w14:paraId="71079FC7">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21400.00元</w:t>
            </w:r>
          </w:p>
        </w:tc>
        <w:tc>
          <w:tcPr>
            <w:tcW w:w="1693" w:type="dxa"/>
            <w:tcBorders>
              <w:top w:val="single" w:color="auto" w:sz="4" w:space="0"/>
              <w:bottom w:val="single" w:color="auto" w:sz="4" w:space="0"/>
              <w:right w:val="single" w:color="auto" w:sz="4" w:space="0"/>
            </w:tcBorders>
            <w:vAlign w:val="center"/>
          </w:tcPr>
          <w:p w14:paraId="4C8978DF">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21400.00元</w:t>
            </w:r>
          </w:p>
        </w:tc>
      </w:tr>
      <w:tr w14:paraId="7979EE5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02" w:hRule="atLeast"/>
          <w:jc w:val="center"/>
        </w:trPr>
        <w:tc>
          <w:tcPr>
            <w:tcW w:w="850" w:type="dxa"/>
            <w:tcBorders>
              <w:top w:val="single" w:color="auto" w:sz="4" w:space="0"/>
              <w:left w:val="single" w:color="auto" w:sz="4" w:space="0"/>
              <w:bottom w:val="single" w:color="auto" w:sz="4" w:space="0"/>
            </w:tcBorders>
            <w:vAlign w:val="center"/>
          </w:tcPr>
          <w:p w14:paraId="78EB8E39">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bidi="ar-SA"/>
              </w:rPr>
            </w:pPr>
            <w:r>
              <w:rPr>
                <w:rFonts w:hint="eastAsia" w:asciiTheme="majorEastAsia" w:hAnsiTheme="majorEastAsia" w:eastAsiaTheme="majorEastAsia" w:cstheme="majorEastAsia"/>
                <w:color w:val="auto"/>
                <w:kern w:val="2"/>
                <w:sz w:val="24"/>
                <w:szCs w:val="24"/>
                <w:lang w:val="en-US" w:bidi="ar-SA"/>
              </w:rPr>
              <w:t>5</w:t>
            </w:r>
          </w:p>
        </w:tc>
        <w:tc>
          <w:tcPr>
            <w:tcW w:w="1405" w:type="dxa"/>
            <w:tcBorders>
              <w:top w:val="single" w:color="auto" w:sz="4" w:space="0"/>
              <w:bottom w:val="single" w:color="auto" w:sz="4" w:space="0"/>
            </w:tcBorders>
            <w:vAlign w:val="center"/>
          </w:tcPr>
          <w:p w14:paraId="7FBC1B83">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其他用具</w:t>
            </w:r>
          </w:p>
        </w:tc>
        <w:tc>
          <w:tcPr>
            <w:tcW w:w="1627" w:type="dxa"/>
            <w:tcBorders>
              <w:top w:val="single" w:color="auto" w:sz="4" w:space="0"/>
              <w:bottom w:val="single" w:color="auto" w:sz="4" w:space="0"/>
            </w:tcBorders>
            <w:vAlign w:val="center"/>
          </w:tcPr>
          <w:p w14:paraId="6E7865B3">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人工智能实训设备展台</w:t>
            </w:r>
          </w:p>
        </w:tc>
        <w:tc>
          <w:tcPr>
            <w:tcW w:w="1305" w:type="dxa"/>
            <w:tcBorders>
              <w:top w:val="single" w:color="auto" w:sz="4" w:space="0"/>
              <w:bottom w:val="single" w:color="auto" w:sz="4" w:space="0"/>
            </w:tcBorders>
            <w:vAlign w:val="center"/>
          </w:tcPr>
          <w:p w14:paraId="1BE280A3">
            <w:pPr>
              <w:jc w:val="center"/>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4组</w:t>
            </w:r>
          </w:p>
        </w:tc>
        <w:tc>
          <w:tcPr>
            <w:tcW w:w="2022" w:type="dxa"/>
            <w:tcBorders>
              <w:top w:val="single" w:color="auto" w:sz="4" w:space="0"/>
              <w:bottom w:val="single" w:color="auto" w:sz="4" w:space="0"/>
            </w:tcBorders>
            <w:vAlign w:val="center"/>
          </w:tcPr>
          <w:p w14:paraId="5B6DA363">
            <w:pPr>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eastAsia="zh-CN" w:bidi="zh-CN"/>
              </w:rPr>
            </w:pPr>
            <w:r>
              <w:rPr>
                <w:rFonts w:hint="eastAsia" w:asciiTheme="majorEastAsia" w:hAnsiTheme="majorEastAsia" w:eastAsiaTheme="majorEastAsia" w:cstheme="majorEastAsia"/>
                <w:color w:val="auto"/>
                <w:kern w:val="2"/>
                <w:sz w:val="24"/>
                <w:szCs w:val="24"/>
                <w:lang w:eastAsia="zh-CN" w:bidi="zh-CN"/>
              </w:rPr>
              <w:t>详见采购文件</w:t>
            </w:r>
          </w:p>
        </w:tc>
        <w:tc>
          <w:tcPr>
            <w:tcW w:w="1754" w:type="dxa"/>
            <w:tcBorders>
              <w:top w:val="single" w:color="auto" w:sz="4" w:space="0"/>
              <w:bottom w:val="single" w:color="auto" w:sz="4" w:space="0"/>
            </w:tcBorders>
            <w:vAlign w:val="center"/>
          </w:tcPr>
          <w:p w14:paraId="1821F352">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23200.00元</w:t>
            </w:r>
          </w:p>
        </w:tc>
        <w:tc>
          <w:tcPr>
            <w:tcW w:w="1693" w:type="dxa"/>
            <w:tcBorders>
              <w:top w:val="single" w:color="auto" w:sz="4" w:space="0"/>
              <w:bottom w:val="single" w:color="auto" w:sz="4" w:space="0"/>
              <w:right w:val="single" w:color="auto" w:sz="4" w:space="0"/>
            </w:tcBorders>
            <w:vAlign w:val="center"/>
          </w:tcPr>
          <w:p w14:paraId="698048E8">
            <w:pPr>
              <w:pStyle w:val="23"/>
              <w:kinsoku/>
              <w:adjustRightInd/>
              <w:snapToGrid/>
              <w:spacing w:before="1" w:line="500" w:lineRule="exact"/>
              <w:ind w:right="236"/>
              <w:jc w:val="center"/>
              <w:textAlignment w:val="auto"/>
              <w:rPr>
                <w:rFonts w:asciiTheme="majorEastAsia" w:hAnsiTheme="majorEastAsia" w:eastAsiaTheme="majorEastAsia" w:cstheme="majorEastAsia"/>
                <w:color w:val="auto"/>
                <w:kern w:val="2"/>
                <w:sz w:val="24"/>
                <w:szCs w:val="24"/>
                <w:lang w:val="en-US"/>
              </w:rPr>
            </w:pPr>
            <w:r>
              <w:rPr>
                <w:rFonts w:hint="eastAsia" w:asciiTheme="majorEastAsia" w:hAnsiTheme="majorEastAsia" w:eastAsiaTheme="majorEastAsia" w:cstheme="majorEastAsia"/>
                <w:color w:val="auto"/>
                <w:kern w:val="2"/>
                <w:sz w:val="24"/>
                <w:szCs w:val="24"/>
                <w:lang w:val="en-US"/>
              </w:rPr>
              <w:t>23200.00元</w:t>
            </w:r>
          </w:p>
        </w:tc>
      </w:tr>
    </w:tbl>
    <w:p w14:paraId="55B9FF7C">
      <w:pPr>
        <w:widowControl w:val="0"/>
        <w:kinsoku/>
        <w:autoSpaceDE/>
        <w:autoSpaceDN/>
        <w:adjustRightInd/>
        <w:snapToGrid/>
        <w:spacing w:before="52" w:line="500" w:lineRule="exact"/>
        <w:ind w:left="958" w:leftChars="456" w:right="4487"/>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本合同包不接受联合体投标</w:t>
      </w:r>
    </w:p>
    <w:p w14:paraId="5B8B1D93">
      <w:pPr>
        <w:widowControl w:val="0"/>
        <w:kinsoku/>
        <w:autoSpaceDE/>
        <w:autoSpaceDN/>
        <w:adjustRightInd/>
        <w:snapToGrid/>
        <w:spacing w:before="52" w:line="500" w:lineRule="exact"/>
        <w:ind w:left="958" w:leftChars="456" w:right="3026"/>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合同履行期限：</w:t>
      </w:r>
      <w:r>
        <w:rPr>
          <w:rFonts w:hint="eastAsia" w:cs="宋体"/>
          <w:color w:val="auto"/>
          <w:kern w:val="2"/>
          <w:sz w:val="24"/>
          <w:szCs w:val="24"/>
          <w:lang w:eastAsia="zh-CN" w:bidi="ar"/>
        </w:rPr>
        <w:t>自合同签订之</w:t>
      </w:r>
      <w:r>
        <w:rPr>
          <w:rFonts w:hint="eastAsia" w:asciiTheme="majorEastAsia" w:hAnsiTheme="majorEastAsia" w:eastAsiaTheme="majorEastAsia" w:cstheme="majorEastAsia"/>
          <w:color w:val="auto"/>
          <w:sz w:val="24"/>
          <w:szCs w:val="24"/>
          <w:lang w:eastAsia="zh-CN"/>
        </w:rPr>
        <w:t>日起30</w:t>
      </w:r>
      <w:r>
        <w:rPr>
          <w:rFonts w:hint="eastAsia" w:cs="宋体"/>
          <w:color w:val="auto"/>
          <w:kern w:val="2"/>
          <w:sz w:val="24"/>
          <w:szCs w:val="24"/>
          <w:lang w:eastAsia="zh-CN" w:bidi="ar"/>
        </w:rPr>
        <w:t>日历天</w:t>
      </w:r>
      <w:r>
        <w:rPr>
          <w:rFonts w:hint="eastAsia" w:ascii="宋体" w:hAnsi="宋体" w:eastAsia="宋体" w:cs="宋体"/>
          <w:color w:val="auto"/>
          <w:kern w:val="2"/>
          <w:sz w:val="24"/>
          <w:szCs w:val="24"/>
          <w:lang w:val="zh-CN" w:eastAsia="zh-CN" w:bidi="ar"/>
        </w:rPr>
        <w:t>。</w:t>
      </w:r>
    </w:p>
    <w:p w14:paraId="02FA6EF7">
      <w:pPr>
        <w:kinsoku/>
        <w:adjustRightInd/>
        <w:snapToGrid/>
        <w:spacing w:before="155" w:line="500" w:lineRule="exact"/>
        <w:textAlignment w:val="auto"/>
        <w:outlineLvl w:val="1"/>
        <w:rPr>
          <w:rFonts w:asciiTheme="majorEastAsia" w:hAnsiTheme="majorEastAsia" w:eastAsiaTheme="majorEastAsia" w:cstheme="majorEastAsia"/>
          <w:b/>
          <w:color w:val="auto"/>
          <w:sz w:val="24"/>
          <w:szCs w:val="24"/>
          <w:lang w:eastAsia="zh-CN"/>
        </w:rPr>
      </w:pPr>
      <w:bookmarkStart w:id="5" w:name="二、申请人的资格要求："/>
      <w:bookmarkEnd w:id="5"/>
      <w:bookmarkStart w:id="6" w:name="_Toc27735"/>
      <w:r>
        <w:rPr>
          <w:rFonts w:hint="eastAsia" w:asciiTheme="majorEastAsia" w:hAnsiTheme="majorEastAsia" w:eastAsiaTheme="majorEastAsia" w:cstheme="majorEastAsia"/>
          <w:b/>
          <w:color w:val="auto"/>
          <w:sz w:val="24"/>
          <w:szCs w:val="24"/>
          <w:lang w:eastAsia="zh-CN"/>
        </w:rPr>
        <w:t>二、申请人的资格要求：</w:t>
      </w:r>
      <w:bookmarkEnd w:id="6"/>
    </w:p>
    <w:p w14:paraId="5C7FB60C">
      <w:pPr>
        <w:pStyle w:val="22"/>
        <w:tabs>
          <w:tab w:val="left" w:pos="1145"/>
        </w:tabs>
        <w:kinsoku/>
        <w:adjustRightInd/>
        <w:snapToGrid/>
        <w:spacing w:before="52" w:line="500" w:lineRule="exact"/>
        <w:ind w:firstLine="720" w:firstLineChars="3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1、满足《中华人民共和国政府采购法》第二十二条规定;</w:t>
      </w:r>
    </w:p>
    <w:p w14:paraId="2A77CCAB">
      <w:pPr>
        <w:pStyle w:val="22"/>
        <w:tabs>
          <w:tab w:val="left" w:pos="1145"/>
        </w:tabs>
        <w:kinsoku/>
        <w:adjustRightInd/>
        <w:snapToGrid/>
        <w:spacing w:before="55" w:line="500" w:lineRule="exact"/>
        <w:ind w:firstLine="720" w:firstLineChars="3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2、落实政府采购政策需满足的资格要求：</w:t>
      </w:r>
    </w:p>
    <w:p w14:paraId="50F39296">
      <w:pPr>
        <w:kinsoku/>
        <w:adjustRightInd/>
        <w:snapToGrid/>
        <w:spacing w:before="52" w:line="480" w:lineRule="exact"/>
        <w:ind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合同包1（石泉县职业技术教育中心职校技能大赛比赛设备)落实政府采购政策需满足的资格要求如下:</w:t>
      </w:r>
    </w:p>
    <w:p w14:paraId="2B4B75DC">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本项目为专门面向</w:t>
      </w:r>
      <w:r>
        <w:rPr>
          <w:rFonts w:hint="eastAsia" w:ascii="宋体" w:hAnsi="宋体" w:cs="宋体"/>
          <w:color w:val="auto"/>
          <w:sz w:val="24"/>
          <w:szCs w:val="24"/>
        </w:rPr>
        <w:t>中小</w:t>
      </w:r>
      <w:r>
        <w:rPr>
          <w:rFonts w:hint="eastAsia" w:ascii="宋体" w:hAnsi="宋体" w:eastAsia="宋体" w:cs="宋体"/>
          <w:color w:val="auto"/>
          <w:sz w:val="24"/>
          <w:szCs w:val="24"/>
        </w:rPr>
        <w:t>企业项目，供应商应为</w:t>
      </w:r>
      <w:r>
        <w:rPr>
          <w:rFonts w:hint="eastAsia" w:ascii="宋体" w:hAnsi="宋体" w:cs="宋体"/>
          <w:color w:val="auto"/>
          <w:sz w:val="24"/>
          <w:szCs w:val="24"/>
        </w:rPr>
        <w:t>中型企业、</w:t>
      </w:r>
      <w:r>
        <w:rPr>
          <w:rFonts w:hint="eastAsia" w:ascii="宋体" w:hAnsi="宋体" w:eastAsia="宋体" w:cs="宋体"/>
          <w:color w:val="auto"/>
          <w:sz w:val="24"/>
          <w:szCs w:val="24"/>
        </w:rPr>
        <w:t>小型企业、微型企业、监狱企业、残疾人福利性单位。供应商为</w:t>
      </w:r>
      <w:r>
        <w:rPr>
          <w:rFonts w:hint="eastAsia" w:ascii="宋体" w:hAnsi="宋体" w:cs="宋体"/>
          <w:color w:val="auto"/>
          <w:sz w:val="24"/>
          <w:szCs w:val="24"/>
        </w:rPr>
        <w:t>中小</w:t>
      </w:r>
      <w:r>
        <w:rPr>
          <w:rFonts w:hint="eastAsia" w:ascii="宋体" w:hAnsi="宋体" w:eastAsia="宋体" w:cs="宋体"/>
          <w:color w:val="auto"/>
          <w:sz w:val="24"/>
          <w:szCs w:val="24"/>
        </w:rPr>
        <w:t>企业的，提供《中小企业声明函》</w:t>
      </w:r>
      <w:r>
        <w:rPr>
          <w:rFonts w:hint="eastAsia" w:ascii="宋体" w:hAnsi="宋体" w:eastAsia="宋体" w:cs="宋体"/>
          <w:color w:val="auto"/>
          <w:sz w:val="24"/>
          <w:szCs w:val="24"/>
          <w:shd w:val="clear"/>
        </w:rPr>
        <w:t>；</w:t>
      </w:r>
      <w:r>
        <w:rPr>
          <w:rFonts w:hint="eastAsia" w:ascii="宋体" w:hAnsi="宋体" w:eastAsia="宋体" w:cs="宋体"/>
          <w:color w:val="auto"/>
          <w:sz w:val="24"/>
          <w:szCs w:val="24"/>
        </w:rPr>
        <w:t>供应商为监狱企业的，应提供监狱企业的证明文件；供应商为残疾人福利性单位的，应提供《残疾人福利性单位声明函》(监狱企业或残疾人福利性单位视同小型、微型企业)</w:t>
      </w:r>
    </w:p>
    <w:p w14:paraId="08F54BF2">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（1）、《政府采购促进中小企业发展管理办法》（财库〔2020〕46 号）； </w:t>
      </w:r>
    </w:p>
    <w:p w14:paraId="456F4048">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（2）、《财政部司法部关于政府采购支持监狱企业发展有关问题的通知》（财库〔2014〕 68 号）； </w:t>
      </w:r>
    </w:p>
    <w:p w14:paraId="5801DAEE">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（3）、《财政部发展改革委 生态环境部 市场监管总局关于调整优化节能产品环境标志产品政府采购执行机制的通知》（财库〔2019〕9 号）； </w:t>
      </w:r>
    </w:p>
    <w:p w14:paraId="5A38AEF5">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（4）、《三部门联合发布关于促进残疾人就业政府采购政策的通知》（财库〔2017〕 141 号）； </w:t>
      </w:r>
    </w:p>
    <w:p w14:paraId="4B9CC651">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（5）、《财政部国务院扶贫办关于运用政府采购政策支持脱贫攻坚的通知》（财库 〔2019〕27号）； </w:t>
      </w:r>
    </w:p>
    <w:p w14:paraId="5870FF0B">
      <w:pPr>
        <w:pStyle w:val="24"/>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（6）、《国务院办公厅关于建立政府强制采购节能产品制度的通知》（国办发〔2007〕 51 号）； </w:t>
      </w:r>
    </w:p>
    <w:p w14:paraId="01F53F3D">
      <w:pPr>
        <w:pStyle w:val="24"/>
        <w:spacing w:line="500" w:lineRule="exact"/>
        <w:ind w:firstLine="480"/>
        <w:jc w:val="left"/>
        <w:rPr>
          <w:rFonts w:ascii="宋体" w:hAnsi="宋体" w:cs="宋体"/>
          <w:color w:val="auto"/>
          <w:sz w:val="24"/>
          <w:szCs w:val="24"/>
        </w:rPr>
      </w:pPr>
      <w:r>
        <w:rPr>
          <w:rFonts w:hint="eastAsia" w:ascii="宋体" w:hAnsi="宋体" w:eastAsia="宋体" w:cs="宋体"/>
          <w:color w:val="auto"/>
          <w:sz w:val="24"/>
          <w:szCs w:val="24"/>
        </w:rPr>
        <w:t>（7）、陕西省财政厅关于印发《陕西省中小企业政府采购信用融资办法》（陕财办采 〔2018〕23 号）</w:t>
      </w:r>
      <w:r>
        <w:rPr>
          <w:rFonts w:hint="eastAsia" w:ascii="宋体" w:hAnsi="宋体" w:cs="宋体"/>
          <w:color w:val="auto"/>
          <w:sz w:val="24"/>
          <w:szCs w:val="24"/>
        </w:rPr>
        <w:t>；</w:t>
      </w:r>
    </w:p>
    <w:p w14:paraId="3887AC66">
      <w:pPr>
        <w:pStyle w:val="24"/>
        <w:spacing w:line="500" w:lineRule="exact"/>
        <w:ind w:firstLine="480"/>
        <w:jc w:val="left"/>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rPr>
        <w:t>8）、《陕西省财政厅关于落实政府采购支持中小企业政策有关事项的通知》陕财办采函〔2022〕10号；</w:t>
      </w:r>
    </w:p>
    <w:p w14:paraId="47EDA976">
      <w:pPr>
        <w:pStyle w:val="24"/>
        <w:spacing w:line="500" w:lineRule="exact"/>
        <w:ind w:firstLine="480"/>
        <w:jc w:val="left"/>
        <w:rPr>
          <w:rFonts w:ascii="宋体" w:hAnsi="宋体" w:cs="宋体"/>
          <w:color w:val="auto"/>
          <w:sz w:val="24"/>
          <w:szCs w:val="24"/>
        </w:rPr>
      </w:pPr>
      <w:r>
        <w:rPr>
          <w:rFonts w:hint="eastAsia" w:ascii="宋体" w:hAnsi="宋体" w:cs="宋体"/>
          <w:color w:val="auto"/>
          <w:sz w:val="24"/>
          <w:szCs w:val="24"/>
        </w:rPr>
        <w:t>(9）、《陕西省财政厅关于进一步落实政府采购支持中小企业相关政策的通知》陕财办采〔2023〕3号；</w:t>
      </w:r>
    </w:p>
    <w:p w14:paraId="038AEDA3">
      <w:pPr>
        <w:pStyle w:val="24"/>
        <w:spacing w:line="500" w:lineRule="exact"/>
        <w:ind w:firstLine="240" w:firstLineChars="100"/>
        <w:jc w:val="left"/>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rPr>
        <w:t>10）、《陕西省财政厅关于进一步优化政府采购营商环境有关事项的通知》陕财办采〔2023〕4号。</w:t>
      </w:r>
    </w:p>
    <w:p w14:paraId="03CB2A8F">
      <w:pPr>
        <w:pStyle w:val="22"/>
        <w:tabs>
          <w:tab w:val="left" w:pos="1145"/>
        </w:tabs>
        <w:kinsoku/>
        <w:adjustRightInd/>
        <w:snapToGrid/>
        <w:spacing w:line="510" w:lineRule="exact"/>
        <w:ind w:firstLine="48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3、本项目的特定资格要求：</w:t>
      </w:r>
    </w:p>
    <w:p w14:paraId="242C6719">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bookmarkStart w:id="7" w:name="三、获取采购文件"/>
      <w:bookmarkEnd w:id="7"/>
      <w:r>
        <w:rPr>
          <w:rFonts w:hint="eastAsia" w:asciiTheme="majorEastAsia" w:hAnsiTheme="majorEastAsia" w:eastAsiaTheme="majorEastAsia" w:cstheme="majorEastAsia"/>
          <w:color w:val="auto"/>
          <w:sz w:val="24"/>
          <w:szCs w:val="24"/>
          <w:lang w:eastAsia="zh-CN"/>
        </w:rPr>
        <w:t>（1）提供有效合格的统一社会信用代码的营业执照，其他组织经营的须提供合法凭证，自然人的提供身份证明文件；</w:t>
      </w:r>
    </w:p>
    <w:p w14:paraId="567BF7EE">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（2）法定代表人直接参加投标的，须出具法定代表人身份证；法定代表人授权代表参加投标的，须出具法定代表人授权委托书、法定代表人身份证复印件以及被授权代表身份证复印件；</w:t>
      </w:r>
    </w:p>
    <w:p w14:paraId="6CE35B19">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 xml:space="preserve">（3）财务状况报告:提供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692AAEAA">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4）社会保障资金缴纳证明: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257B8ED8">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（5）税收缴纳证明:自2024年1月1日以来已缴纳的至少一个月的纳税证明或完税证明，纳税证明或完税证明上应有代收机构或税务机关的公章或业务专用章。依法免税的供应商应提供相关文件证明；</w:t>
      </w:r>
    </w:p>
    <w:p w14:paraId="1023BB34">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6）通过中国政府采购网（www.ccgp.gov.cn）和“信用中国”网站(www.creditchina.gov.cn)查询相关主体无失信记录（网站查询的截图，加盖企业公章）以及参加政府采购活动前3年内在经营活动中没有重大违法记录的书面声明；</w:t>
      </w:r>
    </w:p>
    <w:p w14:paraId="45D17F59">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（7）供应商应提供中小企业声明函或残疾人福利性单位声明函或监狱企业证明文件；</w:t>
      </w:r>
    </w:p>
    <w:p w14:paraId="110F61C9">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eastAsia="zh-CN"/>
        </w:rPr>
        <w:t>8</w:t>
      </w:r>
      <w:r>
        <w:rPr>
          <w:rFonts w:asciiTheme="majorEastAsia" w:hAnsiTheme="majorEastAsia" w:eastAsiaTheme="majorEastAsia" w:cstheme="majorEastAsia"/>
          <w:color w:val="auto"/>
          <w:sz w:val="24"/>
          <w:szCs w:val="24"/>
          <w:lang w:eastAsia="zh-CN"/>
        </w:rPr>
        <w:t>）供应商提供具有履行合同所必需的设备和专业技术能力的书面声明；</w:t>
      </w:r>
    </w:p>
    <w:p w14:paraId="16271771">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（9）本项目不接受联合体投标。</w:t>
      </w:r>
    </w:p>
    <w:p w14:paraId="74BAFF19">
      <w:pPr>
        <w:kinsoku/>
        <w:adjustRightInd/>
        <w:snapToGrid/>
        <w:spacing w:before="138" w:line="480" w:lineRule="exact"/>
        <w:ind w:left="491"/>
        <w:textAlignment w:val="auto"/>
        <w:outlineLvl w:val="1"/>
        <w:rPr>
          <w:rFonts w:asciiTheme="majorEastAsia" w:hAnsiTheme="majorEastAsia" w:eastAsiaTheme="majorEastAsia" w:cstheme="majorEastAsia"/>
          <w:b/>
          <w:color w:val="auto"/>
          <w:sz w:val="24"/>
          <w:szCs w:val="24"/>
          <w:lang w:eastAsia="zh-CN"/>
        </w:rPr>
      </w:pPr>
      <w:bookmarkStart w:id="8" w:name="_Toc15368"/>
      <w:r>
        <w:rPr>
          <w:rFonts w:hint="eastAsia" w:asciiTheme="majorEastAsia" w:hAnsiTheme="majorEastAsia" w:eastAsiaTheme="majorEastAsia" w:cstheme="majorEastAsia"/>
          <w:b/>
          <w:color w:val="auto"/>
          <w:sz w:val="24"/>
          <w:szCs w:val="24"/>
          <w:lang w:eastAsia="zh-CN"/>
        </w:rPr>
        <w:t>三、获取采购文件</w:t>
      </w:r>
      <w:bookmarkEnd w:id="8"/>
    </w:p>
    <w:p w14:paraId="44D95300">
      <w:pPr>
        <w:kinsoku/>
        <w:adjustRightInd/>
        <w:snapToGrid/>
        <w:spacing w:before="138" w:line="480" w:lineRule="exact"/>
        <w:ind w:firstLine="720" w:firstLineChars="3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 xml:space="preserve">时间：2024年11月11日至2024年11月15日 ，每天上午 09:00:00至 12:00:00 ，下午 14:00:00 至 17:30:00 （北京时间，国家法定节假日除外） </w:t>
      </w:r>
    </w:p>
    <w:p w14:paraId="6051F6A6">
      <w:pPr>
        <w:pStyle w:val="15"/>
        <w:kinsoku/>
        <w:autoSpaceDE/>
        <w:autoSpaceDN/>
        <w:adjustRightInd/>
        <w:snapToGrid/>
        <w:spacing w:before="0" w:beforeAutospacing="0" w:after="0" w:afterAutospacing="0" w:line="480" w:lineRule="exact"/>
        <w:ind w:firstLine="720" w:firstLineChars="30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 xml:space="preserve">地点：全国公共资源交易中心平台（陕西省.安康市） </w:t>
      </w:r>
    </w:p>
    <w:p w14:paraId="43701B5E">
      <w:pPr>
        <w:pStyle w:val="15"/>
        <w:kinsoku/>
        <w:autoSpaceDE/>
        <w:autoSpaceDN/>
        <w:adjustRightInd/>
        <w:snapToGrid/>
        <w:spacing w:before="0" w:beforeAutospacing="0" w:after="0" w:afterAutospacing="0" w:line="480" w:lineRule="exact"/>
        <w:ind w:firstLine="720" w:firstLineChars="30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方式：现场获取</w:t>
      </w:r>
    </w:p>
    <w:p w14:paraId="3ED6AF8D">
      <w:pPr>
        <w:pStyle w:val="15"/>
        <w:kinsoku/>
        <w:autoSpaceDE/>
        <w:autoSpaceDN/>
        <w:adjustRightInd/>
        <w:snapToGrid/>
        <w:spacing w:before="0" w:beforeAutospacing="0" w:after="0" w:afterAutospacing="0" w:line="480" w:lineRule="exact"/>
        <w:ind w:firstLine="720" w:firstLineChars="30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售价：0元</w:t>
      </w:r>
    </w:p>
    <w:p w14:paraId="4D199C39">
      <w:pPr>
        <w:kinsoku/>
        <w:adjustRightInd/>
        <w:snapToGrid/>
        <w:spacing w:before="203" w:line="480" w:lineRule="exact"/>
        <w:ind w:left="491"/>
        <w:textAlignment w:val="auto"/>
        <w:outlineLvl w:val="1"/>
        <w:rPr>
          <w:rFonts w:asciiTheme="majorEastAsia" w:hAnsiTheme="majorEastAsia" w:eastAsiaTheme="majorEastAsia" w:cstheme="majorEastAsia"/>
          <w:b/>
          <w:color w:val="auto"/>
          <w:sz w:val="24"/>
          <w:szCs w:val="24"/>
          <w:lang w:eastAsia="zh-CN"/>
        </w:rPr>
      </w:pPr>
      <w:bookmarkStart w:id="9" w:name="四、响应文件提交"/>
      <w:bookmarkEnd w:id="9"/>
      <w:bookmarkStart w:id="10" w:name="_Toc10722"/>
      <w:r>
        <w:rPr>
          <w:rFonts w:hint="eastAsia" w:asciiTheme="majorEastAsia" w:hAnsiTheme="majorEastAsia" w:eastAsiaTheme="majorEastAsia" w:cstheme="majorEastAsia"/>
          <w:b/>
          <w:color w:val="auto"/>
          <w:sz w:val="24"/>
          <w:szCs w:val="24"/>
          <w:lang w:eastAsia="zh-CN"/>
        </w:rPr>
        <w:t>四、响应文件提交</w:t>
      </w:r>
      <w:bookmarkEnd w:id="10"/>
    </w:p>
    <w:p w14:paraId="6A8B150A">
      <w:pPr>
        <w:kinsoku/>
        <w:adjustRightInd/>
        <w:snapToGrid/>
        <w:spacing w:before="52" w:line="480" w:lineRule="exact"/>
        <w:ind w:left="971"/>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截止时间：2024年11月21日</w:t>
      </w:r>
      <w:r>
        <w:rPr>
          <w:rFonts w:hint="eastAsia" w:asciiTheme="majorEastAsia" w:hAnsiTheme="majorEastAsia" w:eastAsiaTheme="majorEastAsia" w:cstheme="majorEastAsia"/>
          <w:color w:val="auto"/>
          <w:sz w:val="24"/>
          <w:szCs w:val="24"/>
          <w:lang w:val="en-US" w:eastAsia="zh-CN"/>
        </w:rPr>
        <w:t>16</w:t>
      </w:r>
      <w:r>
        <w:rPr>
          <w:rFonts w:hint="eastAsia" w:asciiTheme="majorEastAsia" w:hAnsiTheme="majorEastAsia" w:eastAsiaTheme="majorEastAsia" w:cstheme="majorEastAsia"/>
          <w:color w:val="auto"/>
          <w:sz w:val="24"/>
          <w:szCs w:val="24"/>
          <w:lang w:eastAsia="zh-CN"/>
        </w:rPr>
        <w:t>时00分00秒 （北京时间）</w:t>
      </w:r>
    </w:p>
    <w:p w14:paraId="74B314C5">
      <w:pPr>
        <w:kinsoku/>
        <w:adjustRightInd/>
        <w:snapToGrid/>
        <w:spacing w:before="52" w:line="480" w:lineRule="exact"/>
        <w:ind w:left="971"/>
        <w:textAlignment w:val="auto"/>
        <w:rPr>
          <w:rFonts w:asciiTheme="majorEastAsia" w:hAnsiTheme="majorEastAsia" w:eastAsiaTheme="majorEastAsia" w:cstheme="majorEastAsia"/>
          <w:color w:val="auto"/>
          <w:sz w:val="24"/>
          <w:szCs w:val="24"/>
          <w:shd w:val="clear" w:color="auto" w:fill="FFFF00"/>
          <w:lang w:eastAsia="zh-CN"/>
        </w:rPr>
      </w:pPr>
      <w:r>
        <w:rPr>
          <w:rFonts w:hint="eastAsia" w:asciiTheme="majorEastAsia" w:hAnsiTheme="majorEastAsia" w:eastAsiaTheme="majorEastAsia" w:cstheme="majorEastAsia"/>
          <w:color w:val="auto"/>
          <w:sz w:val="24"/>
          <w:szCs w:val="24"/>
          <w:lang w:eastAsia="zh-CN"/>
        </w:rPr>
        <w:t>地点：全国公共资源交易中心平台（陕西省.安康市）</w:t>
      </w:r>
    </w:p>
    <w:p w14:paraId="1530B83D">
      <w:pPr>
        <w:kinsoku/>
        <w:adjustRightInd/>
        <w:snapToGrid/>
        <w:spacing w:before="203" w:line="480" w:lineRule="exact"/>
        <w:ind w:left="491"/>
        <w:textAlignment w:val="auto"/>
        <w:outlineLvl w:val="1"/>
        <w:rPr>
          <w:rFonts w:asciiTheme="majorEastAsia" w:hAnsiTheme="majorEastAsia" w:eastAsiaTheme="majorEastAsia" w:cstheme="majorEastAsia"/>
          <w:b/>
          <w:color w:val="auto"/>
          <w:sz w:val="24"/>
          <w:szCs w:val="24"/>
          <w:lang w:eastAsia="zh-CN"/>
        </w:rPr>
      </w:pPr>
      <w:bookmarkStart w:id="11" w:name="五、开启"/>
      <w:bookmarkEnd w:id="11"/>
      <w:bookmarkStart w:id="12" w:name="_Toc11072"/>
      <w:r>
        <w:rPr>
          <w:rFonts w:hint="eastAsia" w:asciiTheme="majorEastAsia" w:hAnsiTheme="majorEastAsia" w:eastAsiaTheme="majorEastAsia" w:cstheme="majorEastAsia"/>
          <w:b/>
          <w:color w:val="auto"/>
          <w:sz w:val="24"/>
          <w:szCs w:val="24"/>
          <w:lang w:eastAsia="zh-CN"/>
        </w:rPr>
        <w:t>五、开启</w:t>
      </w:r>
      <w:bookmarkEnd w:id="12"/>
    </w:p>
    <w:p w14:paraId="0918BA94">
      <w:pPr>
        <w:kinsoku/>
        <w:adjustRightInd/>
        <w:snapToGrid/>
        <w:spacing w:before="55" w:line="480" w:lineRule="exact"/>
        <w:ind w:left="971"/>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时间：2024年11月21日</w:t>
      </w:r>
      <w:r>
        <w:rPr>
          <w:rFonts w:hint="eastAsia" w:asciiTheme="majorEastAsia" w:hAnsiTheme="majorEastAsia" w:eastAsiaTheme="majorEastAsia" w:cstheme="majorEastAsia"/>
          <w:color w:val="auto"/>
          <w:sz w:val="24"/>
          <w:szCs w:val="24"/>
          <w:lang w:val="en-US" w:eastAsia="zh-CN"/>
        </w:rPr>
        <w:t>16</w:t>
      </w:r>
      <w:r>
        <w:rPr>
          <w:rFonts w:hint="eastAsia" w:asciiTheme="majorEastAsia" w:hAnsiTheme="majorEastAsia" w:eastAsiaTheme="majorEastAsia" w:cstheme="majorEastAsia"/>
          <w:color w:val="auto"/>
          <w:sz w:val="24"/>
          <w:szCs w:val="24"/>
          <w:lang w:eastAsia="zh-CN"/>
        </w:rPr>
        <w:t>时00分00秒（北京时间）</w:t>
      </w:r>
    </w:p>
    <w:p w14:paraId="14BA7F02">
      <w:pPr>
        <w:kinsoku/>
        <w:adjustRightInd/>
        <w:snapToGrid/>
        <w:spacing w:before="52" w:line="480" w:lineRule="exact"/>
        <w:ind w:left="971"/>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地点：安康市公共资源交易中心</w:t>
      </w:r>
      <w:r>
        <w:rPr>
          <w:rFonts w:hint="eastAsia" w:asciiTheme="majorEastAsia" w:hAnsiTheme="majorEastAsia" w:eastAsiaTheme="majorEastAsia" w:cstheme="majorEastAsia"/>
          <w:color w:val="auto"/>
          <w:sz w:val="24"/>
          <w:szCs w:val="24"/>
          <w:lang w:val="en-US" w:eastAsia="zh-CN"/>
        </w:rPr>
        <w:t>303</w:t>
      </w:r>
      <w:r>
        <w:rPr>
          <w:rFonts w:hint="eastAsia" w:asciiTheme="majorEastAsia" w:hAnsiTheme="majorEastAsia" w:eastAsiaTheme="majorEastAsia" w:cstheme="majorEastAsia"/>
          <w:color w:val="auto"/>
          <w:sz w:val="24"/>
          <w:szCs w:val="24"/>
          <w:lang w:eastAsia="zh-CN"/>
        </w:rPr>
        <w:t>开标室</w:t>
      </w:r>
    </w:p>
    <w:p w14:paraId="51A72EE4">
      <w:pPr>
        <w:kinsoku/>
        <w:adjustRightInd/>
        <w:snapToGrid/>
        <w:spacing w:before="203" w:line="480" w:lineRule="exact"/>
        <w:ind w:left="491"/>
        <w:textAlignment w:val="auto"/>
        <w:outlineLvl w:val="1"/>
        <w:rPr>
          <w:rFonts w:asciiTheme="majorEastAsia" w:hAnsiTheme="majorEastAsia" w:eastAsiaTheme="majorEastAsia" w:cstheme="majorEastAsia"/>
          <w:b/>
          <w:color w:val="auto"/>
          <w:sz w:val="24"/>
          <w:szCs w:val="24"/>
          <w:lang w:eastAsia="zh-CN"/>
        </w:rPr>
      </w:pPr>
      <w:bookmarkStart w:id="13" w:name="六、公告期限"/>
      <w:bookmarkEnd w:id="13"/>
      <w:bookmarkStart w:id="14" w:name="_Toc24920"/>
      <w:r>
        <w:rPr>
          <w:rFonts w:hint="eastAsia" w:asciiTheme="majorEastAsia" w:hAnsiTheme="majorEastAsia" w:eastAsiaTheme="majorEastAsia" w:cstheme="majorEastAsia"/>
          <w:b/>
          <w:color w:val="auto"/>
          <w:sz w:val="24"/>
          <w:szCs w:val="24"/>
          <w:lang w:eastAsia="zh-CN"/>
        </w:rPr>
        <w:t>六、公告期限</w:t>
      </w:r>
      <w:bookmarkEnd w:id="14"/>
    </w:p>
    <w:p w14:paraId="15BEBF64">
      <w:pPr>
        <w:kinsoku/>
        <w:adjustRightInd/>
        <w:snapToGrid/>
        <w:spacing w:before="52" w:line="480" w:lineRule="exact"/>
        <w:ind w:left="971"/>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自本公告发布之日起 5个工作日。</w:t>
      </w:r>
    </w:p>
    <w:p w14:paraId="51C11BA5">
      <w:pPr>
        <w:kinsoku/>
        <w:adjustRightInd/>
        <w:snapToGrid/>
        <w:spacing w:before="204" w:line="480" w:lineRule="exact"/>
        <w:ind w:left="491"/>
        <w:textAlignment w:val="auto"/>
        <w:outlineLvl w:val="1"/>
        <w:rPr>
          <w:rFonts w:asciiTheme="majorEastAsia" w:hAnsiTheme="majorEastAsia" w:eastAsiaTheme="majorEastAsia" w:cstheme="majorEastAsia"/>
          <w:b/>
          <w:color w:val="auto"/>
          <w:sz w:val="24"/>
          <w:szCs w:val="24"/>
          <w:lang w:eastAsia="zh-CN"/>
        </w:rPr>
      </w:pPr>
      <w:bookmarkStart w:id="15" w:name="七、其他补充事宜"/>
      <w:bookmarkEnd w:id="15"/>
      <w:bookmarkStart w:id="16" w:name="_Toc32681"/>
      <w:r>
        <w:rPr>
          <w:rFonts w:hint="eastAsia" w:asciiTheme="majorEastAsia" w:hAnsiTheme="majorEastAsia" w:eastAsiaTheme="majorEastAsia" w:cstheme="majorEastAsia"/>
          <w:b/>
          <w:color w:val="auto"/>
          <w:sz w:val="24"/>
          <w:szCs w:val="24"/>
          <w:lang w:eastAsia="zh-CN"/>
        </w:rPr>
        <w:t>七、其他补充事宜</w:t>
      </w:r>
      <w:bookmarkEnd w:id="16"/>
    </w:p>
    <w:p w14:paraId="784E6B3F">
      <w:pPr>
        <w:widowControl w:val="0"/>
        <w:kinsoku/>
        <w:adjustRightInd/>
        <w:snapToGrid/>
        <w:spacing w:before="161" w:line="480" w:lineRule="exact"/>
        <w:ind w:right="-195" w:rightChars="-93" w:firstLine="480" w:firstLineChars="200"/>
        <w:textAlignment w:val="auto"/>
        <w:rPr>
          <w:rFonts w:asciiTheme="majorEastAsia" w:hAnsiTheme="majorEastAsia" w:eastAsiaTheme="majorEastAsia" w:cstheme="majorEastAsia"/>
          <w:color w:val="auto"/>
          <w:sz w:val="24"/>
          <w:lang w:eastAsia="zh-CN"/>
        </w:rPr>
      </w:pPr>
      <w:bookmarkStart w:id="17" w:name="八、凡对本次采购提出询问，请按以下方式联系。"/>
      <w:bookmarkEnd w:id="17"/>
      <w:r>
        <w:rPr>
          <w:rFonts w:hint="eastAsia" w:asciiTheme="majorEastAsia" w:hAnsiTheme="majorEastAsia" w:eastAsiaTheme="majorEastAsia" w:cstheme="majorEastAsia"/>
          <w:color w:val="auto"/>
          <w:sz w:val="24"/>
          <w:lang w:eastAsia="zh-CN"/>
        </w:rPr>
        <w:t>①在报名规定时间内使用捆绑省交易平台的 CA 锁登录安康市公共资源交易中心</w:t>
      </w:r>
    </w:p>
    <w:p w14:paraId="737535B6">
      <w:pPr>
        <w:widowControl w:val="0"/>
        <w:tabs>
          <w:tab w:val="left" w:pos="9030"/>
        </w:tabs>
        <w:kinsoku/>
        <w:adjustRightInd/>
        <w:snapToGrid/>
        <w:spacing w:before="160" w:line="480" w:lineRule="exact"/>
        <w:ind w:right="-44"/>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（http：//ak.sxggzyjy.cn/），选择电子交易平台，通过政府采购系统企业端进入， 点击我要投标，完善相关投标信息。</w:t>
      </w:r>
    </w:p>
    <w:p w14:paraId="729A819F">
      <w:pPr>
        <w:widowControl w:val="0"/>
        <w:spacing w:before="2" w:line="500" w:lineRule="exact"/>
        <w:ind w:right="357" w:firstLine="440" w:firstLineChars="2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pacing w:val="-10"/>
          <w:sz w:val="24"/>
        </w:rPr>
        <w:t>②</w:t>
      </w:r>
      <w:r>
        <w:rPr>
          <w:rFonts w:hint="eastAsia" w:asciiTheme="majorEastAsia" w:hAnsiTheme="majorEastAsia" w:eastAsiaTheme="majorEastAsia" w:cstheme="majorEastAsia"/>
          <w:color w:val="auto"/>
          <w:spacing w:val="-10"/>
          <w:sz w:val="24"/>
          <w:lang w:eastAsia="zh-CN"/>
        </w:rPr>
        <w:t>报名</w:t>
      </w:r>
      <w:r>
        <w:rPr>
          <w:rFonts w:hint="eastAsia" w:asciiTheme="majorEastAsia" w:hAnsiTheme="majorEastAsia" w:eastAsiaTheme="majorEastAsia" w:cstheme="majorEastAsia"/>
          <w:color w:val="auto"/>
          <w:spacing w:val="-10"/>
          <w:sz w:val="24"/>
        </w:rPr>
        <w:t>确认：</w:t>
      </w:r>
      <w:r>
        <w:rPr>
          <w:rFonts w:hint="eastAsia" w:ascii="宋体" w:hAnsi="宋体" w:eastAsia="宋体" w:cs="宋体"/>
          <w:color w:val="auto"/>
          <w:kern w:val="2"/>
          <w:sz w:val="24"/>
          <w:szCs w:val="24"/>
          <w:lang w:eastAsia="zh-CN" w:bidi="ar"/>
        </w:rPr>
        <w:t>投标供应商网上报名成功后携带报名成功回执单以及营业执照加盖公章的复印件、法人授权委托书或法定代表人身份证复印件发送至QQ邮箱（545797988@qq.com）进行</w:t>
      </w:r>
      <w:r>
        <w:rPr>
          <w:rFonts w:hint="eastAsia" w:cs="宋体"/>
          <w:color w:val="auto"/>
          <w:kern w:val="2"/>
          <w:sz w:val="24"/>
          <w:szCs w:val="24"/>
          <w:lang w:eastAsia="zh-CN" w:bidi="ar"/>
        </w:rPr>
        <w:t>报名</w:t>
      </w:r>
      <w:r>
        <w:rPr>
          <w:rFonts w:hint="eastAsia" w:ascii="宋体" w:hAnsi="宋体" w:eastAsia="宋体" w:cs="宋体"/>
          <w:color w:val="auto"/>
          <w:kern w:val="2"/>
          <w:sz w:val="24"/>
          <w:szCs w:val="24"/>
          <w:lang w:eastAsia="zh-CN" w:bidi="ar"/>
        </w:rPr>
        <w:t>确认，</w:t>
      </w:r>
      <w:r>
        <w:rPr>
          <w:rFonts w:hint="eastAsia" w:cs="宋体"/>
          <w:color w:val="auto"/>
          <w:kern w:val="2"/>
          <w:sz w:val="24"/>
          <w:szCs w:val="24"/>
          <w:lang w:eastAsia="zh-CN" w:bidi="ar"/>
        </w:rPr>
        <w:t>国家法定节假日除外。</w:t>
      </w:r>
      <w:r>
        <w:rPr>
          <w:rFonts w:hint="eastAsia" w:ascii="宋体" w:hAnsi="宋体" w:eastAsia="宋体" w:cs="宋体"/>
          <w:color w:val="auto"/>
          <w:kern w:val="2"/>
          <w:sz w:val="24"/>
          <w:szCs w:val="24"/>
          <w:lang w:eastAsia="zh-CN" w:bidi="ar"/>
        </w:rPr>
        <w:t>确认完毕后方可下载文件，文件获取截止时间为开标截止时间前。</w:t>
      </w:r>
    </w:p>
    <w:p w14:paraId="2C6BB05E">
      <w:pPr>
        <w:widowControl w:val="0"/>
        <w:kinsoku/>
        <w:adjustRightInd/>
        <w:snapToGrid/>
        <w:spacing w:before="1" w:line="480" w:lineRule="exact"/>
        <w:ind w:right="-42" w:rightChars="-20"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③未完成网上投标成功的或未向采购代理公司报名确认的，视为报名失败。</w:t>
      </w:r>
    </w:p>
    <w:p w14:paraId="3A59C683">
      <w:pPr>
        <w:widowControl w:val="0"/>
        <w:kinsoku/>
        <w:adjustRightInd/>
        <w:snapToGrid/>
        <w:spacing w:before="161" w:line="480" w:lineRule="exact"/>
        <w:ind w:right="-42" w:rightChars="-20" w:firstLine="472" w:firstLineChars="200"/>
        <w:jc w:val="both"/>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pacing w:val="-2"/>
          <w:sz w:val="24"/>
          <w:lang w:eastAsia="zh-CN"/>
        </w:rPr>
        <w:t>④本项目采用电子化投标及远程不见面开标方式。投标人须使用数字认证证书对</w:t>
      </w:r>
      <w:r>
        <w:rPr>
          <w:rFonts w:hint="eastAsia" w:asciiTheme="majorEastAsia" w:hAnsiTheme="majorEastAsia" w:eastAsiaTheme="majorEastAsia" w:cstheme="majorEastAsia"/>
          <w:color w:val="auto"/>
          <w:spacing w:val="-6"/>
          <w:sz w:val="24"/>
          <w:lang w:eastAsia="zh-CN"/>
        </w:rPr>
        <w:t>电子招标文件进行签章、加密、递交及开标时解密等相关招投标事宜。开标前，供应商需登录网络开标大厅。开标时，按照工作人员要求进行远程解密，如因供应商自身原因</w:t>
      </w:r>
      <w:r>
        <w:rPr>
          <w:rFonts w:hint="eastAsia" w:asciiTheme="majorEastAsia" w:hAnsiTheme="majorEastAsia" w:eastAsiaTheme="majorEastAsia" w:cstheme="majorEastAsia"/>
          <w:color w:val="auto"/>
          <w:sz w:val="24"/>
          <w:lang w:eastAsia="zh-CN"/>
        </w:rPr>
        <w:t>造成无法签到或解密招标文件，按无效投标对待。</w:t>
      </w:r>
    </w:p>
    <w:p w14:paraId="21216A8E">
      <w:pPr>
        <w:widowControl w:val="0"/>
        <w:kinsoku/>
        <w:adjustRightInd/>
        <w:snapToGrid/>
        <w:spacing w:before="2" w:line="480" w:lineRule="exact"/>
        <w:ind w:right="-42" w:rightChars="-20" w:firstLine="460" w:firstLineChars="200"/>
        <w:jc w:val="both"/>
        <w:textAlignment w:val="auto"/>
        <w:rPr>
          <w:rFonts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color w:val="auto"/>
          <w:spacing w:val="-5"/>
          <w:sz w:val="24"/>
          <w:lang w:eastAsia="zh-CN"/>
        </w:rPr>
        <w:t>备注：请各投标人领取磋商文件后，按照陕西省财政厅《关于政府采购供应商注</w:t>
      </w:r>
      <w:r>
        <w:rPr>
          <w:rFonts w:hint="eastAsia" w:asciiTheme="majorEastAsia" w:hAnsiTheme="majorEastAsia" w:eastAsiaTheme="majorEastAsia" w:cstheme="majorEastAsia"/>
          <w:color w:val="auto"/>
          <w:spacing w:val="-6"/>
          <w:sz w:val="24"/>
          <w:lang w:eastAsia="zh-CN"/>
        </w:rPr>
        <w:t>册登记有关事项的通知》要求，通过陕西省政府采购网注册登记加入陕西省政府采购供</w:t>
      </w:r>
      <w:r>
        <w:rPr>
          <w:rFonts w:hint="eastAsia" w:asciiTheme="majorEastAsia" w:hAnsiTheme="majorEastAsia" w:eastAsiaTheme="majorEastAsia" w:cstheme="majorEastAsia"/>
          <w:color w:val="auto"/>
          <w:sz w:val="24"/>
          <w:lang w:eastAsia="zh-CN"/>
        </w:rPr>
        <w:t>应商库。</w:t>
      </w:r>
    </w:p>
    <w:p w14:paraId="1A0190B2">
      <w:pPr>
        <w:kinsoku/>
        <w:adjustRightInd/>
        <w:snapToGrid/>
        <w:spacing w:before="140" w:line="480" w:lineRule="exact"/>
        <w:ind w:firstLine="482" w:firstLineChars="200"/>
        <w:textAlignment w:val="auto"/>
        <w:outlineLvl w:val="1"/>
        <w:rPr>
          <w:rFonts w:asciiTheme="majorEastAsia" w:hAnsiTheme="majorEastAsia" w:eastAsiaTheme="majorEastAsia" w:cstheme="majorEastAsia"/>
          <w:color w:val="auto"/>
          <w:sz w:val="24"/>
          <w:szCs w:val="24"/>
          <w:lang w:eastAsia="zh-CN"/>
        </w:rPr>
      </w:pPr>
      <w:bookmarkStart w:id="18" w:name="_Toc21848"/>
      <w:r>
        <w:rPr>
          <w:rFonts w:hint="eastAsia" w:asciiTheme="majorEastAsia" w:hAnsiTheme="majorEastAsia" w:eastAsiaTheme="majorEastAsia" w:cstheme="majorEastAsia"/>
          <w:b/>
          <w:color w:val="auto"/>
          <w:sz w:val="24"/>
          <w:szCs w:val="24"/>
          <w:lang w:eastAsia="zh-CN"/>
        </w:rPr>
        <w:t>八、凡对本次采购提出询问，请按以下方式联系。</w:t>
      </w:r>
      <w:bookmarkEnd w:id="18"/>
    </w:p>
    <w:p w14:paraId="4918BE9A">
      <w:pPr>
        <w:pStyle w:val="15"/>
        <w:kinsoku/>
        <w:adjustRightInd/>
        <w:snapToGrid/>
        <w:spacing w:before="0" w:beforeAutospacing="0" w:after="0" w:afterAutospacing="0" w:line="480" w:lineRule="exact"/>
        <w:ind w:firstLine="42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1、采购人信息： 石泉县职业技术教育中心</w:t>
      </w:r>
    </w:p>
    <w:p w14:paraId="5554EDCA">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联系人：陈晓英</w:t>
      </w:r>
    </w:p>
    <w:p w14:paraId="3633420A">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联系地址：石泉县城关镇杨柳新区</w:t>
      </w:r>
    </w:p>
    <w:p w14:paraId="6779436F">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联系电话：15336296457</w:t>
      </w:r>
    </w:p>
    <w:p w14:paraId="321CF64E">
      <w:pPr>
        <w:pStyle w:val="15"/>
        <w:kinsoku/>
        <w:adjustRightInd/>
        <w:snapToGrid/>
        <w:spacing w:before="0" w:beforeAutospacing="0" w:after="0" w:afterAutospacing="0" w:line="480" w:lineRule="exact"/>
        <w:ind w:firstLine="42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2、采购代理机构信息</w:t>
      </w:r>
    </w:p>
    <w:p w14:paraId="1C21E747">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名称：亿诚建设项目管理有限公司</w:t>
      </w:r>
    </w:p>
    <w:p w14:paraId="5BB25992">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联系地址：西安市高新区丈八五路高科one尚城A座10F</w:t>
      </w:r>
    </w:p>
    <w:p w14:paraId="64231A84">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联系方式：15229053396</w:t>
      </w:r>
    </w:p>
    <w:p w14:paraId="31BD2A0C">
      <w:pPr>
        <w:pStyle w:val="15"/>
        <w:kinsoku/>
        <w:adjustRightInd/>
        <w:snapToGrid/>
        <w:spacing w:before="0" w:beforeAutospacing="0" w:after="0" w:afterAutospacing="0" w:line="480" w:lineRule="exact"/>
        <w:ind w:left="420" w:leftChars="20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3、项目联系方式</w:t>
      </w:r>
    </w:p>
    <w:p w14:paraId="4102DE02">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项目联系人：刘恒云</w:t>
      </w:r>
    </w:p>
    <w:p w14:paraId="260BCFCA">
      <w:pPr>
        <w:pStyle w:val="15"/>
        <w:kinsoku/>
        <w:adjustRightInd/>
        <w:snapToGrid/>
        <w:spacing w:before="0" w:beforeAutospacing="0" w:after="0" w:afterAutospacing="0" w:line="480" w:lineRule="exact"/>
        <w:ind w:firstLine="840" w:firstLineChars="350"/>
        <w:textAlignment w:val="auto"/>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电 话：15229053396</w:t>
      </w:r>
    </w:p>
    <w:p w14:paraId="2E2F42CA">
      <w:pPr>
        <w:kinsoku/>
        <w:adjustRightInd/>
        <w:snapToGrid/>
        <w:spacing w:before="201" w:line="480" w:lineRule="exact"/>
        <w:ind w:right="1048"/>
        <w:jc w:val="right"/>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亿诚建设项目管理有限公司</w:t>
      </w:r>
    </w:p>
    <w:p w14:paraId="66220105">
      <w:pPr>
        <w:kinsoku/>
        <w:adjustRightInd/>
        <w:snapToGrid/>
        <w:spacing w:before="201" w:line="480" w:lineRule="exact"/>
        <w:ind w:right="1048"/>
        <w:jc w:val="center"/>
        <w:textAlignment w:val="auto"/>
        <w:outlineLvl w:val="1"/>
        <w:rPr>
          <w:rFonts w:asciiTheme="majorEastAsia" w:hAnsiTheme="majorEastAsia" w:eastAsiaTheme="majorEastAsia" w:cstheme="majorEastAsia"/>
          <w:color w:val="auto"/>
          <w:sz w:val="24"/>
          <w:szCs w:val="24"/>
          <w:shd w:val="clear" w:color="auto" w:fill="FFFF00"/>
          <w:lang w:eastAsia="zh-CN"/>
        </w:rPr>
      </w:pPr>
      <w:r>
        <w:rPr>
          <w:rFonts w:hint="eastAsia" w:asciiTheme="majorEastAsia" w:hAnsiTheme="majorEastAsia" w:eastAsiaTheme="majorEastAsia" w:cstheme="majorEastAsia"/>
          <w:color w:val="auto"/>
          <w:sz w:val="24"/>
          <w:szCs w:val="24"/>
          <w:lang w:eastAsia="zh-CN"/>
        </w:rPr>
        <w:t xml:space="preserve">                                            </w:t>
      </w:r>
      <w:bookmarkStart w:id="19" w:name="_Toc11027"/>
      <w:r>
        <w:rPr>
          <w:rFonts w:hint="eastAsia" w:asciiTheme="majorEastAsia" w:hAnsiTheme="majorEastAsia" w:eastAsiaTheme="majorEastAsia" w:cstheme="majorEastAsia"/>
          <w:color w:val="auto"/>
          <w:sz w:val="24"/>
          <w:szCs w:val="24"/>
          <w:lang w:eastAsia="zh-CN"/>
        </w:rPr>
        <w:t xml:space="preserve">     2024年11月08日</w:t>
      </w:r>
      <w:bookmarkEnd w:id="19"/>
    </w:p>
    <w:p w14:paraId="418DFB27">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7EE8D4F1">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453E1038">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7901191F">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3A2D9FDD">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035AC6D1">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4C89F81F">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64009FF1">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0704C2DC">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5CB43162">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07D7770A">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6FFE6677">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0DADC70A">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5EB97C02">
      <w:pPr>
        <w:pStyle w:val="2"/>
        <w:rPr>
          <w:color w:val="auto"/>
          <w:spacing w:val="8"/>
          <w:sz w:val="31"/>
          <w:szCs w:val="31"/>
          <w14:textOutline w14:w="5791" w14:cap="sq" w14:cmpd="sng" w14:algn="ctr">
            <w14:solidFill>
              <w14:srgbClr w14:val="000000"/>
            </w14:solidFill>
            <w14:prstDash w14:val="solid"/>
            <w14:bevel/>
          </w14:textOutline>
        </w:rPr>
      </w:pPr>
    </w:p>
    <w:p w14:paraId="0CD74D78">
      <w:pPr>
        <w:rPr>
          <w:color w:val="auto"/>
          <w:lang w:eastAsia="zh-CN"/>
        </w:rPr>
      </w:pPr>
    </w:p>
    <w:p w14:paraId="3AC3A7EC">
      <w:pPr>
        <w:spacing w:before="162" w:line="224" w:lineRule="auto"/>
        <w:ind w:left="3425"/>
        <w:outlineLvl w:val="0"/>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p>
    <w:p w14:paraId="7F0DCC77">
      <w:pPr>
        <w:spacing w:before="162" w:line="224" w:lineRule="auto"/>
        <w:ind w:left="3425"/>
        <w:outlineLvl w:val="0"/>
        <w:rPr>
          <w:rFonts w:ascii="宋体" w:hAnsi="宋体" w:eastAsia="宋体" w:cs="宋体"/>
          <w:color w:val="auto"/>
          <w:sz w:val="31"/>
          <w:szCs w:val="31"/>
          <w:lang w:eastAsia="zh-CN"/>
        </w:rPr>
      </w:pPr>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第二章</w:t>
      </w:r>
      <w:r>
        <w:rPr>
          <w:rFonts w:ascii="宋体" w:hAnsi="宋体" w:eastAsia="宋体" w:cs="宋体"/>
          <w:color w:val="auto"/>
          <w:spacing w:val="8"/>
          <w:sz w:val="31"/>
          <w:szCs w:val="31"/>
          <w:lang w:eastAsia="zh-CN"/>
        </w:rPr>
        <w:t xml:space="preserve">  </w:t>
      </w:r>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磋商须知</w:t>
      </w:r>
    </w:p>
    <w:p w14:paraId="4F69F93A">
      <w:pPr>
        <w:spacing w:before="236" w:line="221" w:lineRule="auto"/>
        <w:ind w:left="4011"/>
        <w:rPr>
          <w:rFonts w:ascii="宋体" w:hAnsi="宋体" w:eastAsia="宋体" w:cs="宋体"/>
          <w:color w:val="auto"/>
          <w:sz w:val="28"/>
          <w:szCs w:val="28"/>
          <w:lang w:eastAsia="zh-CN"/>
        </w:rPr>
      </w:pPr>
      <w:r>
        <w:rPr>
          <w:rFonts w:ascii="宋体" w:hAnsi="宋体" w:eastAsia="宋体" w:cs="宋体"/>
          <w:color w:val="auto"/>
          <w:spacing w:val="-16"/>
          <w:sz w:val="28"/>
          <w:szCs w:val="28"/>
          <w:lang w:eastAsia="zh-CN"/>
          <w14:textOutline w14:w="5105" w14:cap="sq" w14:cmpd="sng" w14:algn="ctr">
            <w14:solidFill>
              <w14:srgbClr w14:val="000000"/>
            </w14:solidFill>
            <w14:prstDash w14:val="solid"/>
            <w14:bevel/>
          </w14:textOutline>
        </w:rPr>
        <w:t>一</w:t>
      </w:r>
      <w:r>
        <w:rPr>
          <w:rFonts w:ascii="宋体" w:hAnsi="宋体" w:eastAsia="宋体" w:cs="宋体"/>
          <w:color w:val="auto"/>
          <w:spacing w:val="-109"/>
          <w:sz w:val="28"/>
          <w:szCs w:val="28"/>
          <w:lang w:eastAsia="zh-CN"/>
        </w:rPr>
        <w:t xml:space="preserve"> </w:t>
      </w:r>
      <w:r>
        <w:rPr>
          <w:rFonts w:ascii="宋体" w:hAnsi="宋体" w:eastAsia="宋体" w:cs="宋体"/>
          <w:color w:val="auto"/>
          <w:spacing w:val="-16"/>
          <w:sz w:val="28"/>
          <w:szCs w:val="28"/>
          <w:lang w:eastAsia="zh-CN"/>
          <w14:textOutline w14:w="5105" w14:cap="sq" w14:cmpd="sng" w14:algn="ctr">
            <w14:solidFill>
              <w14:srgbClr w14:val="000000"/>
            </w14:solidFill>
            <w14:prstDash w14:val="solid"/>
            <w14:bevel/>
          </w14:textOutline>
        </w:rPr>
        <w:t>、</w:t>
      </w:r>
      <w:r>
        <w:rPr>
          <w:rFonts w:ascii="宋体" w:hAnsi="宋体" w:eastAsia="宋体" w:cs="宋体"/>
          <w:color w:val="auto"/>
          <w:spacing w:val="18"/>
          <w:sz w:val="28"/>
          <w:szCs w:val="28"/>
          <w:lang w:eastAsia="zh-CN"/>
        </w:rPr>
        <w:t xml:space="preserve"> </w:t>
      </w:r>
      <w:r>
        <w:rPr>
          <w:rFonts w:ascii="宋体" w:hAnsi="宋体" w:eastAsia="宋体" w:cs="宋体"/>
          <w:color w:val="auto"/>
          <w:spacing w:val="-16"/>
          <w:sz w:val="28"/>
          <w:szCs w:val="28"/>
          <w:lang w:eastAsia="zh-CN"/>
          <w14:textOutline w14:w="5105" w14:cap="sq" w14:cmpd="sng" w14:algn="ctr">
            <w14:solidFill>
              <w14:srgbClr w14:val="000000"/>
            </w14:solidFill>
            <w14:prstDash w14:val="solid"/>
            <w14:bevel/>
          </w14:textOutline>
        </w:rPr>
        <w:t>总</w:t>
      </w:r>
      <w:r>
        <w:rPr>
          <w:rFonts w:ascii="宋体" w:hAnsi="宋体" w:eastAsia="宋体" w:cs="宋体"/>
          <w:color w:val="auto"/>
          <w:spacing w:val="18"/>
          <w:sz w:val="28"/>
          <w:szCs w:val="28"/>
          <w:lang w:eastAsia="zh-CN"/>
        </w:rPr>
        <w:t xml:space="preserve"> </w:t>
      </w:r>
      <w:r>
        <w:rPr>
          <w:rFonts w:ascii="宋体" w:hAnsi="宋体" w:eastAsia="宋体" w:cs="宋体"/>
          <w:color w:val="auto"/>
          <w:spacing w:val="-16"/>
          <w:sz w:val="28"/>
          <w:szCs w:val="28"/>
          <w:lang w:eastAsia="zh-CN"/>
          <w14:textOutline w14:w="5105" w14:cap="sq" w14:cmpd="sng" w14:algn="ctr">
            <w14:solidFill>
              <w14:srgbClr w14:val="000000"/>
            </w14:solidFill>
            <w14:prstDash w14:val="solid"/>
            <w14:bevel/>
          </w14:textOutline>
        </w:rPr>
        <w:t>则</w:t>
      </w:r>
    </w:p>
    <w:p w14:paraId="2F8AF39F">
      <w:pPr>
        <w:pStyle w:val="26"/>
        <w:spacing w:before="120" w:after="120"/>
        <w:rPr>
          <w:color w:val="auto"/>
          <w:lang w:eastAsia="zh-CN"/>
        </w:rPr>
      </w:pPr>
      <w:r>
        <w:rPr>
          <w:rFonts w:hint="eastAsia"/>
          <w:color w:val="auto"/>
          <w:lang w:eastAsia="zh-CN"/>
        </w:rPr>
        <w:t>一、总则</w:t>
      </w:r>
    </w:p>
    <w:p w14:paraId="00B0F488">
      <w:pPr>
        <w:pStyle w:val="27"/>
        <w:ind w:firstLine="482"/>
        <w:rPr>
          <w:b/>
          <w:color w:val="auto"/>
          <w:lang w:eastAsia="zh-CN"/>
        </w:rPr>
      </w:pPr>
      <w:r>
        <w:rPr>
          <w:b/>
          <w:color w:val="auto"/>
          <w:lang w:eastAsia="zh-CN"/>
        </w:rPr>
        <w:t>1.适用范围</w:t>
      </w:r>
    </w:p>
    <w:p w14:paraId="1FA1A9C0">
      <w:pPr>
        <w:pStyle w:val="27"/>
        <w:ind w:firstLine="480"/>
        <w:rPr>
          <w:color w:val="auto"/>
          <w:lang w:eastAsia="zh-CN"/>
        </w:rPr>
      </w:pPr>
      <w:r>
        <w:rPr>
          <w:color w:val="auto"/>
          <w:lang w:eastAsia="zh-CN"/>
        </w:rPr>
        <w:t>1.1本磋商文件仅适用于本次竞争性磋商采购项目。</w:t>
      </w:r>
    </w:p>
    <w:p w14:paraId="17F9E1E7">
      <w:pPr>
        <w:pStyle w:val="27"/>
        <w:ind w:firstLine="480"/>
        <w:rPr>
          <w:color w:val="auto"/>
          <w:lang w:eastAsia="zh-CN"/>
        </w:rPr>
      </w:pPr>
      <w:r>
        <w:rPr>
          <w:color w:val="auto"/>
          <w:lang w:eastAsia="zh-CN"/>
        </w:rPr>
        <w:t>1.2、本磋商文件的最终解释权由采购人名称和亿诚建设项目管理有限公司享有。对磋商文件中供应商参加本次政府采购活动应当具备的条件，磋商项目技术、服务、商务及其他要求，评审细则及标准由采购人名称负责解释。除上述磋商文件内容，其他内容由亿诚建设项目管理有限公司负责解释。</w:t>
      </w:r>
    </w:p>
    <w:p w14:paraId="685C0DE8">
      <w:pPr>
        <w:pStyle w:val="27"/>
        <w:ind w:firstLine="482"/>
        <w:rPr>
          <w:b/>
          <w:color w:val="auto"/>
          <w:lang w:eastAsia="zh-CN"/>
        </w:rPr>
      </w:pPr>
      <w:r>
        <w:rPr>
          <w:b/>
          <w:color w:val="auto"/>
          <w:lang w:eastAsia="zh-CN"/>
        </w:rPr>
        <w:t>2.有关定义</w:t>
      </w:r>
    </w:p>
    <w:p w14:paraId="2E8E5B35">
      <w:pPr>
        <w:pStyle w:val="27"/>
        <w:ind w:firstLine="480"/>
        <w:rPr>
          <w:color w:val="auto"/>
          <w:lang w:eastAsia="zh-CN"/>
        </w:rPr>
      </w:pPr>
      <w:r>
        <w:rPr>
          <w:color w:val="auto"/>
          <w:lang w:eastAsia="zh-CN"/>
        </w:rPr>
        <w:t>2.1采购人是指依法进行政府采购的各级国家机关、事业单位、团体组织。本次磋商的采购人是</w:t>
      </w:r>
      <w:r>
        <w:rPr>
          <w:rFonts w:hint="eastAsia"/>
          <w:color w:val="auto"/>
          <w:lang w:eastAsia="zh-CN"/>
        </w:rPr>
        <w:t>石泉县职业技术教育中心</w:t>
      </w:r>
      <w:r>
        <w:rPr>
          <w:color w:val="auto"/>
          <w:lang w:eastAsia="zh-CN"/>
        </w:rPr>
        <w:t xml:space="preserve"> 。</w:t>
      </w:r>
    </w:p>
    <w:p w14:paraId="264DBADA">
      <w:pPr>
        <w:pStyle w:val="27"/>
        <w:ind w:firstLine="480"/>
        <w:rPr>
          <w:color w:val="auto"/>
          <w:lang w:eastAsia="zh-CN"/>
        </w:rPr>
      </w:pPr>
      <w:r>
        <w:rPr>
          <w:color w:val="auto"/>
          <w:lang w:eastAsia="zh-CN"/>
        </w:rPr>
        <w:t>2.2监督机构是指政府采购行政监督管理部门。本次采购的监督机构：</w:t>
      </w:r>
      <w:r>
        <w:rPr>
          <w:rFonts w:hint="eastAsia"/>
          <w:color w:val="auto"/>
          <w:lang w:eastAsia="zh-CN"/>
        </w:rPr>
        <w:t>石泉县政府采购管理股、石泉县教育体育和科技局</w:t>
      </w:r>
      <w:r>
        <w:rPr>
          <w:color w:val="auto"/>
          <w:lang w:eastAsia="zh-CN"/>
        </w:rPr>
        <w:t>。</w:t>
      </w:r>
    </w:p>
    <w:p w14:paraId="0F05F253">
      <w:pPr>
        <w:pStyle w:val="27"/>
        <w:ind w:firstLine="480"/>
        <w:rPr>
          <w:color w:val="auto"/>
          <w:lang w:eastAsia="zh-CN"/>
        </w:rPr>
      </w:pPr>
      <w:r>
        <w:rPr>
          <w:color w:val="auto"/>
          <w:lang w:eastAsia="zh-CN"/>
        </w:rPr>
        <w:t>2.3采购代理机构是指政府采购集中采购机构和从事政府采购代理业务的社会中介机构。本项目的代理机构是亿诚建设项目管理有限公司。</w:t>
      </w:r>
    </w:p>
    <w:p w14:paraId="722E054F">
      <w:pPr>
        <w:pStyle w:val="27"/>
        <w:ind w:firstLine="480"/>
        <w:rPr>
          <w:color w:val="auto"/>
          <w:lang w:eastAsia="zh-CN"/>
        </w:rPr>
      </w:pPr>
      <w:r>
        <w:rPr>
          <w:color w:val="auto"/>
          <w:lang w:eastAsia="zh-CN"/>
        </w:rPr>
        <w:t>2.4供应商是指在按照磋商公告规定获取磋商文件，拟参加响应和向采购人提供货物、工程或服务的法人、其他组织或自然人。</w:t>
      </w:r>
    </w:p>
    <w:p w14:paraId="6A8E9983">
      <w:pPr>
        <w:pStyle w:val="27"/>
        <w:ind w:firstLine="480"/>
        <w:rPr>
          <w:color w:val="auto"/>
          <w:lang w:eastAsia="zh-CN"/>
        </w:rPr>
      </w:pPr>
      <w:r>
        <w:rPr>
          <w:color w:val="auto"/>
          <w:lang w:eastAsia="zh-CN"/>
        </w:rPr>
        <w:t>2.5联合体是指两个以上的自然人、法人或者其他组织组成一个联合体，以一个供应商的身份共同参加政府采购。</w:t>
      </w:r>
    </w:p>
    <w:p w14:paraId="7BA4337E">
      <w:pPr>
        <w:pStyle w:val="27"/>
        <w:ind w:firstLine="480"/>
        <w:rPr>
          <w:color w:val="auto"/>
          <w:lang w:eastAsia="zh-CN"/>
        </w:rPr>
      </w:pPr>
      <w:r>
        <w:rPr>
          <w:color w:val="auto"/>
          <w:lang w:eastAsia="zh-CN"/>
        </w:rPr>
        <w:t>2.6 节能产品是指财政部、发展改革委、生态环境部等部门发布的《节能产品品目清单》中的产品。</w:t>
      </w:r>
    </w:p>
    <w:p w14:paraId="6558611B">
      <w:pPr>
        <w:pStyle w:val="27"/>
        <w:ind w:firstLine="480"/>
        <w:rPr>
          <w:color w:val="auto"/>
          <w:lang w:eastAsia="zh-CN"/>
        </w:rPr>
      </w:pPr>
      <w:r>
        <w:rPr>
          <w:color w:val="auto"/>
          <w:lang w:eastAsia="zh-CN"/>
        </w:rPr>
        <w:t>2.7 环境标志产品是指财政部、发展改革委、生态环境部等部门发布的《环境标志产品品目清单》中的产品。</w:t>
      </w:r>
    </w:p>
    <w:p w14:paraId="0A923E3A">
      <w:pPr>
        <w:pStyle w:val="27"/>
        <w:ind w:firstLine="480"/>
        <w:rPr>
          <w:color w:val="auto"/>
          <w:lang w:eastAsia="zh-CN"/>
        </w:rPr>
      </w:pPr>
      <w:r>
        <w:rPr>
          <w:color w:val="auto"/>
          <w:lang w:eastAsia="zh-CN"/>
        </w:rPr>
        <w:t>2.8 进口产品是指通过中国海关报关验放进入中国境内且产自关境外的产品，详见《关于政府采购进口产品管理有关问题的通知》(财库[2007]119号)。</w:t>
      </w:r>
    </w:p>
    <w:p w14:paraId="2769DC63">
      <w:pPr>
        <w:pStyle w:val="27"/>
        <w:ind w:firstLine="480"/>
        <w:rPr>
          <w:color w:val="auto"/>
          <w:lang w:eastAsia="zh-CN"/>
        </w:rPr>
      </w:pPr>
      <w:r>
        <w:rPr>
          <w:color w:val="auto"/>
          <w:lang w:eastAsia="zh-CN"/>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233886FA">
      <w:pPr>
        <w:pStyle w:val="27"/>
        <w:ind w:firstLine="480"/>
        <w:rPr>
          <w:color w:val="auto"/>
          <w:lang w:eastAsia="zh-CN"/>
        </w:rPr>
      </w:pPr>
      <w:r>
        <w:rPr>
          <w:color w:val="auto"/>
          <w:lang w:eastAsia="zh-CN"/>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9EE376">
      <w:pPr>
        <w:pStyle w:val="27"/>
        <w:ind w:firstLine="480"/>
        <w:rPr>
          <w:color w:val="auto"/>
          <w:lang w:eastAsia="zh-CN"/>
        </w:rPr>
      </w:pPr>
      <w:r>
        <w:rPr>
          <w:color w:val="auto"/>
          <w:lang w:eastAsia="zh-CN"/>
        </w:rPr>
        <w:t>2.11 残疾人福利性单位是指符合《财政部、民政部、中国残疾人联合会关于促进残疾人就业政府采购政策的通知》（财库〔2017〕141号）规定条件的单位。</w:t>
      </w:r>
    </w:p>
    <w:p w14:paraId="4C88FA03">
      <w:pPr>
        <w:spacing w:before="184" w:line="220"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3．磋商费用</w:t>
      </w:r>
    </w:p>
    <w:p w14:paraId="3DEC1E41">
      <w:pPr>
        <w:spacing w:before="181"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供应商应承担所有与准备和参加磋商有关的全部费用。</w:t>
      </w:r>
    </w:p>
    <w:p w14:paraId="2651834C">
      <w:pPr>
        <w:pStyle w:val="9"/>
        <w:spacing w:line="260" w:lineRule="auto"/>
        <w:rPr>
          <w:color w:val="auto"/>
          <w:lang w:eastAsia="zh-CN"/>
        </w:rPr>
      </w:pPr>
    </w:p>
    <w:p w14:paraId="2026D2BA">
      <w:pPr>
        <w:spacing w:before="79" w:line="219" w:lineRule="auto"/>
        <w:ind w:left="362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二、竞争性磋商文件</w:t>
      </w:r>
    </w:p>
    <w:p w14:paraId="0C6EF46D">
      <w:pPr>
        <w:pStyle w:val="9"/>
        <w:spacing w:line="259" w:lineRule="auto"/>
        <w:rPr>
          <w:color w:val="auto"/>
          <w:lang w:eastAsia="zh-CN"/>
        </w:rPr>
      </w:pPr>
    </w:p>
    <w:p w14:paraId="17A3BEAF">
      <w:pPr>
        <w:spacing w:before="79"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4．竞争性磋商文件构成</w:t>
      </w:r>
    </w:p>
    <w:p w14:paraId="7FD7052E">
      <w:pPr>
        <w:spacing w:before="182" w:line="468" w:lineRule="exact"/>
        <w:ind w:left="480"/>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4.1</w:t>
      </w:r>
      <w:r>
        <w:rPr>
          <w:rFonts w:ascii="宋体" w:hAnsi="宋体" w:eastAsia="宋体" w:cs="宋体"/>
          <w:color w:val="auto"/>
          <w:spacing w:val="-36"/>
          <w:position w:val="17"/>
          <w:sz w:val="24"/>
          <w:szCs w:val="24"/>
          <w:lang w:eastAsia="zh-CN"/>
        </w:rPr>
        <w:t xml:space="preserve"> </w:t>
      </w:r>
      <w:r>
        <w:rPr>
          <w:rFonts w:ascii="宋体" w:hAnsi="宋体" w:eastAsia="宋体" w:cs="宋体"/>
          <w:color w:val="auto"/>
          <w:spacing w:val="-2"/>
          <w:position w:val="17"/>
          <w:sz w:val="24"/>
          <w:szCs w:val="24"/>
          <w:lang w:eastAsia="zh-CN"/>
        </w:rPr>
        <w:t>竞争性磋商文件包括下列内容：</w:t>
      </w:r>
    </w:p>
    <w:p w14:paraId="76EEAC18">
      <w:pPr>
        <w:spacing w:before="2" w:line="217"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竞争性磋商公告</w:t>
      </w:r>
    </w:p>
    <w:p w14:paraId="3D4D149F">
      <w:pPr>
        <w:spacing w:before="184" w:line="219" w:lineRule="auto"/>
        <w:ind w:left="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第二章  磋商须知</w:t>
      </w:r>
    </w:p>
    <w:p w14:paraId="511CF3FF">
      <w:pPr>
        <w:spacing w:before="183"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合同主要条款</w:t>
      </w:r>
    </w:p>
    <w:p w14:paraId="5EC96E7A">
      <w:pPr>
        <w:spacing w:before="183"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采购内容及需求</w:t>
      </w:r>
    </w:p>
    <w:p w14:paraId="70A02D49">
      <w:pPr>
        <w:spacing w:before="122"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第五章  磋商响应文件基本格式</w:t>
      </w:r>
    </w:p>
    <w:p w14:paraId="4BF64A19">
      <w:pPr>
        <w:spacing w:before="183" w:line="360" w:lineRule="auto"/>
        <w:ind w:right="103"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 供应商应仔细阅读竞争性磋商文件中的所有内容。如果供应商未按竞争性磋商文 件要求提供全部资料或提交的磋商响应文件没有对竞争性磋商文件做出实质性响应，供应</w:t>
      </w:r>
    </w:p>
    <w:p w14:paraId="42856F3B">
      <w:pPr>
        <w:spacing w:line="219" w:lineRule="auto"/>
        <w:ind w:left="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商承担其风险，并有可能导致竞争性磋商文件被拒绝。</w:t>
      </w:r>
    </w:p>
    <w:p w14:paraId="14091596">
      <w:pPr>
        <w:spacing w:before="183"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 磋商文件质疑与投诉：</w:t>
      </w:r>
    </w:p>
    <w:p w14:paraId="3B8DC53A">
      <w:pPr>
        <w:spacing w:before="182" w:line="468" w:lineRule="exact"/>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4.3.1 供应商对本次磋商采购活动有疑问的，按照国家《中</w:t>
      </w:r>
      <w:r>
        <w:rPr>
          <w:rFonts w:ascii="宋体" w:hAnsi="宋体" w:eastAsia="宋体" w:cs="宋体"/>
          <w:color w:val="auto"/>
          <w:spacing w:val="-3"/>
          <w:position w:val="17"/>
          <w:sz w:val="24"/>
          <w:szCs w:val="24"/>
          <w:lang w:eastAsia="zh-CN"/>
        </w:rPr>
        <w:t>华人民共和国政府采购法》</w:t>
      </w:r>
    </w:p>
    <w:p w14:paraId="48D42294">
      <w:pPr>
        <w:spacing w:before="1" w:line="218"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及中华人民共和国财政部令第</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94</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号《政府采购质疑和投诉办法》的规定办理。</w:t>
      </w:r>
    </w:p>
    <w:p w14:paraId="0D3F5FCF">
      <w:pPr>
        <w:spacing w:before="183"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6"/>
          <w:sz w:val="24"/>
          <w:szCs w:val="24"/>
          <w:lang w:eastAsia="zh-CN"/>
        </w:rPr>
        <w:t xml:space="preserve"> </w:t>
      </w:r>
      <w:r>
        <w:rPr>
          <w:rFonts w:ascii="宋体" w:hAnsi="宋体" w:eastAsia="宋体" w:cs="宋体"/>
          <w:color w:val="auto"/>
          <w:spacing w:val="-1"/>
          <w:sz w:val="24"/>
          <w:szCs w:val="24"/>
          <w:lang w:eastAsia="zh-CN"/>
        </w:rPr>
        <w:t>供应商在法定质疑期内一次性提出针对同一采购程序环节的质疑。</w:t>
      </w:r>
    </w:p>
    <w:p w14:paraId="534B4C15">
      <w:pPr>
        <w:spacing w:before="185" w:line="289" w:lineRule="auto"/>
        <w:ind w:left="480" w:right="597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4.3.3 递交质疑函有关说明：</w:t>
      </w:r>
      <w:r>
        <w:rPr>
          <w:rFonts w:ascii="宋体" w:hAnsi="宋体" w:eastAsia="宋体" w:cs="宋体"/>
          <w:color w:val="auto"/>
          <w:spacing w:val="10"/>
          <w:sz w:val="24"/>
          <w:szCs w:val="24"/>
          <w:lang w:eastAsia="zh-CN"/>
        </w:rPr>
        <w:t xml:space="preserve"> </w:t>
      </w:r>
      <w:r>
        <w:rPr>
          <w:rFonts w:ascii="宋体" w:hAnsi="宋体" w:eastAsia="宋体" w:cs="宋体"/>
          <w:color w:val="auto"/>
          <w:spacing w:val="-1"/>
          <w:sz w:val="24"/>
          <w:szCs w:val="24"/>
          <w:lang w:eastAsia="zh-CN"/>
        </w:rPr>
        <w:t>接收方式：书面形式</w:t>
      </w:r>
    </w:p>
    <w:p w14:paraId="0AB2B133">
      <w:pPr>
        <w:spacing w:before="184" w:line="219" w:lineRule="auto"/>
        <w:ind w:left="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联系部门：</w:t>
      </w:r>
      <w:r>
        <w:rPr>
          <w:rFonts w:hint="eastAsia" w:ascii="宋体" w:hAnsi="宋体" w:eastAsia="宋体" w:cs="宋体"/>
          <w:color w:val="auto"/>
          <w:spacing w:val="-2"/>
          <w:sz w:val="24"/>
          <w:szCs w:val="24"/>
          <w:lang w:eastAsia="zh-CN"/>
        </w:rPr>
        <w:t>亿诚建设项目管理有限公司石泉分公司</w:t>
      </w:r>
      <w:r>
        <w:rPr>
          <w:rFonts w:ascii="宋体" w:hAnsi="宋体" w:eastAsia="宋体" w:cs="宋体"/>
          <w:color w:val="auto"/>
          <w:spacing w:val="-2"/>
          <w:sz w:val="24"/>
          <w:szCs w:val="24"/>
          <w:lang w:eastAsia="zh-CN"/>
        </w:rPr>
        <w:t>招标部</w:t>
      </w:r>
    </w:p>
    <w:p w14:paraId="0444B6C4">
      <w:pPr>
        <w:spacing w:before="184" w:line="221"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联系电话：</w:t>
      </w:r>
      <w:r>
        <w:rPr>
          <w:rFonts w:hint="eastAsia" w:ascii="宋体" w:hAnsi="宋体" w:eastAsia="宋体" w:cs="宋体"/>
          <w:color w:val="auto"/>
          <w:spacing w:val="-1"/>
          <w:sz w:val="24"/>
          <w:szCs w:val="24"/>
          <w:lang w:eastAsia="zh-CN"/>
        </w:rPr>
        <w:t>15229053396</w:t>
      </w:r>
    </w:p>
    <w:p w14:paraId="5B242A62">
      <w:pPr>
        <w:spacing w:before="180" w:line="219" w:lineRule="auto"/>
        <w:ind w:left="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通讯地址：</w:t>
      </w:r>
      <w:r>
        <w:rPr>
          <w:rFonts w:hint="eastAsia" w:ascii="宋体" w:hAnsi="宋体" w:eastAsia="宋体" w:cs="宋体"/>
          <w:color w:val="auto"/>
          <w:spacing w:val="-2"/>
          <w:sz w:val="24"/>
          <w:szCs w:val="24"/>
          <w:lang w:eastAsia="zh-CN"/>
        </w:rPr>
        <w:t>安康市石泉县育才北路4号金江花园后门</w:t>
      </w:r>
    </w:p>
    <w:p w14:paraId="157ADFC0">
      <w:pPr>
        <w:spacing w:before="183" w:line="219" w:lineRule="auto"/>
        <w:ind w:left="485"/>
        <w:rPr>
          <w:rFonts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5．磋商文件的澄清和修改</w:t>
      </w:r>
    </w:p>
    <w:p w14:paraId="25E67CAD">
      <w:pPr>
        <w:spacing w:before="183" w:line="360" w:lineRule="auto"/>
        <w:ind w:right="103"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提交首次响应文件截止之日前，采购人或者磋商小组可以对已发出的磋商文件进</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行必要的澄清或者修改，澄清或者修改的内容作为磋商文件的组成部分。澄清或者修改的</w:t>
      </w:r>
      <w:r>
        <w:rPr>
          <w:rFonts w:ascii="宋体" w:hAnsi="宋体" w:eastAsia="宋体" w:cs="宋体"/>
          <w:color w:val="auto"/>
          <w:spacing w:val="3"/>
          <w:sz w:val="24"/>
          <w:szCs w:val="24"/>
          <w:lang w:eastAsia="zh-CN"/>
        </w:rPr>
        <w:t xml:space="preserve"> </w:t>
      </w:r>
      <w:r>
        <w:rPr>
          <w:rFonts w:ascii="宋体" w:hAnsi="宋体" w:eastAsia="宋体" w:cs="宋体"/>
          <w:color w:val="auto"/>
          <w:spacing w:val="-1"/>
          <w:sz w:val="24"/>
          <w:szCs w:val="24"/>
          <w:lang w:eastAsia="zh-CN"/>
        </w:rPr>
        <w:t>内容可能影响响应文件编制的，采购人在提交首次响应文件截止时间</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5 日前，以书面形式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通知所有获取磋商文件的供应商；不足</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5 日的，采购人、采购代理机构应当顺延提交首次</w:t>
      </w:r>
    </w:p>
    <w:p w14:paraId="1649CDF8">
      <w:pPr>
        <w:spacing w:before="1" w:line="219" w:lineRule="auto"/>
        <w:ind w:left="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响应文件截止时间。</w:t>
      </w:r>
    </w:p>
    <w:p w14:paraId="286F63C2">
      <w:pPr>
        <w:spacing w:before="183" w:line="360" w:lineRule="auto"/>
        <w:ind w:right="103" w:firstLine="485"/>
        <w:rPr>
          <w:rFonts w:ascii="宋体" w:hAnsi="宋体" w:eastAsia="宋体" w:cs="宋体"/>
          <w:color w:val="auto"/>
          <w:sz w:val="24"/>
          <w:szCs w:val="24"/>
          <w:lang w:eastAsia="zh-CN"/>
        </w:rPr>
      </w:pPr>
      <w:r>
        <w:rPr>
          <w:rFonts w:ascii="宋体" w:hAnsi="宋体" w:eastAsia="宋体" w:cs="宋体"/>
          <w:color w:val="auto"/>
          <w:sz w:val="24"/>
          <w:szCs w:val="24"/>
          <w:lang w:eastAsia="zh-CN"/>
        </w:rPr>
        <w:t>5.2</w:t>
      </w:r>
      <w:r>
        <w:rPr>
          <w:rFonts w:ascii="宋体" w:hAnsi="宋体" w:eastAsia="宋体" w:cs="宋体"/>
          <w:color w:val="auto"/>
          <w:spacing w:val="-44"/>
          <w:sz w:val="24"/>
          <w:szCs w:val="24"/>
          <w:lang w:eastAsia="zh-CN"/>
        </w:rPr>
        <w:t xml:space="preserve"> </w:t>
      </w:r>
      <w:r>
        <w:rPr>
          <w:rFonts w:ascii="宋体" w:hAnsi="宋体" w:eastAsia="宋体" w:cs="宋体"/>
          <w:color w:val="auto"/>
          <w:sz w:val="24"/>
          <w:szCs w:val="24"/>
          <w:lang w:eastAsia="zh-CN"/>
        </w:rPr>
        <w:t>任何要求对磋商文件进行澄清的供应商均应在响应文件递交截止期</w:t>
      </w:r>
      <w:r>
        <w:rPr>
          <w:rFonts w:ascii="宋体" w:hAnsi="宋体" w:eastAsia="宋体" w:cs="宋体"/>
          <w:color w:val="auto"/>
          <w:spacing w:val="-41"/>
          <w:sz w:val="24"/>
          <w:szCs w:val="24"/>
          <w:lang w:eastAsia="zh-CN"/>
        </w:rPr>
        <w:t xml:space="preserve"> </w:t>
      </w:r>
      <w:r>
        <w:rPr>
          <w:rFonts w:ascii="宋体" w:hAnsi="宋体" w:eastAsia="宋体" w:cs="宋体"/>
          <w:color w:val="auto"/>
          <w:sz w:val="24"/>
          <w:szCs w:val="24"/>
          <w:lang w:eastAsia="zh-CN"/>
        </w:rPr>
        <w:t xml:space="preserve">3 日前以书面 </w:t>
      </w:r>
      <w:r>
        <w:rPr>
          <w:rFonts w:ascii="宋体" w:hAnsi="宋体" w:eastAsia="宋体" w:cs="宋体"/>
          <w:color w:val="auto"/>
          <w:spacing w:val="1"/>
          <w:sz w:val="24"/>
          <w:szCs w:val="24"/>
          <w:lang w:eastAsia="zh-CN"/>
        </w:rPr>
        <w:t>形式通知采购代理机构，采购代理机构对供应商所要求澄清的内容以书面形式予以答复。</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供应商在规定的时间内未要求对磋商文件澄清或提出疑问的，将视其为无异议。对磋商文件中描述有歧义或前后不一致的地方，磋商小组有权进行评判，但对同一条款的评判应适</w:t>
      </w:r>
      <w:r>
        <w:rPr>
          <w:rFonts w:ascii="宋体" w:hAnsi="宋体" w:eastAsia="宋体" w:cs="宋体"/>
          <w:color w:val="auto"/>
          <w:spacing w:val="-2"/>
          <w:sz w:val="24"/>
          <w:szCs w:val="24"/>
          <w:lang w:eastAsia="zh-CN"/>
        </w:rPr>
        <w:t>用于每个供应商。</w:t>
      </w:r>
    </w:p>
    <w:p w14:paraId="5452D9F3">
      <w:pPr>
        <w:spacing w:before="184" w:line="360" w:lineRule="auto"/>
        <w:ind w:left="5" w:right="105"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5.3</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采购代理机构对磋商文件的修改将以书面形式发给所有磋商文件收受人，该修改</w:t>
      </w:r>
      <w:r>
        <w:rPr>
          <w:rFonts w:ascii="宋体" w:hAnsi="宋体" w:eastAsia="宋体" w:cs="宋体"/>
          <w:color w:val="auto"/>
          <w:spacing w:val="-2"/>
          <w:sz w:val="24"/>
          <w:szCs w:val="24"/>
          <w:lang w:eastAsia="zh-CN"/>
        </w:rPr>
        <w:t>书将构成磋商文件的一部分,对供应商有约束力。供应商在收到通知后应立即以</w:t>
      </w:r>
      <w:r>
        <w:rPr>
          <w:rFonts w:ascii="宋体" w:hAnsi="宋体" w:eastAsia="宋体" w:cs="宋体"/>
          <w:color w:val="auto"/>
          <w:spacing w:val="-3"/>
          <w:sz w:val="24"/>
          <w:szCs w:val="24"/>
          <w:lang w:eastAsia="zh-CN"/>
        </w:rPr>
        <w:t>电话、电子</w:t>
      </w:r>
      <w:r>
        <w:rPr>
          <w:rFonts w:ascii="宋体" w:hAnsi="宋体" w:eastAsia="宋体" w:cs="宋体"/>
          <w:color w:val="auto"/>
          <w:spacing w:val="-2"/>
          <w:sz w:val="24"/>
          <w:szCs w:val="24"/>
          <w:lang w:eastAsia="zh-CN"/>
        </w:rPr>
        <w:t>邮件或其他书面形式予以确认。</w:t>
      </w:r>
    </w:p>
    <w:p w14:paraId="09801C44">
      <w:pPr>
        <w:spacing w:before="184" w:line="468" w:lineRule="exact"/>
        <w:ind w:left="485"/>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5.4</w:t>
      </w:r>
      <w:r>
        <w:rPr>
          <w:rFonts w:ascii="宋体" w:hAnsi="宋体" w:eastAsia="宋体" w:cs="宋体"/>
          <w:color w:val="auto"/>
          <w:spacing w:val="-41"/>
          <w:position w:val="17"/>
          <w:sz w:val="24"/>
          <w:szCs w:val="24"/>
          <w:lang w:eastAsia="zh-CN"/>
        </w:rPr>
        <w:t xml:space="preserve"> </w:t>
      </w:r>
      <w:r>
        <w:rPr>
          <w:rFonts w:ascii="宋体" w:hAnsi="宋体" w:eastAsia="宋体" w:cs="宋体"/>
          <w:color w:val="auto"/>
          <w:spacing w:val="2"/>
          <w:position w:val="17"/>
          <w:sz w:val="24"/>
          <w:szCs w:val="24"/>
          <w:lang w:eastAsia="zh-CN"/>
        </w:rPr>
        <w:t>在磋商过程中，磋商文件如有实质性变动的，磋商小组应当以书面形式通知所有</w:t>
      </w:r>
    </w:p>
    <w:p w14:paraId="12C92024">
      <w:pPr>
        <w:spacing w:before="1" w:line="218" w:lineRule="auto"/>
        <w:ind w:left="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参加磋商的供应商。</w:t>
      </w:r>
    </w:p>
    <w:p w14:paraId="48E2CAD6">
      <w:pPr>
        <w:spacing w:line="218" w:lineRule="auto"/>
        <w:rPr>
          <w:rFonts w:ascii="宋体" w:hAnsi="宋体" w:eastAsia="宋体" w:cs="宋体"/>
          <w:color w:val="auto"/>
          <w:sz w:val="24"/>
          <w:szCs w:val="24"/>
          <w:lang w:eastAsia="zh-CN"/>
        </w:rPr>
      </w:pPr>
    </w:p>
    <w:p w14:paraId="3F8C51B4">
      <w:pPr>
        <w:spacing w:before="122" w:line="468" w:lineRule="exact"/>
        <w:ind w:left="485"/>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5.5</w:t>
      </w:r>
      <w:r>
        <w:rPr>
          <w:rFonts w:ascii="宋体" w:hAnsi="宋体" w:eastAsia="宋体" w:cs="宋体"/>
          <w:color w:val="auto"/>
          <w:spacing w:val="-41"/>
          <w:position w:val="17"/>
          <w:sz w:val="24"/>
          <w:szCs w:val="24"/>
          <w:lang w:eastAsia="zh-CN"/>
        </w:rPr>
        <w:t xml:space="preserve"> </w:t>
      </w:r>
      <w:r>
        <w:rPr>
          <w:rFonts w:ascii="宋体" w:hAnsi="宋体" w:eastAsia="宋体" w:cs="宋体"/>
          <w:color w:val="auto"/>
          <w:spacing w:val="2"/>
          <w:position w:val="17"/>
          <w:sz w:val="24"/>
          <w:szCs w:val="24"/>
          <w:lang w:eastAsia="zh-CN"/>
        </w:rPr>
        <w:t>采购人可以视采购具体情况，延长磋商文件提交截止时间和磋商时间，并将变更</w:t>
      </w:r>
    </w:p>
    <w:p w14:paraId="052737B1">
      <w:pPr>
        <w:spacing w:line="218" w:lineRule="auto"/>
        <w:ind w:left="1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时间书面通知所有磋商文件收受人。</w:t>
      </w:r>
    </w:p>
    <w:p w14:paraId="4C9037D9">
      <w:pPr>
        <w:spacing w:before="183" w:line="219" w:lineRule="auto"/>
        <w:ind w:left="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6.竞争性磋商文件的解释权归采购人及采购代理机构。</w:t>
      </w:r>
    </w:p>
    <w:p w14:paraId="53BB62A9">
      <w:pPr>
        <w:pStyle w:val="9"/>
        <w:spacing w:line="260" w:lineRule="auto"/>
        <w:rPr>
          <w:color w:val="auto"/>
          <w:lang w:eastAsia="zh-CN"/>
        </w:rPr>
      </w:pPr>
    </w:p>
    <w:p w14:paraId="56C4DDA3">
      <w:pPr>
        <w:spacing w:before="78" w:line="219" w:lineRule="auto"/>
        <w:ind w:left="3384"/>
        <w:rPr>
          <w:rFonts w:ascii="宋体" w:hAnsi="宋体" w:eastAsia="宋体" w:cs="宋体"/>
          <w:color w:val="auto"/>
          <w:sz w:val="24"/>
          <w:szCs w:val="24"/>
          <w:lang w:eastAsia="zh-CN"/>
        </w:rPr>
      </w:pPr>
      <w:r>
        <w:rPr>
          <w:rFonts w:ascii="宋体" w:hAnsi="宋体" w:eastAsia="宋体" w:cs="宋体"/>
          <w:color w:val="auto"/>
          <w:sz w:val="24"/>
          <w:szCs w:val="24"/>
          <w:lang w:eastAsia="zh-CN"/>
          <w14:textOutline w14:w="4356" w14:cap="sq" w14:cmpd="sng" w14:algn="ctr">
            <w14:solidFill>
              <w14:srgbClr w14:val="000000"/>
            </w14:solidFill>
            <w14:prstDash w14:val="solid"/>
            <w14:bevel/>
          </w14:textOutline>
        </w:rPr>
        <w:t>三、磋商响应文件的编制</w:t>
      </w:r>
    </w:p>
    <w:p w14:paraId="597793CD">
      <w:pPr>
        <w:pStyle w:val="9"/>
        <w:spacing w:line="259" w:lineRule="auto"/>
        <w:rPr>
          <w:color w:val="auto"/>
          <w:lang w:eastAsia="zh-CN"/>
        </w:rPr>
      </w:pPr>
    </w:p>
    <w:p w14:paraId="5B6DF44A">
      <w:pPr>
        <w:spacing w:before="79"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7．编制要求</w:t>
      </w:r>
    </w:p>
    <w:p w14:paraId="2441AC67">
      <w:pPr>
        <w:spacing w:before="182"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7.1 本项目采用电子化投标方式投标。</w:t>
      </w:r>
    </w:p>
    <w:p w14:paraId="067FA604">
      <w:pPr>
        <w:spacing w:before="184" w:line="219" w:lineRule="auto"/>
        <w:ind w:left="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w:t>
      </w:r>
      <w:r>
        <w:rPr>
          <w:rFonts w:ascii="宋体" w:hAnsi="宋体" w:eastAsia="宋体" w:cs="宋体"/>
          <w:color w:val="auto"/>
          <w:spacing w:val="38"/>
          <w:sz w:val="24"/>
          <w:szCs w:val="24"/>
          <w:lang w:eastAsia="zh-CN"/>
        </w:rPr>
        <w:t xml:space="preserve"> </w:t>
      </w:r>
      <w:r>
        <w:rPr>
          <w:rFonts w:ascii="宋体" w:hAnsi="宋体" w:eastAsia="宋体" w:cs="宋体"/>
          <w:color w:val="auto"/>
          <w:spacing w:val="-5"/>
          <w:sz w:val="24"/>
          <w:szCs w:val="24"/>
          <w:lang w:eastAsia="zh-CN"/>
        </w:rPr>
        <w:t>电子磋商文件下载</w:t>
      </w:r>
    </w:p>
    <w:p w14:paraId="6A109C93">
      <w:pPr>
        <w:spacing w:before="183" w:line="360" w:lineRule="auto"/>
        <w:ind w:left="20" w:right="80" w:firstLine="46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供应商登录全国公共资源交易平台（陕西省）网站[电子交易平</w:t>
      </w:r>
      <w:r>
        <w:rPr>
          <w:rFonts w:ascii="宋体" w:hAnsi="宋体" w:eastAsia="宋体" w:cs="宋体"/>
          <w:color w:val="auto"/>
          <w:spacing w:val="-1"/>
          <w:sz w:val="24"/>
          <w:szCs w:val="24"/>
          <w:lang w:eastAsia="zh-CN"/>
        </w:rPr>
        <w:t>台-企业端]后，在[我</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的项目]中点击“项目流程-交易文件下载</w:t>
      </w:r>
      <w:r>
        <w:rPr>
          <w:rFonts w:ascii="宋体" w:hAnsi="宋体" w:eastAsia="宋体" w:cs="宋体"/>
          <w:color w:val="auto"/>
          <w:spacing w:val="-87"/>
          <w:sz w:val="24"/>
          <w:szCs w:val="24"/>
          <w:lang w:eastAsia="zh-CN"/>
        </w:rPr>
        <w:t xml:space="preserve"> </w:t>
      </w:r>
      <w:r>
        <w:rPr>
          <w:rFonts w:ascii="宋体" w:hAnsi="宋体" w:eastAsia="宋体" w:cs="宋体"/>
          <w:color w:val="auto"/>
          <w:spacing w:val="-2"/>
          <w:sz w:val="24"/>
          <w:szCs w:val="24"/>
          <w:lang w:eastAsia="zh-CN"/>
        </w:rPr>
        <w:t>”下载电子磋商文件（*.SXSZF</w:t>
      </w:r>
      <w:r>
        <w:rPr>
          <w:rFonts w:ascii="宋体" w:hAnsi="宋体" w:eastAsia="宋体" w:cs="宋体"/>
          <w:color w:val="auto"/>
          <w:spacing w:val="-17"/>
          <w:sz w:val="24"/>
          <w:szCs w:val="24"/>
          <w:lang w:eastAsia="zh-CN"/>
        </w:rPr>
        <w:t>）；（</w:t>
      </w:r>
      <w:r>
        <w:rPr>
          <w:rFonts w:ascii="宋体" w:hAnsi="宋体" w:eastAsia="宋体" w:cs="宋体"/>
          <w:color w:val="auto"/>
          <w:spacing w:val="-2"/>
          <w:sz w:val="24"/>
          <w:szCs w:val="24"/>
          <w:lang w:eastAsia="zh-CN"/>
        </w:rPr>
        <w:t>未完成网上</w:t>
      </w:r>
    </w:p>
    <w:p w14:paraId="1A53AB4A">
      <w:pPr>
        <w:spacing w:before="1" w:line="219" w:lineRule="auto"/>
        <w:ind w:left="3"/>
        <w:rPr>
          <w:rFonts w:ascii="宋体" w:hAnsi="宋体" w:eastAsia="宋体" w:cs="宋体"/>
          <w:color w:val="auto"/>
          <w:sz w:val="24"/>
          <w:szCs w:val="24"/>
          <w:lang w:eastAsia="zh-CN"/>
        </w:rPr>
      </w:pPr>
      <w:r>
        <w:rPr>
          <w:rFonts w:ascii="宋体" w:hAnsi="宋体" w:eastAsia="宋体" w:cs="宋体"/>
          <w:color w:val="auto"/>
          <w:sz w:val="24"/>
          <w:szCs w:val="24"/>
          <w:lang w:eastAsia="zh-CN"/>
        </w:rPr>
        <w:t>投标成功的或未在规定时间内在平台上下载</w:t>
      </w:r>
      <w:r>
        <w:rPr>
          <w:rFonts w:ascii="宋体" w:hAnsi="宋体" w:eastAsia="宋体" w:cs="宋体"/>
          <w:color w:val="auto"/>
          <w:spacing w:val="-1"/>
          <w:sz w:val="24"/>
          <w:szCs w:val="24"/>
          <w:lang w:eastAsia="zh-CN"/>
        </w:rPr>
        <w:t>文件的，无法完成后续流程）。</w:t>
      </w:r>
    </w:p>
    <w:p w14:paraId="16DF0157">
      <w:pPr>
        <w:spacing w:before="182" w:line="468" w:lineRule="exact"/>
        <w:ind w:left="480"/>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注意：该项目如有变更文件，则应点击“项目流程&gt;答疑文件下载</w:t>
      </w:r>
      <w:r>
        <w:rPr>
          <w:rFonts w:ascii="宋体" w:hAnsi="宋体" w:eastAsia="宋体" w:cs="宋体"/>
          <w:color w:val="auto"/>
          <w:spacing w:val="-86"/>
          <w:position w:val="17"/>
          <w:sz w:val="24"/>
          <w:szCs w:val="24"/>
          <w:lang w:eastAsia="zh-CN"/>
        </w:rPr>
        <w:t xml:space="preserve"> </w:t>
      </w:r>
      <w:r>
        <w:rPr>
          <w:rFonts w:ascii="宋体" w:hAnsi="宋体" w:eastAsia="宋体" w:cs="宋体"/>
          <w:color w:val="auto"/>
          <w:spacing w:val="-3"/>
          <w:position w:val="17"/>
          <w:sz w:val="24"/>
          <w:szCs w:val="24"/>
          <w:lang w:eastAsia="zh-CN"/>
        </w:rPr>
        <w:t>”下载更新后的电子</w:t>
      </w:r>
    </w:p>
    <w:p w14:paraId="044316B7">
      <w:pPr>
        <w:spacing w:before="1" w:line="219" w:lineRule="auto"/>
        <w:jc w:val="right"/>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磋商文件（*.SXSCF</w:t>
      </w:r>
      <w:r>
        <w:rPr>
          <w:rFonts w:ascii="宋体" w:hAnsi="宋体" w:eastAsia="宋体" w:cs="宋体"/>
          <w:color w:val="auto"/>
          <w:spacing w:val="-36"/>
          <w:sz w:val="24"/>
          <w:szCs w:val="24"/>
          <w:lang w:eastAsia="zh-CN"/>
        </w:rPr>
        <w:t>），</w:t>
      </w:r>
      <w:r>
        <w:rPr>
          <w:rFonts w:ascii="宋体" w:hAnsi="宋体" w:eastAsia="宋体" w:cs="宋体"/>
          <w:color w:val="auto"/>
          <w:spacing w:val="-4"/>
          <w:sz w:val="24"/>
          <w:szCs w:val="24"/>
          <w:lang w:eastAsia="zh-CN"/>
        </w:rPr>
        <w:t>使用旧版电子磋商文件制作的电子磋商响应文件，系统将拒绝接收。</w:t>
      </w:r>
    </w:p>
    <w:p w14:paraId="1CCB0F1F">
      <w:pPr>
        <w:spacing w:before="183" w:line="219" w:lineRule="auto"/>
        <w:ind w:left="48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7.3</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电子磋商文件需要使用专用软件打开、浏览</w:t>
      </w:r>
    </w:p>
    <w:p w14:paraId="350FEB49">
      <w:pPr>
        <w:spacing w:before="183" w:line="360" w:lineRule="auto"/>
        <w:ind w:left="2" w:right="77"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供应商登录全国公共资源交易平台（陕西省）网站[服务指南-下载专区]免费下载《陕</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西省公共资源交易平台政府采购电子标书制作工具》，并升级至最新版本，使用该客户端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可以打开电子磋商文件。软件操作手册详见全国公共资源交易平台（陕西省）网站[服</w:t>
      </w:r>
      <w:r>
        <w:rPr>
          <w:rFonts w:ascii="宋体" w:hAnsi="宋体" w:eastAsia="宋体" w:cs="宋体"/>
          <w:color w:val="auto"/>
          <w:spacing w:val="-3"/>
          <w:sz w:val="24"/>
          <w:szCs w:val="24"/>
          <w:lang w:eastAsia="zh-CN"/>
        </w:rPr>
        <w:t>务指</w:t>
      </w:r>
    </w:p>
    <w:p w14:paraId="3EC20CE3">
      <w:pPr>
        <w:spacing w:before="1" w:line="218" w:lineRule="auto"/>
        <w:ind w:left="3"/>
        <w:rPr>
          <w:rFonts w:ascii="宋体" w:hAnsi="宋体" w:eastAsia="宋体" w:cs="宋体"/>
          <w:color w:val="auto"/>
          <w:sz w:val="24"/>
          <w:szCs w:val="24"/>
          <w:lang w:eastAsia="zh-CN"/>
        </w:rPr>
      </w:pPr>
      <w:r>
        <w:rPr>
          <w:rFonts w:ascii="宋体" w:hAnsi="宋体" w:eastAsia="宋体" w:cs="宋体"/>
          <w:color w:val="auto"/>
          <w:sz w:val="24"/>
          <w:szCs w:val="24"/>
          <w:lang w:eastAsia="zh-CN"/>
        </w:rPr>
        <w:t>南-下载专区]中的《陕西省公共资源交易（政府采购类）</w:t>
      </w:r>
      <w:r>
        <w:rPr>
          <w:rFonts w:ascii="宋体" w:hAnsi="宋体" w:eastAsia="宋体" w:cs="宋体"/>
          <w:color w:val="auto"/>
          <w:spacing w:val="-1"/>
          <w:sz w:val="24"/>
          <w:szCs w:val="24"/>
          <w:lang w:eastAsia="zh-CN"/>
        </w:rPr>
        <w:t>投标文件制作软件操作手册》。</w:t>
      </w:r>
    </w:p>
    <w:p w14:paraId="3575313D">
      <w:pPr>
        <w:spacing w:before="184"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 制作电子磋商响应文件</w:t>
      </w:r>
    </w:p>
    <w:p w14:paraId="6BEEC3A7">
      <w:pPr>
        <w:spacing w:before="183" w:line="360" w:lineRule="auto"/>
        <w:ind w:right="80" w:firstLine="508"/>
        <w:rPr>
          <w:rFonts w:ascii="宋体" w:hAnsi="宋体" w:eastAsia="宋体" w:cs="宋体"/>
          <w:color w:val="auto"/>
          <w:sz w:val="24"/>
          <w:szCs w:val="24"/>
          <w:lang w:eastAsia="zh-CN"/>
        </w:rPr>
      </w:pPr>
      <w:r>
        <w:rPr>
          <w:rFonts w:ascii="宋体" w:hAnsi="宋体" w:eastAsia="宋体" w:cs="宋体"/>
          <w:color w:val="auto"/>
          <w:sz w:val="24"/>
          <w:szCs w:val="24"/>
          <w:lang w:eastAsia="zh-CN"/>
        </w:rPr>
        <w:t>电子磋商响应文件同样需要使用上述“</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陕西</w:t>
      </w:r>
      <w:r>
        <w:rPr>
          <w:rFonts w:ascii="宋体" w:hAnsi="宋体" w:eastAsia="宋体" w:cs="宋体"/>
          <w:color w:val="auto"/>
          <w:spacing w:val="-1"/>
          <w:sz w:val="24"/>
          <w:szCs w:val="24"/>
          <w:lang w:eastAsia="zh-CN"/>
        </w:rPr>
        <w:t>省公共资源交易平台政府采购电子标书制</w:t>
      </w:r>
      <w:r>
        <w:rPr>
          <w:rFonts w:ascii="宋体" w:hAnsi="宋体" w:eastAsia="宋体" w:cs="宋体"/>
          <w:color w:val="auto"/>
          <w:sz w:val="24"/>
          <w:szCs w:val="24"/>
          <w:lang w:eastAsia="zh-CN"/>
        </w:rPr>
        <w:t xml:space="preserve"> 作工具</w:t>
      </w:r>
      <w:r>
        <w:rPr>
          <w:rFonts w:ascii="宋体" w:hAnsi="宋体" w:eastAsia="宋体" w:cs="宋体"/>
          <w:color w:val="auto"/>
          <w:spacing w:val="-80"/>
          <w:sz w:val="24"/>
          <w:szCs w:val="24"/>
          <w:lang w:eastAsia="zh-CN"/>
        </w:rPr>
        <w:t xml:space="preserve"> </w:t>
      </w:r>
      <w:r>
        <w:rPr>
          <w:rFonts w:ascii="宋体" w:hAnsi="宋体" w:eastAsia="宋体" w:cs="宋体"/>
          <w:color w:val="auto"/>
          <w:sz w:val="24"/>
          <w:szCs w:val="24"/>
          <w:lang w:eastAsia="zh-CN"/>
        </w:rPr>
        <w:t>”软件（升级至最新版本）进行编制，使用该客户端制作电子磋商响应文件，制作 扩展名为“.SXSTF</w:t>
      </w:r>
      <w:r>
        <w:rPr>
          <w:rFonts w:ascii="宋体" w:hAnsi="宋体" w:eastAsia="宋体" w:cs="宋体"/>
          <w:color w:val="auto"/>
          <w:spacing w:val="-81"/>
          <w:sz w:val="24"/>
          <w:szCs w:val="24"/>
          <w:lang w:eastAsia="zh-CN"/>
        </w:rPr>
        <w:t xml:space="preserve"> </w:t>
      </w:r>
      <w:r>
        <w:rPr>
          <w:rFonts w:ascii="宋体" w:hAnsi="宋体" w:eastAsia="宋体" w:cs="宋体"/>
          <w:color w:val="auto"/>
          <w:sz w:val="24"/>
          <w:szCs w:val="24"/>
          <w:lang w:eastAsia="zh-CN"/>
        </w:rPr>
        <w:t>”的电子磋商响应文件。在编制过程中，如有技术性问题，请先翻阅操</w:t>
      </w:r>
    </w:p>
    <w:p w14:paraId="41D4DD59">
      <w:pPr>
        <w:spacing w:line="219" w:lineRule="auto"/>
        <w:ind w:left="1"/>
        <w:rPr>
          <w:rFonts w:ascii="宋体" w:hAnsi="宋体" w:eastAsia="宋体" w:cs="宋体"/>
          <w:color w:val="auto"/>
          <w:sz w:val="24"/>
          <w:szCs w:val="24"/>
          <w:lang w:eastAsia="zh-CN"/>
        </w:rPr>
      </w:pPr>
      <w:r>
        <w:rPr>
          <w:rFonts w:ascii="宋体" w:hAnsi="宋体" w:eastAsia="宋体" w:cs="宋体"/>
          <w:color w:val="auto"/>
          <w:sz w:val="24"/>
          <w:szCs w:val="24"/>
          <w:lang w:eastAsia="zh-CN"/>
        </w:rPr>
        <w:t>作手册或致电软件开发商，技术支持热线：4009280095</w:t>
      </w:r>
      <w:r>
        <w:rPr>
          <w:rFonts w:ascii="宋体" w:hAnsi="宋体" w:eastAsia="宋体" w:cs="宋体"/>
          <w:color w:val="auto"/>
          <w:spacing w:val="-1"/>
          <w:sz w:val="24"/>
          <w:szCs w:val="24"/>
          <w:lang w:eastAsia="zh-CN"/>
        </w:rPr>
        <w:t>、4009980000。</w:t>
      </w:r>
    </w:p>
    <w:p w14:paraId="1E3C6697">
      <w:pPr>
        <w:spacing w:before="184"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7.5 递交电子磋商响应文件</w:t>
      </w:r>
    </w:p>
    <w:p w14:paraId="0E387EBB">
      <w:pPr>
        <w:spacing w:before="183" w:line="360" w:lineRule="auto"/>
        <w:ind w:right="77" w:firstLine="509"/>
        <w:rPr>
          <w:rFonts w:ascii="宋体" w:hAnsi="宋体" w:eastAsia="宋体" w:cs="宋体"/>
          <w:color w:val="auto"/>
          <w:sz w:val="24"/>
          <w:szCs w:val="24"/>
          <w:lang w:eastAsia="zh-CN"/>
        </w:rPr>
      </w:pPr>
      <w:r>
        <w:rPr>
          <w:rFonts w:ascii="宋体" w:hAnsi="宋体" w:eastAsia="宋体" w:cs="宋体"/>
          <w:color w:val="auto"/>
          <w:sz w:val="24"/>
          <w:szCs w:val="24"/>
          <w:lang w:eastAsia="zh-CN"/>
        </w:rPr>
        <w:t>电子磋商响应文件可于提交磋商响应文件截止时间前任意时段登录全国公共资源交易</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平台（陕西省）网站[电子交易平台-企业端]进行提交，逾期系统将拒绝接收。提交时，供</w:t>
      </w:r>
      <w:r>
        <w:rPr>
          <w:rFonts w:ascii="宋体" w:hAnsi="宋体" w:eastAsia="宋体" w:cs="宋体"/>
          <w:color w:val="auto"/>
          <w:spacing w:val="5"/>
          <w:sz w:val="24"/>
          <w:szCs w:val="24"/>
          <w:lang w:eastAsia="zh-CN"/>
        </w:rPr>
        <w:t xml:space="preserve"> </w:t>
      </w:r>
      <w:r>
        <w:rPr>
          <w:rFonts w:ascii="宋体" w:hAnsi="宋体" w:eastAsia="宋体" w:cs="宋体"/>
          <w:color w:val="auto"/>
          <w:spacing w:val="1"/>
          <w:sz w:val="24"/>
          <w:szCs w:val="24"/>
          <w:lang w:eastAsia="zh-CN"/>
        </w:rPr>
        <w:t>应商应登录全国公共资源交易中心平台（陕西省</w:t>
      </w:r>
      <w:r>
        <w:rPr>
          <w:rFonts w:ascii="宋体" w:hAnsi="宋体" w:eastAsia="宋体" w:cs="宋体"/>
          <w:color w:val="auto"/>
          <w:spacing w:val="5"/>
          <w:sz w:val="24"/>
          <w:szCs w:val="24"/>
          <w:lang w:eastAsia="zh-CN"/>
        </w:rPr>
        <w:t>），</w:t>
      </w:r>
      <w:r>
        <w:rPr>
          <w:rFonts w:ascii="宋体" w:hAnsi="宋体" w:eastAsia="宋体" w:cs="宋体"/>
          <w:color w:val="auto"/>
          <w:spacing w:val="1"/>
          <w:sz w:val="24"/>
          <w:szCs w:val="24"/>
          <w:lang w:eastAsia="zh-CN"/>
        </w:rPr>
        <w:t>选择[“首页&gt;电子</w:t>
      </w:r>
      <w:r>
        <w:rPr>
          <w:rFonts w:ascii="宋体" w:hAnsi="宋体" w:eastAsia="宋体" w:cs="宋体"/>
          <w:color w:val="auto"/>
          <w:sz w:val="24"/>
          <w:szCs w:val="24"/>
          <w:lang w:eastAsia="zh-CN"/>
        </w:rPr>
        <w:t>交易平台&gt;企业端&gt; 我的项目</w:t>
      </w:r>
      <w:r>
        <w:rPr>
          <w:rFonts w:ascii="宋体" w:hAnsi="宋体" w:eastAsia="宋体" w:cs="宋体"/>
          <w:color w:val="auto"/>
          <w:spacing w:val="-80"/>
          <w:sz w:val="24"/>
          <w:szCs w:val="24"/>
          <w:lang w:eastAsia="zh-CN"/>
        </w:rPr>
        <w:t xml:space="preserve"> </w:t>
      </w:r>
      <w:r>
        <w:rPr>
          <w:rFonts w:ascii="宋体" w:hAnsi="宋体" w:eastAsia="宋体" w:cs="宋体"/>
          <w:color w:val="auto"/>
          <w:sz w:val="24"/>
          <w:szCs w:val="24"/>
          <w:lang w:eastAsia="zh-CN"/>
        </w:rPr>
        <w:t>”，点击[项目流程]，在打开的[项目管理]对话框中选择[上传响应文件]，上传</w:t>
      </w:r>
    </w:p>
    <w:p w14:paraId="2862978A">
      <w:pPr>
        <w:spacing w:line="218"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加密的电子磋商响应文件（*.SXSTF</w:t>
      </w:r>
      <w:r>
        <w:rPr>
          <w:rFonts w:ascii="宋体" w:hAnsi="宋体" w:eastAsia="宋体" w:cs="宋体"/>
          <w:color w:val="auto"/>
          <w:spacing w:val="12"/>
          <w:sz w:val="24"/>
          <w:szCs w:val="24"/>
          <w:lang w:eastAsia="zh-CN"/>
        </w:rPr>
        <w:t>），</w:t>
      </w:r>
      <w:r>
        <w:rPr>
          <w:rFonts w:ascii="宋体" w:hAnsi="宋体" w:eastAsia="宋体" w:cs="宋体"/>
          <w:color w:val="auto"/>
          <w:spacing w:val="-1"/>
          <w:sz w:val="24"/>
          <w:szCs w:val="24"/>
          <w:lang w:eastAsia="zh-CN"/>
        </w:rPr>
        <w:t>上传成功后，电子化平台将予以记录。</w:t>
      </w:r>
    </w:p>
    <w:p w14:paraId="695C472C">
      <w:pPr>
        <w:spacing w:before="185"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7.6</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文件的签署、递交及解密</w:t>
      </w:r>
    </w:p>
    <w:p w14:paraId="14234C1D">
      <w:pPr>
        <w:spacing w:line="219" w:lineRule="auto"/>
        <w:rPr>
          <w:rFonts w:ascii="宋体" w:hAnsi="宋体" w:eastAsia="宋体" w:cs="宋体"/>
          <w:color w:val="auto"/>
          <w:sz w:val="24"/>
          <w:szCs w:val="24"/>
          <w:lang w:eastAsia="zh-CN"/>
        </w:rPr>
      </w:pPr>
    </w:p>
    <w:p w14:paraId="292BA1F2">
      <w:pPr>
        <w:spacing w:before="48" w:line="219" w:lineRule="auto"/>
        <w:ind w:left="48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7.6.1</w:t>
      </w:r>
      <w:r>
        <w:rPr>
          <w:rFonts w:ascii="宋体" w:hAnsi="宋体" w:eastAsia="宋体" w:cs="宋体"/>
          <w:color w:val="auto"/>
          <w:spacing w:val="47"/>
          <w:sz w:val="24"/>
          <w:szCs w:val="24"/>
          <w:lang w:eastAsia="zh-CN"/>
        </w:rPr>
        <w:t xml:space="preserve"> </w:t>
      </w:r>
      <w:r>
        <w:rPr>
          <w:rFonts w:ascii="宋体" w:hAnsi="宋体" w:eastAsia="宋体" w:cs="宋体"/>
          <w:color w:val="auto"/>
          <w:spacing w:val="-4"/>
          <w:sz w:val="24"/>
          <w:szCs w:val="24"/>
          <w:lang w:eastAsia="zh-CN"/>
        </w:rPr>
        <w:t>电子磋商响应文件的签署</w:t>
      </w:r>
    </w:p>
    <w:p w14:paraId="09F0773E">
      <w:pPr>
        <w:spacing w:before="182" w:line="219" w:lineRule="auto"/>
        <w:ind w:left="51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电子磋商响应文件须在文件签章规定处由法定代表人或授权代表签</w:t>
      </w:r>
      <w:r>
        <w:rPr>
          <w:rFonts w:ascii="宋体" w:hAnsi="宋体" w:eastAsia="宋体" w:cs="宋体"/>
          <w:color w:val="auto"/>
          <w:spacing w:val="-2"/>
          <w:sz w:val="24"/>
          <w:szCs w:val="24"/>
          <w:lang w:eastAsia="zh-CN"/>
        </w:rPr>
        <w:t>字或盖章。</w:t>
      </w:r>
    </w:p>
    <w:p w14:paraId="691B2D15">
      <w:pPr>
        <w:spacing w:before="181" w:line="219"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7.6.2 文件的递交</w:t>
      </w:r>
    </w:p>
    <w:p w14:paraId="529D7B3C">
      <w:pPr>
        <w:spacing w:before="183" w:line="359" w:lineRule="auto"/>
        <w:ind w:left="1" w:right="235" w:firstLine="50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电子磋商响应文件可于提交磋商响应文件截止时间前任意时段登录全国公共资源</w:t>
      </w:r>
      <w:r>
        <w:rPr>
          <w:rFonts w:ascii="宋体" w:hAnsi="宋体" w:eastAsia="宋体" w:cs="宋体"/>
          <w:color w:val="auto"/>
          <w:spacing w:val="-2"/>
          <w:sz w:val="24"/>
          <w:szCs w:val="24"/>
          <w:lang w:eastAsia="zh-CN"/>
        </w:rPr>
        <w:t>交易</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平台（陕西省）网站[电子交易平台-企业端]进行提交，逾期系统将拒绝接收。提交时，供</w:t>
      </w:r>
      <w:r>
        <w:rPr>
          <w:rFonts w:ascii="宋体" w:hAnsi="宋体" w:eastAsia="宋体" w:cs="宋体"/>
          <w:color w:val="auto"/>
          <w:spacing w:val="2"/>
          <w:sz w:val="24"/>
          <w:szCs w:val="24"/>
          <w:lang w:eastAsia="zh-CN"/>
        </w:rPr>
        <w:t xml:space="preserve"> </w:t>
      </w:r>
      <w:r>
        <w:rPr>
          <w:rFonts w:ascii="宋体" w:hAnsi="宋体" w:eastAsia="宋体" w:cs="宋体"/>
          <w:color w:val="auto"/>
          <w:sz w:val="24"/>
          <w:szCs w:val="24"/>
          <w:lang w:eastAsia="zh-CN"/>
        </w:rPr>
        <w:t>应商应登录全国公共资源交易中心平台（陕西省</w:t>
      </w:r>
      <w:r>
        <w:rPr>
          <w:rFonts w:ascii="宋体" w:hAnsi="宋体" w:eastAsia="宋体" w:cs="宋体"/>
          <w:color w:val="auto"/>
          <w:spacing w:val="4"/>
          <w:sz w:val="24"/>
          <w:szCs w:val="24"/>
          <w:lang w:eastAsia="zh-CN"/>
        </w:rPr>
        <w:t>），</w:t>
      </w:r>
      <w:r>
        <w:rPr>
          <w:rFonts w:ascii="宋体" w:hAnsi="宋体" w:eastAsia="宋体" w:cs="宋体"/>
          <w:color w:val="auto"/>
          <w:spacing w:val="-1"/>
          <w:sz w:val="24"/>
          <w:szCs w:val="24"/>
          <w:lang w:eastAsia="zh-CN"/>
        </w:rPr>
        <w:t>选择[“首页&gt;电子交易平台&gt;企业端&gt;</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我的项目</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”，点击[项目流程]，在打开的[项目管理]对话框中选择[上传响应文件]，上传</w:t>
      </w:r>
    </w:p>
    <w:p w14:paraId="7E8D8941">
      <w:pPr>
        <w:spacing w:line="218" w:lineRule="auto"/>
        <w:ind w:left="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加密的电子磋商文件（*.SXSTF</w:t>
      </w:r>
      <w:r>
        <w:rPr>
          <w:rFonts w:ascii="宋体" w:hAnsi="宋体" w:eastAsia="宋体" w:cs="宋体"/>
          <w:color w:val="auto"/>
          <w:spacing w:val="11"/>
          <w:sz w:val="24"/>
          <w:szCs w:val="24"/>
          <w:lang w:eastAsia="zh-CN"/>
        </w:rPr>
        <w:t>），</w:t>
      </w:r>
      <w:r>
        <w:rPr>
          <w:rFonts w:ascii="宋体" w:hAnsi="宋体" w:eastAsia="宋体" w:cs="宋体"/>
          <w:color w:val="auto"/>
          <w:spacing w:val="-1"/>
          <w:sz w:val="24"/>
          <w:szCs w:val="24"/>
          <w:lang w:eastAsia="zh-CN"/>
        </w:rPr>
        <w:t>上传成功后，电子化平台将予以记录。</w:t>
      </w:r>
    </w:p>
    <w:p w14:paraId="16D7885D">
      <w:pPr>
        <w:spacing w:before="184" w:line="219" w:lineRule="auto"/>
        <w:ind w:left="3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7.6.3</w:t>
      </w:r>
      <w:r>
        <w:rPr>
          <w:rFonts w:ascii="宋体" w:hAnsi="宋体" w:eastAsia="宋体" w:cs="宋体"/>
          <w:color w:val="auto"/>
          <w:spacing w:val="47"/>
          <w:sz w:val="24"/>
          <w:szCs w:val="24"/>
          <w:lang w:eastAsia="zh-CN"/>
        </w:rPr>
        <w:t xml:space="preserve"> </w:t>
      </w:r>
      <w:r>
        <w:rPr>
          <w:rFonts w:ascii="宋体" w:hAnsi="宋体" w:eastAsia="宋体" w:cs="宋体"/>
          <w:color w:val="auto"/>
          <w:spacing w:val="-4"/>
          <w:sz w:val="24"/>
          <w:szCs w:val="24"/>
          <w:lang w:eastAsia="zh-CN"/>
        </w:rPr>
        <w:t>电子磋商响应文件的解密</w:t>
      </w:r>
    </w:p>
    <w:p w14:paraId="6597141A">
      <w:pPr>
        <w:spacing w:before="182" w:line="359" w:lineRule="auto"/>
        <w:ind w:left="5" w:right="234" w:firstLine="362"/>
        <w:jc w:val="both"/>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"file:///C:\\Users\\Think\\Desktop\\7.6.3.1" </w:instrText>
      </w:r>
      <w:r>
        <w:rPr>
          <w:color w:val="auto"/>
        </w:rPr>
        <w:fldChar w:fldCharType="separate"/>
      </w:r>
      <w:r>
        <w:rPr>
          <w:rFonts w:ascii="宋体" w:hAnsi="宋体" w:eastAsia="宋体" w:cs="宋体"/>
          <w:color w:val="auto"/>
          <w:spacing w:val="-1"/>
          <w:sz w:val="24"/>
          <w:szCs w:val="24"/>
          <w:lang w:eastAsia="zh-CN"/>
        </w:rPr>
        <w:t>7.6.3.1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本项目采用不见面开标系统：电子化投标方式投标，投标人须使用数字认证证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书（CA</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锁）对磋商响应文件进行签章、递交及开标时签到、解密等相关招投标事宜，如因</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投标人自身原因未正确使用数字认证证书（CA</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锁）造成无法解密磋商响应文件，按无效投</w:t>
      </w:r>
    </w:p>
    <w:p w14:paraId="6FEB0BC0">
      <w:pPr>
        <w:spacing w:before="1" w:line="219" w:lineRule="auto"/>
        <w:ind w:left="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标对待。</w:t>
      </w:r>
    </w:p>
    <w:p w14:paraId="272EAA94">
      <w:pPr>
        <w:spacing w:before="180" w:line="219" w:lineRule="auto"/>
        <w:ind w:left="488"/>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"file:///C:\\Users\\Think\\Desktop\\7.6.3.2" </w:instrText>
      </w:r>
      <w:r>
        <w:rPr>
          <w:color w:val="auto"/>
        </w:rPr>
        <w:fldChar w:fldCharType="separate"/>
      </w:r>
      <w:r>
        <w:rPr>
          <w:rFonts w:ascii="宋体" w:hAnsi="宋体" w:eastAsia="宋体" w:cs="宋体"/>
          <w:color w:val="auto"/>
          <w:spacing w:val="-2"/>
          <w:sz w:val="24"/>
          <w:szCs w:val="24"/>
          <w:lang w:eastAsia="zh-CN"/>
        </w:rPr>
        <w:t>7.6.3.2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9"/>
          <w:sz w:val="24"/>
          <w:szCs w:val="24"/>
          <w:lang w:eastAsia="zh-CN"/>
        </w:rPr>
        <w:t xml:space="preserve"> </w:t>
      </w:r>
      <w:r>
        <w:rPr>
          <w:rFonts w:ascii="宋体" w:hAnsi="宋体" w:eastAsia="宋体" w:cs="宋体"/>
          <w:color w:val="auto"/>
          <w:spacing w:val="-2"/>
          <w:sz w:val="24"/>
          <w:szCs w:val="24"/>
          <w:lang w:eastAsia="zh-CN"/>
        </w:rPr>
        <w:t>不见面开标系统：打开登录页面网址点击右上角“登录</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”，在左侧选择“投</w:t>
      </w:r>
    </w:p>
    <w:p w14:paraId="4452C3E9">
      <w:pPr>
        <w:spacing w:before="184" w:line="359" w:lineRule="auto"/>
        <w:ind w:left="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标人</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”身份，插入</w:t>
      </w:r>
      <w:r>
        <w:rPr>
          <w:rFonts w:ascii="宋体" w:hAnsi="宋体" w:eastAsia="宋体" w:cs="宋体"/>
          <w:color w:val="auto"/>
          <w:spacing w:val="-53"/>
          <w:sz w:val="24"/>
          <w:szCs w:val="24"/>
          <w:lang w:eastAsia="zh-CN"/>
        </w:rPr>
        <w:t xml:space="preserve"> </w:t>
      </w:r>
      <w:r>
        <w:rPr>
          <w:rFonts w:ascii="宋体" w:hAnsi="宋体" w:eastAsia="宋体" w:cs="宋体"/>
          <w:color w:val="auto"/>
          <w:spacing w:val="-4"/>
          <w:sz w:val="24"/>
          <w:szCs w:val="24"/>
          <w:lang w:eastAsia="zh-CN"/>
        </w:rPr>
        <w:t>CA</w:t>
      </w:r>
      <w:r>
        <w:rPr>
          <w:rFonts w:ascii="宋体" w:hAnsi="宋体" w:eastAsia="宋体" w:cs="宋体"/>
          <w:color w:val="auto"/>
          <w:spacing w:val="-50"/>
          <w:sz w:val="24"/>
          <w:szCs w:val="24"/>
          <w:lang w:eastAsia="zh-CN"/>
        </w:rPr>
        <w:t xml:space="preserve"> </w:t>
      </w:r>
      <w:r>
        <w:rPr>
          <w:rFonts w:ascii="宋体" w:hAnsi="宋体" w:eastAsia="宋体" w:cs="宋体"/>
          <w:color w:val="auto"/>
          <w:spacing w:val="-4"/>
          <w:sz w:val="24"/>
          <w:szCs w:val="24"/>
          <w:lang w:eastAsia="zh-CN"/>
        </w:rPr>
        <w:t>锁登录，输入密码后，点击“登录</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”，投标人登录后可以看到当</w:t>
      </w:r>
      <w:r>
        <w:rPr>
          <w:rFonts w:ascii="宋体" w:hAnsi="宋体" w:eastAsia="宋体" w:cs="宋体"/>
          <w:color w:val="auto"/>
          <w:spacing w:val="-5"/>
          <w:sz w:val="24"/>
          <w:szCs w:val="24"/>
          <w:lang w:eastAsia="zh-CN"/>
        </w:rPr>
        <w:t>前投</w:t>
      </w:r>
      <w:r>
        <w:rPr>
          <w:rFonts w:ascii="宋体" w:hAnsi="宋体" w:eastAsia="宋体" w:cs="宋体"/>
          <w:color w:val="auto"/>
          <w:sz w:val="24"/>
          <w:szCs w:val="24"/>
          <w:lang w:eastAsia="zh-CN"/>
        </w:rPr>
        <w:t xml:space="preserve">   标人今日开标项目；选择要开标的项目，点击进入，首先阅读开标流程，点击“我已阅读</w:t>
      </w:r>
      <w:r>
        <w:rPr>
          <w:rFonts w:ascii="宋体" w:hAnsi="宋体" w:eastAsia="宋体" w:cs="宋体"/>
          <w:color w:val="auto"/>
          <w:spacing w:val="-86"/>
          <w:sz w:val="24"/>
          <w:szCs w:val="24"/>
          <w:lang w:eastAsia="zh-CN"/>
        </w:rPr>
        <w:t xml:space="preserve"> </w:t>
      </w:r>
      <w:r>
        <w:rPr>
          <w:rFonts w:ascii="宋体" w:hAnsi="宋体" w:eastAsia="宋体" w:cs="宋体"/>
          <w:color w:val="auto"/>
          <w:sz w:val="24"/>
          <w:szCs w:val="24"/>
          <w:lang w:eastAsia="zh-CN"/>
        </w:rPr>
        <w:t>”</w:t>
      </w:r>
    </w:p>
    <w:p w14:paraId="36329ACF">
      <w:pPr>
        <w:spacing w:line="220" w:lineRule="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进入开标大厅，点击“取消</w:t>
      </w:r>
      <w:r>
        <w:rPr>
          <w:rFonts w:ascii="宋体" w:hAnsi="宋体" w:eastAsia="宋体" w:cs="宋体"/>
          <w:color w:val="auto"/>
          <w:spacing w:val="-85"/>
          <w:sz w:val="24"/>
          <w:szCs w:val="24"/>
          <w:lang w:eastAsia="zh-CN"/>
        </w:rPr>
        <w:t xml:space="preserve"> </w:t>
      </w:r>
      <w:r>
        <w:rPr>
          <w:rFonts w:ascii="宋体" w:hAnsi="宋体" w:eastAsia="宋体" w:cs="宋体"/>
          <w:color w:val="auto"/>
          <w:spacing w:val="-2"/>
          <w:sz w:val="24"/>
          <w:szCs w:val="24"/>
          <w:lang w:eastAsia="zh-CN"/>
        </w:rPr>
        <w:t>”返回项目列表页面。</w:t>
      </w:r>
    </w:p>
    <w:p w14:paraId="4E69D6E2">
      <w:pPr>
        <w:spacing w:before="179" w:line="220" w:lineRule="auto"/>
        <w:ind w:left="488"/>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"file:///C:\\Users\\Think\\Desktop\\7.6.3.3" </w:instrText>
      </w:r>
      <w:r>
        <w:rPr>
          <w:color w:val="auto"/>
        </w:rPr>
        <w:fldChar w:fldCharType="separate"/>
      </w:r>
      <w:r>
        <w:rPr>
          <w:rFonts w:ascii="宋体" w:hAnsi="宋体" w:eastAsia="宋体" w:cs="宋体"/>
          <w:color w:val="auto"/>
          <w:spacing w:val="-3"/>
          <w:sz w:val="24"/>
          <w:szCs w:val="24"/>
          <w:lang w:eastAsia="zh-CN"/>
        </w:rPr>
        <w:t>7.6.3.3</w:t>
      </w:r>
      <w:r>
        <w:rPr>
          <w:rFonts w:ascii="宋体" w:hAnsi="宋体" w:eastAsia="宋体" w:cs="宋体"/>
          <w:color w:val="auto"/>
          <w:spacing w:val="-3"/>
          <w:sz w:val="24"/>
          <w:szCs w:val="24"/>
          <w:lang w:eastAsia="zh-CN"/>
        </w:rPr>
        <w:fldChar w:fldCharType="end"/>
      </w:r>
      <w:r>
        <w:rPr>
          <w:rFonts w:ascii="宋体" w:hAnsi="宋体" w:eastAsia="宋体" w:cs="宋体"/>
          <w:color w:val="auto"/>
          <w:spacing w:val="-44"/>
          <w:sz w:val="24"/>
          <w:szCs w:val="24"/>
          <w:lang w:eastAsia="zh-CN"/>
        </w:rPr>
        <w:t xml:space="preserve"> </w:t>
      </w:r>
      <w:r>
        <w:rPr>
          <w:rFonts w:ascii="宋体" w:hAnsi="宋体" w:eastAsia="宋体" w:cs="宋体"/>
          <w:color w:val="auto"/>
          <w:spacing w:val="-3"/>
          <w:sz w:val="24"/>
          <w:szCs w:val="24"/>
          <w:lang w:eastAsia="zh-CN"/>
        </w:rPr>
        <w:t>开标签到</w:t>
      </w:r>
    </w:p>
    <w:p w14:paraId="4D657437">
      <w:pPr>
        <w:spacing w:before="183" w:line="359" w:lineRule="auto"/>
        <w:ind w:left="6" w:right="235" w:firstLine="359"/>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投标人等待开标时需要签到，等候开标。投标截止时间后不能签到，供</w:t>
      </w:r>
      <w:r>
        <w:rPr>
          <w:rFonts w:ascii="宋体" w:hAnsi="宋体" w:eastAsia="宋体" w:cs="宋体"/>
          <w:color w:val="auto"/>
          <w:spacing w:val="-3"/>
          <w:sz w:val="24"/>
          <w:szCs w:val="24"/>
          <w:lang w:eastAsia="zh-CN"/>
        </w:rPr>
        <w:t>应商须提前登录</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不见面开标大厅签到，点击页面上“签到</w:t>
      </w:r>
      <w:r>
        <w:rPr>
          <w:rFonts w:ascii="宋体" w:hAnsi="宋体" w:eastAsia="宋体" w:cs="宋体"/>
          <w:color w:val="auto"/>
          <w:spacing w:val="-84"/>
          <w:sz w:val="24"/>
          <w:szCs w:val="24"/>
          <w:lang w:eastAsia="zh-CN"/>
        </w:rPr>
        <w:t xml:space="preserve"> </w:t>
      </w:r>
      <w:r>
        <w:rPr>
          <w:rFonts w:ascii="宋体" w:hAnsi="宋体" w:eastAsia="宋体" w:cs="宋体"/>
          <w:color w:val="auto"/>
          <w:spacing w:val="-1"/>
          <w:sz w:val="24"/>
          <w:szCs w:val="24"/>
          <w:lang w:eastAsia="zh-CN"/>
        </w:rPr>
        <w:t>”按钮进行签到。签到成功之后，按钮灰化，无</w:t>
      </w:r>
    </w:p>
    <w:p w14:paraId="48285332">
      <w:pPr>
        <w:spacing w:line="218" w:lineRule="auto"/>
        <w:ind w:left="1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需再次签到，同时第一个座位图右下角出现绿色√。</w:t>
      </w:r>
    </w:p>
    <w:p w14:paraId="4E0C909C">
      <w:pPr>
        <w:spacing w:before="182" w:line="468" w:lineRule="exact"/>
        <w:ind w:left="488"/>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"file:///C:\\Users\\Think\\Desktop\\7.6.3.4" </w:instrText>
      </w:r>
      <w:r>
        <w:rPr>
          <w:color w:val="auto"/>
        </w:rPr>
        <w:fldChar w:fldCharType="separate"/>
      </w:r>
      <w:r>
        <w:rPr>
          <w:rFonts w:ascii="宋体" w:hAnsi="宋体" w:eastAsia="宋体" w:cs="宋体"/>
          <w:color w:val="auto"/>
          <w:spacing w:val="-1"/>
          <w:position w:val="17"/>
          <w:sz w:val="24"/>
          <w:szCs w:val="24"/>
          <w:lang w:eastAsia="zh-CN"/>
        </w:rPr>
        <w:t>7.6.3.4</w:t>
      </w:r>
      <w:r>
        <w:rPr>
          <w:rFonts w:ascii="宋体" w:hAnsi="宋体" w:eastAsia="宋体" w:cs="宋体"/>
          <w:color w:val="auto"/>
          <w:spacing w:val="-1"/>
          <w:position w:val="17"/>
          <w:sz w:val="24"/>
          <w:szCs w:val="24"/>
          <w:lang w:eastAsia="zh-CN"/>
        </w:rPr>
        <w:fldChar w:fldCharType="end"/>
      </w:r>
      <w:r>
        <w:rPr>
          <w:rFonts w:ascii="宋体" w:hAnsi="宋体" w:eastAsia="宋体" w:cs="宋体"/>
          <w:color w:val="auto"/>
          <w:spacing w:val="-36"/>
          <w:position w:val="17"/>
          <w:sz w:val="24"/>
          <w:szCs w:val="24"/>
          <w:lang w:eastAsia="zh-CN"/>
        </w:rPr>
        <w:t xml:space="preserve"> </w:t>
      </w:r>
      <w:r>
        <w:rPr>
          <w:rFonts w:ascii="宋体" w:hAnsi="宋体" w:eastAsia="宋体" w:cs="宋体"/>
          <w:color w:val="auto"/>
          <w:spacing w:val="-1"/>
          <w:position w:val="17"/>
          <w:sz w:val="24"/>
          <w:szCs w:val="24"/>
          <w:lang w:eastAsia="zh-CN"/>
        </w:rPr>
        <w:t>开标时，供应商须使用电子投标文件加密时所用的数字认证证书（CA 锁）在</w:t>
      </w:r>
    </w:p>
    <w:p w14:paraId="53149CA5">
      <w:pPr>
        <w:spacing w:line="219" w:lineRule="auto"/>
        <w:ind w:left="4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自备电脑上自行远程解密电子投标文件。</w:t>
      </w:r>
    </w:p>
    <w:p w14:paraId="58CA35F7">
      <w:pPr>
        <w:spacing w:before="183" w:line="220" w:lineRule="auto"/>
        <w:ind w:left="488"/>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"file:///C:\\Users\\Think\\Desktop\\7.6.3.5" </w:instrText>
      </w:r>
      <w:r>
        <w:rPr>
          <w:color w:val="auto"/>
        </w:rPr>
        <w:fldChar w:fldCharType="separate"/>
      </w: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7.6.3.5</w:t>
      </w: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fldChar w:fldCharType="end"/>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注意事项</w:t>
      </w:r>
    </w:p>
    <w:p w14:paraId="60851E45">
      <w:pPr>
        <w:spacing w:before="183" w:line="359" w:lineRule="auto"/>
        <w:ind w:left="6" w:right="235" w:firstLine="359"/>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①为顺利实现不见面开标系统的远程交互，建议投标人配置的软硬件设施有：高配置 电脑、高速稳定的网络、电源（不间断）、CA 锁、音视频设备（话筒、耳麦、高清摄像头、 音响），浏览器要求使用 IE11 浏览器，且电脑已经正确安装了陕西省公共资源 CA 驱动。投标供应商需安装新点播放器，以便观看远程不见面开标直播画面（播放器下载链接</w:t>
      </w:r>
      <w:r>
        <w:rPr>
          <w:rFonts w:hint="eastAsia" w:ascii="宋体" w:hAnsi="宋体" w:eastAsia="宋体" w:cs="宋体"/>
          <w:color w:val="auto"/>
          <w:spacing w:val="-2"/>
          <w:sz w:val="24"/>
          <w:szCs w:val="24"/>
          <w:lang w:eastAsia="zh-CN"/>
        </w:rPr>
        <w:t>：</w:t>
      </w:r>
      <w:r>
        <w:rPr>
          <w:color w:val="auto"/>
        </w:rPr>
        <w:fldChar w:fldCharType="begin"/>
      </w:r>
      <w:r>
        <w:rPr>
          <w:color w:val="auto"/>
        </w:rPr>
        <w:instrText xml:space="preserve"> HYPERLINK "https://download.bqpoint.com/download/downloaddetail.html?SourceFrom=Down&amp;Soft" </w:instrText>
      </w:r>
      <w:r>
        <w:rPr>
          <w:color w:val="auto"/>
        </w:rPr>
        <w:fldChar w:fldCharType="separate"/>
      </w:r>
      <w:r>
        <w:rPr>
          <w:rFonts w:ascii="宋体" w:hAnsi="宋体" w:eastAsia="宋体" w:cs="宋体"/>
          <w:color w:val="auto"/>
          <w:spacing w:val="-2"/>
          <w:sz w:val="24"/>
          <w:szCs w:val="24"/>
          <w:lang w:eastAsia="zh-CN"/>
        </w:rPr>
        <w:t>https://download.bqpoint.com/download/downloaddetail.html?SourceFrom=Down&amp;Soft</w:t>
      </w:r>
      <w:r>
        <w:rPr>
          <w:rFonts w:ascii="宋体" w:hAnsi="宋体" w:eastAsia="宋体" w:cs="宋体"/>
          <w:color w:val="auto"/>
          <w:spacing w:val="-2"/>
          <w:sz w:val="24"/>
          <w:szCs w:val="24"/>
          <w:lang w:eastAsia="zh-CN"/>
        </w:rPr>
        <w:fldChar w:fldCharType="end"/>
      </w:r>
    </w:p>
    <w:p w14:paraId="6DE7193A">
      <w:pPr>
        <w:spacing w:before="183" w:line="359" w:lineRule="auto"/>
        <w:ind w:right="235"/>
        <w:jc w:val="both"/>
        <w:rPr>
          <w:rFonts w:ascii="宋体" w:hAnsi="宋体" w:eastAsia="宋体" w:cs="宋体"/>
          <w:color w:val="auto"/>
          <w:spacing w:val="-2"/>
          <w:sz w:val="24"/>
          <w:szCs w:val="24"/>
        </w:rPr>
      </w:pPr>
      <w:r>
        <w:rPr>
          <w:rFonts w:ascii="宋体" w:hAnsi="宋体" w:eastAsia="宋体" w:cs="宋体"/>
          <w:color w:val="auto"/>
          <w:spacing w:val="-2"/>
          <w:sz w:val="24"/>
          <w:szCs w:val="24"/>
        </w:rPr>
        <w:t>Guid=55aa4e06-c384-4005-bcb9-48932d410fd4）。</w:t>
      </w:r>
    </w:p>
    <w:p w14:paraId="55BFAFF1">
      <w:pPr>
        <w:spacing w:before="183" w:line="359" w:lineRule="auto"/>
        <w:ind w:left="6" w:right="235" w:firstLine="359"/>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②投标截止时间后不能签到，建议投标人在开标前半小时登录不见面开标大厅，并及时 签 到（开 标 前 6 0 分 钟 即 可 签 到 ） ， 遇 到 问 题 及 时 联 系 客 服 4 0 0 9 9 8 0 0 0 0。</w:t>
      </w:r>
    </w:p>
    <w:p w14:paraId="35CDA3B7">
      <w:pPr>
        <w:spacing w:before="179" w:line="219" w:lineRule="auto"/>
        <w:ind w:right="17"/>
        <w:jc w:val="center"/>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不</w:t>
      </w:r>
      <w:r>
        <w:rPr>
          <w:rFonts w:ascii="宋体" w:hAnsi="宋体" w:eastAsia="宋体" w:cs="宋体"/>
          <w:color w:val="auto"/>
          <w:spacing w:val="2"/>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见</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面</w:t>
      </w:r>
      <w:r>
        <w:rPr>
          <w:rFonts w:ascii="宋体" w:hAnsi="宋体" w:eastAsia="宋体" w:cs="宋体"/>
          <w:color w:val="auto"/>
          <w:spacing w:val="1"/>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开</w:t>
      </w:r>
      <w:r>
        <w:rPr>
          <w:rFonts w:ascii="宋体" w:hAnsi="宋体" w:eastAsia="宋体" w:cs="宋体"/>
          <w:color w:val="auto"/>
          <w:spacing w:val="1"/>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标</w:t>
      </w:r>
      <w:r>
        <w:rPr>
          <w:rFonts w:ascii="宋体" w:hAnsi="宋体" w:eastAsia="宋体" w:cs="宋体"/>
          <w:color w:val="auto"/>
          <w:spacing w:val="1"/>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大</w:t>
      </w:r>
      <w:r>
        <w:rPr>
          <w:rFonts w:ascii="宋体" w:hAnsi="宋体" w:eastAsia="宋体" w:cs="宋体"/>
          <w:color w:val="auto"/>
          <w:spacing w:val="1"/>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厅</w:t>
      </w:r>
      <w:r>
        <w:rPr>
          <w:rFonts w:ascii="宋体" w:hAnsi="宋体" w:eastAsia="宋体" w:cs="宋体"/>
          <w:color w:val="auto"/>
          <w:spacing w:val="3"/>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网</w:t>
      </w:r>
      <w:r>
        <w:rPr>
          <w:rFonts w:ascii="宋体" w:hAnsi="宋体" w:eastAsia="宋体" w:cs="宋体"/>
          <w:color w:val="auto"/>
          <w:spacing w:val="1"/>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址</w:t>
      </w:r>
      <w:r>
        <w:rPr>
          <w:rFonts w:ascii="宋体" w:hAnsi="宋体" w:eastAsia="宋体" w:cs="宋体"/>
          <w:color w:val="auto"/>
          <w:spacing w:val="22"/>
          <w:sz w:val="24"/>
          <w:szCs w:val="24"/>
          <w:lang w:eastAsia="zh-CN"/>
        </w:rPr>
        <w:t xml:space="preserve">     </w:t>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w:t>
      </w:r>
    </w:p>
    <w:p w14:paraId="2D0E844A">
      <w:pPr>
        <w:spacing w:before="183" w:line="212" w:lineRule="auto"/>
        <w:jc w:val="right"/>
        <w:rPr>
          <w:rFonts w:ascii="宋体" w:hAnsi="宋体" w:eastAsia="宋体" w:cs="宋体"/>
          <w:color w:val="auto"/>
          <w:sz w:val="24"/>
          <w:szCs w:val="24"/>
          <w:lang w:eastAsia="zh-CN"/>
        </w:rPr>
      </w:pPr>
      <w:r>
        <w:rPr>
          <w:color w:val="auto"/>
        </w:rPr>
        <w:fldChar w:fldCharType="begin"/>
      </w:r>
      <w:r>
        <w:rPr>
          <w:color w:val="auto"/>
        </w:rPr>
        <w:instrText xml:space="preserve"> HYPERLINK "http://122.112.246.33/BidOpening/bidopeninghallaction/hall/login），技术问题及时联系客服4009280095。" </w:instrText>
      </w:r>
      <w:r>
        <w:rPr>
          <w:color w:val="auto"/>
        </w:rPr>
        <w:fldChar w:fldCharType="separate"/>
      </w:r>
      <w:r>
        <w:rPr>
          <w:rFonts w:ascii="宋体" w:hAnsi="宋体" w:eastAsia="宋体" w:cs="宋体"/>
          <w:color w:val="auto"/>
          <w:spacing w:val="13"/>
          <w:sz w:val="24"/>
          <w:szCs w:val="24"/>
          <w:lang w:eastAsia="zh-CN"/>
          <w14:textOutline w14:w="4356" w14:cap="sq" w14:cmpd="sng" w14:algn="ctr">
            <w14:solidFill>
              <w14:srgbClr w14:val="000000"/>
            </w14:solidFill>
            <w14:prstDash w14:val="solid"/>
            <w14:bevel/>
          </w14:textOutline>
        </w:rPr>
        <w:t>http://219.145.206.209/BidOpeningHall/bidopeninghallaction/hall/log</w:t>
      </w:r>
      <w:r>
        <w:rPr>
          <w:rFonts w:ascii="宋体" w:hAnsi="宋体" w:eastAsia="宋体" w:cs="宋体"/>
          <w:color w:val="auto"/>
          <w:spacing w:val="12"/>
          <w:sz w:val="24"/>
          <w:szCs w:val="24"/>
          <w:lang w:eastAsia="zh-CN"/>
          <w14:textOutline w14:w="4356" w14:cap="sq" w14:cmpd="sng" w14:algn="ctr">
            <w14:solidFill>
              <w14:srgbClr w14:val="000000"/>
            </w14:solidFill>
            <w14:prstDash w14:val="solid"/>
            <w14:bevel/>
          </w14:textOutline>
        </w:rPr>
        <w:t>in。</w:t>
      </w:r>
      <w:r>
        <w:rPr>
          <w:rFonts w:ascii="宋体" w:hAnsi="宋体" w:eastAsia="宋体" w:cs="宋体"/>
          <w:color w:val="auto"/>
          <w:spacing w:val="12"/>
          <w:sz w:val="24"/>
          <w:szCs w:val="24"/>
          <w:lang w:eastAsia="zh-CN"/>
          <w14:textOutline w14:w="4356" w14:cap="sq" w14:cmpd="sng" w14:algn="ctr">
            <w14:solidFill>
              <w14:srgbClr w14:val="000000"/>
            </w14:solidFill>
            <w14:prstDash w14:val="solid"/>
            <w14:bevel/>
          </w14:textOutline>
        </w:rPr>
        <w:fldChar w:fldCharType="end"/>
      </w:r>
    </w:p>
    <w:p w14:paraId="20F5D870">
      <w:pPr>
        <w:spacing w:before="190" w:line="359" w:lineRule="auto"/>
        <w:ind w:left="3" w:right="24" w:firstLine="47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③投标人需注意</w:t>
      </w:r>
      <w:r>
        <w:rPr>
          <w:rFonts w:ascii="宋体" w:hAnsi="宋体" w:eastAsia="宋体" w:cs="宋体"/>
          <w:color w:val="auto"/>
          <w:spacing w:val="-53"/>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锁一定要提前准备好，并确保</w:t>
      </w:r>
      <w:r>
        <w:rPr>
          <w:rFonts w:ascii="宋体" w:hAnsi="宋体" w:eastAsia="宋体" w:cs="宋体"/>
          <w:color w:val="auto"/>
          <w:spacing w:val="-53"/>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锁为制</w:t>
      </w:r>
      <w:r>
        <w:rPr>
          <w:rFonts w:ascii="宋体" w:hAnsi="宋体" w:eastAsia="宋体" w:cs="宋体"/>
          <w:color w:val="auto"/>
          <w:spacing w:val="-4"/>
          <w:sz w:val="24"/>
          <w:szCs w:val="24"/>
          <w:lang w:eastAsia="zh-CN"/>
        </w:rPr>
        <w:t>作投标文件的</w:t>
      </w:r>
      <w:r>
        <w:rPr>
          <w:rFonts w:ascii="宋体" w:hAnsi="宋体" w:eastAsia="宋体" w:cs="宋体"/>
          <w:color w:val="auto"/>
          <w:spacing w:val="-53"/>
          <w:sz w:val="24"/>
          <w:szCs w:val="24"/>
          <w:lang w:eastAsia="zh-CN"/>
        </w:rPr>
        <w:t xml:space="preserve"> </w:t>
      </w:r>
      <w:r>
        <w:rPr>
          <w:rFonts w:ascii="宋体" w:hAnsi="宋体" w:eastAsia="宋体" w:cs="宋体"/>
          <w:color w:val="auto"/>
          <w:spacing w:val="-4"/>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4"/>
          <w:sz w:val="24"/>
          <w:szCs w:val="24"/>
          <w:lang w:eastAsia="zh-CN"/>
        </w:rPr>
        <w:t>锁。不见</w:t>
      </w:r>
      <w:r>
        <w:rPr>
          <w:rFonts w:ascii="宋体" w:hAnsi="宋体" w:eastAsia="宋体" w:cs="宋体"/>
          <w:color w:val="auto"/>
          <w:sz w:val="24"/>
          <w:szCs w:val="24"/>
          <w:lang w:eastAsia="zh-CN"/>
        </w:rPr>
        <w:t xml:space="preserve"> 面开标方式因投标人不来开标现场，资格审查如需提供原件，</w:t>
      </w:r>
      <w:r>
        <w:rPr>
          <w:rFonts w:ascii="宋体" w:hAnsi="宋体" w:eastAsia="宋体" w:cs="宋体"/>
          <w:color w:val="auto"/>
          <w:spacing w:val="-1"/>
          <w:sz w:val="24"/>
          <w:szCs w:val="24"/>
          <w:lang w:eastAsia="zh-CN"/>
        </w:rPr>
        <w:t>请按磋商文件中要求，在响</w:t>
      </w:r>
    </w:p>
    <w:p w14:paraId="127CF417">
      <w:pPr>
        <w:spacing w:line="218" w:lineRule="auto"/>
        <w:ind w:left="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应文件中上传电子版。</w:t>
      </w:r>
    </w:p>
    <w:p w14:paraId="5EACE10F">
      <w:pPr>
        <w:spacing w:before="184" w:line="217" w:lineRule="auto"/>
        <w:ind w:firstLine="476" w:firstLineChars="20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④及时关注右侧公告及互动栏目信息。</w:t>
      </w:r>
    </w:p>
    <w:p w14:paraId="2942D9F6">
      <w:pPr>
        <w:spacing w:before="186" w:line="466" w:lineRule="exact"/>
        <w:ind w:right="24"/>
        <w:jc w:val="center"/>
        <w:rPr>
          <w:rFonts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 xml:space="preserve"> </w:t>
      </w:r>
      <w:r>
        <w:rPr>
          <w:rFonts w:ascii="宋体" w:hAnsi="宋体" w:eastAsia="宋体" w:cs="宋体"/>
          <w:color w:val="auto"/>
          <w:spacing w:val="-2"/>
          <w:position w:val="17"/>
          <w:sz w:val="24"/>
          <w:szCs w:val="24"/>
          <w:lang w:eastAsia="zh-CN"/>
        </w:rPr>
        <w:t>⑤开标时，供应商须使用电子投标文件加密时所用的数字认证证书（CA 锁）在自备电</w:t>
      </w:r>
    </w:p>
    <w:p w14:paraId="04B08039">
      <w:pPr>
        <w:spacing w:line="219" w:lineRule="auto"/>
        <w:ind w:left="1"/>
        <w:rPr>
          <w:rFonts w:ascii="宋体" w:hAnsi="宋体" w:eastAsia="宋体" w:cs="宋体"/>
          <w:color w:val="auto"/>
          <w:sz w:val="24"/>
          <w:szCs w:val="24"/>
          <w:lang w:eastAsia="zh-CN"/>
        </w:rPr>
      </w:pPr>
      <w:r>
        <w:rPr>
          <w:rFonts w:ascii="宋体" w:hAnsi="宋体" w:eastAsia="宋体" w:cs="宋体"/>
          <w:color w:val="auto"/>
          <w:sz w:val="24"/>
          <w:szCs w:val="24"/>
          <w:lang w:eastAsia="zh-CN"/>
        </w:rPr>
        <w:t>脑上自行远程解密电子投标文件，由电子交</w:t>
      </w:r>
      <w:r>
        <w:rPr>
          <w:rFonts w:ascii="宋体" w:hAnsi="宋体" w:eastAsia="宋体" w:cs="宋体"/>
          <w:color w:val="auto"/>
          <w:spacing w:val="-1"/>
          <w:sz w:val="24"/>
          <w:szCs w:val="24"/>
          <w:lang w:eastAsia="zh-CN"/>
        </w:rPr>
        <w:t>易系统进行自动唱标。</w:t>
      </w:r>
    </w:p>
    <w:p w14:paraId="0233B39F">
      <w:pPr>
        <w:spacing w:before="181" w:line="468" w:lineRule="exact"/>
        <w:ind w:left="480"/>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⑥供应商需在规定时间内完成标书解密。所有供应商解密完成后</w:t>
      </w:r>
      <w:r>
        <w:rPr>
          <w:rFonts w:ascii="宋体" w:hAnsi="宋体" w:eastAsia="宋体" w:cs="宋体"/>
          <w:color w:val="auto"/>
          <w:spacing w:val="-1"/>
          <w:position w:val="17"/>
          <w:sz w:val="24"/>
          <w:szCs w:val="24"/>
          <w:lang w:eastAsia="zh-CN"/>
        </w:rPr>
        <w:t>由开标人员将响应文</w:t>
      </w:r>
    </w:p>
    <w:p w14:paraId="147E94FC">
      <w:pPr>
        <w:spacing w:line="219" w:lineRule="auto"/>
        <w:ind w:left="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件导入不见面开标系统。</w:t>
      </w:r>
    </w:p>
    <w:p w14:paraId="57264032">
      <w:pPr>
        <w:spacing w:before="183" w:line="465" w:lineRule="exact"/>
        <w:ind w:left="368"/>
        <w:rPr>
          <w:rFonts w:ascii="宋体" w:hAnsi="宋体" w:eastAsia="宋体" w:cs="宋体"/>
          <w:color w:val="auto"/>
          <w:sz w:val="24"/>
          <w:szCs w:val="24"/>
          <w:lang w:eastAsia="zh-CN"/>
        </w:rPr>
      </w:pPr>
      <w:r>
        <w:rPr>
          <w:color w:val="auto"/>
        </w:rPr>
        <w:fldChar w:fldCharType="begin"/>
      </w:r>
      <w:r>
        <w:rPr>
          <w:color w:val="auto"/>
        </w:rPr>
        <w:instrText xml:space="preserve"> HYPERLINK "file:///C:\\Users\\Think\\Desktop\\7.6.3.6" </w:instrText>
      </w:r>
      <w:r>
        <w:rPr>
          <w:color w:val="auto"/>
        </w:rPr>
        <w:fldChar w:fldCharType="separate"/>
      </w:r>
      <w:r>
        <w:rPr>
          <w:rFonts w:ascii="宋体" w:hAnsi="宋体" w:eastAsia="宋体" w:cs="宋体"/>
          <w:color w:val="auto"/>
          <w:spacing w:val="-1"/>
          <w:position w:val="17"/>
          <w:sz w:val="24"/>
          <w:szCs w:val="24"/>
          <w:lang w:eastAsia="zh-CN"/>
        </w:rPr>
        <w:t>7.6.3.6</w:t>
      </w:r>
      <w:r>
        <w:rPr>
          <w:rFonts w:ascii="宋体" w:hAnsi="宋体" w:eastAsia="宋体" w:cs="宋体"/>
          <w:color w:val="auto"/>
          <w:spacing w:val="-1"/>
          <w:position w:val="17"/>
          <w:sz w:val="24"/>
          <w:szCs w:val="24"/>
          <w:lang w:eastAsia="zh-CN"/>
        </w:rPr>
        <w:fldChar w:fldCharType="end"/>
      </w:r>
      <w:r>
        <w:rPr>
          <w:rFonts w:ascii="宋体" w:hAnsi="宋体" w:eastAsia="宋体" w:cs="宋体"/>
          <w:color w:val="auto"/>
          <w:spacing w:val="-41"/>
          <w:position w:val="17"/>
          <w:sz w:val="24"/>
          <w:szCs w:val="24"/>
          <w:lang w:eastAsia="zh-CN"/>
        </w:rPr>
        <w:t xml:space="preserve"> </w:t>
      </w:r>
      <w:r>
        <w:rPr>
          <w:rFonts w:ascii="宋体" w:hAnsi="宋体" w:eastAsia="宋体" w:cs="宋体"/>
          <w:color w:val="auto"/>
          <w:spacing w:val="-1"/>
          <w:position w:val="17"/>
          <w:sz w:val="24"/>
          <w:szCs w:val="24"/>
          <w:lang w:eastAsia="zh-CN"/>
        </w:rPr>
        <w:t>在开标环节出现下列情况之一的，其磋商响应文件视为无效文件：</w:t>
      </w:r>
    </w:p>
    <w:p w14:paraId="717994EE">
      <w:pPr>
        <w:spacing w:before="1" w:line="218" w:lineRule="auto"/>
        <w:ind w:left="6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（1）供应商拒绝对电子磋商响应文件进行解密的；</w:t>
      </w:r>
    </w:p>
    <w:p w14:paraId="60535556">
      <w:pPr>
        <w:spacing w:before="184" w:line="359" w:lineRule="auto"/>
        <w:ind w:right="24" w:firstLine="613"/>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（2）因供应商自身原因（如未带</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锁或所</w:t>
      </w:r>
      <w:r>
        <w:rPr>
          <w:rFonts w:ascii="宋体" w:hAnsi="宋体" w:eastAsia="宋体" w:cs="宋体"/>
          <w:color w:val="auto"/>
          <w:spacing w:val="-2"/>
          <w:sz w:val="24"/>
          <w:szCs w:val="24"/>
          <w:lang w:eastAsia="zh-CN"/>
        </w:rPr>
        <w:t>带</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锁与制作电子磋商响应文件使用的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锁不一致或沿用旧版采购文件编制磋商响应文件等情形</w:t>
      </w:r>
      <w:r>
        <w:rPr>
          <w:rFonts w:ascii="宋体" w:hAnsi="宋体" w:eastAsia="宋体" w:cs="宋体"/>
          <w:color w:val="auto"/>
          <w:spacing w:val="5"/>
          <w:sz w:val="24"/>
          <w:szCs w:val="24"/>
          <w:lang w:eastAsia="zh-CN"/>
        </w:rPr>
        <w:t>），</w:t>
      </w:r>
      <w:r>
        <w:rPr>
          <w:rFonts w:ascii="宋体" w:hAnsi="宋体" w:eastAsia="宋体" w:cs="宋体"/>
          <w:color w:val="auto"/>
          <w:spacing w:val="-1"/>
          <w:sz w:val="24"/>
          <w:szCs w:val="24"/>
          <w:lang w:eastAsia="zh-CN"/>
        </w:rPr>
        <w:t>导致在规定时间内无法解密</w:t>
      </w:r>
    </w:p>
    <w:p w14:paraId="77FDAD37">
      <w:pPr>
        <w:spacing w:before="1" w:line="219" w:lineRule="auto"/>
        <w:ind w:left="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磋商响应文件的；</w:t>
      </w:r>
    </w:p>
    <w:p w14:paraId="59EB032D">
      <w:pPr>
        <w:spacing w:before="180" w:line="219" w:lineRule="auto"/>
        <w:ind w:left="6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（3）上传的电子磋商响应文件无法打开的；</w:t>
      </w:r>
    </w:p>
    <w:p w14:paraId="27E5BA47">
      <w:pPr>
        <w:spacing w:before="183" w:line="219" w:lineRule="auto"/>
        <w:ind w:left="6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（4）政府采购法律法规规定的其他无效情形。</w:t>
      </w:r>
    </w:p>
    <w:p w14:paraId="332802F8">
      <w:pPr>
        <w:spacing w:before="182" w:line="219" w:lineRule="auto"/>
        <w:ind w:left="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注：对未按磋商文件要求方式解密的电子磋商</w:t>
      </w:r>
      <w:r>
        <w:rPr>
          <w:rFonts w:ascii="宋体" w:hAnsi="宋体" w:eastAsia="宋体" w:cs="宋体"/>
          <w:color w:val="auto"/>
          <w:sz w:val="24"/>
          <w:szCs w:val="24"/>
          <w:lang w:eastAsia="zh-CN"/>
          <w14:textOutline w14:w="4356" w14:cap="sq" w14:cmpd="sng" w14:algn="ctr">
            <w14:solidFill>
              <w14:srgbClr w14:val="000000"/>
            </w14:solidFill>
            <w14:prstDash w14:val="solid"/>
            <w14:bevel/>
          </w14:textOutline>
        </w:rPr>
        <w:t>响应文件，将作为无效磋商响应文件。</w:t>
      </w:r>
    </w:p>
    <w:p w14:paraId="2106C162">
      <w:pPr>
        <w:spacing w:before="262" w:line="219"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7.7 特殊情形下的应急处置</w:t>
      </w:r>
    </w:p>
    <w:p w14:paraId="1B35858D">
      <w:pPr>
        <w:spacing w:before="183" w:line="468" w:lineRule="exact"/>
        <w:ind w:right="22"/>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在开标、评审过程中，如因停电、断网、电子化系统故障等原因导致电子化开、评标</w:t>
      </w:r>
    </w:p>
    <w:p w14:paraId="6F51277E">
      <w:pPr>
        <w:spacing w:before="1" w:line="217" w:lineRule="auto"/>
        <w:ind w:left="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无法正常进行时，将报告监督部门后继续开展后续采购活动。</w:t>
      </w:r>
    </w:p>
    <w:p w14:paraId="17651299">
      <w:pPr>
        <w:spacing w:before="185" w:line="360" w:lineRule="auto"/>
        <w:ind w:left="7" w:right="24"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7.8 供应商应认真阅读磋商文件的所有内容，严格按照磋商文件的要求编</w:t>
      </w:r>
      <w:r>
        <w:rPr>
          <w:rFonts w:ascii="宋体" w:hAnsi="宋体" w:eastAsia="宋体" w:cs="宋体"/>
          <w:color w:val="auto"/>
          <w:sz w:val="24"/>
          <w:szCs w:val="24"/>
          <w:lang w:eastAsia="zh-CN"/>
        </w:rPr>
        <w:t xml:space="preserve">制和递交磋 </w:t>
      </w:r>
      <w:r>
        <w:rPr>
          <w:rFonts w:ascii="宋体" w:hAnsi="宋体" w:eastAsia="宋体" w:cs="宋体"/>
          <w:color w:val="auto"/>
          <w:spacing w:val="1"/>
          <w:sz w:val="24"/>
          <w:szCs w:val="24"/>
          <w:lang w:eastAsia="zh-CN"/>
        </w:rPr>
        <w:t>商响应文件，并保证所递交的全部资料的真实性，使磋商响应文件对磋商文件做</w:t>
      </w:r>
      <w:r>
        <w:rPr>
          <w:rFonts w:ascii="宋体" w:hAnsi="宋体" w:eastAsia="宋体" w:cs="宋体"/>
          <w:color w:val="auto"/>
          <w:sz w:val="24"/>
          <w:szCs w:val="24"/>
          <w:lang w:eastAsia="zh-CN"/>
        </w:rPr>
        <w:t xml:space="preserve">出实质性 </w:t>
      </w:r>
      <w:r>
        <w:rPr>
          <w:rFonts w:ascii="宋体" w:hAnsi="宋体" w:eastAsia="宋体" w:cs="宋体"/>
          <w:color w:val="auto"/>
          <w:spacing w:val="1"/>
          <w:sz w:val="24"/>
          <w:szCs w:val="24"/>
          <w:lang w:eastAsia="zh-CN"/>
        </w:rPr>
        <w:t>响应。如果供应商在磋商响应文件中没有按照磋商文件要求提交全部资料或者磋</w:t>
      </w:r>
      <w:r>
        <w:rPr>
          <w:rFonts w:ascii="宋体" w:hAnsi="宋体" w:eastAsia="宋体" w:cs="宋体"/>
          <w:color w:val="auto"/>
          <w:sz w:val="24"/>
          <w:szCs w:val="24"/>
          <w:lang w:eastAsia="zh-CN"/>
        </w:rPr>
        <w:t>商响应文</w:t>
      </w:r>
    </w:p>
    <w:p w14:paraId="1B873AF2">
      <w:pPr>
        <w:spacing w:line="219" w:lineRule="auto"/>
        <w:ind w:left="1"/>
        <w:rPr>
          <w:rFonts w:ascii="宋体" w:hAnsi="宋体" w:eastAsia="宋体" w:cs="宋体"/>
          <w:color w:val="auto"/>
          <w:sz w:val="24"/>
          <w:szCs w:val="24"/>
          <w:lang w:eastAsia="zh-CN"/>
        </w:rPr>
      </w:pPr>
      <w:r>
        <w:rPr>
          <w:rFonts w:ascii="宋体" w:hAnsi="宋体" w:eastAsia="宋体" w:cs="宋体"/>
          <w:color w:val="auto"/>
          <w:sz w:val="24"/>
          <w:szCs w:val="24"/>
          <w:lang w:eastAsia="zh-CN"/>
        </w:rPr>
        <w:t>件没有对磋商文件在各方面都做出实质性响应</w:t>
      </w:r>
      <w:r>
        <w:rPr>
          <w:rFonts w:ascii="宋体" w:hAnsi="宋体" w:eastAsia="宋体" w:cs="宋体"/>
          <w:color w:val="auto"/>
          <w:spacing w:val="-1"/>
          <w:sz w:val="24"/>
          <w:szCs w:val="24"/>
          <w:lang w:eastAsia="zh-CN"/>
        </w:rPr>
        <w:t>，其投标按废标处理。</w:t>
      </w:r>
    </w:p>
    <w:p w14:paraId="2DED14B5">
      <w:pPr>
        <w:spacing w:before="183" w:line="468" w:lineRule="exact"/>
        <w:ind w:right="25"/>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7.9 供应商提交的磋商响应文件以及供应商与代理机构就有关投标的所有</w:t>
      </w:r>
      <w:r>
        <w:rPr>
          <w:rFonts w:ascii="宋体" w:hAnsi="宋体" w:eastAsia="宋体" w:cs="宋体"/>
          <w:color w:val="auto"/>
          <w:position w:val="17"/>
          <w:sz w:val="24"/>
          <w:szCs w:val="24"/>
          <w:lang w:eastAsia="zh-CN"/>
        </w:rPr>
        <w:t>来往函电均</w:t>
      </w:r>
    </w:p>
    <w:p w14:paraId="7B401F78">
      <w:pPr>
        <w:spacing w:before="1" w:line="218" w:lineRule="auto"/>
        <w:ind w:left="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应以中文书写。</w:t>
      </w:r>
    </w:p>
    <w:p w14:paraId="660435E1">
      <w:pPr>
        <w:spacing w:before="184" w:line="219"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8．响应文件构成和格式</w:t>
      </w:r>
    </w:p>
    <w:p w14:paraId="4A93D92C">
      <w:pPr>
        <w:spacing w:line="219" w:lineRule="auto"/>
        <w:rPr>
          <w:rFonts w:ascii="宋体" w:hAnsi="宋体" w:eastAsia="宋体" w:cs="宋体"/>
          <w:color w:val="auto"/>
          <w:sz w:val="24"/>
          <w:szCs w:val="24"/>
          <w:lang w:eastAsia="zh-CN"/>
        </w:rPr>
      </w:pPr>
    </w:p>
    <w:p w14:paraId="24FF3E0F">
      <w:pPr>
        <w:spacing w:before="122" w:line="468" w:lineRule="exact"/>
        <w:ind w:left="481"/>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8.1 供应商编写的响应文件应包括下列部分，请按磋商</w:t>
      </w:r>
      <w:r>
        <w:rPr>
          <w:rFonts w:ascii="宋体" w:hAnsi="宋体" w:eastAsia="宋体" w:cs="宋体"/>
          <w:color w:val="auto"/>
          <w:spacing w:val="-1"/>
          <w:position w:val="17"/>
          <w:sz w:val="24"/>
          <w:szCs w:val="24"/>
          <w:lang w:eastAsia="zh-CN"/>
        </w:rPr>
        <w:t>文件提供的相应格式编写：</w:t>
      </w:r>
    </w:p>
    <w:p w14:paraId="6EFC8D74">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（1）、响应函</w:t>
      </w:r>
    </w:p>
    <w:p w14:paraId="69CB8A55">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（2）、第一次磋商报价表</w:t>
      </w:r>
    </w:p>
    <w:p w14:paraId="4086CDFF">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（3）、资格证明文件</w:t>
      </w:r>
    </w:p>
    <w:p w14:paraId="0E9997CA">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（4）、投标方案</w:t>
      </w:r>
    </w:p>
    <w:p w14:paraId="3560E64B">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（5）、投标人近三年同类项目业绩</w:t>
      </w:r>
    </w:p>
    <w:p w14:paraId="616F90C7">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（6）、政府采购投标人拒绝政府采购领域商业贿赂承诺书</w:t>
      </w:r>
    </w:p>
    <w:p w14:paraId="101211B7">
      <w:pPr>
        <w:spacing w:before="183" w:line="219" w:lineRule="auto"/>
        <w:ind w:left="523"/>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（7）、其他材料</w:t>
      </w:r>
    </w:p>
    <w:p w14:paraId="203E50C8">
      <w:pPr>
        <w:spacing w:before="183" w:line="468" w:lineRule="exact"/>
        <w:ind w:right="14"/>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8.2 供应商应按照本须知第</w:t>
      </w:r>
      <w:r>
        <w:rPr>
          <w:rFonts w:ascii="宋体" w:hAnsi="宋体" w:eastAsia="宋体" w:cs="宋体"/>
          <w:color w:val="auto"/>
          <w:spacing w:val="-35"/>
          <w:position w:val="17"/>
          <w:sz w:val="24"/>
          <w:szCs w:val="24"/>
          <w:lang w:eastAsia="zh-CN"/>
        </w:rPr>
        <w:t xml:space="preserve"> </w:t>
      </w:r>
      <w:r>
        <w:rPr>
          <w:rFonts w:ascii="宋体" w:hAnsi="宋体" w:eastAsia="宋体" w:cs="宋体"/>
          <w:color w:val="auto"/>
          <w:position w:val="17"/>
          <w:sz w:val="24"/>
          <w:szCs w:val="24"/>
          <w:lang w:eastAsia="zh-CN"/>
        </w:rPr>
        <w:t>8.1</w:t>
      </w:r>
      <w:r>
        <w:rPr>
          <w:rFonts w:ascii="宋体" w:hAnsi="宋体" w:eastAsia="宋体" w:cs="宋体"/>
          <w:color w:val="auto"/>
          <w:spacing w:val="-47"/>
          <w:position w:val="17"/>
          <w:sz w:val="24"/>
          <w:szCs w:val="24"/>
          <w:lang w:eastAsia="zh-CN"/>
        </w:rPr>
        <w:t xml:space="preserve"> </w:t>
      </w:r>
      <w:r>
        <w:rPr>
          <w:rFonts w:ascii="宋体" w:hAnsi="宋体" w:eastAsia="宋体" w:cs="宋体"/>
          <w:color w:val="auto"/>
          <w:position w:val="17"/>
          <w:sz w:val="24"/>
          <w:szCs w:val="24"/>
          <w:lang w:eastAsia="zh-CN"/>
        </w:rPr>
        <w:t>条的内容及第五章提供的格式编写响应文件，不得缺</w:t>
      </w:r>
    </w:p>
    <w:p w14:paraId="11ADBE15">
      <w:pPr>
        <w:spacing w:before="1" w:line="219" w:lineRule="auto"/>
        <w:ind w:left="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少磋商文件要求填写的表格或提交的资料。</w:t>
      </w:r>
    </w:p>
    <w:p w14:paraId="5161F2A9">
      <w:pPr>
        <w:spacing w:before="183" w:line="468" w:lineRule="exact"/>
        <w:ind w:right="14"/>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8.3 供应商应将响应文件按本须知第</w:t>
      </w:r>
      <w:r>
        <w:rPr>
          <w:rFonts w:ascii="宋体" w:hAnsi="宋体" w:eastAsia="宋体" w:cs="宋体"/>
          <w:color w:val="auto"/>
          <w:spacing w:val="-35"/>
          <w:position w:val="17"/>
          <w:sz w:val="24"/>
          <w:szCs w:val="24"/>
          <w:lang w:eastAsia="zh-CN"/>
        </w:rPr>
        <w:t xml:space="preserve"> </w:t>
      </w:r>
      <w:r>
        <w:rPr>
          <w:rFonts w:ascii="宋体" w:hAnsi="宋体" w:eastAsia="宋体" w:cs="宋体"/>
          <w:color w:val="auto"/>
          <w:position w:val="17"/>
          <w:sz w:val="24"/>
          <w:szCs w:val="24"/>
          <w:lang w:eastAsia="zh-CN"/>
        </w:rPr>
        <w:t>8.1</w:t>
      </w:r>
      <w:r>
        <w:rPr>
          <w:rFonts w:ascii="宋体" w:hAnsi="宋体" w:eastAsia="宋体" w:cs="宋体"/>
          <w:color w:val="auto"/>
          <w:spacing w:val="-47"/>
          <w:position w:val="17"/>
          <w:sz w:val="24"/>
          <w:szCs w:val="24"/>
          <w:lang w:eastAsia="zh-CN"/>
        </w:rPr>
        <w:t xml:space="preserve"> </w:t>
      </w:r>
      <w:r>
        <w:rPr>
          <w:rFonts w:ascii="宋体" w:hAnsi="宋体" w:eastAsia="宋体" w:cs="宋体"/>
          <w:color w:val="auto"/>
          <w:position w:val="17"/>
          <w:sz w:val="24"/>
          <w:szCs w:val="24"/>
          <w:lang w:eastAsia="zh-CN"/>
        </w:rPr>
        <w:t>条规定的顺序编排、并应编制目录，逐页标</w:t>
      </w:r>
    </w:p>
    <w:p w14:paraId="35A71EBA">
      <w:pPr>
        <w:spacing w:line="220" w:lineRule="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注连续页码。</w:t>
      </w:r>
    </w:p>
    <w:p w14:paraId="67529D89">
      <w:pPr>
        <w:spacing w:before="182" w:line="218"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9．磋商报价</w:t>
      </w:r>
    </w:p>
    <w:p w14:paraId="6772740C">
      <w:pPr>
        <w:spacing w:before="184" w:line="468" w:lineRule="exact"/>
        <w:ind w:right="14"/>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9.1</w:t>
      </w:r>
      <w:r>
        <w:rPr>
          <w:rFonts w:ascii="宋体" w:hAnsi="宋体" w:eastAsia="宋体" w:cs="宋体"/>
          <w:color w:val="auto"/>
          <w:spacing w:val="-38"/>
          <w:position w:val="17"/>
          <w:sz w:val="24"/>
          <w:szCs w:val="24"/>
          <w:lang w:eastAsia="zh-CN"/>
        </w:rPr>
        <w:t xml:space="preserve"> </w:t>
      </w:r>
      <w:r>
        <w:rPr>
          <w:rFonts w:ascii="宋体" w:hAnsi="宋体" w:eastAsia="宋体" w:cs="宋体"/>
          <w:color w:val="auto"/>
          <w:spacing w:val="2"/>
          <w:position w:val="17"/>
          <w:sz w:val="24"/>
          <w:szCs w:val="24"/>
          <w:lang w:eastAsia="zh-CN"/>
        </w:rPr>
        <w:t>磋商报价为供应商完成采购项目内容的全部合理费用，供应商应按建设行政主管</w:t>
      </w:r>
    </w:p>
    <w:p w14:paraId="2CDAE40D">
      <w:pPr>
        <w:spacing w:before="1" w:line="217" w:lineRule="auto"/>
        <w:ind w:left="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部门颁布的《计价规则》等配套文件规定自主报价。</w:t>
      </w:r>
    </w:p>
    <w:p w14:paraId="646B8B94">
      <w:pPr>
        <w:spacing w:before="185" w:line="360" w:lineRule="auto"/>
        <w:ind w:right="12" w:firstLine="48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本项目磋商报价为人民币报价，供应商所报价格应为含税全包价，包括但不限于</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人工费、材料费、机械费、措施费、管理费、利润费、风险费、税金等本项目包含的全部</w:t>
      </w:r>
      <w:r>
        <w:rPr>
          <w:rFonts w:ascii="宋体" w:hAnsi="宋体" w:eastAsia="宋体" w:cs="宋体"/>
          <w:color w:val="auto"/>
          <w:spacing w:val="3"/>
          <w:sz w:val="24"/>
          <w:szCs w:val="24"/>
          <w:lang w:eastAsia="zh-CN"/>
        </w:rPr>
        <w:t xml:space="preserve"> </w:t>
      </w:r>
      <w:r>
        <w:rPr>
          <w:rFonts w:ascii="宋体" w:hAnsi="宋体" w:eastAsia="宋体" w:cs="宋体"/>
          <w:color w:val="auto"/>
          <w:spacing w:val="1"/>
          <w:sz w:val="24"/>
          <w:szCs w:val="24"/>
          <w:lang w:eastAsia="zh-CN"/>
        </w:rPr>
        <w:t>费用。供应商应根据自身企业成本、利润、风险等因素，并结合项目特点、服务范围、主</w:t>
      </w:r>
      <w:r>
        <w:rPr>
          <w:rFonts w:ascii="宋体" w:hAnsi="宋体" w:eastAsia="宋体" w:cs="宋体"/>
          <w:color w:val="auto"/>
          <w:spacing w:val="3"/>
          <w:sz w:val="24"/>
          <w:szCs w:val="24"/>
          <w:lang w:eastAsia="zh-CN"/>
        </w:rPr>
        <w:t xml:space="preserve"> </w:t>
      </w:r>
      <w:r>
        <w:rPr>
          <w:rFonts w:ascii="宋体" w:hAnsi="宋体" w:eastAsia="宋体" w:cs="宋体"/>
          <w:color w:val="auto"/>
          <w:sz w:val="24"/>
          <w:szCs w:val="24"/>
          <w:lang w:eastAsia="zh-CN"/>
        </w:rPr>
        <w:t>要工作内容及当前市场情况及企业的技术力量、管理水平、经济效益等因</w:t>
      </w:r>
      <w:r>
        <w:rPr>
          <w:rFonts w:ascii="宋体" w:hAnsi="宋体" w:eastAsia="宋体" w:cs="宋体"/>
          <w:color w:val="auto"/>
          <w:spacing w:val="-1"/>
          <w:sz w:val="24"/>
          <w:szCs w:val="24"/>
          <w:lang w:eastAsia="zh-CN"/>
        </w:rPr>
        <w:t>素，</w:t>
      </w:r>
      <w:r>
        <w:rPr>
          <w:rFonts w:ascii="宋体" w:hAnsi="宋体" w:eastAsia="宋体" w:cs="宋体"/>
          <w:color w:val="auto"/>
          <w:spacing w:val="-71"/>
          <w:sz w:val="24"/>
          <w:szCs w:val="24"/>
          <w:lang w:eastAsia="zh-CN"/>
        </w:rPr>
        <w:t xml:space="preserve"> </w:t>
      </w:r>
      <w:r>
        <w:rPr>
          <w:rFonts w:ascii="宋体" w:hAnsi="宋体" w:eastAsia="宋体" w:cs="宋体"/>
          <w:color w:val="auto"/>
          <w:spacing w:val="-1"/>
          <w:sz w:val="24"/>
          <w:szCs w:val="24"/>
          <w:lang w:eastAsia="zh-CN"/>
        </w:rPr>
        <w:t>自主报价。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供应商在报价时应充分考虑所有可能发生的费用，竞争性磋商文件未列明，而供应商认为</w:t>
      </w:r>
      <w:r>
        <w:rPr>
          <w:rFonts w:ascii="宋体" w:hAnsi="宋体" w:eastAsia="宋体" w:cs="宋体"/>
          <w:color w:val="auto"/>
          <w:spacing w:val="3"/>
          <w:sz w:val="24"/>
          <w:szCs w:val="24"/>
          <w:lang w:eastAsia="zh-CN"/>
        </w:rPr>
        <w:t xml:space="preserve"> </w:t>
      </w:r>
      <w:r>
        <w:rPr>
          <w:rFonts w:ascii="宋体" w:hAnsi="宋体" w:eastAsia="宋体" w:cs="宋体"/>
          <w:color w:val="auto"/>
          <w:spacing w:val="1"/>
          <w:sz w:val="24"/>
          <w:szCs w:val="24"/>
          <w:lang w:eastAsia="zh-CN"/>
        </w:rPr>
        <w:t>应当计取的费用均应列入报价中。报价时不论是否计取，采购人均按已计取对待。任何有</w:t>
      </w:r>
      <w:r>
        <w:rPr>
          <w:rFonts w:ascii="宋体" w:hAnsi="宋体" w:eastAsia="宋体" w:cs="宋体"/>
          <w:color w:val="auto"/>
          <w:spacing w:val="2"/>
          <w:sz w:val="24"/>
          <w:szCs w:val="24"/>
          <w:lang w:eastAsia="zh-CN"/>
        </w:rPr>
        <w:t>选择的磋商报价将不予接受，否则按无效磋商处理。</w:t>
      </w:r>
    </w:p>
    <w:p w14:paraId="0CD6AA33">
      <w:pPr>
        <w:spacing w:before="185" w:line="360" w:lineRule="auto"/>
        <w:ind w:right="12" w:firstLine="488" w:firstLineChars="20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9.3 本项目最高限价为：</w:t>
      </w:r>
      <w:r>
        <w:rPr>
          <w:rFonts w:hint="eastAsia" w:ascii="宋体" w:hAnsi="宋体" w:eastAsia="宋体" w:cs="宋体"/>
          <w:color w:val="auto"/>
          <w:spacing w:val="2"/>
          <w:sz w:val="24"/>
          <w:szCs w:val="24"/>
          <w:lang w:eastAsia="zh-CN"/>
        </w:rPr>
        <w:t>伍拾叁万柒仟壹佰元整</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537100.00元元</w:t>
      </w:r>
      <w:r>
        <w:rPr>
          <w:rFonts w:ascii="宋体" w:hAnsi="宋体" w:eastAsia="宋体" w:cs="宋体"/>
          <w:color w:val="auto"/>
          <w:spacing w:val="2"/>
          <w:sz w:val="24"/>
          <w:szCs w:val="24"/>
          <w:lang w:eastAsia="zh-CN"/>
        </w:rPr>
        <w:t>），磋商报价大于本项目最高限价时按无效标处理。</w:t>
      </w:r>
    </w:p>
    <w:p w14:paraId="224C1C8E">
      <w:pPr>
        <w:spacing w:before="185" w:line="468" w:lineRule="exact"/>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9.4</w:t>
      </w:r>
      <w:r>
        <w:rPr>
          <w:rFonts w:ascii="宋体" w:hAnsi="宋体" w:eastAsia="宋体" w:cs="宋体"/>
          <w:color w:val="auto"/>
          <w:spacing w:val="-45"/>
          <w:position w:val="17"/>
          <w:sz w:val="24"/>
          <w:szCs w:val="24"/>
          <w:lang w:eastAsia="zh-CN"/>
        </w:rPr>
        <w:t xml:space="preserve"> </w:t>
      </w:r>
      <w:r>
        <w:rPr>
          <w:rFonts w:ascii="宋体" w:hAnsi="宋体" w:eastAsia="宋体" w:cs="宋体"/>
          <w:color w:val="auto"/>
          <w:spacing w:val="3"/>
          <w:position w:val="17"/>
          <w:sz w:val="24"/>
          <w:szCs w:val="24"/>
          <w:lang w:eastAsia="zh-CN"/>
          <w14:textOutline w14:w="4356" w14:cap="sq" w14:cmpd="sng" w14:algn="ctr">
            <w14:solidFill>
              <w14:srgbClr w14:val="000000"/>
            </w14:solidFill>
            <w14:prstDash w14:val="solid"/>
            <w14:bevel/>
          </w14:textOutline>
        </w:rPr>
        <w:t>最低报价不是成交的唯一依据。</w:t>
      </w:r>
      <w:r>
        <w:rPr>
          <w:rFonts w:ascii="宋体" w:hAnsi="宋体" w:eastAsia="宋体" w:cs="宋体"/>
          <w:color w:val="auto"/>
          <w:spacing w:val="3"/>
          <w:position w:val="17"/>
          <w:sz w:val="24"/>
          <w:szCs w:val="24"/>
          <w:lang w:eastAsia="zh-CN"/>
        </w:rPr>
        <w:t>供应商不得</w:t>
      </w:r>
      <w:r>
        <w:rPr>
          <w:rFonts w:ascii="宋体" w:hAnsi="宋体" w:eastAsia="宋体" w:cs="宋体"/>
          <w:color w:val="auto"/>
          <w:spacing w:val="2"/>
          <w:position w:val="17"/>
          <w:sz w:val="24"/>
          <w:szCs w:val="24"/>
          <w:lang w:eastAsia="zh-CN"/>
        </w:rPr>
        <w:t>以低于成本的报价参加磋商。当磋商</w:t>
      </w:r>
    </w:p>
    <w:p w14:paraId="5CF025A3">
      <w:pPr>
        <w:spacing w:before="1" w:line="217" w:lineRule="auto"/>
        <w:ind w:left="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小组认为某个供应商的磋商价或者某些分项报价明显不合理或者低于成本，有可</w:t>
      </w:r>
      <w:r>
        <w:rPr>
          <w:rFonts w:ascii="宋体" w:hAnsi="宋体" w:eastAsia="宋体" w:cs="宋体"/>
          <w:color w:val="auto"/>
          <w:sz w:val="24"/>
          <w:szCs w:val="24"/>
          <w:lang w:eastAsia="zh-CN"/>
        </w:rPr>
        <w:t>能影响服</w:t>
      </w:r>
    </w:p>
    <w:p w14:paraId="03E0C4F2">
      <w:pPr>
        <w:spacing w:before="122" w:line="468" w:lineRule="exact"/>
        <w:ind w:left="1"/>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务质量和不能诚信履约的，可要求该供应商在规定的期限内提供书面文件予以解释说</w:t>
      </w:r>
      <w:r>
        <w:rPr>
          <w:rFonts w:ascii="宋体" w:hAnsi="宋体" w:eastAsia="宋体" w:cs="宋体"/>
          <w:color w:val="auto"/>
          <w:position w:val="17"/>
          <w:sz w:val="24"/>
          <w:szCs w:val="24"/>
          <w:lang w:eastAsia="zh-CN"/>
        </w:rPr>
        <w:t>明，</w:t>
      </w:r>
    </w:p>
    <w:p w14:paraId="60F02C83">
      <w:pPr>
        <w:spacing w:line="218" w:lineRule="auto"/>
        <w:ind w:left="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并提交相关证明材料。否则，磋商小组可以拒绝该供应商的磋商。</w:t>
      </w:r>
    </w:p>
    <w:p w14:paraId="78E88B0F">
      <w:pPr>
        <w:spacing w:before="104" w:line="359" w:lineRule="auto"/>
        <w:ind w:left="19" w:firstLine="461"/>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w:t>
      </w:r>
      <w:r>
        <w:rPr>
          <w:rFonts w:ascii="宋体" w:hAnsi="宋体" w:eastAsia="宋体" w:cs="宋体"/>
          <w:color w:val="auto"/>
          <w:spacing w:val="-37"/>
          <w:sz w:val="24"/>
          <w:szCs w:val="24"/>
          <w:lang w:eastAsia="zh-CN"/>
        </w:rPr>
        <w:t xml:space="preserve"> </w:t>
      </w:r>
      <w:r>
        <w:rPr>
          <w:rFonts w:ascii="宋体" w:hAnsi="宋体" w:eastAsia="宋体" w:cs="宋体"/>
          <w:color w:val="auto"/>
          <w:spacing w:val="2"/>
          <w:sz w:val="24"/>
          <w:szCs w:val="24"/>
          <w:lang w:eastAsia="zh-CN"/>
        </w:rPr>
        <w:t>供应商不得以低于成本的报价参加磋商。供应商的磋商报价明显低于其他供应商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的报价，经磋商小组质询后不能在规定时间内说明</w:t>
      </w:r>
      <w:r>
        <w:rPr>
          <w:rFonts w:ascii="宋体" w:hAnsi="宋体" w:eastAsia="宋体" w:cs="宋体"/>
          <w:color w:val="auto"/>
          <w:sz w:val="24"/>
          <w:szCs w:val="24"/>
          <w:lang w:eastAsia="zh-CN"/>
        </w:rPr>
        <w:t>理由，或说明理由经磋商小组认为不成</w:t>
      </w:r>
    </w:p>
    <w:p w14:paraId="0C2BA6C1">
      <w:pPr>
        <w:spacing w:line="219"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立，则按无效标处理。</w:t>
      </w:r>
    </w:p>
    <w:p w14:paraId="01A8E799">
      <w:pPr>
        <w:spacing w:before="262" w:line="219" w:lineRule="auto"/>
        <w:ind w:left="49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14:textOutline w14:w="4356" w14:cap="sq" w14:cmpd="sng" w14:algn="ctr">
            <w14:solidFill>
              <w14:srgbClr w14:val="000000"/>
            </w14:solidFill>
            <w14:prstDash w14:val="solid"/>
            <w14:bevel/>
          </w14:textOutline>
        </w:rPr>
        <w:t>10．磋商货币</w:t>
      </w:r>
    </w:p>
    <w:p w14:paraId="47C995E0">
      <w:pPr>
        <w:spacing w:before="184" w:line="218" w:lineRule="auto"/>
        <w:ind w:left="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 供应商提供的</w:t>
      </w:r>
      <w:r>
        <w:rPr>
          <w:rFonts w:hint="eastAsia" w:ascii="宋体" w:hAnsi="宋体" w:eastAsia="宋体" w:cs="宋体"/>
          <w:color w:val="auto"/>
          <w:spacing w:val="-1"/>
          <w:sz w:val="24"/>
          <w:szCs w:val="24"/>
          <w:lang w:eastAsia="zh-CN"/>
        </w:rPr>
        <w:t>货物</w:t>
      </w:r>
      <w:r>
        <w:rPr>
          <w:rFonts w:ascii="宋体" w:hAnsi="宋体" w:eastAsia="宋体" w:cs="宋体"/>
          <w:color w:val="auto"/>
          <w:spacing w:val="-1"/>
          <w:sz w:val="24"/>
          <w:szCs w:val="24"/>
          <w:lang w:eastAsia="zh-CN"/>
        </w:rPr>
        <w:t>及服务一律以人民</w:t>
      </w:r>
      <w:r>
        <w:rPr>
          <w:rFonts w:ascii="宋体" w:hAnsi="宋体" w:eastAsia="宋体" w:cs="宋体"/>
          <w:color w:val="auto"/>
          <w:spacing w:val="-2"/>
          <w:sz w:val="24"/>
          <w:szCs w:val="24"/>
          <w:lang w:eastAsia="zh-CN"/>
        </w:rPr>
        <w:t>币报价。</w:t>
      </w:r>
    </w:p>
    <w:p w14:paraId="1B877C2F">
      <w:pPr>
        <w:spacing w:before="184" w:line="220" w:lineRule="auto"/>
        <w:ind w:left="49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11．磋商保证金</w:t>
      </w:r>
    </w:p>
    <w:p w14:paraId="37B3D2CB">
      <w:pPr>
        <w:spacing w:before="182" w:line="220" w:lineRule="auto"/>
        <w:ind w:left="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11.1 不提交磋商保证金。</w:t>
      </w:r>
    </w:p>
    <w:p w14:paraId="08AA86AC">
      <w:pPr>
        <w:spacing w:before="183" w:line="219" w:lineRule="auto"/>
        <w:ind w:left="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12．磋商响应文件有效期</w:t>
      </w:r>
    </w:p>
    <w:p w14:paraId="10FD2E8F">
      <w:pPr>
        <w:spacing w:before="183" w:line="360" w:lineRule="auto"/>
        <w:ind w:firstLine="496"/>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12.1 磋商响应文件有效期为磋商之日起九十（90</w:t>
      </w:r>
      <w:r>
        <w:rPr>
          <w:rFonts w:ascii="宋体" w:hAnsi="宋体" w:eastAsia="宋体" w:cs="宋体"/>
          <w:color w:val="auto"/>
          <w:spacing w:val="-3"/>
          <w:sz w:val="24"/>
          <w:szCs w:val="24"/>
          <w:lang w:eastAsia="zh-CN"/>
        </w:rPr>
        <w:t>）个日历日（成交供应商的响应文件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有效期与合同有效期一致）。供应商的磋商响应文件有效期比磋商文件规定短的将被视为</w:t>
      </w:r>
    </w:p>
    <w:p w14:paraId="5BEFCEA8">
      <w:pPr>
        <w:spacing w:line="219" w:lineRule="auto"/>
        <w:ind w:left="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非响应性投标，按废标处理。</w:t>
      </w:r>
    </w:p>
    <w:p w14:paraId="19D7F167">
      <w:pPr>
        <w:spacing w:before="183" w:line="360" w:lineRule="auto"/>
        <w:ind w:firstLine="496"/>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特殊情况下，在原磋商有效期期满之前</w:t>
      </w:r>
      <w:r>
        <w:rPr>
          <w:rFonts w:ascii="宋体" w:hAnsi="宋体" w:eastAsia="宋体" w:cs="宋体"/>
          <w:color w:val="auto"/>
          <w:spacing w:val="-3"/>
          <w:sz w:val="24"/>
          <w:szCs w:val="24"/>
          <w:lang w:eastAsia="zh-CN"/>
        </w:rPr>
        <w:t>，采购代理机构可向供应商提出延长磋商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有效期的要求。这种要求与答复均应以书面的形式。同意延长的供应商既不能要求也不允</w:t>
      </w:r>
    </w:p>
    <w:p w14:paraId="0C54C540">
      <w:pPr>
        <w:spacing w:line="219"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许修改其磋商响应文件。</w:t>
      </w:r>
    </w:p>
    <w:p w14:paraId="2B1FF102">
      <w:pPr>
        <w:spacing w:before="184" w:line="219" w:lineRule="auto"/>
        <w:ind w:left="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13．响应文件的式样和签署</w:t>
      </w:r>
    </w:p>
    <w:p w14:paraId="036D9B85">
      <w:pPr>
        <w:spacing w:before="182" w:line="219" w:lineRule="auto"/>
        <w:ind w:left="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13.1 纸质版响应文件仅需成交供应商提交，在领取成交通知书时提供用于备案。</w:t>
      </w:r>
    </w:p>
    <w:p w14:paraId="1EF3DCDD">
      <w:pPr>
        <w:spacing w:before="184" w:line="468" w:lineRule="exact"/>
        <w:ind w:right="2"/>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13.2 纸质版磋商响应文件一式贰份，其中正</w:t>
      </w:r>
      <w:r>
        <w:rPr>
          <w:rFonts w:ascii="宋体" w:hAnsi="宋体" w:eastAsia="宋体" w:cs="宋体"/>
          <w:color w:val="auto"/>
          <w:spacing w:val="-3"/>
          <w:position w:val="17"/>
          <w:sz w:val="24"/>
          <w:szCs w:val="24"/>
          <w:lang w:eastAsia="zh-CN"/>
        </w:rPr>
        <w:t>本壹份，副本壹份。在每一份文件上要注</w:t>
      </w:r>
    </w:p>
    <w:p w14:paraId="0C6CCFD2">
      <w:pPr>
        <w:spacing w:before="1" w:line="218" w:lineRule="auto"/>
        <w:ind w:left="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明 “正本</w:t>
      </w:r>
      <w:r>
        <w:rPr>
          <w:rFonts w:ascii="宋体" w:hAnsi="宋体" w:eastAsia="宋体" w:cs="宋体"/>
          <w:color w:val="auto"/>
          <w:spacing w:val="-87"/>
          <w:sz w:val="24"/>
          <w:szCs w:val="24"/>
          <w:lang w:eastAsia="zh-CN"/>
        </w:rPr>
        <w:t xml:space="preserve"> </w:t>
      </w:r>
      <w:r>
        <w:rPr>
          <w:rFonts w:ascii="宋体" w:hAnsi="宋体" w:eastAsia="宋体" w:cs="宋体"/>
          <w:color w:val="auto"/>
          <w:spacing w:val="-7"/>
          <w:sz w:val="24"/>
          <w:szCs w:val="24"/>
          <w:lang w:eastAsia="zh-CN"/>
        </w:rPr>
        <w:t>”或“副本</w:t>
      </w:r>
      <w:r>
        <w:rPr>
          <w:rFonts w:ascii="宋体" w:hAnsi="宋体" w:eastAsia="宋体" w:cs="宋体"/>
          <w:color w:val="auto"/>
          <w:spacing w:val="-88"/>
          <w:sz w:val="24"/>
          <w:szCs w:val="24"/>
          <w:lang w:eastAsia="zh-CN"/>
        </w:rPr>
        <w:t xml:space="preserve"> </w:t>
      </w:r>
      <w:r>
        <w:rPr>
          <w:rFonts w:ascii="宋体" w:hAnsi="宋体" w:eastAsia="宋体" w:cs="宋体"/>
          <w:color w:val="auto"/>
          <w:spacing w:val="-7"/>
          <w:sz w:val="24"/>
          <w:szCs w:val="24"/>
          <w:lang w:eastAsia="zh-CN"/>
        </w:rPr>
        <w:t>”字样。</w:t>
      </w:r>
    </w:p>
    <w:p w14:paraId="456D7458">
      <w:pPr>
        <w:spacing w:before="183" w:line="219" w:lineRule="auto"/>
        <w:ind w:left="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13.3 供应商名称应当填写全称，同时</w:t>
      </w:r>
      <w:r>
        <w:rPr>
          <w:rFonts w:ascii="宋体" w:hAnsi="宋体" w:eastAsia="宋体" w:cs="宋体"/>
          <w:color w:val="auto"/>
          <w:spacing w:val="-2"/>
          <w:sz w:val="24"/>
          <w:szCs w:val="24"/>
          <w:lang w:eastAsia="zh-CN"/>
        </w:rPr>
        <w:t>加盖公章。</w:t>
      </w:r>
    </w:p>
    <w:p w14:paraId="131531A2">
      <w:pPr>
        <w:spacing w:before="184" w:line="360" w:lineRule="auto"/>
        <w:ind w:left="3" w:right="2" w:firstLine="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13.4 纸质版磋商响应文件不得随意涂改和增</w:t>
      </w:r>
      <w:r>
        <w:rPr>
          <w:rFonts w:ascii="宋体" w:hAnsi="宋体" w:eastAsia="宋体" w:cs="宋体"/>
          <w:color w:val="auto"/>
          <w:spacing w:val="-3"/>
          <w:sz w:val="24"/>
          <w:szCs w:val="24"/>
          <w:lang w:eastAsia="zh-CN"/>
        </w:rPr>
        <w:t>删，应跟开标时上传的电子磋商响应文件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一致。如有任何修改错漏之处，涂改或增删，必须由法定代表人或授权代表签字、</w:t>
      </w:r>
      <w:r>
        <w:rPr>
          <w:rFonts w:ascii="宋体" w:hAnsi="宋体" w:eastAsia="宋体" w:cs="宋体"/>
          <w:color w:val="auto"/>
          <w:sz w:val="24"/>
          <w:szCs w:val="24"/>
          <w:lang w:eastAsia="zh-CN"/>
        </w:rPr>
        <w:t>盖章才</w:t>
      </w:r>
    </w:p>
    <w:p w14:paraId="2F1DC947">
      <w:pPr>
        <w:spacing w:line="220" w:lineRule="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有效。</w:t>
      </w:r>
    </w:p>
    <w:p w14:paraId="24BF6FD4">
      <w:pPr>
        <w:spacing w:before="181"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13.5</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供应商应按照磋商文件中提供的统一格式制作磋商响应文件，文件中应有目录。</w:t>
      </w:r>
    </w:p>
    <w:p w14:paraId="5F31D2FC">
      <w:pPr>
        <w:spacing w:before="184" w:line="468" w:lineRule="exact"/>
        <w:ind w:right="2"/>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13.6 纸质版磋商响应文件必须工整、规范、统一、清晰，采用</w:t>
      </w:r>
      <w:r>
        <w:rPr>
          <w:rFonts w:ascii="宋体" w:hAnsi="宋体" w:eastAsia="宋体" w:cs="宋体"/>
          <w:color w:val="auto"/>
          <w:spacing w:val="-55"/>
          <w:position w:val="17"/>
          <w:sz w:val="24"/>
          <w:szCs w:val="24"/>
          <w:lang w:eastAsia="zh-CN"/>
        </w:rPr>
        <w:t xml:space="preserve"> </w:t>
      </w:r>
      <w:r>
        <w:rPr>
          <w:rFonts w:ascii="宋体" w:hAnsi="宋体" w:eastAsia="宋体" w:cs="宋体"/>
          <w:color w:val="auto"/>
          <w:position w:val="17"/>
          <w:sz w:val="24"/>
          <w:szCs w:val="24"/>
          <w:lang w:eastAsia="zh-CN"/>
        </w:rPr>
        <w:t>A4</w:t>
      </w:r>
      <w:r>
        <w:rPr>
          <w:rFonts w:ascii="宋体" w:hAnsi="宋体" w:eastAsia="宋体" w:cs="宋体"/>
          <w:color w:val="auto"/>
          <w:spacing w:val="-39"/>
          <w:position w:val="17"/>
          <w:sz w:val="24"/>
          <w:szCs w:val="24"/>
          <w:lang w:eastAsia="zh-CN"/>
        </w:rPr>
        <w:t xml:space="preserve"> </w:t>
      </w:r>
      <w:r>
        <w:rPr>
          <w:rFonts w:ascii="宋体" w:hAnsi="宋体" w:eastAsia="宋体" w:cs="宋体"/>
          <w:color w:val="auto"/>
          <w:position w:val="17"/>
          <w:sz w:val="24"/>
          <w:szCs w:val="24"/>
          <w:lang w:eastAsia="zh-CN"/>
        </w:rPr>
        <w:t>幅面纸胶</w:t>
      </w:r>
      <w:r>
        <w:rPr>
          <w:rFonts w:ascii="宋体" w:hAnsi="宋体" w:eastAsia="宋体" w:cs="宋体"/>
          <w:color w:val="auto"/>
          <w:spacing w:val="-1"/>
          <w:position w:val="17"/>
          <w:sz w:val="24"/>
          <w:szCs w:val="24"/>
          <w:lang w:eastAsia="zh-CN"/>
        </w:rPr>
        <w:t>装成册、</w:t>
      </w:r>
    </w:p>
    <w:p w14:paraId="1577E584">
      <w:pPr>
        <w:spacing w:line="220" w:lineRule="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标注页码。</w:t>
      </w:r>
    </w:p>
    <w:p w14:paraId="33ACB5DF">
      <w:pPr>
        <w:spacing w:before="182" w:line="219" w:lineRule="auto"/>
        <w:ind w:left="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13.7 若供应商对文件理解有误，产生的后果由供应商自行承担。</w:t>
      </w:r>
    </w:p>
    <w:p w14:paraId="03C9F957">
      <w:pPr>
        <w:spacing w:before="260" w:line="220" w:lineRule="auto"/>
        <w:ind w:left="388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14:textOutline w14:w="4356" w14:cap="sq" w14:cmpd="sng" w14:algn="ctr">
            <w14:solidFill>
              <w14:srgbClr w14:val="000000"/>
            </w14:solidFill>
            <w14:prstDash w14:val="solid"/>
            <w14:bevel/>
          </w14:textOutline>
        </w:rPr>
        <w:t>四、磋商与评审</w:t>
      </w:r>
    </w:p>
    <w:p w14:paraId="766F4376">
      <w:pPr>
        <w:spacing w:line="220" w:lineRule="auto"/>
        <w:rPr>
          <w:rFonts w:ascii="宋体" w:hAnsi="宋体" w:eastAsia="宋体" w:cs="宋体"/>
          <w:color w:val="auto"/>
          <w:sz w:val="24"/>
          <w:szCs w:val="24"/>
          <w:lang w:eastAsia="zh-CN"/>
        </w:rPr>
      </w:pPr>
    </w:p>
    <w:p w14:paraId="257C034D">
      <w:pPr>
        <w:spacing w:before="122" w:line="220" w:lineRule="auto"/>
        <w:ind w:left="4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14．磋商截止日期</w:t>
      </w:r>
    </w:p>
    <w:p w14:paraId="21975726">
      <w:pPr>
        <w:spacing w:before="181" w:line="219" w:lineRule="auto"/>
        <w:ind w:left="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14.1 供应商应在不迟于磋商文件中规定的磋商截止时间前递交响应文件。</w:t>
      </w:r>
    </w:p>
    <w:p w14:paraId="45F70CCB">
      <w:pPr>
        <w:spacing w:before="183" w:line="360" w:lineRule="auto"/>
        <w:ind w:firstLine="498"/>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14.2 采购代理机构可以按本须知第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5.3</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条规定，通知因修改磋商文件而适当延长磋商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截止期。在此情况下，采购人和供应商受磋商截止期制约的所有权利和义务应延长至新的</w:t>
      </w:r>
    </w:p>
    <w:p w14:paraId="31B2A63B">
      <w:pPr>
        <w:spacing w:line="220" w:lineRule="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截止期。</w:t>
      </w:r>
    </w:p>
    <w:p w14:paraId="2DA00126">
      <w:pPr>
        <w:spacing w:before="182" w:line="220" w:lineRule="auto"/>
        <w:ind w:left="49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15．磋商</w:t>
      </w:r>
    </w:p>
    <w:p w14:paraId="6E58CEDE">
      <w:pPr>
        <w:spacing w:before="182" w:line="468" w:lineRule="exact"/>
        <w:ind w:right="2"/>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15.1 采购代理机构组织磋商、文件开启、评</w:t>
      </w:r>
      <w:r>
        <w:rPr>
          <w:rFonts w:ascii="宋体" w:hAnsi="宋体" w:eastAsia="宋体" w:cs="宋体"/>
          <w:color w:val="auto"/>
          <w:spacing w:val="-3"/>
          <w:position w:val="17"/>
          <w:sz w:val="24"/>
          <w:szCs w:val="24"/>
          <w:lang w:eastAsia="zh-CN"/>
        </w:rPr>
        <w:t>审工作，磋商整个过程接受监督部门的监</w:t>
      </w:r>
    </w:p>
    <w:p w14:paraId="6005001A">
      <w:pPr>
        <w:spacing w:before="1" w:line="220" w:lineRule="auto"/>
        <w:ind w:left="5"/>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督。</w:t>
      </w:r>
    </w:p>
    <w:p w14:paraId="3AE1BD30">
      <w:pPr>
        <w:spacing w:before="181" w:line="360" w:lineRule="auto"/>
        <w:ind w:firstLine="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15.2 本项目采用远程不见面开标方式进行开</w:t>
      </w:r>
      <w:r>
        <w:rPr>
          <w:rFonts w:ascii="宋体" w:hAnsi="宋体" w:eastAsia="宋体" w:cs="宋体"/>
          <w:color w:val="auto"/>
          <w:spacing w:val="-3"/>
          <w:sz w:val="24"/>
          <w:szCs w:val="24"/>
          <w:lang w:eastAsia="zh-CN"/>
        </w:rPr>
        <w:t>标、磋商，采购代理机构在规定的时间和</w:t>
      </w:r>
      <w:r>
        <w:rPr>
          <w:rFonts w:ascii="宋体" w:hAnsi="宋体" w:eastAsia="宋体" w:cs="宋体"/>
          <w:color w:val="auto"/>
          <w:sz w:val="24"/>
          <w:szCs w:val="24"/>
          <w:lang w:eastAsia="zh-CN"/>
        </w:rPr>
        <w:t xml:space="preserve"> 地点组织磋商，供应商授权代表不到现场参加开标，须自行在各自办公场</w:t>
      </w:r>
      <w:r>
        <w:rPr>
          <w:rFonts w:ascii="宋体" w:hAnsi="宋体" w:eastAsia="宋体" w:cs="宋体"/>
          <w:color w:val="auto"/>
          <w:spacing w:val="-1"/>
          <w:sz w:val="24"/>
          <w:szCs w:val="24"/>
          <w:lang w:eastAsia="zh-CN"/>
        </w:rPr>
        <w:t>所，</w:t>
      </w:r>
      <w:r>
        <w:rPr>
          <w:rFonts w:ascii="宋体" w:hAnsi="宋体" w:eastAsia="宋体" w:cs="宋体"/>
          <w:color w:val="auto"/>
          <w:spacing w:val="-71"/>
          <w:sz w:val="24"/>
          <w:szCs w:val="24"/>
          <w:lang w:eastAsia="zh-CN"/>
        </w:rPr>
        <w:t xml:space="preserve"> </w:t>
      </w:r>
      <w:r>
        <w:rPr>
          <w:rFonts w:ascii="宋体" w:hAnsi="宋体" w:eastAsia="宋体" w:cs="宋体"/>
          <w:color w:val="auto"/>
          <w:spacing w:val="-1"/>
          <w:sz w:val="24"/>
          <w:szCs w:val="24"/>
          <w:lang w:eastAsia="zh-CN"/>
        </w:rPr>
        <w:t>自备电脑在</w:t>
      </w:r>
    </w:p>
    <w:p w14:paraId="0123A8D1">
      <w:pPr>
        <w:spacing w:line="219" w:lineRule="auto"/>
        <w:ind w:left="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投标截止时间前登录不见面开标大厅，进行远程开标、磋商。</w:t>
      </w:r>
    </w:p>
    <w:p w14:paraId="50100D40">
      <w:pPr>
        <w:spacing w:before="183" w:line="468" w:lineRule="exact"/>
        <w:ind w:right="2"/>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15.3</w:t>
      </w:r>
      <w:r>
        <w:rPr>
          <w:rFonts w:ascii="宋体" w:hAnsi="宋体" w:eastAsia="宋体" w:cs="宋体"/>
          <w:color w:val="auto"/>
          <w:spacing w:val="-51"/>
          <w:position w:val="17"/>
          <w:sz w:val="24"/>
          <w:szCs w:val="24"/>
          <w:lang w:eastAsia="zh-CN"/>
        </w:rPr>
        <w:t xml:space="preserve"> </w:t>
      </w:r>
      <w:r>
        <w:rPr>
          <w:rFonts w:ascii="宋体" w:hAnsi="宋体" w:eastAsia="宋体" w:cs="宋体"/>
          <w:color w:val="auto"/>
          <w:spacing w:val="-1"/>
          <w:position w:val="17"/>
          <w:sz w:val="24"/>
          <w:szCs w:val="24"/>
          <w:lang w:eastAsia="zh-CN"/>
        </w:rPr>
        <w:t>磋商小组将分别与每位供应商远程进行磋商，请及时关注不见</w:t>
      </w:r>
      <w:r>
        <w:rPr>
          <w:rFonts w:ascii="宋体" w:hAnsi="宋体" w:eastAsia="宋体" w:cs="宋体"/>
          <w:color w:val="auto"/>
          <w:spacing w:val="-2"/>
          <w:position w:val="17"/>
          <w:sz w:val="24"/>
          <w:szCs w:val="24"/>
          <w:lang w:eastAsia="zh-CN"/>
        </w:rPr>
        <w:t>面开播大厅右侧公</w:t>
      </w:r>
    </w:p>
    <w:p w14:paraId="12D93A5A">
      <w:pPr>
        <w:spacing w:before="1" w:line="217" w:lineRule="auto"/>
        <w:ind w:left="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告及互动栏目信息。</w:t>
      </w:r>
    </w:p>
    <w:p w14:paraId="32A0556E">
      <w:pPr>
        <w:spacing w:before="185" w:line="468" w:lineRule="exact"/>
        <w:ind w:right="2"/>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15.4 磋商结束后，供应商在自备电脑上用数</w:t>
      </w:r>
      <w:r>
        <w:rPr>
          <w:rFonts w:ascii="宋体" w:hAnsi="宋体" w:eastAsia="宋体" w:cs="宋体"/>
          <w:color w:val="auto"/>
          <w:position w:val="17"/>
          <w:sz w:val="24"/>
          <w:szCs w:val="24"/>
          <w:lang w:eastAsia="zh-CN"/>
        </w:rPr>
        <w:t>字认证证书（CA 主锁）登录系统进行二</w:t>
      </w:r>
    </w:p>
    <w:p w14:paraId="4BFA226B">
      <w:pPr>
        <w:spacing w:before="1" w:line="217" w:lineRule="auto"/>
        <w:ind w:left="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次报价，系统按照评标规则自动排序。</w:t>
      </w:r>
    </w:p>
    <w:p w14:paraId="56074B52">
      <w:pPr>
        <w:spacing w:before="185" w:line="360" w:lineRule="auto"/>
        <w:ind w:left="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在磋商期间，响应文件中有不满足竞争性磋商文件资质要求的</w:t>
      </w:r>
      <w:r>
        <w:rPr>
          <w:rFonts w:ascii="宋体" w:hAnsi="宋体" w:eastAsia="宋体" w:cs="宋体"/>
          <w:color w:val="auto"/>
          <w:spacing w:val="-2"/>
          <w:sz w:val="24"/>
          <w:szCs w:val="24"/>
          <w:lang w:eastAsia="zh-CN"/>
        </w:rPr>
        <w:t>或不符合竞争性磋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商文件要求的内容，将视为无效投标；磋商小组可要求供应商对其磋商响应文件中含</w:t>
      </w:r>
      <w:r>
        <w:rPr>
          <w:rFonts w:ascii="宋体" w:hAnsi="宋体" w:eastAsia="宋体" w:cs="宋体"/>
          <w:color w:val="auto"/>
          <w:sz w:val="24"/>
          <w:szCs w:val="24"/>
          <w:lang w:eastAsia="zh-CN"/>
        </w:rPr>
        <w:t xml:space="preserve">义不 </w:t>
      </w:r>
      <w:r>
        <w:rPr>
          <w:rFonts w:ascii="宋体" w:hAnsi="宋体" w:eastAsia="宋体" w:cs="宋体"/>
          <w:color w:val="auto"/>
          <w:spacing w:val="1"/>
          <w:sz w:val="24"/>
          <w:szCs w:val="24"/>
          <w:lang w:eastAsia="zh-CN"/>
        </w:rPr>
        <w:t>明确的内容作必要的澄清或说明，但澄清或说明不得超出磋商响应文件的范围或改变</w:t>
      </w:r>
      <w:r>
        <w:rPr>
          <w:rFonts w:ascii="宋体" w:hAnsi="宋体" w:eastAsia="宋体" w:cs="宋体"/>
          <w:color w:val="auto"/>
          <w:sz w:val="24"/>
          <w:szCs w:val="24"/>
          <w:lang w:eastAsia="zh-CN"/>
        </w:rPr>
        <w:t xml:space="preserve">磋商 </w:t>
      </w:r>
      <w:r>
        <w:rPr>
          <w:rFonts w:ascii="宋体" w:hAnsi="宋体" w:eastAsia="宋体" w:cs="宋体"/>
          <w:color w:val="auto"/>
          <w:spacing w:val="1"/>
          <w:sz w:val="24"/>
          <w:szCs w:val="24"/>
          <w:lang w:eastAsia="zh-CN"/>
        </w:rPr>
        <w:t>响应文件实质性内容。有关澄清的要求和答复均应以书面形式提交，澄清的内容为磋</w:t>
      </w:r>
      <w:r>
        <w:rPr>
          <w:rFonts w:ascii="宋体" w:hAnsi="宋体" w:eastAsia="宋体" w:cs="宋体"/>
          <w:color w:val="auto"/>
          <w:sz w:val="24"/>
          <w:szCs w:val="24"/>
          <w:lang w:eastAsia="zh-CN"/>
        </w:rPr>
        <w:t>商响</w:t>
      </w:r>
    </w:p>
    <w:p w14:paraId="70E16A91">
      <w:pPr>
        <w:spacing w:line="219" w:lineRule="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应文件的组成部分。</w:t>
      </w:r>
    </w:p>
    <w:p w14:paraId="12C23E74">
      <w:pPr>
        <w:spacing w:before="183" w:line="218" w:lineRule="auto"/>
        <w:ind w:left="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15.6 参加磋商的供应商应当对磋商的承诺和最后报价确认，并由授权代表签章。</w:t>
      </w:r>
    </w:p>
    <w:p w14:paraId="40E2B2B2">
      <w:pPr>
        <w:spacing w:before="105" w:line="218" w:lineRule="auto"/>
        <w:ind w:left="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二次报价网上操作流程：</w:t>
      </w:r>
    </w:p>
    <w:p w14:paraId="53EE263D">
      <w:pPr>
        <w:spacing w:before="184" w:line="214" w:lineRule="auto"/>
        <w:ind w:left="252"/>
        <w:rPr>
          <w:rFonts w:ascii="宋体" w:hAnsi="宋体" w:eastAsia="宋体" w:cs="宋体"/>
          <w:color w:val="auto"/>
          <w:sz w:val="24"/>
          <w:szCs w:val="24"/>
        </w:rPr>
      </w:pPr>
      <w:r>
        <w:rPr>
          <w:rFonts w:ascii="宋体" w:hAnsi="宋体" w:eastAsia="宋体" w:cs="宋体"/>
          <w:color w:val="auto"/>
          <w:spacing w:val="-1"/>
          <w:sz w:val="24"/>
          <w:szCs w:val="24"/>
        </w:rPr>
        <w:t>（1）插入</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锁，登录陕西省公共资源交易平台网站（http://www.sx</w:t>
      </w:r>
      <w:r>
        <w:rPr>
          <w:rFonts w:ascii="宋体" w:hAnsi="宋体" w:eastAsia="宋体" w:cs="宋体"/>
          <w:color w:val="auto"/>
          <w:spacing w:val="-2"/>
          <w:sz w:val="24"/>
          <w:szCs w:val="24"/>
        </w:rPr>
        <w:t>ggzy</w:t>
      </w:r>
      <w:r>
        <w:rPr>
          <w:rFonts w:ascii="宋体" w:hAnsi="宋体" w:eastAsia="宋体" w:cs="宋体"/>
          <w:color w:val="auto"/>
          <w:spacing w:val="-101"/>
          <w:sz w:val="24"/>
          <w:szCs w:val="24"/>
        </w:rPr>
        <w:t xml:space="preserve"> </w:t>
      </w:r>
      <w:r>
        <w:rPr>
          <w:rFonts w:ascii="宋体" w:hAnsi="宋体" w:eastAsia="宋体" w:cs="宋体"/>
          <w:color w:val="auto"/>
          <w:spacing w:val="-2"/>
          <w:sz w:val="24"/>
          <w:szCs w:val="24"/>
        </w:rPr>
        <w:t>jy.cn/</w:t>
      </w:r>
      <w:r>
        <w:rPr>
          <w:rFonts w:ascii="宋体" w:hAnsi="宋体" w:eastAsia="宋体" w:cs="宋体"/>
          <w:color w:val="auto"/>
          <w:sz w:val="24"/>
          <w:szCs w:val="24"/>
        </w:rPr>
        <w:t>）；</w:t>
      </w:r>
    </w:p>
    <w:p w14:paraId="723DC840">
      <w:pPr>
        <w:spacing w:before="308" w:line="588" w:lineRule="exact"/>
        <w:ind w:left="252"/>
        <w:rPr>
          <w:rFonts w:ascii="宋体" w:hAnsi="宋体" w:eastAsia="宋体" w:cs="宋体"/>
          <w:color w:val="auto"/>
          <w:sz w:val="24"/>
          <w:szCs w:val="24"/>
          <w:lang w:eastAsia="zh-CN"/>
        </w:rPr>
      </w:pPr>
      <w:r>
        <w:rPr>
          <w:rFonts w:ascii="宋体" w:hAnsi="宋体" w:eastAsia="宋体" w:cs="宋体"/>
          <w:color w:val="auto"/>
          <w:spacing w:val="-1"/>
          <w:position w:val="26"/>
          <w:sz w:val="24"/>
          <w:szCs w:val="24"/>
          <w:lang w:eastAsia="zh-CN"/>
        </w:rPr>
        <w:t>（2）点击右上角我的项目，选择本次开标项目，点击项目流程；</w:t>
      </w:r>
    </w:p>
    <w:p w14:paraId="47383423">
      <w:pPr>
        <w:spacing w:before="2" w:line="217" w:lineRule="auto"/>
        <w:ind w:left="25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（3）点击网上报价；</w:t>
      </w:r>
    </w:p>
    <w:p w14:paraId="52350A57">
      <w:pPr>
        <w:pStyle w:val="9"/>
        <w:spacing w:before="267" w:line="706" w:lineRule="exact"/>
        <w:ind w:left="252"/>
        <w:rPr>
          <w:rFonts w:ascii="宋体" w:hAnsi="宋体" w:eastAsia="宋体" w:cs="宋体"/>
          <w:color w:val="auto"/>
          <w:sz w:val="24"/>
          <w:szCs w:val="24"/>
          <w:lang w:eastAsia="zh-CN"/>
        </w:rPr>
      </w:pPr>
      <w:r>
        <w:rPr>
          <w:rFonts w:ascii="宋体" w:hAnsi="宋体" w:eastAsia="宋体" w:cs="宋体"/>
          <w:color w:val="auto"/>
          <w:position w:val="19"/>
          <w:sz w:val="24"/>
          <w:szCs w:val="24"/>
          <w:lang w:eastAsia="zh-CN"/>
        </w:rPr>
        <w:t>（4）报价：点击报价，输入金额</w:t>
      </w:r>
      <w:r>
        <w:rPr>
          <w:rFonts w:ascii="宋体" w:hAnsi="宋体" w:eastAsia="宋体" w:cs="宋体"/>
          <w:color w:val="auto"/>
          <w:position w:val="19"/>
          <w:sz w:val="24"/>
          <w:szCs w:val="24"/>
          <w:lang w:eastAsia="zh-CN"/>
          <w14:textOutline w14:w="4356" w14:cap="sq" w14:cmpd="sng" w14:algn="ctr">
            <w14:solidFill>
              <w14:srgbClr w14:val="000000"/>
            </w14:solidFill>
            <w14:prstDash w14:val="solid"/>
            <w14:bevel/>
          </w14:textOutline>
        </w:rPr>
        <w:t>（注意大小写一致、报价单位</w:t>
      </w:r>
      <w:r>
        <w:rPr>
          <w:rFonts w:ascii="宋体" w:hAnsi="宋体" w:eastAsia="宋体" w:cs="宋体"/>
          <w:color w:val="auto"/>
          <w:spacing w:val="2"/>
          <w:position w:val="19"/>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2"/>
          <w:position w:val="19"/>
          <w:sz w:val="24"/>
          <w:szCs w:val="24"/>
          <w:lang w:eastAsia="zh-CN"/>
        </w:rPr>
        <w:t>；</w:t>
      </w:r>
    </w:p>
    <w:p w14:paraId="57DA8D76">
      <w:pPr>
        <w:spacing w:before="2" w:line="185" w:lineRule="auto"/>
        <w:ind w:left="252"/>
        <w:rPr>
          <w:rFonts w:ascii="宋体" w:hAnsi="宋体" w:eastAsia="宋体" w:cs="宋体"/>
          <w:color w:val="auto"/>
          <w:sz w:val="24"/>
          <w:szCs w:val="24"/>
          <w:lang w:eastAsia="zh-CN"/>
        </w:rPr>
      </w:pPr>
      <w:r>
        <w:rPr>
          <w:color w:val="auto"/>
          <w:lang w:eastAsia="zh-CN"/>
        </w:rPr>
        <w:drawing>
          <wp:anchor distT="0" distB="0" distL="0" distR="0" simplePos="0" relativeHeight="251660288" behindDoc="0" locked="0" layoutInCell="0" allowOverlap="1">
            <wp:simplePos x="0" y="0"/>
            <wp:positionH relativeFrom="page">
              <wp:posOffset>1237615</wp:posOffset>
            </wp:positionH>
            <wp:positionV relativeFrom="page">
              <wp:posOffset>1823085</wp:posOffset>
            </wp:positionV>
            <wp:extent cx="4067810" cy="6858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4067555" cy="685800"/>
                    </a:xfrm>
                    <a:prstGeom prst="rect">
                      <a:avLst/>
                    </a:prstGeom>
                  </pic:spPr>
                </pic:pic>
              </a:graphicData>
            </a:graphic>
          </wp:anchor>
        </w:drawing>
      </w:r>
      <w:r>
        <w:rPr>
          <w:rFonts w:ascii="宋体" w:hAnsi="宋体" w:eastAsia="宋体" w:cs="宋体"/>
          <w:color w:val="auto"/>
          <w:spacing w:val="-2"/>
          <w:position w:val="-1"/>
          <w:sz w:val="24"/>
          <w:szCs w:val="24"/>
          <w:lang w:eastAsia="zh-CN"/>
        </w:rPr>
        <w:t>（5）签章查看：点击</w:t>
      </w:r>
      <w:r>
        <w:rPr>
          <w:rFonts w:ascii="微软雅黑" w:hAnsi="微软雅黑" w:eastAsia="微软雅黑" w:cs="微软雅黑"/>
          <w:color w:val="auto"/>
          <w:spacing w:val="-75"/>
          <w:position w:val="9"/>
          <w:sz w:val="42"/>
          <w:szCs w:val="42"/>
          <w:lang w:eastAsia="zh-CN"/>
        </w:rPr>
        <w:t xml:space="preserve"> </w:t>
      </w:r>
      <w:r>
        <w:rPr>
          <w:rFonts w:ascii="宋体" w:hAnsi="宋体" w:eastAsia="宋体" w:cs="宋体"/>
          <w:color w:val="auto"/>
          <w:spacing w:val="-2"/>
          <w:position w:val="-1"/>
          <w:sz w:val="24"/>
          <w:szCs w:val="24"/>
          <w:lang w:eastAsia="zh-CN"/>
        </w:rPr>
        <w:t>，选择单页签章，点击报价表右下角签章；</w:t>
      </w:r>
    </w:p>
    <w:p w14:paraId="7671CA3F">
      <w:pPr>
        <w:spacing w:line="185" w:lineRule="auto"/>
        <w:rPr>
          <w:rFonts w:ascii="宋体" w:hAnsi="宋体" w:eastAsia="宋体" w:cs="宋体"/>
          <w:color w:val="auto"/>
          <w:sz w:val="24"/>
          <w:szCs w:val="24"/>
          <w:lang w:eastAsia="zh-CN"/>
        </w:rPr>
      </w:pPr>
    </w:p>
    <w:p w14:paraId="0668BFB0">
      <w:pPr>
        <w:pStyle w:val="9"/>
        <w:spacing w:line="266" w:lineRule="auto"/>
        <w:rPr>
          <w:color w:val="auto"/>
          <w:lang w:eastAsia="zh-CN"/>
        </w:rPr>
      </w:pPr>
    </w:p>
    <w:p w14:paraId="7B8E6C85">
      <w:pPr>
        <w:pStyle w:val="9"/>
        <w:spacing w:line="267" w:lineRule="auto"/>
        <w:rPr>
          <w:color w:val="auto"/>
          <w:lang w:eastAsia="zh-CN"/>
        </w:rPr>
      </w:pPr>
    </w:p>
    <w:p w14:paraId="21E62341">
      <w:pPr>
        <w:pStyle w:val="9"/>
        <w:spacing w:line="267" w:lineRule="auto"/>
        <w:rPr>
          <w:color w:val="auto"/>
          <w:lang w:eastAsia="zh-CN"/>
        </w:rPr>
      </w:pPr>
    </w:p>
    <w:p w14:paraId="14E32EB0">
      <w:pPr>
        <w:spacing w:before="78" w:line="586" w:lineRule="exact"/>
        <w:ind w:left="253"/>
        <w:rPr>
          <w:rFonts w:ascii="宋体" w:hAnsi="宋体" w:eastAsia="宋体" w:cs="宋体"/>
          <w:color w:val="auto"/>
          <w:sz w:val="24"/>
          <w:szCs w:val="24"/>
          <w:lang w:eastAsia="zh-CN"/>
        </w:rPr>
      </w:pPr>
      <w:r>
        <w:rPr>
          <w:rFonts w:ascii="宋体" w:hAnsi="宋体" w:eastAsia="宋体" w:cs="宋体"/>
          <w:color w:val="auto"/>
          <w:spacing w:val="-3"/>
          <w:position w:val="26"/>
          <w:sz w:val="24"/>
          <w:szCs w:val="24"/>
          <w:lang w:eastAsia="zh-CN"/>
        </w:rPr>
        <w:t>（6）确认无误如图：</w:t>
      </w:r>
    </w:p>
    <w:p w14:paraId="6A82C0A5">
      <w:pPr>
        <w:spacing w:line="220" w:lineRule="auto"/>
        <w:ind w:left="25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（7）提交。</w:t>
      </w:r>
    </w:p>
    <w:p w14:paraId="35256850">
      <w:pPr>
        <w:pStyle w:val="9"/>
        <w:spacing w:line="298" w:lineRule="auto"/>
        <w:rPr>
          <w:color w:val="auto"/>
          <w:lang w:eastAsia="zh-CN"/>
        </w:rPr>
      </w:pPr>
    </w:p>
    <w:p w14:paraId="771F8DE4">
      <w:pPr>
        <w:spacing w:before="78" w:line="220" w:lineRule="auto"/>
        <w:ind w:left="49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14:textOutline w14:w="4356" w14:cap="sq" w14:cmpd="sng" w14:algn="ctr">
            <w14:solidFill>
              <w14:srgbClr w14:val="000000"/>
            </w14:solidFill>
            <w14:prstDash w14:val="solid"/>
            <w14:bevel/>
          </w14:textOutline>
        </w:rPr>
        <w:t>16、评审组织</w:t>
      </w:r>
    </w:p>
    <w:p w14:paraId="109352F3">
      <w:pPr>
        <w:spacing w:before="181" w:line="360" w:lineRule="auto"/>
        <w:ind w:left="2" w:firstLine="57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16.1 按照《中华人民共和国政府采购法》、《中华人民共和国政府采购法实施条例》</w:t>
      </w:r>
      <w:r>
        <w:rPr>
          <w:rFonts w:ascii="宋体" w:hAnsi="宋体" w:eastAsia="宋体" w:cs="宋体"/>
          <w:color w:val="auto"/>
          <w:spacing w:val="8"/>
          <w:sz w:val="24"/>
          <w:szCs w:val="24"/>
          <w:lang w:eastAsia="zh-CN"/>
        </w:rPr>
        <w:t xml:space="preserve"> </w:t>
      </w:r>
      <w:r>
        <w:rPr>
          <w:rFonts w:ascii="宋体" w:hAnsi="宋体" w:eastAsia="宋体" w:cs="宋体"/>
          <w:color w:val="auto"/>
          <w:spacing w:val="-4"/>
          <w:sz w:val="24"/>
          <w:szCs w:val="24"/>
          <w:lang w:eastAsia="zh-CN"/>
        </w:rPr>
        <w:t>和关于印发《政府采购竞争性磋商采购方式管理暂行办法》的通知（财库【2014】214</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号</w:t>
      </w:r>
      <w:r>
        <w:rPr>
          <w:rFonts w:ascii="宋体" w:hAnsi="宋体" w:eastAsia="宋体" w:cs="宋体"/>
          <w:color w:val="auto"/>
          <w:spacing w:val="-62"/>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依法组建磋商小组。磋商小组由采购人代表和评审专家组成，其中评审专家不少于成员总  数的三分之二。磋商小组按照竞争性磋商文件规定的评审</w:t>
      </w:r>
      <w:r>
        <w:rPr>
          <w:rFonts w:ascii="宋体" w:hAnsi="宋体" w:eastAsia="宋体" w:cs="宋体"/>
          <w:color w:val="auto"/>
          <w:spacing w:val="-1"/>
          <w:sz w:val="24"/>
          <w:szCs w:val="24"/>
          <w:lang w:eastAsia="zh-CN"/>
        </w:rPr>
        <w:t>方法独立进行评审工作。</w:t>
      </w:r>
    </w:p>
    <w:p w14:paraId="7EE1F623">
      <w:pPr>
        <w:spacing w:before="182" w:line="360" w:lineRule="auto"/>
        <w:ind w:left="2" w:right="103" w:firstLine="57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16.2 磋商文件和磋商响应文件是评审的依据。</w:t>
      </w:r>
      <w:r>
        <w:rPr>
          <w:rFonts w:ascii="宋体" w:hAnsi="宋体" w:eastAsia="宋体" w:cs="宋体"/>
          <w:color w:val="auto"/>
          <w:spacing w:val="1"/>
          <w:sz w:val="24"/>
          <w:szCs w:val="24"/>
          <w:lang w:eastAsia="zh-CN"/>
        </w:rPr>
        <w:t>在评审中，不得改变磋商文件中规定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的评审标准、方法和成交条件。在评审期间，对竞争性磋商响应文件中含义不明确、同类</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问题表述不一致或者有明显文字和计算错误的内容，磋商小组可以书面形式（由磋商小组</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专家签字）要求供应商作出必要的澄清、说明或者纠正。供应商的澄清、说明或者补正应</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当采用书面形式，由其授权的代表签字，并不得超出竞争性磋商响应文件的范围或者改变</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竞争性磋商响应文件的实质性内容。供应商不得在磋商后使用任何方式对磋商响应文件的</w:t>
      </w:r>
    </w:p>
    <w:p w14:paraId="3DAC8FF4">
      <w:pPr>
        <w:spacing w:line="219" w:lineRule="auto"/>
        <w:ind w:left="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实质性内容做任何更改。</w:t>
      </w:r>
    </w:p>
    <w:p w14:paraId="201B6B92">
      <w:pPr>
        <w:spacing w:before="183" w:line="468" w:lineRule="exact"/>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16.3 如果供应商在澄清规定时间内，未能答复或拒绝答复磋商小组提出的澄清要求，</w:t>
      </w:r>
    </w:p>
    <w:p w14:paraId="56FA710B">
      <w:pPr>
        <w:spacing w:line="219"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将由磋商小组根据其磋商响应文件按最大风险进行评审。</w:t>
      </w:r>
    </w:p>
    <w:p w14:paraId="60CF84E4">
      <w:pPr>
        <w:spacing w:before="303" w:line="220"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17．磋商过程的保密性</w:t>
      </w:r>
    </w:p>
    <w:p w14:paraId="142A0D20">
      <w:pPr>
        <w:spacing w:before="182" w:line="468" w:lineRule="exact"/>
        <w:ind w:left="499"/>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17.1 磋商后，直到向成交的供应商授予合同</w:t>
      </w:r>
      <w:r>
        <w:rPr>
          <w:rFonts w:ascii="宋体" w:hAnsi="宋体" w:eastAsia="宋体" w:cs="宋体"/>
          <w:color w:val="auto"/>
          <w:spacing w:val="-3"/>
          <w:position w:val="17"/>
          <w:sz w:val="24"/>
          <w:szCs w:val="24"/>
          <w:lang w:eastAsia="zh-CN"/>
        </w:rPr>
        <w:t>时止，凡与审查、澄清、评价和比较文件</w:t>
      </w:r>
    </w:p>
    <w:p w14:paraId="2C46467D">
      <w:pPr>
        <w:spacing w:before="1" w:line="218" w:lineRule="auto"/>
        <w:ind w:left="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的有关资料以及授标意见等，均不得向供应商及与磋商无关的其他人透露。</w:t>
      </w:r>
    </w:p>
    <w:p w14:paraId="1F0AF64A">
      <w:pPr>
        <w:spacing w:before="184" w:line="468" w:lineRule="exact"/>
        <w:ind w:left="499"/>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17.2 在磋商响应过程中，如果供应商试图在</w:t>
      </w:r>
      <w:r>
        <w:rPr>
          <w:rFonts w:ascii="宋体" w:hAnsi="宋体" w:eastAsia="宋体" w:cs="宋体"/>
          <w:color w:val="auto"/>
          <w:spacing w:val="-3"/>
          <w:position w:val="17"/>
          <w:sz w:val="24"/>
          <w:szCs w:val="24"/>
          <w:lang w:eastAsia="zh-CN"/>
        </w:rPr>
        <w:t>响应文件审查、澄清、比较及授予合同方</w:t>
      </w:r>
    </w:p>
    <w:p w14:paraId="0297364D">
      <w:pPr>
        <w:spacing w:line="219" w:lineRule="auto"/>
        <w:ind w:left="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面向买方施加任何影响，其响应文件将被拒绝。</w:t>
      </w:r>
    </w:p>
    <w:p w14:paraId="7E0ACB09">
      <w:pPr>
        <w:spacing w:before="184" w:line="219"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18．磋商评审办法及内容</w:t>
      </w:r>
    </w:p>
    <w:p w14:paraId="7F1C18C5">
      <w:pPr>
        <w:spacing w:before="183" w:line="22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18.1 磋商原则：</w:t>
      </w:r>
    </w:p>
    <w:p w14:paraId="73EF421D">
      <w:pPr>
        <w:spacing w:before="182" w:line="468" w:lineRule="exact"/>
        <w:ind w:left="493"/>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（1）坚持磋商机会均等，信息公开，公平竞争的原则。</w:t>
      </w:r>
    </w:p>
    <w:p w14:paraId="3CC838D0">
      <w:pPr>
        <w:spacing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（2）坚持竞争性、经济实效性和公平性原则。</w:t>
      </w:r>
    </w:p>
    <w:p w14:paraId="68385B27">
      <w:pPr>
        <w:spacing w:before="183" w:line="218" w:lineRule="auto"/>
        <w:ind w:left="493"/>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（3）综合评估，择优选择技术方案优、业绩好、服务有保证的成交单位。</w:t>
      </w:r>
    </w:p>
    <w:p w14:paraId="550DCDF8">
      <w:pPr>
        <w:spacing w:before="122" w:line="220" w:lineRule="auto"/>
        <w:ind w:left="62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18.2 磋商程序：</w:t>
      </w:r>
    </w:p>
    <w:p w14:paraId="0DA38507">
      <w:pPr>
        <w:spacing w:before="181" w:line="468" w:lineRule="exact"/>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按照竞争性磋商响应文件初审、澄清有关问题、分别磋商、二次报价、比较与评审、</w:t>
      </w:r>
    </w:p>
    <w:p w14:paraId="55332087">
      <w:pPr>
        <w:spacing w:line="218" w:lineRule="auto"/>
        <w:ind w:left="123"/>
        <w:rPr>
          <w:rFonts w:ascii="宋体" w:hAnsi="宋体" w:eastAsia="宋体" w:cs="宋体"/>
          <w:color w:val="auto"/>
          <w:sz w:val="24"/>
          <w:szCs w:val="24"/>
          <w:lang w:eastAsia="zh-CN"/>
        </w:rPr>
      </w:pPr>
      <w:r>
        <w:rPr>
          <w:rFonts w:ascii="宋体" w:hAnsi="宋体" w:eastAsia="宋体" w:cs="宋体"/>
          <w:color w:val="auto"/>
          <w:sz w:val="24"/>
          <w:szCs w:val="24"/>
          <w:lang w:eastAsia="zh-CN"/>
        </w:rPr>
        <w:t>推荐成交候选人名单。在上一步评审中被认定为无效磋商者</w:t>
      </w:r>
      <w:r>
        <w:rPr>
          <w:rFonts w:ascii="宋体" w:hAnsi="宋体" w:eastAsia="宋体" w:cs="宋体"/>
          <w:color w:val="auto"/>
          <w:spacing w:val="-1"/>
          <w:sz w:val="24"/>
          <w:szCs w:val="24"/>
          <w:lang w:eastAsia="zh-CN"/>
        </w:rPr>
        <w:t>，不进入下一步的评审。</w:t>
      </w:r>
    </w:p>
    <w:p w14:paraId="2573C3B8">
      <w:pPr>
        <w:spacing w:before="184" w:line="218" w:lineRule="auto"/>
        <w:ind w:left="62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18.2.1 依据程序，第一次报价和最终报价不予以公开。</w:t>
      </w:r>
    </w:p>
    <w:p w14:paraId="65283A2A">
      <w:pPr>
        <w:spacing w:before="181" w:line="468" w:lineRule="exact"/>
        <w:jc w:val="right"/>
        <w:rPr>
          <w:rFonts w:ascii="宋体" w:hAnsi="宋体" w:eastAsia="宋体" w:cs="宋体"/>
          <w:b/>
          <w:bCs/>
          <w:color w:val="auto"/>
          <w:spacing w:val="1"/>
          <w:position w:val="17"/>
          <w:sz w:val="24"/>
          <w:szCs w:val="24"/>
          <w:lang w:eastAsia="zh-CN"/>
        </w:rPr>
      </w:pPr>
      <w:r>
        <w:rPr>
          <w:rFonts w:hint="eastAsia" w:ascii="宋体" w:hAnsi="宋体" w:eastAsia="宋体" w:cs="宋体"/>
          <w:color w:val="auto"/>
          <w:spacing w:val="1"/>
          <w:position w:val="17"/>
          <w:sz w:val="24"/>
          <w:szCs w:val="24"/>
          <w:lang w:eastAsia="zh-CN"/>
        </w:rPr>
        <w:t xml:space="preserve">     </w:t>
      </w:r>
      <w:r>
        <w:rPr>
          <w:rFonts w:ascii="宋体" w:hAnsi="宋体" w:eastAsia="宋体" w:cs="宋体"/>
          <w:color w:val="auto"/>
          <w:spacing w:val="1"/>
          <w:position w:val="17"/>
          <w:sz w:val="24"/>
          <w:szCs w:val="24"/>
          <w:lang w:eastAsia="zh-CN"/>
        </w:rPr>
        <w:t>18.2.2 资格性评审：</w:t>
      </w:r>
      <w:r>
        <w:rPr>
          <w:rFonts w:hint="eastAsia" w:ascii="宋体" w:hAnsi="宋体" w:eastAsia="宋体" w:cs="宋体"/>
          <w:b/>
          <w:bCs/>
          <w:color w:val="auto"/>
          <w:spacing w:val="1"/>
          <w:position w:val="17"/>
          <w:sz w:val="24"/>
          <w:szCs w:val="24"/>
          <w:lang w:eastAsia="zh-CN"/>
        </w:rPr>
        <w:t>由采购人代表进行审查</w:t>
      </w:r>
      <w:r>
        <w:rPr>
          <w:rFonts w:ascii="宋体" w:hAnsi="宋体" w:eastAsia="宋体" w:cs="宋体"/>
          <w:b/>
          <w:bCs/>
          <w:color w:val="auto"/>
          <w:spacing w:val="1"/>
          <w:position w:val="17"/>
          <w:sz w:val="24"/>
          <w:szCs w:val="24"/>
          <w:lang w:eastAsia="zh-CN"/>
        </w:rPr>
        <w:t>本次磋商所要求的资质证明文件，缺</w:t>
      </w:r>
    </w:p>
    <w:p w14:paraId="534C52AB">
      <w:pPr>
        <w:spacing w:before="181" w:line="468" w:lineRule="exact"/>
        <w:jc w:val="both"/>
        <w:rPr>
          <w:rFonts w:ascii="宋体" w:hAnsi="宋体" w:eastAsia="宋体" w:cs="宋体"/>
          <w:b/>
          <w:bCs/>
          <w:color w:val="auto"/>
          <w:spacing w:val="1"/>
          <w:position w:val="17"/>
          <w:sz w:val="24"/>
          <w:szCs w:val="24"/>
          <w:lang w:eastAsia="zh-CN"/>
        </w:rPr>
      </w:pPr>
      <w:r>
        <w:rPr>
          <w:rFonts w:ascii="宋体" w:hAnsi="宋体" w:eastAsia="宋体" w:cs="宋体"/>
          <w:b/>
          <w:bCs/>
          <w:color w:val="auto"/>
          <w:spacing w:val="1"/>
          <w:position w:val="17"/>
          <w:sz w:val="24"/>
          <w:szCs w:val="24"/>
          <w:lang w:eastAsia="zh-CN"/>
        </w:rPr>
        <w:t>其中一项或某项达不到磋商要求，均按无效文件处理。</w:t>
      </w:r>
    </w:p>
    <w:p w14:paraId="320C5C2A">
      <w:pPr>
        <w:spacing w:line="69" w:lineRule="exact"/>
        <w:rPr>
          <w:color w:val="auto"/>
          <w:lang w:eastAsia="zh-CN"/>
        </w:rPr>
      </w:pPr>
    </w:p>
    <w:tbl>
      <w:tblPr>
        <w:tblStyle w:val="2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833"/>
        <w:gridCol w:w="5659"/>
      </w:tblGrid>
      <w:tr w14:paraId="525F8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26" w:type="dxa"/>
          </w:tcPr>
          <w:p w14:paraId="1F387C45">
            <w:pPr>
              <w:pStyle w:val="21"/>
              <w:spacing w:before="41" w:line="221" w:lineRule="auto"/>
              <w:ind w:left="278"/>
              <w:rPr>
                <w:color w:val="auto"/>
              </w:rPr>
            </w:pPr>
            <w:r>
              <w:rPr>
                <w:color w:val="auto"/>
                <w:spacing w:val="-5"/>
              </w:rPr>
              <w:t>序号</w:t>
            </w:r>
          </w:p>
        </w:tc>
        <w:tc>
          <w:tcPr>
            <w:tcW w:w="2833" w:type="dxa"/>
          </w:tcPr>
          <w:p w14:paraId="550421B5">
            <w:pPr>
              <w:pStyle w:val="21"/>
              <w:spacing w:before="42" w:line="219" w:lineRule="auto"/>
              <w:ind w:left="941"/>
              <w:rPr>
                <w:color w:val="auto"/>
              </w:rPr>
            </w:pPr>
            <w:r>
              <w:rPr>
                <w:color w:val="auto"/>
                <w:spacing w:val="-3"/>
              </w:rPr>
              <w:t>评审因素</w:t>
            </w:r>
          </w:p>
        </w:tc>
        <w:tc>
          <w:tcPr>
            <w:tcW w:w="5659" w:type="dxa"/>
          </w:tcPr>
          <w:p w14:paraId="1A8DF0E7">
            <w:pPr>
              <w:pStyle w:val="21"/>
              <w:spacing w:before="41" w:line="220" w:lineRule="auto"/>
              <w:ind w:left="2354"/>
              <w:rPr>
                <w:color w:val="auto"/>
              </w:rPr>
            </w:pPr>
            <w:r>
              <w:rPr>
                <w:color w:val="auto"/>
                <w:spacing w:val="-3"/>
              </w:rPr>
              <w:t>评审标准</w:t>
            </w:r>
          </w:p>
        </w:tc>
      </w:tr>
      <w:tr w14:paraId="3206F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26" w:type="dxa"/>
            <w:vAlign w:val="center"/>
          </w:tcPr>
          <w:p w14:paraId="34D9F287">
            <w:pPr>
              <w:pStyle w:val="21"/>
              <w:spacing w:before="78" w:line="184" w:lineRule="auto"/>
              <w:ind w:left="476"/>
              <w:jc w:val="center"/>
              <w:rPr>
                <w:color w:val="auto"/>
              </w:rPr>
            </w:pPr>
          </w:p>
          <w:p w14:paraId="2839FD29">
            <w:pPr>
              <w:pStyle w:val="21"/>
              <w:spacing w:before="78" w:line="184" w:lineRule="auto"/>
              <w:ind w:firstLine="480" w:firstLineChars="200"/>
              <w:jc w:val="both"/>
              <w:rPr>
                <w:color w:val="auto"/>
                <w:lang w:eastAsia="zh-CN"/>
              </w:rPr>
            </w:pPr>
            <w:r>
              <w:rPr>
                <w:rFonts w:hint="eastAsia"/>
                <w:color w:val="auto"/>
                <w:lang w:eastAsia="zh-CN"/>
              </w:rPr>
              <w:t>1</w:t>
            </w:r>
          </w:p>
        </w:tc>
        <w:tc>
          <w:tcPr>
            <w:tcW w:w="2833" w:type="dxa"/>
          </w:tcPr>
          <w:p w14:paraId="53B1D8BF">
            <w:pPr>
              <w:spacing w:line="424" w:lineRule="auto"/>
              <w:rPr>
                <w:color w:val="auto"/>
              </w:rPr>
            </w:pPr>
          </w:p>
          <w:p w14:paraId="68D502D5">
            <w:pPr>
              <w:pStyle w:val="21"/>
              <w:spacing w:before="78" w:line="219" w:lineRule="auto"/>
              <w:ind w:left="343"/>
              <w:rPr>
                <w:color w:val="auto"/>
              </w:rPr>
            </w:pPr>
            <w:r>
              <w:rPr>
                <w:color w:val="auto"/>
                <w:spacing w:val="-2"/>
              </w:rPr>
              <w:t>有效的主体资格证明</w:t>
            </w:r>
          </w:p>
        </w:tc>
        <w:tc>
          <w:tcPr>
            <w:tcW w:w="5659" w:type="dxa"/>
          </w:tcPr>
          <w:p w14:paraId="4EDA915A">
            <w:pPr>
              <w:pStyle w:val="21"/>
              <w:spacing w:before="35" w:line="235" w:lineRule="auto"/>
              <w:ind w:left="115" w:right="106" w:firstLine="4"/>
              <w:jc w:val="both"/>
              <w:rPr>
                <w:color w:val="auto"/>
                <w:lang w:eastAsia="zh-CN"/>
              </w:rPr>
            </w:pPr>
            <w:r>
              <w:rPr>
                <w:rFonts w:hint="eastAsia" w:asciiTheme="majorEastAsia" w:hAnsiTheme="majorEastAsia" w:eastAsiaTheme="majorEastAsia" w:cstheme="majorEastAsia"/>
                <w:color w:val="auto"/>
                <w:lang w:eastAsia="zh-CN"/>
              </w:rPr>
              <w:t>提供有效合格的统一社会信用代码的营业执照，其他组织经营的须提供合法凭证，自然人的提供身份证明文件；</w:t>
            </w:r>
          </w:p>
        </w:tc>
      </w:tr>
      <w:tr w14:paraId="783C9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026" w:type="dxa"/>
            <w:vAlign w:val="center"/>
          </w:tcPr>
          <w:p w14:paraId="50A6E162">
            <w:pPr>
              <w:pStyle w:val="21"/>
              <w:spacing w:before="78" w:line="184" w:lineRule="auto"/>
              <w:ind w:firstLine="480" w:firstLineChars="200"/>
              <w:jc w:val="both"/>
              <w:rPr>
                <w:color w:val="auto"/>
                <w:lang w:eastAsia="zh-CN"/>
              </w:rPr>
            </w:pPr>
            <w:r>
              <w:rPr>
                <w:rFonts w:hint="eastAsia"/>
                <w:color w:val="auto"/>
                <w:lang w:eastAsia="zh-CN"/>
              </w:rPr>
              <w:t>2</w:t>
            </w:r>
          </w:p>
        </w:tc>
        <w:tc>
          <w:tcPr>
            <w:tcW w:w="2833" w:type="dxa"/>
          </w:tcPr>
          <w:p w14:paraId="2D2148C4">
            <w:pPr>
              <w:spacing w:line="268" w:lineRule="auto"/>
              <w:rPr>
                <w:color w:val="auto"/>
                <w:lang w:eastAsia="zh-CN"/>
              </w:rPr>
            </w:pPr>
          </w:p>
          <w:p w14:paraId="70F14AB6">
            <w:pPr>
              <w:pStyle w:val="21"/>
              <w:spacing w:before="78" w:line="219" w:lineRule="auto"/>
              <w:ind w:left="223"/>
              <w:rPr>
                <w:color w:val="auto"/>
                <w:lang w:eastAsia="zh-CN"/>
              </w:rPr>
            </w:pPr>
            <w:r>
              <w:rPr>
                <w:color w:val="auto"/>
                <w:spacing w:val="-2"/>
                <w:lang w:eastAsia="zh-CN"/>
              </w:rPr>
              <w:t>法定代表人授权委托书</w:t>
            </w:r>
          </w:p>
        </w:tc>
        <w:tc>
          <w:tcPr>
            <w:tcW w:w="5659" w:type="dxa"/>
          </w:tcPr>
          <w:p w14:paraId="73CC1B34">
            <w:pPr>
              <w:pStyle w:val="21"/>
              <w:spacing w:before="37" w:line="233" w:lineRule="auto"/>
              <w:ind w:left="115" w:right="106" w:firstLine="1"/>
              <w:jc w:val="both"/>
              <w:rPr>
                <w:color w:val="auto"/>
                <w:lang w:eastAsia="zh-CN"/>
              </w:rPr>
            </w:pPr>
            <w:r>
              <w:rPr>
                <w:rFonts w:hint="eastAsia"/>
                <w:color w:val="auto"/>
                <w:lang w:eastAsia="zh-CN"/>
              </w:rPr>
              <w:t>法定代表人直接参加投标的，须出具法定代表人身份证；法定代表人授权代表参加投标的，须出具法定代表人授权委托书、法定代表人身份证复印件以及被授权代表身份证复印件；</w:t>
            </w:r>
          </w:p>
        </w:tc>
      </w:tr>
      <w:tr w14:paraId="1889D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1026" w:type="dxa"/>
            <w:vAlign w:val="center"/>
          </w:tcPr>
          <w:p w14:paraId="47F05C77">
            <w:pPr>
              <w:pStyle w:val="21"/>
              <w:spacing w:before="78" w:line="184" w:lineRule="auto"/>
              <w:ind w:firstLine="480" w:firstLineChars="200"/>
              <w:jc w:val="both"/>
              <w:rPr>
                <w:color w:val="auto"/>
                <w:lang w:eastAsia="zh-CN"/>
              </w:rPr>
            </w:pPr>
            <w:r>
              <w:rPr>
                <w:rFonts w:hint="eastAsia"/>
                <w:color w:val="auto"/>
                <w:lang w:eastAsia="zh-CN"/>
              </w:rPr>
              <w:t>3</w:t>
            </w:r>
          </w:p>
        </w:tc>
        <w:tc>
          <w:tcPr>
            <w:tcW w:w="2833" w:type="dxa"/>
          </w:tcPr>
          <w:p w14:paraId="6B1821A9">
            <w:pPr>
              <w:spacing w:line="245" w:lineRule="auto"/>
              <w:rPr>
                <w:color w:val="auto"/>
              </w:rPr>
            </w:pPr>
          </w:p>
          <w:p w14:paraId="17D047D5">
            <w:pPr>
              <w:spacing w:line="246" w:lineRule="auto"/>
              <w:rPr>
                <w:color w:val="auto"/>
              </w:rPr>
            </w:pPr>
          </w:p>
          <w:p w14:paraId="2C607E89">
            <w:pPr>
              <w:spacing w:line="246" w:lineRule="auto"/>
              <w:rPr>
                <w:color w:val="auto"/>
              </w:rPr>
            </w:pPr>
          </w:p>
          <w:p w14:paraId="0CE3248A">
            <w:pPr>
              <w:pStyle w:val="21"/>
              <w:spacing w:before="78" w:line="218" w:lineRule="auto"/>
              <w:ind w:left="703"/>
              <w:rPr>
                <w:color w:val="auto"/>
              </w:rPr>
            </w:pPr>
            <w:r>
              <w:rPr>
                <w:color w:val="auto"/>
                <w:spacing w:val="-2"/>
              </w:rPr>
              <w:t>财务状况报告</w:t>
            </w:r>
          </w:p>
        </w:tc>
        <w:tc>
          <w:tcPr>
            <w:tcW w:w="5659" w:type="dxa"/>
          </w:tcPr>
          <w:p w14:paraId="00FD82A6">
            <w:pPr>
              <w:pStyle w:val="21"/>
              <w:spacing w:before="43" w:line="236" w:lineRule="auto"/>
              <w:ind w:left="114" w:right="106" w:firstLine="2"/>
              <w:jc w:val="both"/>
              <w:rPr>
                <w:color w:val="auto"/>
                <w:lang w:eastAsia="zh-CN"/>
              </w:rPr>
            </w:pPr>
            <w:r>
              <w:rPr>
                <w:rFonts w:hint="eastAsia"/>
                <w:color w:val="auto"/>
                <w:lang w:eastAsia="zh-CN"/>
              </w:rPr>
              <w:t xml:space="preserve">提供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tc>
      </w:tr>
      <w:tr w14:paraId="37AE2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1026" w:type="dxa"/>
            <w:vAlign w:val="center"/>
          </w:tcPr>
          <w:p w14:paraId="7BEA0955">
            <w:pPr>
              <w:pStyle w:val="21"/>
              <w:spacing w:before="78" w:line="184" w:lineRule="auto"/>
              <w:ind w:firstLine="480" w:firstLineChars="200"/>
              <w:jc w:val="both"/>
              <w:rPr>
                <w:color w:val="auto"/>
                <w:lang w:eastAsia="zh-CN"/>
              </w:rPr>
            </w:pPr>
            <w:r>
              <w:rPr>
                <w:rFonts w:hint="eastAsia"/>
                <w:color w:val="auto"/>
                <w:lang w:eastAsia="zh-CN"/>
              </w:rPr>
              <w:t>4</w:t>
            </w:r>
          </w:p>
        </w:tc>
        <w:tc>
          <w:tcPr>
            <w:tcW w:w="2833" w:type="dxa"/>
          </w:tcPr>
          <w:p w14:paraId="5C74F66E">
            <w:pPr>
              <w:spacing w:line="428" w:lineRule="auto"/>
              <w:rPr>
                <w:color w:val="auto"/>
                <w:lang w:eastAsia="zh-CN"/>
              </w:rPr>
            </w:pPr>
          </w:p>
          <w:p w14:paraId="0E1EB574">
            <w:pPr>
              <w:pStyle w:val="21"/>
              <w:spacing w:before="78" w:line="219" w:lineRule="auto"/>
              <w:jc w:val="center"/>
              <w:rPr>
                <w:color w:val="auto"/>
                <w:lang w:eastAsia="zh-CN"/>
              </w:rPr>
            </w:pPr>
            <w:r>
              <w:rPr>
                <w:color w:val="auto"/>
                <w:spacing w:val="-2"/>
                <w:lang w:eastAsia="zh-CN"/>
              </w:rPr>
              <w:t>社会保障资金缴纳证明</w:t>
            </w:r>
          </w:p>
        </w:tc>
        <w:tc>
          <w:tcPr>
            <w:tcW w:w="5659" w:type="dxa"/>
          </w:tcPr>
          <w:p w14:paraId="4B23CE4D">
            <w:pPr>
              <w:pStyle w:val="21"/>
              <w:spacing w:before="38" w:line="235" w:lineRule="auto"/>
              <w:ind w:left="115" w:right="106" w:firstLine="1"/>
              <w:jc w:val="both"/>
              <w:rPr>
                <w:color w:val="auto"/>
                <w:lang w:eastAsia="zh-CN"/>
              </w:rPr>
            </w:pPr>
            <w:r>
              <w:rPr>
                <w:rFonts w:hint="eastAsia"/>
                <w:color w:val="auto"/>
                <w:lang w:eastAsia="zh-CN"/>
              </w:rPr>
              <w:t>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5832A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6" w:type="dxa"/>
            <w:vAlign w:val="center"/>
          </w:tcPr>
          <w:p w14:paraId="2FC4CB11">
            <w:pPr>
              <w:pStyle w:val="21"/>
              <w:spacing w:before="78" w:line="184" w:lineRule="auto"/>
              <w:ind w:firstLine="480" w:firstLineChars="200"/>
              <w:jc w:val="both"/>
              <w:rPr>
                <w:color w:val="auto"/>
                <w:lang w:eastAsia="zh-CN"/>
              </w:rPr>
            </w:pPr>
            <w:r>
              <w:rPr>
                <w:rFonts w:hint="eastAsia"/>
                <w:color w:val="auto"/>
                <w:lang w:eastAsia="zh-CN"/>
              </w:rPr>
              <w:t>5</w:t>
            </w:r>
          </w:p>
        </w:tc>
        <w:tc>
          <w:tcPr>
            <w:tcW w:w="2833" w:type="dxa"/>
          </w:tcPr>
          <w:p w14:paraId="2BAF162E">
            <w:pPr>
              <w:pStyle w:val="21"/>
              <w:spacing w:before="292" w:line="219" w:lineRule="auto"/>
              <w:ind w:left="224"/>
              <w:rPr>
                <w:color w:val="auto"/>
              </w:rPr>
            </w:pPr>
            <w:r>
              <w:rPr>
                <w:color w:val="auto"/>
                <w:spacing w:val="-2"/>
              </w:rPr>
              <w:t>税收缴纳证明</w:t>
            </w:r>
          </w:p>
        </w:tc>
        <w:tc>
          <w:tcPr>
            <w:tcW w:w="5659" w:type="dxa"/>
          </w:tcPr>
          <w:p w14:paraId="76F2B5BA">
            <w:pPr>
              <w:pStyle w:val="21"/>
              <w:spacing w:before="39" w:line="229" w:lineRule="auto"/>
              <w:ind w:left="115" w:right="106" w:firstLine="1"/>
              <w:jc w:val="both"/>
              <w:rPr>
                <w:color w:val="auto"/>
                <w:lang w:eastAsia="zh-CN"/>
              </w:rPr>
            </w:pPr>
            <w:r>
              <w:rPr>
                <w:rFonts w:hint="eastAsia"/>
                <w:color w:val="auto"/>
                <w:lang w:eastAsia="zh-CN"/>
              </w:rPr>
              <w:t>自2024年1月1日以来已缴纳的至少一个月的纳税证明或完税证明，纳税证明或完税证明上应有代收机构或税务机关的公章或业务专用章。依法免税的供应商应提供相关文件证明；</w:t>
            </w:r>
          </w:p>
        </w:tc>
      </w:tr>
    </w:tbl>
    <w:p w14:paraId="2ACA0C9B">
      <w:pPr>
        <w:spacing w:line="91" w:lineRule="auto"/>
        <w:rPr>
          <w:color w:val="auto"/>
          <w:sz w:val="2"/>
          <w:lang w:eastAsia="zh-CN"/>
        </w:rPr>
      </w:pPr>
    </w:p>
    <w:tbl>
      <w:tblPr>
        <w:tblStyle w:val="2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833"/>
        <w:gridCol w:w="5659"/>
      </w:tblGrid>
      <w:tr w14:paraId="1A3B8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026" w:type="dxa"/>
            <w:vAlign w:val="center"/>
          </w:tcPr>
          <w:p w14:paraId="24526FC6">
            <w:pPr>
              <w:pStyle w:val="21"/>
              <w:spacing w:before="78" w:line="184" w:lineRule="auto"/>
              <w:ind w:firstLine="480" w:firstLineChars="200"/>
              <w:jc w:val="both"/>
              <w:rPr>
                <w:color w:val="auto"/>
                <w:lang w:eastAsia="zh-CN"/>
              </w:rPr>
            </w:pPr>
            <w:r>
              <w:rPr>
                <w:rFonts w:hint="eastAsia"/>
                <w:color w:val="auto"/>
                <w:lang w:eastAsia="zh-CN"/>
              </w:rPr>
              <w:t>6</w:t>
            </w:r>
          </w:p>
        </w:tc>
        <w:tc>
          <w:tcPr>
            <w:tcW w:w="2833" w:type="dxa"/>
            <w:vAlign w:val="center"/>
          </w:tcPr>
          <w:p w14:paraId="0996D420">
            <w:pPr>
              <w:pStyle w:val="21"/>
              <w:spacing w:before="78" w:line="220" w:lineRule="auto"/>
              <w:jc w:val="center"/>
              <w:rPr>
                <w:color w:val="auto"/>
                <w:spacing w:val="-3"/>
                <w:lang w:eastAsia="zh-CN"/>
              </w:rPr>
            </w:pPr>
            <w:r>
              <w:rPr>
                <w:rFonts w:hint="eastAsia"/>
                <w:color w:val="auto"/>
                <w:spacing w:val="-3"/>
                <w:lang w:eastAsia="zh-CN"/>
              </w:rPr>
              <w:t>信誉要求</w:t>
            </w:r>
          </w:p>
        </w:tc>
        <w:tc>
          <w:tcPr>
            <w:tcW w:w="5659" w:type="dxa"/>
          </w:tcPr>
          <w:p w14:paraId="7A549741">
            <w:pPr>
              <w:pStyle w:val="21"/>
              <w:spacing w:before="37" w:line="236" w:lineRule="auto"/>
              <w:ind w:left="116"/>
              <w:rPr>
                <w:color w:val="auto"/>
                <w:spacing w:val="-6"/>
              </w:rPr>
            </w:pPr>
            <w:r>
              <w:rPr>
                <w:rFonts w:hint="eastAsia"/>
                <w:color w:val="auto"/>
                <w:spacing w:val="-6"/>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7A52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26" w:type="dxa"/>
          </w:tcPr>
          <w:p w14:paraId="795CF2F3">
            <w:pPr>
              <w:pStyle w:val="21"/>
              <w:spacing w:before="78" w:line="184" w:lineRule="auto"/>
              <w:ind w:firstLine="480" w:firstLineChars="200"/>
              <w:jc w:val="both"/>
              <w:rPr>
                <w:color w:val="auto"/>
                <w:lang w:eastAsia="zh-CN"/>
              </w:rPr>
            </w:pPr>
            <w:r>
              <w:rPr>
                <w:rFonts w:hint="eastAsia"/>
                <w:color w:val="auto"/>
                <w:lang w:eastAsia="zh-CN"/>
              </w:rPr>
              <w:t>7</w:t>
            </w:r>
          </w:p>
        </w:tc>
        <w:tc>
          <w:tcPr>
            <w:tcW w:w="2833" w:type="dxa"/>
          </w:tcPr>
          <w:p w14:paraId="7DE14185">
            <w:pPr>
              <w:pStyle w:val="21"/>
              <w:spacing w:before="78" w:line="220" w:lineRule="auto"/>
              <w:jc w:val="center"/>
              <w:rPr>
                <w:color w:val="auto"/>
                <w:spacing w:val="-3"/>
                <w:lang w:eastAsia="zh-CN"/>
              </w:rPr>
            </w:pPr>
            <w:r>
              <w:rPr>
                <w:rFonts w:hint="eastAsia"/>
                <w:color w:val="auto"/>
                <w:spacing w:val="-3"/>
                <w:lang w:eastAsia="zh-CN"/>
              </w:rPr>
              <w:t>中小企业声明函</w:t>
            </w:r>
          </w:p>
        </w:tc>
        <w:tc>
          <w:tcPr>
            <w:tcW w:w="5659" w:type="dxa"/>
          </w:tcPr>
          <w:p w14:paraId="459B853A">
            <w:pPr>
              <w:pStyle w:val="21"/>
              <w:spacing w:before="37" w:line="236" w:lineRule="auto"/>
              <w:ind w:left="116"/>
              <w:rPr>
                <w:color w:val="auto"/>
                <w:spacing w:val="-6"/>
                <w:lang w:eastAsia="zh-CN"/>
              </w:rPr>
            </w:pPr>
            <w:r>
              <w:rPr>
                <w:rFonts w:hint="eastAsia"/>
                <w:color w:val="auto"/>
                <w:spacing w:val="-6"/>
                <w:lang w:eastAsia="zh-CN"/>
              </w:rPr>
              <w:t>供应商应提供中小企业声明函或残疾人福利性单位声明函或监狱企业证明文件；</w:t>
            </w:r>
          </w:p>
        </w:tc>
      </w:tr>
      <w:tr w14:paraId="43D78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26" w:type="dxa"/>
          </w:tcPr>
          <w:p w14:paraId="55196A5B">
            <w:pPr>
              <w:pStyle w:val="21"/>
              <w:spacing w:before="78" w:line="184" w:lineRule="auto"/>
              <w:ind w:firstLine="480" w:firstLineChars="200"/>
              <w:jc w:val="both"/>
              <w:rPr>
                <w:color w:val="auto"/>
                <w:lang w:eastAsia="zh-CN"/>
              </w:rPr>
            </w:pPr>
            <w:r>
              <w:rPr>
                <w:rFonts w:hint="eastAsia"/>
                <w:color w:val="auto"/>
                <w:lang w:eastAsia="zh-CN"/>
              </w:rPr>
              <w:t>8</w:t>
            </w:r>
          </w:p>
        </w:tc>
        <w:tc>
          <w:tcPr>
            <w:tcW w:w="2833" w:type="dxa"/>
          </w:tcPr>
          <w:p w14:paraId="4B11F635">
            <w:pPr>
              <w:pStyle w:val="21"/>
              <w:spacing w:before="78" w:line="220" w:lineRule="auto"/>
              <w:jc w:val="center"/>
              <w:rPr>
                <w:color w:val="auto"/>
                <w:spacing w:val="-3"/>
                <w:lang w:eastAsia="zh-CN"/>
              </w:rPr>
            </w:pPr>
            <w:r>
              <w:rPr>
                <w:rFonts w:hint="eastAsia"/>
                <w:color w:val="auto"/>
                <w:spacing w:val="-3"/>
                <w:lang w:eastAsia="zh-CN"/>
              </w:rPr>
              <w:t>书面声明</w:t>
            </w:r>
          </w:p>
        </w:tc>
        <w:tc>
          <w:tcPr>
            <w:tcW w:w="5659" w:type="dxa"/>
          </w:tcPr>
          <w:p w14:paraId="0B1F1E3B">
            <w:pPr>
              <w:pStyle w:val="21"/>
              <w:spacing w:before="37" w:line="236" w:lineRule="auto"/>
              <w:ind w:left="116"/>
              <w:rPr>
                <w:color w:val="auto"/>
                <w:spacing w:val="-6"/>
                <w:lang w:eastAsia="zh-CN"/>
              </w:rPr>
            </w:pPr>
            <w:r>
              <w:rPr>
                <w:rFonts w:hint="eastAsia"/>
                <w:color w:val="auto"/>
                <w:spacing w:val="-6"/>
                <w:lang w:eastAsia="zh-CN"/>
              </w:rPr>
              <w:t>供应商提供具有履行合同所必需的设备和专业技术能力的书面声明；</w:t>
            </w:r>
          </w:p>
        </w:tc>
      </w:tr>
      <w:tr w14:paraId="0FC6B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6" w:type="dxa"/>
          </w:tcPr>
          <w:p w14:paraId="3DA88E92">
            <w:pPr>
              <w:pStyle w:val="21"/>
              <w:spacing w:before="78" w:line="184" w:lineRule="auto"/>
              <w:ind w:firstLine="480" w:firstLineChars="200"/>
              <w:jc w:val="both"/>
              <w:rPr>
                <w:color w:val="auto"/>
                <w:lang w:eastAsia="zh-CN"/>
              </w:rPr>
            </w:pPr>
            <w:r>
              <w:rPr>
                <w:rFonts w:hint="eastAsia"/>
                <w:color w:val="auto"/>
                <w:lang w:eastAsia="zh-CN"/>
              </w:rPr>
              <w:t>9</w:t>
            </w:r>
          </w:p>
        </w:tc>
        <w:tc>
          <w:tcPr>
            <w:tcW w:w="2833" w:type="dxa"/>
          </w:tcPr>
          <w:p w14:paraId="06725BAC">
            <w:pPr>
              <w:pStyle w:val="21"/>
              <w:spacing w:before="78" w:line="220" w:lineRule="auto"/>
              <w:jc w:val="center"/>
              <w:rPr>
                <w:color w:val="auto"/>
                <w:lang w:eastAsia="zh-CN"/>
              </w:rPr>
            </w:pPr>
            <w:r>
              <w:rPr>
                <w:rFonts w:hint="eastAsia"/>
                <w:color w:val="auto"/>
                <w:spacing w:val="-3"/>
                <w:lang w:eastAsia="zh-CN"/>
              </w:rPr>
              <w:t>不接受联合体声明</w:t>
            </w:r>
          </w:p>
        </w:tc>
        <w:tc>
          <w:tcPr>
            <w:tcW w:w="5659" w:type="dxa"/>
          </w:tcPr>
          <w:p w14:paraId="6C3386C9">
            <w:pPr>
              <w:pStyle w:val="21"/>
              <w:spacing w:before="37" w:line="236" w:lineRule="auto"/>
              <w:ind w:left="116"/>
              <w:rPr>
                <w:color w:val="auto"/>
                <w:lang w:eastAsia="zh-CN"/>
              </w:rPr>
            </w:pPr>
            <w:r>
              <w:rPr>
                <w:rFonts w:hint="eastAsia"/>
                <w:color w:val="auto"/>
                <w:lang w:eastAsia="zh-CN"/>
              </w:rPr>
              <w:t>本项目不接受联合体投标。</w:t>
            </w:r>
          </w:p>
        </w:tc>
      </w:tr>
    </w:tbl>
    <w:p w14:paraId="55F8B544">
      <w:pPr>
        <w:spacing w:before="181" w:line="468" w:lineRule="exact"/>
        <w:jc w:val="right"/>
        <w:rPr>
          <w:rFonts w:ascii="宋体" w:hAnsi="宋体" w:eastAsia="宋体" w:cs="宋体"/>
          <w:color w:val="auto"/>
          <w:spacing w:val="1"/>
          <w:position w:val="17"/>
          <w:sz w:val="24"/>
          <w:szCs w:val="24"/>
          <w:lang w:eastAsia="zh-CN"/>
        </w:rPr>
      </w:pPr>
      <w:r>
        <w:rPr>
          <w:rFonts w:ascii="宋体" w:hAnsi="宋体" w:eastAsia="宋体" w:cs="宋体"/>
          <w:color w:val="auto"/>
          <w:spacing w:val="1"/>
          <w:position w:val="17"/>
          <w:sz w:val="24"/>
          <w:szCs w:val="24"/>
          <w:lang w:eastAsia="zh-CN"/>
        </w:rPr>
        <w:t>18.2.3 符合性评审：依据磋商文件的规定，对磋商响应文件的完整性、有效性和响应性</w:t>
      </w:r>
    </w:p>
    <w:p w14:paraId="414EE265">
      <w:pPr>
        <w:spacing w:before="181" w:line="468" w:lineRule="exact"/>
        <w:jc w:val="both"/>
        <w:rPr>
          <w:rFonts w:ascii="宋体" w:hAnsi="宋体" w:eastAsia="宋体" w:cs="宋体"/>
          <w:color w:val="auto"/>
          <w:spacing w:val="1"/>
          <w:position w:val="17"/>
          <w:sz w:val="24"/>
          <w:szCs w:val="24"/>
          <w:lang w:eastAsia="zh-CN"/>
        </w:rPr>
      </w:pPr>
      <w:r>
        <w:rPr>
          <w:rFonts w:ascii="宋体" w:hAnsi="宋体" w:eastAsia="宋体" w:cs="宋体"/>
          <w:color w:val="auto"/>
          <w:spacing w:val="1"/>
          <w:position w:val="17"/>
          <w:sz w:val="24"/>
          <w:szCs w:val="24"/>
          <w:lang w:eastAsia="zh-CN"/>
        </w:rPr>
        <w:t>进行审查，出现下列情况的按无效文件处理。</w:t>
      </w:r>
    </w:p>
    <w:p w14:paraId="0A501DBA">
      <w:pPr>
        <w:spacing w:line="67" w:lineRule="exact"/>
        <w:rPr>
          <w:color w:val="auto"/>
          <w:lang w:eastAsia="zh-CN"/>
        </w:rPr>
      </w:pPr>
    </w:p>
    <w:tbl>
      <w:tblPr>
        <w:tblStyle w:val="20"/>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220"/>
        <w:gridCol w:w="6527"/>
      </w:tblGrid>
      <w:tr w14:paraId="16182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6" w:type="dxa"/>
          </w:tcPr>
          <w:p w14:paraId="3E9124AA">
            <w:pPr>
              <w:pStyle w:val="21"/>
              <w:spacing w:before="197" w:line="214" w:lineRule="auto"/>
              <w:ind w:left="184"/>
              <w:rPr>
                <w:color w:val="auto"/>
                <w:sz w:val="22"/>
                <w:szCs w:val="22"/>
              </w:rPr>
            </w:pPr>
            <w:r>
              <w:rPr>
                <w:color w:val="auto"/>
                <w:spacing w:val="13"/>
                <w:sz w:val="22"/>
                <w:szCs w:val="22"/>
                <w14:textOutline w14:w="4178" w14:cap="sq" w14:cmpd="sng" w14:algn="ctr">
                  <w14:solidFill>
                    <w14:srgbClr w14:val="000000"/>
                  </w14:solidFill>
                  <w14:prstDash w14:val="solid"/>
                  <w14:bevel/>
                </w14:textOutline>
              </w:rPr>
              <w:t>序号</w:t>
            </w:r>
          </w:p>
        </w:tc>
        <w:tc>
          <w:tcPr>
            <w:tcW w:w="2220" w:type="dxa"/>
          </w:tcPr>
          <w:p w14:paraId="61385B28">
            <w:pPr>
              <w:pStyle w:val="21"/>
              <w:spacing w:before="197" w:line="214" w:lineRule="auto"/>
              <w:ind w:left="720"/>
              <w:rPr>
                <w:color w:val="auto"/>
                <w:sz w:val="22"/>
                <w:szCs w:val="22"/>
              </w:rPr>
            </w:pPr>
            <w:r>
              <w:rPr>
                <w:color w:val="auto"/>
                <w:spacing w:val="20"/>
                <w:sz w:val="22"/>
                <w:szCs w:val="22"/>
                <w14:textOutline w14:w="4178" w14:cap="sq" w14:cmpd="sng" w14:algn="ctr">
                  <w14:solidFill>
                    <w14:srgbClr w14:val="000000"/>
                  </w14:solidFill>
                  <w14:prstDash w14:val="solid"/>
                  <w14:bevel/>
                </w14:textOutline>
              </w:rPr>
              <w:t>评审因素</w:t>
            </w:r>
          </w:p>
        </w:tc>
        <w:tc>
          <w:tcPr>
            <w:tcW w:w="6527" w:type="dxa"/>
          </w:tcPr>
          <w:p w14:paraId="4A0DFFB9">
            <w:pPr>
              <w:pStyle w:val="21"/>
              <w:spacing w:before="197" w:line="214" w:lineRule="auto"/>
              <w:ind w:left="2297"/>
              <w:rPr>
                <w:color w:val="auto"/>
                <w:sz w:val="22"/>
                <w:szCs w:val="22"/>
              </w:rPr>
            </w:pPr>
            <w:r>
              <w:rPr>
                <w:color w:val="auto"/>
                <w:spacing w:val="20"/>
                <w:sz w:val="22"/>
                <w:szCs w:val="22"/>
                <w14:textOutline w14:w="4178" w14:cap="sq" w14:cmpd="sng" w14:algn="ctr">
                  <w14:solidFill>
                    <w14:srgbClr w14:val="000000"/>
                  </w14:solidFill>
                  <w14:prstDash w14:val="solid"/>
                  <w14:bevel/>
                </w14:textOutline>
              </w:rPr>
              <w:t>评审标准</w:t>
            </w:r>
          </w:p>
        </w:tc>
      </w:tr>
      <w:tr w14:paraId="1AFD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6" w:type="dxa"/>
          </w:tcPr>
          <w:p w14:paraId="38D5C7EE">
            <w:pPr>
              <w:spacing w:line="306" w:lineRule="auto"/>
              <w:rPr>
                <w:color w:val="auto"/>
              </w:rPr>
            </w:pPr>
          </w:p>
          <w:p w14:paraId="7C63CA5A">
            <w:pPr>
              <w:pStyle w:val="21"/>
              <w:spacing w:before="78" w:line="184" w:lineRule="auto"/>
              <w:ind w:left="387"/>
              <w:rPr>
                <w:color w:val="auto"/>
              </w:rPr>
            </w:pPr>
            <w:r>
              <w:rPr>
                <w:color w:val="auto"/>
              </w:rPr>
              <w:t>1</w:t>
            </w:r>
          </w:p>
        </w:tc>
        <w:tc>
          <w:tcPr>
            <w:tcW w:w="2220" w:type="dxa"/>
          </w:tcPr>
          <w:p w14:paraId="1B56D72F">
            <w:pPr>
              <w:spacing w:line="270" w:lineRule="auto"/>
              <w:rPr>
                <w:color w:val="auto"/>
              </w:rPr>
            </w:pPr>
          </w:p>
          <w:p w14:paraId="6D89DC8B">
            <w:pPr>
              <w:pStyle w:val="21"/>
              <w:spacing w:before="78" w:line="219" w:lineRule="auto"/>
              <w:ind w:left="515"/>
              <w:rPr>
                <w:color w:val="auto"/>
              </w:rPr>
            </w:pPr>
            <w:r>
              <w:rPr>
                <w:color w:val="auto"/>
                <w:spacing w:val="-2"/>
              </w:rPr>
              <w:t>供应商名称</w:t>
            </w:r>
          </w:p>
        </w:tc>
        <w:tc>
          <w:tcPr>
            <w:tcW w:w="6527" w:type="dxa"/>
          </w:tcPr>
          <w:p w14:paraId="5CDEC2B8">
            <w:pPr>
              <w:pStyle w:val="21"/>
              <w:spacing w:before="115" w:line="468" w:lineRule="exact"/>
              <w:ind w:left="119"/>
              <w:rPr>
                <w:color w:val="auto"/>
                <w:lang w:eastAsia="zh-CN"/>
              </w:rPr>
            </w:pPr>
            <w:r>
              <w:rPr>
                <w:color w:val="auto"/>
                <w:spacing w:val="2"/>
                <w:position w:val="17"/>
                <w:lang w:eastAsia="zh-CN"/>
              </w:rPr>
              <w:t>与营业执照、公章一致，响应文件项目名称、项目编号与磋</w:t>
            </w:r>
          </w:p>
          <w:p w14:paraId="68E1015B">
            <w:pPr>
              <w:pStyle w:val="21"/>
              <w:spacing w:line="219" w:lineRule="auto"/>
              <w:ind w:left="119"/>
              <w:rPr>
                <w:color w:val="auto"/>
              </w:rPr>
            </w:pPr>
            <w:r>
              <w:rPr>
                <w:color w:val="auto"/>
                <w:spacing w:val="-3"/>
              </w:rPr>
              <w:t>商文件须一致。</w:t>
            </w:r>
          </w:p>
        </w:tc>
      </w:tr>
      <w:tr w14:paraId="07211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35205B">
            <w:pPr>
              <w:pStyle w:val="21"/>
              <w:spacing w:before="153" w:line="183" w:lineRule="auto"/>
              <w:ind w:left="373"/>
              <w:rPr>
                <w:color w:val="auto"/>
              </w:rPr>
            </w:pPr>
            <w:r>
              <w:rPr>
                <w:color w:val="auto"/>
              </w:rPr>
              <w:t>2</w:t>
            </w:r>
          </w:p>
        </w:tc>
        <w:tc>
          <w:tcPr>
            <w:tcW w:w="2220" w:type="dxa"/>
          </w:tcPr>
          <w:p w14:paraId="0326FD35">
            <w:pPr>
              <w:pStyle w:val="21"/>
              <w:spacing w:before="116" w:line="219" w:lineRule="auto"/>
              <w:ind w:left="407"/>
              <w:rPr>
                <w:color w:val="auto"/>
              </w:rPr>
            </w:pPr>
            <w:r>
              <w:rPr>
                <w:color w:val="auto"/>
                <w:spacing w:val="-4"/>
              </w:rPr>
              <w:t>响应文件格式</w:t>
            </w:r>
          </w:p>
        </w:tc>
        <w:tc>
          <w:tcPr>
            <w:tcW w:w="6527" w:type="dxa"/>
          </w:tcPr>
          <w:p w14:paraId="09CC8BEF">
            <w:pPr>
              <w:pStyle w:val="21"/>
              <w:spacing w:before="116" w:line="219" w:lineRule="auto"/>
              <w:ind w:left="116"/>
              <w:rPr>
                <w:color w:val="auto"/>
                <w:lang w:eastAsia="zh-CN"/>
              </w:rPr>
            </w:pPr>
            <w:r>
              <w:rPr>
                <w:color w:val="auto"/>
                <w:spacing w:val="-2"/>
                <w:lang w:eastAsia="zh-CN"/>
              </w:rPr>
              <w:t>符合竞争性磋商文件要求</w:t>
            </w:r>
          </w:p>
        </w:tc>
      </w:tr>
      <w:tr w14:paraId="526F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6" w:type="dxa"/>
          </w:tcPr>
          <w:p w14:paraId="1AFE0D51">
            <w:pPr>
              <w:pStyle w:val="21"/>
              <w:spacing w:before="155" w:line="183" w:lineRule="auto"/>
              <w:ind w:left="374"/>
              <w:rPr>
                <w:color w:val="auto"/>
              </w:rPr>
            </w:pPr>
            <w:r>
              <w:rPr>
                <w:color w:val="auto"/>
              </w:rPr>
              <w:t>3</w:t>
            </w:r>
          </w:p>
        </w:tc>
        <w:tc>
          <w:tcPr>
            <w:tcW w:w="2220" w:type="dxa"/>
          </w:tcPr>
          <w:p w14:paraId="1F51AFB4">
            <w:pPr>
              <w:pStyle w:val="21"/>
              <w:spacing w:before="117" w:line="219" w:lineRule="auto"/>
              <w:ind w:left="167"/>
              <w:rPr>
                <w:color w:val="auto"/>
              </w:rPr>
            </w:pPr>
            <w:r>
              <w:rPr>
                <w:color w:val="auto"/>
                <w:spacing w:val="-3"/>
              </w:rPr>
              <w:t>响应文件签字盖章</w:t>
            </w:r>
          </w:p>
        </w:tc>
        <w:tc>
          <w:tcPr>
            <w:tcW w:w="6527" w:type="dxa"/>
          </w:tcPr>
          <w:p w14:paraId="1BCE3FB8">
            <w:pPr>
              <w:pStyle w:val="21"/>
              <w:spacing w:before="118" w:line="219" w:lineRule="auto"/>
              <w:ind w:left="116"/>
              <w:rPr>
                <w:color w:val="auto"/>
                <w:lang w:eastAsia="zh-CN"/>
              </w:rPr>
            </w:pPr>
            <w:r>
              <w:rPr>
                <w:color w:val="auto"/>
                <w:spacing w:val="-2"/>
                <w:lang w:eastAsia="zh-CN"/>
              </w:rPr>
              <w:t>符合竞争性磋商文件要求</w:t>
            </w:r>
          </w:p>
        </w:tc>
      </w:tr>
      <w:tr w14:paraId="484B9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6" w:type="dxa"/>
          </w:tcPr>
          <w:p w14:paraId="1000C467">
            <w:pPr>
              <w:pStyle w:val="21"/>
              <w:spacing w:before="156" w:line="183" w:lineRule="auto"/>
              <w:ind w:left="369"/>
              <w:rPr>
                <w:color w:val="auto"/>
              </w:rPr>
            </w:pPr>
            <w:r>
              <w:rPr>
                <w:color w:val="auto"/>
              </w:rPr>
              <w:t>4</w:t>
            </w:r>
          </w:p>
        </w:tc>
        <w:tc>
          <w:tcPr>
            <w:tcW w:w="2220" w:type="dxa"/>
          </w:tcPr>
          <w:p w14:paraId="087B4A89">
            <w:pPr>
              <w:pStyle w:val="21"/>
              <w:spacing w:before="118" w:line="219" w:lineRule="auto"/>
              <w:ind w:left="287"/>
              <w:rPr>
                <w:color w:val="auto"/>
              </w:rPr>
            </w:pPr>
            <w:r>
              <w:rPr>
                <w:color w:val="auto"/>
                <w:spacing w:val="-4"/>
              </w:rPr>
              <w:t>响应文件有效期</w:t>
            </w:r>
          </w:p>
        </w:tc>
        <w:tc>
          <w:tcPr>
            <w:tcW w:w="6527" w:type="dxa"/>
          </w:tcPr>
          <w:p w14:paraId="7CE71633">
            <w:pPr>
              <w:pStyle w:val="21"/>
              <w:spacing w:before="118" w:line="219" w:lineRule="auto"/>
              <w:ind w:left="116"/>
              <w:rPr>
                <w:color w:val="auto"/>
                <w:lang w:eastAsia="zh-CN"/>
              </w:rPr>
            </w:pPr>
            <w:r>
              <w:rPr>
                <w:color w:val="auto"/>
                <w:spacing w:val="-2"/>
                <w:lang w:eastAsia="zh-CN"/>
              </w:rPr>
              <w:t>符合竞争性磋商文件要求</w:t>
            </w:r>
          </w:p>
        </w:tc>
      </w:tr>
      <w:tr w14:paraId="382F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46" w:type="dxa"/>
          </w:tcPr>
          <w:p w14:paraId="1708249F">
            <w:pPr>
              <w:spacing w:line="272" w:lineRule="auto"/>
              <w:rPr>
                <w:color w:val="auto"/>
                <w:lang w:eastAsia="zh-CN"/>
              </w:rPr>
            </w:pPr>
          </w:p>
          <w:p w14:paraId="2E7192C6">
            <w:pPr>
              <w:spacing w:line="272" w:lineRule="auto"/>
              <w:rPr>
                <w:color w:val="auto"/>
                <w:lang w:eastAsia="zh-CN"/>
              </w:rPr>
            </w:pPr>
          </w:p>
          <w:p w14:paraId="56187372">
            <w:pPr>
              <w:pStyle w:val="21"/>
              <w:spacing w:before="78" w:line="182" w:lineRule="auto"/>
              <w:ind w:left="374"/>
              <w:rPr>
                <w:color w:val="auto"/>
              </w:rPr>
            </w:pPr>
            <w:r>
              <w:rPr>
                <w:color w:val="auto"/>
              </w:rPr>
              <w:t>5</w:t>
            </w:r>
          </w:p>
        </w:tc>
        <w:tc>
          <w:tcPr>
            <w:tcW w:w="2220" w:type="dxa"/>
          </w:tcPr>
          <w:p w14:paraId="0311BB21">
            <w:pPr>
              <w:spacing w:line="252" w:lineRule="auto"/>
              <w:rPr>
                <w:color w:val="auto"/>
              </w:rPr>
            </w:pPr>
          </w:p>
          <w:p w14:paraId="5A4484E1">
            <w:pPr>
              <w:spacing w:line="253" w:lineRule="auto"/>
              <w:rPr>
                <w:color w:val="auto"/>
              </w:rPr>
            </w:pPr>
          </w:p>
          <w:p w14:paraId="11AA85CF">
            <w:pPr>
              <w:pStyle w:val="21"/>
              <w:spacing w:before="78" w:line="218" w:lineRule="auto"/>
              <w:ind w:left="634"/>
              <w:rPr>
                <w:color w:val="auto"/>
              </w:rPr>
            </w:pPr>
            <w:r>
              <w:rPr>
                <w:color w:val="auto"/>
                <w:spacing w:val="-3"/>
              </w:rPr>
              <w:t>磋商报价</w:t>
            </w:r>
          </w:p>
        </w:tc>
        <w:tc>
          <w:tcPr>
            <w:tcW w:w="6527" w:type="dxa"/>
          </w:tcPr>
          <w:p w14:paraId="55DC070D">
            <w:pPr>
              <w:pStyle w:val="21"/>
              <w:spacing w:before="118" w:line="360" w:lineRule="auto"/>
              <w:ind w:left="113" w:right="48" w:firstLine="24"/>
              <w:rPr>
                <w:color w:val="auto"/>
                <w:lang w:eastAsia="zh-CN"/>
              </w:rPr>
            </w:pPr>
            <w:r>
              <w:rPr>
                <w:color w:val="auto"/>
                <w:spacing w:val="1"/>
                <w:lang w:eastAsia="zh-CN"/>
              </w:rPr>
              <w:t>同时满足以下条款</w:t>
            </w:r>
            <w:r>
              <w:rPr>
                <w:color w:val="auto"/>
                <w:spacing w:val="-18"/>
                <w:lang w:eastAsia="zh-CN"/>
              </w:rPr>
              <w:t>：（</w:t>
            </w:r>
            <w:r>
              <w:rPr>
                <w:color w:val="auto"/>
                <w:spacing w:val="1"/>
                <w:lang w:eastAsia="zh-CN"/>
              </w:rPr>
              <w:t>1）磋商报价符合唯一性</w:t>
            </w:r>
            <w:r>
              <w:rPr>
                <w:color w:val="auto"/>
                <w:lang w:eastAsia="zh-CN"/>
              </w:rPr>
              <w:t>要求</w:t>
            </w:r>
            <w:r>
              <w:rPr>
                <w:color w:val="auto"/>
                <w:spacing w:val="-18"/>
                <w:lang w:eastAsia="zh-CN"/>
              </w:rPr>
              <w:t>；（</w:t>
            </w:r>
            <w:r>
              <w:rPr>
                <w:color w:val="auto"/>
                <w:lang w:eastAsia="zh-CN"/>
              </w:rPr>
              <w:t>2）</w:t>
            </w:r>
            <w:r>
              <w:rPr>
                <w:color w:val="auto"/>
                <w:spacing w:val="1"/>
                <w:lang w:eastAsia="zh-CN"/>
              </w:rPr>
              <w:t xml:space="preserve">  </w:t>
            </w:r>
            <w:r>
              <w:rPr>
                <w:color w:val="auto"/>
                <w:spacing w:val="-4"/>
                <w:lang w:eastAsia="zh-CN"/>
              </w:rPr>
              <w:t>磋商报价表填写符合要求</w:t>
            </w:r>
            <w:r>
              <w:rPr>
                <w:color w:val="auto"/>
                <w:spacing w:val="-62"/>
                <w:w w:val="97"/>
                <w:lang w:eastAsia="zh-CN"/>
              </w:rPr>
              <w:t>；（</w:t>
            </w:r>
            <w:r>
              <w:rPr>
                <w:color w:val="auto"/>
                <w:spacing w:val="-4"/>
                <w:lang w:eastAsia="zh-CN"/>
              </w:rPr>
              <w:t>3）报价货币符合磋商文件要求；</w:t>
            </w:r>
          </w:p>
          <w:p w14:paraId="7507680B">
            <w:pPr>
              <w:pStyle w:val="21"/>
              <w:spacing w:before="1" w:line="217" w:lineRule="auto"/>
              <w:ind w:left="126"/>
              <w:rPr>
                <w:color w:val="auto"/>
                <w:lang w:eastAsia="zh-CN"/>
              </w:rPr>
            </w:pPr>
            <w:r>
              <w:rPr>
                <w:color w:val="auto"/>
                <w:spacing w:val="-1"/>
                <w:lang w:eastAsia="zh-CN"/>
              </w:rPr>
              <w:t>（4）未超出采购预算或磋商文件规定的最高限价</w:t>
            </w:r>
          </w:p>
        </w:tc>
      </w:tr>
      <w:tr w14:paraId="266A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46" w:type="dxa"/>
          </w:tcPr>
          <w:p w14:paraId="0D309D09">
            <w:pPr>
              <w:spacing w:line="272" w:lineRule="auto"/>
              <w:rPr>
                <w:color w:val="auto"/>
                <w:lang w:eastAsia="zh-CN"/>
              </w:rPr>
            </w:pPr>
          </w:p>
          <w:p w14:paraId="1D051DC4">
            <w:pPr>
              <w:spacing w:line="272" w:lineRule="auto"/>
              <w:rPr>
                <w:color w:val="auto"/>
                <w:lang w:eastAsia="zh-CN"/>
              </w:rPr>
            </w:pPr>
          </w:p>
          <w:p w14:paraId="6853A438">
            <w:pPr>
              <w:pStyle w:val="21"/>
              <w:spacing w:before="78" w:line="182" w:lineRule="auto"/>
              <w:ind w:left="375"/>
              <w:rPr>
                <w:color w:val="auto"/>
                <w:lang w:eastAsia="zh-CN"/>
              </w:rPr>
            </w:pPr>
            <w:r>
              <w:rPr>
                <w:rFonts w:hint="eastAsia"/>
                <w:color w:val="auto"/>
                <w:lang w:eastAsia="zh-CN"/>
              </w:rPr>
              <w:t>6</w:t>
            </w:r>
          </w:p>
        </w:tc>
        <w:tc>
          <w:tcPr>
            <w:tcW w:w="2220" w:type="dxa"/>
          </w:tcPr>
          <w:p w14:paraId="6BCFE523">
            <w:pPr>
              <w:spacing w:line="252" w:lineRule="auto"/>
              <w:rPr>
                <w:color w:val="auto"/>
              </w:rPr>
            </w:pPr>
          </w:p>
          <w:p w14:paraId="21966607">
            <w:pPr>
              <w:spacing w:line="253" w:lineRule="auto"/>
              <w:rPr>
                <w:color w:val="auto"/>
              </w:rPr>
            </w:pPr>
          </w:p>
          <w:p w14:paraId="21D4ED31">
            <w:pPr>
              <w:pStyle w:val="21"/>
              <w:spacing w:before="78" w:line="220" w:lineRule="auto"/>
              <w:ind w:left="636"/>
              <w:rPr>
                <w:color w:val="auto"/>
              </w:rPr>
            </w:pPr>
            <w:r>
              <w:rPr>
                <w:color w:val="auto"/>
                <w:spacing w:val="-3"/>
              </w:rPr>
              <w:t>其他要求</w:t>
            </w:r>
          </w:p>
        </w:tc>
        <w:tc>
          <w:tcPr>
            <w:tcW w:w="6527" w:type="dxa"/>
          </w:tcPr>
          <w:p w14:paraId="009C31B1">
            <w:pPr>
              <w:pStyle w:val="21"/>
              <w:spacing w:before="119" w:line="360" w:lineRule="auto"/>
              <w:ind w:left="115" w:right="176"/>
              <w:jc w:val="both"/>
              <w:rPr>
                <w:color w:val="auto"/>
                <w:lang w:eastAsia="zh-CN"/>
              </w:rPr>
            </w:pPr>
            <w:r>
              <w:rPr>
                <w:color w:val="auto"/>
                <w:spacing w:val="-1"/>
                <w:lang w:eastAsia="zh-CN"/>
              </w:rPr>
              <w:t>提供虚假证明（包括第三方提供的虚假证明、证件</w:t>
            </w:r>
            <w:r>
              <w:rPr>
                <w:color w:val="auto"/>
                <w:spacing w:val="6"/>
                <w:lang w:eastAsia="zh-CN"/>
              </w:rPr>
              <w:t>），</w:t>
            </w:r>
            <w:r>
              <w:rPr>
                <w:color w:val="auto"/>
                <w:spacing w:val="-1"/>
                <w:lang w:eastAsia="zh-CN"/>
              </w:rPr>
              <w:t>开具</w:t>
            </w:r>
            <w:r>
              <w:rPr>
                <w:color w:val="auto"/>
                <w:lang w:eastAsia="zh-CN"/>
              </w:rPr>
              <w:t xml:space="preserve"> </w:t>
            </w:r>
            <w:r>
              <w:rPr>
                <w:color w:val="auto"/>
                <w:spacing w:val="-1"/>
                <w:lang w:eastAsia="zh-CN"/>
              </w:rPr>
              <w:t>虚假业绩，除按无效文件处理外，按有关规定进行相应的处</w:t>
            </w:r>
          </w:p>
          <w:p w14:paraId="032B1252">
            <w:pPr>
              <w:pStyle w:val="21"/>
              <w:spacing w:line="223" w:lineRule="auto"/>
              <w:ind w:left="124"/>
              <w:rPr>
                <w:color w:val="auto"/>
              </w:rPr>
            </w:pPr>
            <w:r>
              <w:rPr>
                <w:color w:val="auto"/>
              </w:rPr>
              <w:t>罚</w:t>
            </w:r>
          </w:p>
        </w:tc>
      </w:tr>
    </w:tbl>
    <w:p w14:paraId="5E7288C8">
      <w:pPr>
        <w:spacing w:before="114" w:line="360" w:lineRule="auto"/>
        <w:ind w:left="124" w:right="72" w:firstLine="47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磋商小组在对响应文件的有效性、完整性和响应程度进行审查时，可以要求供应商对</w:t>
      </w:r>
      <w:r>
        <w:rPr>
          <w:rFonts w:ascii="宋体" w:hAnsi="宋体" w:eastAsia="宋体" w:cs="宋体"/>
          <w:color w:val="auto"/>
          <w:spacing w:val="6"/>
          <w:sz w:val="24"/>
          <w:szCs w:val="24"/>
          <w:lang w:eastAsia="zh-CN"/>
        </w:rPr>
        <w:t xml:space="preserve"> </w:t>
      </w:r>
      <w:r>
        <w:rPr>
          <w:rFonts w:ascii="宋体" w:hAnsi="宋体" w:eastAsia="宋体" w:cs="宋体"/>
          <w:color w:val="auto"/>
          <w:spacing w:val="1"/>
          <w:sz w:val="24"/>
          <w:szCs w:val="24"/>
          <w:lang w:eastAsia="zh-CN"/>
        </w:rPr>
        <w:t>响应文件中含义不明确、同类问题表述不一致或者有明显文字和计算错误的内容等作出必</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要的澄清、说明或者更正。供应商的澄清、说明或者更正不得超出响应文件的范围或者改</w:t>
      </w:r>
      <w:r>
        <w:rPr>
          <w:rFonts w:ascii="宋体" w:hAnsi="宋体" w:eastAsia="宋体" w:cs="宋体"/>
          <w:color w:val="auto"/>
          <w:spacing w:val="-1"/>
          <w:sz w:val="24"/>
          <w:szCs w:val="24"/>
          <w:lang w:eastAsia="zh-CN"/>
        </w:rPr>
        <w:t>变响应文件的实质性内容。</w:t>
      </w:r>
    </w:p>
    <w:p w14:paraId="6AF639DB">
      <w:pPr>
        <w:spacing w:before="183" w:line="360" w:lineRule="auto"/>
        <w:ind w:left="123" w:right="1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磋商小组要求供应商澄清、说明或者更正响应文件应当以书面形式作出。供应商的澄</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清、说明或者更正应当由法定代表人或其授权代</w:t>
      </w:r>
      <w:r>
        <w:rPr>
          <w:rFonts w:ascii="宋体" w:hAnsi="宋体" w:eastAsia="宋体" w:cs="宋体"/>
          <w:color w:val="auto"/>
          <w:spacing w:val="-4"/>
          <w:sz w:val="24"/>
          <w:szCs w:val="24"/>
          <w:lang w:eastAsia="zh-CN"/>
        </w:rPr>
        <w:t>表签字或者加盖公章。由授权代表签字的，</w:t>
      </w:r>
      <w:r>
        <w:rPr>
          <w:rFonts w:ascii="宋体" w:hAnsi="宋体" w:eastAsia="宋体" w:cs="宋体"/>
          <w:color w:val="auto"/>
          <w:sz w:val="24"/>
          <w:szCs w:val="24"/>
          <w:lang w:eastAsia="zh-CN"/>
        </w:rPr>
        <w:t>应当附法定代表人授权书。供应商为自然人的，应当由</w:t>
      </w:r>
      <w:r>
        <w:rPr>
          <w:rFonts w:ascii="宋体" w:hAnsi="宋体" w:eastAsia="宋体" w:cs="宋体"/>
          <w:color w:val="auto"/>
          <w:spacing w:val="-1"/>
          <w:sz w:val="24"/>
          <w:szCs w:val="24"/>
          <w:lang w:eastAsia="zh-CN"/>
        </w:rPr>
        <w:t>本人签字并附身份证明。</w:t>
      </w:r>
    </w:p>
    <w:p w14:paraId="03167CF3">
      <w:pPr>
        <w:spacing w:before="183" w:line="360" w:lineRule="auto"/>
        <w:ind w:left="123" w:right="12" w:firstLine="479"/>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18.2.4 磋商过程中提交响应文件或者经评审实质性响应竞争性磋商文件要求的供应商只有两家时，采购人应当报告财政管理部门，由财政管理部门按照以下原则处理：</w:t>
      </w:r>
    </w:p>
    <w:p w14:paraId="10C42975">
      <w:pPr>
        <w:spacing w:before="183" w:line="360" w:lineRule="auto"/>
        <w:ind w:left="123" w:right="12" w:firstLine="479"/>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（1）竞争性磋商文件没有不合理条款、磋商公告时间及程序符合规定的，竞争性磋商采购活动可以继续进行；</w:t>
      </w:r>
    </w:p>
    <w:p w14:paraId="5077234E">
      <w:pPr>
        <w:spacing w:before="183" w:line="468" w:lineRule="exact"/>
        <w:ind w:right="9"/>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（2）竞争性磋商文件存在不合理条款的，磋商公</w:t>
      </w:r>
      <w:r>
        <w:rPr>
          <w:rFonts w:ascii="宋体" w:hAnsi="宋体" w:eastAsia="宋体" w:cs="宋体"/>
          <w:color w:val="auto"/>
          <w:spacing w:val="-3"/>
          <w:position w:val="17"/>
          <w:sz w:val="24"/>
          <w:szCs w:val="24"/>
          <w:lang w:eastAsia="zh-CN"/>
        </w:rPr>
        <w:t>告时间及程序不符合规定的，应予以</w:t>
      </w:r>
    </w:p>
    <w:p w14:paraId="059241DA">
      <w:pPr>
        <w:spacing w:line="218"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废标，并责成采购人依法重新招标。</w:t>
      </w:r>
    </w:p>
    <w:p w14:paraId="56F50BDB">
      <w:pPr>
        <w:spacing w:before="183" w:line="360" w:lineRule="auto"/>
        <w:ind w:left="2"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磋商过程中提交响应文件或者经评审实质性响应竞争性磋商文件要求的供应商只有两</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家时，采购人、采购代理机构依据《财政部关于印发&lt;政府采购竞争性磋商采购方式管</w:t>
      </w:r>
      <w:r>
        <w:rPr>
          <w:rFonts w:ascii="宋体" w:hAnsi="宋体" w:eastAsia="宋体" w:cs="宋体"/>
          <w:color w:val="auto"/>
          <w:spacing w:val="-3"/>
          <w:sz w:val="24"/>
          <w:szCs w:val="24"/>
          <w:lang w:eastAsia="zh-CN"/>
        </w:rPr>
        <w:t>理暂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行办法&gt;的通知》（财库〔2014〕214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号）》、《财库〔2015〕124</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号 》规定并经财政部门</w:t>
      </w:r>
    </w:p>
    <w:p w14:paraId="11D4AB3A">
      <w:pPr>
        <w:spacing w:before="1" w:line="218"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批准后可以与该两家供应商进行竞争性磋商采购。</w:t>
      </w:r>
    </w:p>
    <w:p w14:paraId="26B97B4E">
      <w:pPr>
        <w:spacing w:before="184" w:line="220" w:lineRule="auto"/>
        <w:ind w:left="49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18.3 磋商过程</w:t>
      </w:r>
    </w:p>
    <w:p w14:paraId="34BC31C2">
      <w:pPr>
        <w:spacing w:before="182" w:line="468" w:lineRule="exact"/>
        <w:ind w:right="9"/>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（1）磋商小组所有成员应当集中与单一供应商分</w:t>
      </w:r>
      <w:r>
        <w:rPr>
          <w:rFonts w:ascii="宋体" w:hAnsi="宋体" w:eastAsia="宋体" w:cs="宋体"/>
          <w:color w:val="auto"/>
          <w:spacing w:val="-3"/>
          <w:position w:val="17"/>
          <w:sz w:val="24"/>
          <w:szCs w:val="24"/>
          <w:lang w:eastAsia="zh-CN"/>
        </w:rPr>
        <w:t>别进行磋商，并给予所有参加磋商的</w:t>
      </w:r>
    </w:p>
    <w:p w14:paraId="32CDB1D3">
      <w:pPr>
        <w:spacing w:before="1" w:line="218" w:lineRule="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供应商平等的磋商机会。</w:t>
      </w:r>
    </w:p>
    <w:p w14:paraId="182BB708">
      <w:pPr>
        <w:spacing w:before="183" w:line="360" w:lineRule="auto"/>
        <w:ind w:left="1" w:right="7" w:firstLine="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（2）在磋商过程中，磋商小组可以根据磋商文件</w:t>
      </w:r>
      <w:r>
        <w:rPr>
          <w:rFonts w:ascii="宋体" w:hAnsi="宋体" w:eastAsia="宋体" w:cs="宋体"/>
          <w:color w:val="auto"/>
          <w:spacing w:val="-3"/>
          <w:sz w:val="24"/>
          <w:szCs w:val="24"/>
          <w:lang w:eastAsia="zh-CN"/>
        </w:rPr>
        <w:t>和磋商情况实质性变动采购需求中的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技术、服务要求以及合同草案条款，但不得变动磋商文件中的其他内容。实质性变动的内</w:t>
      </w:r>
    </w:p>
    <w:p w14:paraId="60197D67">
      <w:pPr>
        <w:spacing w:before="1" w:line="218" w:lineRule="auto"/>
        <w:ind w:left="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容，须经采购人代表确认。</w:t>
      </w:r>
    </w:p>
    <w:p w14:paraId="4CECCDE8">
      <w:pPr>
        <w:spacing w:before="184" w:line="468" w:lineRule="exact"/>
        <w:ind w:right="9"/>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（3）对磋商文件作出的实质性变动是磋商文件的</w:t>
      </w:r>
      <w:r>
        <w:rPr>
          <w:rFonts w:ascii="宋体" w:hAnsi="宋体" w:eastAsia="宋体" w:cs="宋体"/>
          <w:color w:val="auto"/>
          <w:spacing w:val="-3"/>
          <w:position w:val="17"/>
          <w:sz w:val="24"/>
          <w:szCs w:val="24"/>
          <w:lang w:eastAsia="zh-CN"/>
        </w:rPr>
        <w:t>有效组成部分，磋商小组应当及时以</w:t>
      </w:r>
    </w:p>
    <w:p w14:paraId="33A40FEE">
      <w:pPr>
        <w:spacing w:before="1" w:line="218" w:lineRule="auto"/>
        <w:ind w:left="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书面形式同时通知所有参加磋商的供应商。</w:t>
      </w:r>
    </w:p>
    <w:p w14:paraId="3803DE5A">
      <w:pPr>
        <w:spacing w:before="184" w:line="360" w:lineRule="auto"/>
        <w:ind w:left="1" w:right="7" w:firstLine="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（4）供应商应当按照磋商文件的变动情况和磋商</w:t>
      </w:r>
      <w:r>
        <w:rPr>
          <w:rFonts w:ascii="宋体" w:hAnsi="宋体" w:eastAsia="宋体" w:cs="宋体"/>
          <w:color w:val="auto"/>
          <w:spacing w:val="-3"/>
          <w:sz w:val="24"/>
          <w:szCs w:val="24"/>
          <w:lang w:eastAsia="zh-CN"/>
        </w:rPr>
        <w:t>小组的要求重新提交响应文件，并由</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其法定代表人或授权代表签字或者加盖公章。由授权代表签字的，应当附法定代表人授权</w:t>
      </w:r>
      <w:r>
        <w:rPr>
          <w:rFonts w:ascii="宋体" w:hAnsi="宋体" w:eastAsia="宋体" w:cs="宋体"/>
          <w:color w:val="auto"/>
          <w:spacing w:val="-1"/>
          <w:sz w:val="24"/>
          <w:szCs w:val="24"/>
          <w:lang w:eastAsia="zh-CN"/>
        </w:rPr>
        <w:t>书。供应商为自然人的，应当由本人签字并附身份证明。</w:t>
      </w:r>
    </w:p>
    <w:p w14:paraId="0775E1B7">
      <w:pPr>
        <w:spacing w:before="184" w:line="218" w:lineRule="auto"/>
        <w:ind w:left="49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18.4</w:t>
      </w:r>
      <w:r>
        <w:rPr>
          <w:rFonts w:ascii="宋体" w:hAnsi="宋体" w:eastAsia="宋体" w:cs="宋体"/>
          <w:color w:val="auto"/>
          <w:spacing w:val="12"/>
          <w:sz w:val="24"/>
          <w:szCs w:val="24"/>
          <w:lang w:eastAsia="zh-CN"/>
        </w:rPr>
        <w:t xml:space="preserve"> </w:t>
      </w:r>
      <w:r>
        <w:rPr>
          <w:rFonts w:ascii="宋体" w:hAnsi="宋体" w:eastAsia="宋体" w:cs="宋体"/>
          <w:color w:val="auto"/>
          <w:spacing w:val="-5"/>
          <w:sz w:val="24"/>
          <w:szCs w:val="24"/>
          <w:lang w:eastAsia="zh-CN"/>
        </w:rPr>
        <w:t>最终报价</w:t>
      </w:r>
    </w:p>
    <w:p w14:paraId="5060D3BD">
      <w:pPr>
        <w:spacing w:before="185" w:line="468" w:lineRule="exact"/>
        <w:ind w:right="7"/>
        <w:jc w:val="right"/>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磋商文件能够详细列明采购标的的技术、服务要求的，磋商结束后，所有实质性响应</w:t>
      </w:r>
    </w:p>
    <w:p w14:paraId="2DA7E496">
      <w:pPr>
        <w:spacing w:before="1" w:line="217" w:lineRule="auto"/>
        <w:ind w:left="2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的供应商应在规定时间内提交最终报价。</w:t>
      </w:r>
    </w:p>
    <w:p w14:paraId="1CF909B0">
      <w:pPr>
        <w:spacing w:before="185" w:line="360" w:lineRule="auto"/>
        <w:ind w:left="1" w:right="7" w:firstLine="47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磋商文件不能详细列明采购标的的技术、服务要求，需经磋商由供应商提供最终设计</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方案或解决方案的，磋商结束后，磋商小组应当按照少数服从多数的原则投票推荐</w:t>
      </w:r>
      <w:r>
        <w:rPr>
          <w:rFonts w:ascii="宋体" w:hAnsi="宋体" w:eastAsia="宋体" w:cs="宋体"/>
          <w:color w:val="auto"/>
          <w:spacing w:val="-33"/>
          <w:sz w:val="24"/>
          <w:szCs w:val="24"/>
          <w:lang w:eastAsia="zh-CN"/>
        </w:rPr>
        <w:t xml:space="preserve"> </w:t>
      </w:r>
      <w:r>
        <w:rPr>
          <w:rFonts w:ascii="宋体" w:hAnsi="宋体" w:eastAsia="宋体" w:cs="宋体"/>
          <w:color w:val="auto"/>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z w:val="24"/>
          <w:szCs w:val="24"/>
          <w:lang w:eastAsia="zh-CN"/>
        </w:rPr>
        <w:t>家以上供应商的设计方案或者解决方案，并要求其</w:t>
      </w:r>
      <w:r>
        <w:rPr>
          <w:rFonts w:ascii="宋体" w:hAnsi="宋体" w:eastAsia="宋体" w:cs="宋体"/>
          <w:color w:val="auto"/>
          <w:spacing w:val="-1"/>
          <w:sz w:val="24"/>
          <w:szCs w:val="24"/>
          <w:lang w:eastAsia="zh-CN"/>
        </w:rPr>
        <w:t>在规定时间内提交最终报价。</w:t>
      </w:r>
    </w:p>
    <w:p w14:paraId="18F56B73">
      <w:pPr>
        <w:spacing w:before="184" w:line="218"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最终报价是供应商响应文件的有效组成部分。</w:t>
      </w:r>
    </w:p>
    <w:p w14:paraId="1A27CB55">
      <w:pPr>
        <w:spacing w:before="186"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19．磋商响应文件的详细评审</w:t>
      </w:r>
    </w:p>
    <w:p w14:paraId="03B04A55">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19.1 磋商小组将按照第 19 项规定只对确定为实质上响应磋商文件要求的投标进行详细的评价和比较。</w:t>
      </w:r>
    </w:p>
    <w:p w14:paraId="1D20592D">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19.2 评标方法：综合评分法。评价和比较以响应文件为依据，对所有实质上响应的投标分别从以下等方面进行评审</w:t>
      </w:r>
    </w:p>
    <w:p w14:paraId="7D09D2F5">
      <w:pPr>
        <w:spacing w:before="182" w:line="220" w:lineRule="auto"/>
        <w:ind w:left="572"/>
        <w:rPr>
          <w:rFonts w:ascii="宋体" w:hAnsi="宋体" w:eastAsia="宋体" w:cs="宋体"/>
          <w:color w:val="auto"/>
          <w:sz w:val="24"/>
          <w:szCs w:val="24"/>
        </w:rPr>
      </w:pPr>
      <w:r>
        <w:rPr>
          <w:rFonts w:ascii="宋体" w:hAnsi="宋体" w:eastAsia="宋体" w:cs="宋体"/>
          <w:color w:val="auto"/>
          <w:spacing w:val="-3"/>
          <w:sz w:val="24"/>
          <w:szCs w:val="24"/>
          <w14:textOutline w14:w="4356" w14:cap="sq" w14:cmpd="sng" w14:algn="ctr">
            <w14:solidFill>
              <w14:srgbClr w14:val="000000"/>
            </w14:solidFill>
            <w14:prstDash w14:val="solid"/>
            <w14:bevel/>
          </w14:textOutline>
        </w:rPr>
        <w:t>19.3</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4356" w14:cap="sq" w14:cmpd="sng" w14:algn="ctr">
            <w14:solidFill>
              <w14:srgbClr w14:val="000000"/>
            </w14:solidFill>
            <w14:prstDash w14:val="solid"/>
            <w14:bevel/>
          </w14:textOutline>
        </w:rPr>
        <w:t>评分细则：</w:t>
      </w:r>
    </w:p>
    <w:p w14:paraId="7CEF095F">
      <w:pPr>
        <w:spacing w:line="68" w:lineRule="exact"/>
        <w:rPr>
          <w:color w:val="auto"/>
        </w:rPr>
      </w:pPr>
    </w:p>
    <w:p w14:paraId="794771D3">
      <w:pPr>
        <w:pStyle w:val="9"/>
        <w:rPr>
          <w:color w:val="auto"/>
        </w:rPr>
      </w:pPr>
    </w:p>
    <w:p w14:paraId="44E6B6A5">
      <w:pPr>
        <w:spacing w:line="91" w:lineRule="auto"/>
        <w:rPr>
          <w:color w:val="auto"/>
          <w:sz w:val="2"/>
        </w:rPr>
      </w:pPr>
    </w:p>
    <w:tbl>
      <w:tblPr>
        <w:tblStyle w:val="18"/>
        <w:tblW w:w="10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4"/>
        <w:gridCol w:w="7364"/>
        <w:gridCol w:w="790"/>
      </w:tblGrid>
      <w:tr w14:paraId="5E712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61F9AFAE">
            <w:pPr>
              <w:jc w:val="center"/>
              <w:rPr>
                <w:rFonts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7364" w:type="dxa"/>
            <w:tcBorders>
              <w:top w:val="single" w:color="auto" w:sz="4" w:space="0"/>
              <w:left w:val="single" w:color="auto" w:sz="4" w:space="0"/>
              <w:bottom w:val="single" w:color="auto" w:sz="4" w:space="0"/>
              <w:right w:val="single" w:color="auto" w:sz="4" w:space="0"/>
            </w:tcBorders>
            <w:vAlign w:val="center"/>
          </w:tcPr>
          <w:p w14:paraId="42D59AF3">
            <w:pPr>
              <w:jc w:val="center"/>
              <w:rPr>
                <w:rFonts w:ascii="宋体" w:hAnsi="宋体" w:eastAsia="宋体" w:cs="宋体"/>
                <w:b/>
                <w:color w:val="auto"/>
                <w:sz w:val="24"/>
                <w:szCs w:val="24"/>
              </w:rPr>
            </w:pPr>
            <w:r>
              <w:rPr>
                <w:rFonts w:hint="eastAsia" w:ascii="宋体" w:hAnsi="宋体" w:eastAsia="宋体" w:cs="宋体"/>
                <w:b/>
                <w:color w:val="auto"/>
                <w:sz w:val="24"/>
                <w:szCs w:val="24"/>
              </w:rPr>
              <w:t>内     容</w:t>
            </w:r>
          </w:p>
        </w:tc>
        <w:tc>
          <w:tcPr>
            <w:tcW w:w="790" w:type="dxa"/>
            <w:tcBorders>
              <w:top w:val="single" w:color="auto" w:sz="4" w:space="0"/>
              <w:left w:val="single" w:color="auto" w:sz="4" w:space="0"/>
              <w:bottom w:val="single" w:color="auto" w:sz="4" w:space="0"/>
              <w:right w:val="single" w:color="auto" w:sz="4" w:space="0"/>
            </w:tcBorders>
            <w:vAlign w:val="center"/>
          </w:tcPr>
          <w:p w14:paraId="17A635F8">
            <w:pPr>
              <w:jc w:val="center"/>
              <w:rPr>
                <w:rFonts w:ascii="宋体" w:hAnsi="宋体" w:eastAsia="宋体" w:cs="宋体"/>
                <w:b/>
                <w:color w:val="auto"/>
                <w:sz w:val="24"/>
                <w:szCs w:val="24"/>
              </w:rPr>
            </w:pPr>
            <w:r>
              <w:rPr>
                <w:rFonts w:hint="eastAsia" w:ascii="宋体" w:hAnsi="宋体" w:eastAsia="宋体" w:cs="宋体"/>
                <w:b/>
                <w:color w:val="auto"/>
                <w:sz w:val="24"/>
                <w:szCs w:val="24"/>
              </w:rPr>
              <w:t>分值</w:t>
            </w:r>
          </w:p>
        </w:tc>
      </w:tr>
      <w:tr w14:paraId="5C268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371E5CA6">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投标报价</w:t>
            </w:r>
          </w:p>
          <w:p w14:paraId="22D519C8">
            <w:pPr>
              <w:spacing w:line="360" w:lineRule="auto"/>
              <w:jc w:val="center"/>
              <w:rPr>
                <w:rFonts w:ascii="宋体" w:hAnsi="宋体" w:eastAsia="宋体" w:cs="宋体"/>
                <w:b/>
                <w:bCs/>
                <w:color w:val="auto"/>
                <w:sz w:val="24"/>
                <w:szCs w:val="24"/>
              </w:rPr>
            </w:pPr>
            <w:r>
              <w:rPr>
                <w:rFonts w:hint="eastAsia" w:ascii="宋体" w:hAnsi="宋体" w:eastAsia="宋体" w:cs="宋体"/>
                <w:b/>
                <w:color w:val="auto"/>
                <w:sz w:val="24"/>
                <w:szCs w:val="24"/>
              </w:rPr>
              <w:t>（30分）</w:t>
            </w:r>
          </w:p>
        </w:tc>
        <w:tc>
          <w:tcPr>
            <w:tcW w:w="7364" w:type="dxa"/>
            <w:tcBorders>
              <w:top w:val="single" w:color="auto" w:sz="4" w:space="0"/>
              <w:left w:val="single" w:color="auto" w:sz="4" w:space="0"/>
              <w:bottom w:val="single" w:color="auto" w:sz="4" w:space="0"/>
              <w:right w:val="single" w:color="auto" w:sz="4" w:space="0"/>
            </w:tcBorders>
            <w:vAlign w:val="center"/>
          </w:tcPr>
          <w:p w14:paraId="644AE073">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根据投标价评分[满足招标文件要求且投标价格最低的投标报价为评标基准价，投标报价得分=（评标基准价／投标报价）×30，计算分数时四舍五入取小数点后两位]</w:t>
            </w:r>
          </w:p>
          <w:p w14:paraId="279190F8">
            <w:pPr>
              <w:adjustRightInd/>
              <w:spacing w:line="360" w:lineRule="exact"/>
              <w:textAlignment w:val="auto"/>
              <w:rPr>
                <w:rFonts w:ascii="宋体" w:hAnsi="宋体" w:eastAsia="宋体" w:cs="宋体"/>
                <w:color w:val="auto"/>
                <w:spacing w:val="-2"/>
                <w:sz w:val="24"/>
                <w:szCs w:val="24"/>
                <w:lang w:eastAsia="zh-CN"/>
              </w:rPr>
            </w:pPr>
            <w:r>
              <w:rPr>
                <w:rFonts w:hint="eastAsia" w:ascii="宋体" w:hAnsi="宋体" w:eastAsia="宋体" w:cs="宋体"/>
                <w:b/>
                <w:color w:val="auto"/>
                <w:spacing w:val="-2"/>
                <w:sz w:val="24"/>
                <w:szCs w:val="24"/>
                <w:lang w:eastAsia="zh-CN"/>
              </w:rPr>
              <w:t>投标报价明显低于其他投标人，经磋商小组质询后不能在规定时间内说明理由，或说明理由但评审委员会认为理由不能成立的，客观上形成不良竞争，按无效标处理。</w:t>
            </w:r>
          </w:p>
        </w:tc>
        <w:tc>
          <w:tcPr>
            <w:tcW w:w="790" w:type="dxa"/>
            <w:tcBorders>
              <w:top w:val="single" w:color="auto" w:sz="4" w:space="0"/>
              <w:left w:val="single" w:color="auto" w:sz="4" w:space="0"/>
              <w:bottom w:val="single" w:color="auto" w:sz="4" w:space="0"/>
              <w:right w:val="single" w:color="auto" w:sz="4" w:space="0"/>
            </w:tcBorders>
            <w:vAlign w:val="center"/>
          </w:tcPr>
          <w:p w14:paraId="167330DF">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30</w:t>
            </w:r>
          </w:p>
        </w:tc>
      </w:tr>
      <w:tr w14:paraId="3843D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4CF051B2">
            <w:pPr>
              <w:spacing w:line="360" w:lineRule="auto"/>
              <w:jc w:val="center"/>
              <w:rPr>
                <w:rFonts w:ascii="宋体" w:hAnsi="宋体" w:eastAsia="宋体" w:cs="宋体"/>
                <w:b/>
                <w:color w:val="auto"/>
                <w:sz w:val="24"/>
                <w:szCs w:val="24"/>
              </w:rPr>
            </w:pPr>
            <w:r>
              <w:rPr>
                <w:rFonts w:hint="eastAsia" w:ascii="宋体" w:hAnsi="宋体" w:eastAsia="宋体" w:cs="宋体"/>
                <w:b/>
                <w:bCs/>
                <w:color w:val="auto"/>
                <w:sz w:val="24"/>
                <w:szCs w:val="24"/>
              </w:rPr>
              <w:t>商务响应（5）分</w:t>
            </w:r>
          </w:p>
        </w:tc>
        <w:tc>
          <w:tcPr>
            <w:tcW w:w="7364" w:type="dxa"/>
            <w:tcBorders>
              <w:top w:val="single" w:color="auto" w:sz="4" w:space="0"/>
              <w:left w:val="single" w:color="auto" w:sz="4" w:space="0"/>
              <w:bottom w:val="single" w:color="auto" w:sz="4" w:space="0"/>
              <w:right w:val="single" w:color="auto" w:sz="4" w:space="0"/>
            </w:tcBorders>
            <w:vAlign w:val="center"/>
          </w:tcPr>
          <w:p w14:paraId="3A7AF860">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经过有效性和符合性审核合格的单位，对付款、工期、验收、维保服务等方面进行响应，完全响应且逐项详细说明的得3-5分；有详细响应但响应内容不够详尽、完善得1-3分。</w:t>
            </w:r>
          </w:p>
        </w:tc>
        <w:tc>
          <w:tcPr>
            <w:tcW w:w="790" w:type="dxa"/>
            <w:tcBorders>
              <w:top w:val="single" w:color="auto" w:sz="4" w:space="0"/>
              <w:left w:val="single" w:color="auto" w:sz="4" w:space="0"/>
              <w:bottom w:val="single" w:color="auto" w:sz="4" w:space="0"/>
              <w:right w:val="single" w:color="auto" w:sz="4" w:space="0"/>
            </w:tcBorders>
            <w:vAlign w:val="center"/>
          </w:tcPr>
          <w:p w14:paraId="1A974522">
            <w:pPr>
              <w:spacing w:line="360" w:lineRule="auto"/>
              <w:jc w:val="center"/>
              <w:rPr>
                <w:rFonts w:ascii="宋体" w:hAnsi="宋体" w:eastAsia="宋体" w:cs="宋体"/>
                <w:color w:val="auto"/>
                <w:sz w:val="24"/>
                <w:szCs w:val="24"/>
              </w:rPr>
            </w:pPr>
            <w:r>
              <w:rPr>
                <w:rFonts w:hint="eastAsia" w:ascii="宋体" w:hAnsi="宋体" w:eastAsia="宋体" w:cs="宋体"/>
                <w:color w:val="auto"/>
                <w:spacing w:val="6"/>
                <w:sz w:val="24"/>
                <w:szCs w:val="24"/>
              </w:rPr>
              <w:t>5</w:t>
            </w:r>
          </w:p>
        </w:tc>
      </w:tr>
      <w:tr w14:paraId="7D0A6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vMerge w:val="restart"/>
            <w:tcBorders>
              <w:top w:val="single" w:color="auto" w:sz="4" w:space="0"/>
              <w:left w:val="single" w:color="auto" w:sz="4" w:space="0"/>
              <w:right w:val="single" w:color="auto" w:sz="4" w:space="0"/>
            </w:tcBorders>
            <w:vAlign w:val="center"/>
          </w:tcPr>
          <w:p w14:paraId="1E84224D">
            <w:pPr>
              <w:pStyle w:val="14"/>
              <w:ind w:left="0" w:leftChars="0" w:firstLine="0" w:firstLineChars="0"/>
              <w:rPr>
                <w:rFonts w:ascii="宋体" w:hAnsi="宋体" w:eastAsia="宋体" w:cs="宋体"/>
                <w:b/>
                <w:bCs/>
                <w:color w:val="auto"/>
                <w:sz w:val="24"/>
                <w:szCs w:val="24"/>
              </w:rPr>
            </w:pPr>
          </w:p>
          <w:p w14:paraId="4E24B100">
            <w:pPr>
              <w:pStyle w:val="14"/>
              <w:ind w:left="0" w:leftChars="0" w:firstLine="0" w:firstLineChars="0"/>
              <w:rPr>
                <w:rFonts w:ascii="宋体" w:hAnsi="宋体" w:eastAsia="宋体" w:cs="宋体"/>
                <w:b/>
                <w:bCs/>
                <w:color w:val="auto"/>
                <w:sz w:val="24"/>
                <w:szCs w:val="24"/>
              </w:rPr>
            </w:pPr>
          </w:p>
          <w:p w14:paraId="70A71C59">
            <w:pPr>
              <w:pStyle w:val="14"/>
              <w:ind w:left="0" w:leftChars="0" w:firstLine="0" w:firstLineChars="0"/>
              <w:rPr>
                <w:rFonts w:ascii="宋体" w:hAnsi="宋体" w:eastAsia="宋体" w:cs="宋体"/>
                <w:b/>
                <w:bCs/>
                <w:color w:val="auto"/>
                <w:sz w:val="24"/>
                <w:szCs w:val="24"/>
              </w:rPr>
            </w:pPr>
          </w:p>
          <w:p w14:paraId="55F769E2">
            <w:pPr>
              <w:pStyle w:val="14"/>
              <w:ind w:left="0" w:leftChars="0" w:firstLine="0" w:firstLineChars="0"/>
              <w:rPr>
                <w:rFonts w:ascii="宋体" w:hAnsi="宋体" w:eastAsia="宋体" w:cs="宋体"/>
                <w:b/>
                <w:bCs/>
                <w:color w:val="auto"/>
                <w:sz w:val="24"/>
                <w:szCs w:val="24"/>
              </w:rPr>
            </w:pPr>
          </w:p>
          <w:p w14:paraId="0FA5DE25">
            <w:pPr>
              <w:pStyle w:val="14"/>
              <w:ind w:left="0" w:leftChars="0" w:firstLine="0" w:firstLineChars="0"/>
              <w:rPr>
                <w:rFonts w:ascii="宋体" w:hAnsi="宋体" w:eastAsia="宋体" w:cs="宋体"/>
                <w:b/>
                <w:bCs/>
                <w:color w:val="auto"/>
                <w:sz w:val="24"/>
                <w:szCs w:val="24"/>
              </w:rPr>
            </w:pPr>
          </w:p>
          <w:p w14:paraId="6947D927">
            <w:pPr>
              <w:pStyle w:val="14"/>
              <w:ind w:left="2255" w:hanging="1205"/>
              <w:rPr>
                <w:rFonts w:ascii="宋体" w:hAnsi="宋体" w:eastAsia="宋体" w:cs="宋体"/>
                <w:b/>
                <w:bCs/>
                <w:color w:val="auto"/>
                <w:sz w:val="24"/>
                <w:szCs w:val="24"/>
              </w:rPr>
            </w:pPr>
          </w:p>
          <w:p w14:paraId="0462915A">
            <w:pPr>
              <w:spacing w:line="360" w:lineRule="auto"/>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供货方案</w:t>
            </w:r>
          </w:p>
          <w:p w14:paraId="546ED78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61</w:t>
            </w:r>
            <w:r>
              <w:rPr>
                <w:rFonts w:hint="eastAsia" w:ascii="宋体" w:hAnsi="宋体" w:eastAsia="宋体" w:cs="宋体"/>
                <w:b/>
                <w:bCs/>
                <w:color w:val="auto"/>
                <w:sz w:val="24"/>
                <w:szCs w:val="24"/>
              </w:rPr>
              <w:t>分）</w:t>
            </w:r>
          </w:p>
        </w:tc>
        <w:tc>
          <w:tcPr>
            <w:tcW w:w="7364" w:type="dxa"/>
            <w:tcBorders>
              <w:top w:val="single" w:color="auto" w:sz="4" w:space="0"/>
              <w:left w:val="single" w:color="auto" w:sz="4" w:space="0"/>
              <w:right w:val="single" w:color="auto" w:sz="4" w:space="0"/>
            </w:tcBorders>
          </w:tcPr>
          <w:p w14:paraId="3B501C5B">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1、总体供货方案（满分10分）：针对本项目制定规范化的总体供货方案：方案细致完整、描述条理清晰，内容齐全，有较高的针对性得[7-10 分]；方案较完整，可基本实现及满足采购要求得[4-</w:t>
            </w:r>
            <w:r>
              <w:rPr>
                <w:rFonts w:hint="eastAsia" w:ascii="宋体" w:hAnsi="宋体" w:eastAsia="宋体" w:cs="宋体"/>
                <w:bCs/>
                <w:color w:val="auto"/>
                <w:spacing w:val="-2"/>
                <w:sz w:val="24"/>
                <w:szCs w:val="24"/>
                <w:lang w:val="en-US" w:eastAsia="zh-CN"/>
              </w:rPr>
              <w:t>7</w:t>
            </w:r>
            <w:r>
              <w:rPr>
                <w:rFonts w:hint="eastAsia" w:ascii="宋体" w:hAnsi="宋体" w:eastAsia="宋体" w:cs="宋体"/>
                <w:bCs/>
                <w:color w:val="auto"/>
                <w:spacing w:val="-2"/>
                <w:sz w:val="24"/>
                <w:szCs w:val="24"/>
                <w:lang w:eastAsia="zh-CN"/>
              </w:rPr>
              <w:t>分]；方案较完善，可行性差，针对性不强得[0-</w:t>
            </w:r>
            <w:r>
              <w:rPr>
                <w:rFonts w:hint="eastAsia" w:ascii="宋体" w:hAnsi="宋体" w:eastAsia="宋体" w:cs="宋体"/>
                <w:bCs/>
                <w:color w:val="auto"/>
                <w:spacing w:val="-2"/>
                <w:sz w:val="24"/>
                <w:szCs w:val="24"/>
                <w:lang w:val="en-US" w:eastAsia="zh-CN"/>
              </w:rPr>
              <w:t>4</w:t>
            </w:r>
            <w:r>
              <w:rPr>
                <w:rFonts w:hint="eastAsia" w:ascii="宋体" w:hAnsi="宋体" w:eastAsia="宋体" w:cs="宋体"/>
                <w:bCs/>
                <w:color w:val="auto"/>
                <w:spacing w:val="-2"/>
                <w:sz w:val="24"/>
                <w:szCs w:val="24"/>
                <w:lang w:eastAsia="zh-CN"/>
              </w:rPr>
              <w:t>分]。</w:t>
            </w:r>
          </w:p>
        </w:tc>
        <w:tc>
          <w:tcPr>
            <w:tcW w:w="790" w:type="dxa"/>
            <w:tcBorders>
              <w:top w:val="single" w:color="auto" w:sz="4" w:space="0"/>
              <w:left w:val="single" w:color="auto" w:sz="4" w:space="0"/>
              <w:right w:val="single" w:color="auto" w:sz="4" w:space="0"/>
            </w:tcBorders>
            <w:vAlign w:val="center"/>
          </w:tcPr>
          <w:p w14:paraId="0B5CAAA0">
            <w:pPr>
              <w:spacing w:line="360" w:lineRule="auto"/>
              <w:jc w:val="center"/>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10</w:t>
            </w:r>
          </w:p>
        </w:tc>
      </w:tr>
      <w:tr w14:paraId="21B13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vMerge w:val="continue"/>
            <w:tcBorders>
              <w:left w:val="single" w:color="auto" w:sz="4" w:space="0"/>
              <w:right w:val="single" w:color="auto" w:sz="4" w:space="0"/>
            </w:tcBorders>
            <w:vAlign w:val="center"/>
          </w:tcPr>
          <w:p w14:paraId="14347AF3">
            <w:pPr>
              <w:spacing w:line="360" w:lineRule="auto"/>
              <w:jc w:val="center"/>
              <w:rPr>
                <w:rFonts w:ascii="宋体" w:hAnsi="宋体" w:eastAsia="宋体" w:cs="宋体"/>
                <w:b/>
                <w:bCs/>
                <w:color w:val="auto"/>
                <w:sz w:val="24"/>
                <w:szCs w:val="24"/>
              </w:rPr>
            </w:pPr>
          </w:p>
        </w:tc>
        <w:tc>
          <w:tcPr>
            <w:tcW w:w="7364" w:type="dxa"/>
            <w:tcBorders>
              <w:top w:val="single" w:color="auto" w:sz="4" w:space="0"/>
              <w:left w:val="single" w:color="auto" w:sz="4" w:space="0"/>
              <w:right w:val="single" w:color="auto" w:sz="4" w:space="0"/>
            </w:tcBorders>
            <w:vAlign w:val="center"/>
          </w:tcPr>
          <w:p w14:paraId="3C5D6CC2">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color w:val="auto"/>
                <w:sz w:val="24"/>
                <w:szCs w:val="24"/>
                <w:lang w:eastAsia="zh-CN"/>
              </w:rPr>
              <w:t>2、技术参数方案（满分1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分）：</w:t>
            </w:r>
            <w:r>
              <w:rPr>
                <w:rFonts w:ascii="宋体" w:hAnsi="宋体" w:eastAsia="宋体" w:cs="宋体"/>
                <w:color w:val="auto"/>
                <w:sz w:val="24"/>
                <w:szCs w:val="24"/>
                <w:lang w:eastAsia="zh-CN"/>
              </w:rPr>
              <w:t>供应商提供所投产品主要技术指标、参数、性能及产品检测报告、产品彩页、产品参数响应表等内容，磋商小组根据响应情况进行赋分 产品参数及证明材料详细，完全满足或优于磋商文件及采购人要求</w:t>
            </w:r>
            <w:r>
              <w:rPr>
                <w:rFonts w:hint="eastAsia" w:ascii="宋体" w:hAnsi="宋体" w:eastAsia="宋体" w:cs="宋体"/>
                <w:color w:val="auto"/>
                <w:sz w:val="24"/>
                <w:szCs w:val="24"/>
                <w:lang w:eastAsia="zh-CN"/>
              </w:rPr>
              <w:t>得</w:t>
            </w:r>
            <w:r>
              <w:rPr>
                <w:rFonts w:ascii="宋体" w:hAnsi="宋体" w:eastAsia="宋体" w:cs="宋体"/>
                <w:color w:val="auto"/>
                <w:sz w:val="24"/>
                <w:szCs w:val="24"/>
                <w:lang w:eastAsia="zh-CN"/>
              </w:rPr>
              <w:t xml:space="preserve"> </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7</w:t>
            </w:r>
            <w:r>
              <w:rPr>
                <w:rFonts w:hint="eastAsia" w:ascii="宋体" w:hAnsi="宋体" w:eastAsia="宋体" w:cs="宋体"/>
                <w:bCs/>
                <w:color w:val="auto"/>
                <w:spacing w:val="-2"/>
                <w:sz w:val="24"/>
                <w:szCs w:val="24"/>
                <w:lang w:eastAsia="zh-CN"/>
              </w:rPr>
              <w:t>-1</w:t>
            </w:r>
            <w:r>
              <w:rPr>
                <w:rFonts w:hint="eastAsia" w:ascii="宋体" w:hAnsi="宋体" w:eastAsia="宋体" w:cs="宋体"/>
                <w:bCs/>
                <w:color w:val="auto"/>
                <w:spacing w:val="-2"/>
                <w:sz w:val="24"/>
                <w:szCs w:val="24"/>
                <w:lang w:val="en-US" w:eastAsia="zh-CN"/>
              </w:rPr>
              <w:t>0</w:t>
            </w:r>
            <w:r>
              <w:rPr>
                <w:rFonts w:hint="eastAsia" w:ascii="宋体" w:hAnsi="宋体" w:eastAsia="宋体" w:cs="宋体"/>
                <w:bCs/>
                <w:color w:val="auto"/>
                <w:spacing w:val="-2"/>
                <w:sz w:val="24"/>
                <w:szCs w:val="24"/>
                <w:lang w:eastAsia="zh-CN"/>
              </w:rPr>
              <w:t>分]</w:t>
            </w:r>
            <w:r>
              <w:rPr>
                <w:rFonts w:ascii="宋体" w:hAnsi="宋体" w:eastAsia="宋体" w:cs="宋体"/>
                <w:color w:val="auto"/>
                <w:sz w:val="24"/>
                <w:szCs w:val="24"/>
                <w:lang w:eastAsia="zh-CN"/>
              </w:rPr>
              <w:t>； 产品参数基本满足要求，但证明材料不齐全</w:t>
            </w:r>
            <w:r>
              <w:rPr>
                <w:rFonts w:hint="eastAsia" w:ascii="宋体" w:hAnsi="宋体" w:eastAsia="宋体" w:cs="宋体"/>
                <w:color w:val="auto"/>
                <w:sz w:val="24"/>
                <w:szCs w:val="24"/>
                <w:lang w:eastAsia="zh-CN"/>
              </w:rPr>
              <w:t>得</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4</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7</w:t>
            </w:r>
            <w:r>
              <w:rPr>
                <w:rFonts w:hint="eastAsia" w:ascii="宋体" w:hAnsi="宋体" w:eastAsia="宋体" w:cs="宋体"/>
                <w:bCs/>
                <w:color w:val="auto"/>
                <w:spacing w:val="-2"/>
                <w:sz w:val="24"/>
                <w:szCs w:val="24"/>
                <w:lang w:eastAsia="zh-CN"/>
              </w:rPr>
              <w:t>分]；</w:t>
            </w:r>
            <w:r>
              <w:rPr>
                <w:rFonts w:ascii="宋体" w:hAnsi="宋体" w:eastAsia="宋体" w:cs="宋体"/>
                <w:color w:val="auto"/>
                <w:sz w:val="24"/>
                <w:szCs w:val="24"/>
                <w:lang w:eastAsia="zh-CN"/>
              </w:rPr>
              <w:t>产品参数负偏离较多，证明材料少</w:t>
            </w:r>
            <w:r>
              <w:rPr>
                <w:rFonts w:hint="eastAsia" w:ascii="宋体" w:hAnsi="宋体" w:eastAsia="宋体" w:cs="宋体"/>
                <w:color w:val="auto"/>
                <w:sz w:val="24"/>
                <w:szCs w:val="24"/>
                <w:lang w:eastAsia="zh-CN"/>
              </w:rPr>
              <w:t>得</w:t>
            </w:r>
            <w:r>
              <w:rPr>
                <w:rFonts w:hint="eastAsia" w:ascii="宋体" w:hAnsi="宋体" w:eastAsia="宋体" w:cs="宋体"/>
                <w:bCs/>
                <w:color w:val="auto"/>
                <w:spacing w:val="-2"/>
                <w:sz w:val="24"/>
                <w:szCs w:val="24"/>
                <w:lang w:eastAsia="zh-CN"/>
              </w:rPr>
              <w:t>[0-</w:t>
            </w:r>
            <w:r>
              <w:rPr>
                <w:rFonts w:hint="eastAsia" w:ascii="宋体" w:hAnsi="宋体" w:eastAsia="宋体" w:cs="宋体"/>
                <w:bCs/>
                <w:color w:val="auto"/>
                <w:spacing w:val="-2"/>
                <w:sz w:val="24"/>
                <w:szCs w:val="24"/>
                <w:lang w:val="en-US" w:eastAsia="zh-CN"/>
              </w:rPr>
              <w:t>4</w:t>
            </w:r>
            <w:r>
              <w:rPr>
                <w:rFonts w:hint="eastAsia" w:ascii="宋体" w:hAnsi="宋体" w:eastAsia="宋体" w:cs="宋体"/>
                <w:bCs/>
                <w:color w:val="auto"/>
                <w:spacing w:val="-2"/>
                <w:sz w:val="24"/>
                <w:szCs w:val="24"/>
                <w:lang w:eastAsia="zh-CN"/>
              </w:rPr>
              <w:t>分]</w:t>
            </w:r>
            <w:r>
              <w:rPr>
                <w:rFonts w:ascii="宋体" w:hAnsi="宋体" w:eastAsia="宋体" w:cs="宋体"/>
                <w:color w:val="auto"/>
                <w:sz w:val="24"/>
                <w:szCs w:val="24"/>
                <w:lang w:eastAsia="zh-CN"/>
              </w:rPr>
              <w:t>。</w:t>
            </w:r>
          </w:p>
        </w:tc>
        <w:tc>
          <w:tcPr>
            <w:tcW w:w="790" w:type="dxa"/>
            <w:tcBorders>
              <w:top w:val="single" w:color="auto" w:sz="4" w:space="0"/>
              <w:left w:val="single" w:color="auto" w:sz="4" w:space="0"/>
              <w:right w:val="single" w:color="auto" w:sz="4" w:space="0"/>
            </w:tcBorders>
            <w:vAlign w:val="center"/>
          </w:tcPr>
          <w:p w14:paraId="672215F5">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0</w:t>
            </w:r>
          </w:p>
        </w:tc>
      </w:tr>
      <w:tr w14:paraId="1BC6B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2154" w:type="dxa"/>
            <w:vMerge w:val="continue"/>
            <w:tcBorders>
              <w:left w:val="single" w:color="auto" w:sz="4" w:space="0"/>
              <w:right w:val="single" w:color="auto" w:sz="4" w:space="0"/>
            </w:tcBorders>
            <w:vAlign w:val="center"/>
          </w:tcPr>
          <w:p w14:paraId="2775AA43">
            <w:pPr>
              <w:spacing w:line="360" w:lineRule="auto"/>
              <w:jc w:val="center"/>
              <w:rPr>
                <w:rFonts w:ascii="宋体" w:hAnsi="宋体" w:eastAsia="宋体" w:cs="宋体"/>
                <w:b/>
                <w:bCs/>
                <w:color w:val="auto"/>
                <w:sz w:val="24"/>
                <w:szCs w:val="24"/>
              </w:rPr>
            </w:pPr>
          </w:p>
        </w:tc>
        <w:tc>
          <w:tcPr>
            <w:tcW w:w="7364" w:type="dxa"/>
            <w:tcBorders>
              <w:top w:val="single" w:color="auto" w:sz="4" w:space="0"/>
              <w:left w:val="single" w:color="auto" w:sz="4" w:space="0"/>
              <w:right w:val="single" w:color="auto" w:sz="4" w:space="0"/>
            </w:tcBorders>
            <w:vAlign w:val="center"/>
          </w:tcPr>
          <w:p w14:paraId="68118B81">
            <w:pPr>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3、</w:t>
            </w:r>
            <w:r>
              <w:rPr>
                <w:rFonts w:hint="eastAsia" w:ascii="宋体" w:hAnsi="宋体" w:eastAsia="宋体" w:cs="宋体"/>
                <w:color w:val="auto"/>
                <w:sz w:val="24"/>
                <w:szCs w:val="24"/>
                <w:lang w:eastAsia="zh-CN" w:bidi="ar"/>
              </w:rPr>
              <w:t>履约及技术保障能力（满分14分）：提供主要产品生产厂家对所投产品的合法的来源渠道证明文件、质保证明（包括但不限于销售协议、代理协议、原厂授权、原厂售后服务承诺、符合2024年陕西省职业院校技能大赛中职组人工智能技术应用赛项技术要求等资料）</w:t>
            </w:r>
            <w:r>
              <w:rPr>
                <w:rFonts w:ascii="宋体" w:hAnsi="宋体" w:eastAsia="宋体" w:cs="宋体"/>
                <w:color w:val="auto"/>
                <w:sz w:val="24"/>
                <w:szCs w:val="24"/>
                <w:lang w:eastAsia="zh-CN"/>
              </w:rPr>
              <w:t>。证明材料齐全，表述明确、充分得</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9</w:t>
            </w:r>
            <w:r>
              <w:rPr>
                <w:rFonts w:hint="eastAsia" w:ascii="宋体" w:hAnsi="宋体" w:eastAsia="宋体" w:cs="宋体"/>
                <w:bCs/>
                <w:color w:val="auto"/>
                <w:spacing w:val="-2"/>
                <w:sz w:val="24"/>
                <w:szCs w:val="24"/>
                <w:lang w:eastAsia="zh-CN"/>
              </w:rPr>
              <w:t>-14分]</w:t>
            </w:r>
            <w:r>
              <w:rPr>
                <w:rFonts w:ascii="宋体" w:hAnsi="宋体" w:eastAsia="宋体" w:cs="宋体"/>
                <w:color w:val="auto"/>
                <w:sz w:val="24"/>
                <w:szCs w:val="24"/>
                <w:lang w:eastAsia="zh-CN"/>
              </w:rPr>
              <w:t xml:space="preserve"> ; 证明材料较为齐全，表述较为明确、充分得</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4</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9</w:t>
            </w:r>
            <w:r>
              <w:rPr>
                <w:rFonts w:hint="eastAsia" w:ascii="宋体" w:hAnsi="宋体" w:eastAsia="宋体" w:cs="宋体"/>
                <w:bCs/>
                <w:color w:val="auto"/>
                <w:spacing w:val="-2"/>
                <w:sz w:val="24"/>
                <w:szCs w:val="24"/>
                <w:lang w:eastAsia="zh-CN"/>
              </w:rPr>
              <w:t>分]</w:t>
            </w:r>
            <w:r>
              <w:rPr>
                <w:rFonts w:ascii="宋体" w:hAnsi="宋体" w:eastAsia="宋体" w:cs="宋体"/>
                <w:color w:val="auto"/>
                <w:sz w:val="24"/>
                <w:szCs w:val="24"/>
                <w:lang w:eastAsia="zh-CN"/>
              </w:rPr>
              <w:t>; 无证明材料或证明材料较少，表述一般得</w:t>
            </w:r>
            <w:r>
              <w:rPr>
                <w:rFonts w:hint="eastAsia" w:ascii="宋体" w:hAnsi="宋体" w:eastAsia="宋体" w:cs="宋体"/>
                <w:bCs/>
                <w:color w:val="auto"/>
                <w:spacing w:val="-2"/>
                <w:sz w:val="24"/>
                <w:szCs w:val="24"/>
                <w:lang w:eastAsia="zh-CN"/>
              </w:rPr>
              <w:t>[0-</w:t>
            </w:r>
            <w:r>
              <w:rPr>
                <w:rFonts w:hint="eastAsia" w:ascii="宋体" w:hAnsi="宋体" w:eastAsia="宋体" w:cs="宋体"/>
                <w:bCs/>
                <w:color w:val="auto"/>
                <w:spacing w:val="-2"/>
                <w:sz w:val="24"/>
                <w:szCs w:val="24"/>
                <w:lang w:val="en-US" w:eastAsia="zh-CN"/>
              </w:rPr>
              <w:t>4</w:t>
            </w:r>
            <w:r>
              <w:rPr>
                <w:rFonts w:hint="eastAsia" w:ascii="宋体" w:hAnsi="宋体" w:eastAsia="宋体" w:cs="宋体"/>
                <w:bCs/>
                <w:color w:val="auto"/>
                <w:spacing w:val="-2"/>
                <w:sz w:val="24"/>
                <w:szCs w:val="24"/>
                <w:lang w:eastAsia="zh-CN"/>
              </w:rPr>
              <w:t>分]</w:t>
            </w:r>
            <w:r>
              <w:rPr>
                <w:rFonts w:ascii="宋体" w:hAnsi="宋体" w:eastAsia="宋体" w:cs="宋体"/>
                <w:color w:val="auto"/>
                <w:sz w:val="24"/>
                <w:szCs w:val="24"/>
                <w:lang w:eastAsia="zh-CN"/>
              </w:rPr>
              <w:t>。</w:t>
            </w:r>
          </w:p>
        </w:tc>
        <w:tc>
          <w:tcPr>
            <w:tcW w:w="790" w:type="dxa"/>
            <w:tcBorders>
              <w:top w:val="single" w:color="auto" w:sz="4" w:space="0"/>
              <w:left w:val="single" w:color="auto" w:sz="4" w:space="0"/>
              <w:right w:val="single" w:color="auto" w:sz="4" w:space="0"/>
            </w:tcBorders>
            <w:vAlign w:val="center"/>
          </w:tcPr>
          <w:p w14:paraId="0421B26D">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14</w:t>
            </w:r>
          </w:p>
        </w:tc>
      </w:tr>
      <w:tr w14:paraId="20397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2154" w:type="dxa"/>
            <w:vMerge w:val="continue"/>
            <w:tcBorders>
              <w:left w:val="single" w:color="auto" w:sz="4" w:space="0"/>
              <w:right w:val="single" w:color="auto" w:sz="4" w:space="0"/>
            </w:tcBorders>
            <w:vAlign w:val="center"/>
          </w:tcPr>
          <w:p w14:paraId="3223E251">
            <w:pPr>
              <w:spacing w:line="360" w:lineRule="auto"/>
              <w:jc w:val="center"/>
              <w:rPr>
                <w:rFonts w:ascii="宋体" w:hAnsi="宋体" w:eastAsia="宋体" w:cs="宋体"/>
                <w:b/>
                <w:bCs/>
                <w:color w:val="auto"/>
                <w:sz w:val="24"/>
                <w:szCs w:val="24"/>
              </w:rPr>
            </w:pPr>
          </w:p>
        </w:tc>
        <w:tc>
          <w:tcPr>
            <w:tcW w:w="7364" w:type="dxa"/>
            <w:tcBorders>
              <w:top w:val="single" w:color="auto" w:sz="4" w:space="0"/>
              <w:left w:val="single" w:color="auto" w:sz="4" w:space="0"/>
              <w:right w:val="single" w:color="auto" w:sz="4" w:space="0"/>
            </w:tcBorders>
            <w:vAlign w:val="center"/>
          </w:tcPr>
          <w:p w14:paraId="25ADFCE4">
            <w:pPr>
              <w:adjustRightInd/>
              <w:spacing w:line="360" w:lineRule="exact"/>
              <w:textAlignment w:val="auto"/>
              <w:rPr>
                <w:rFonts w:ascii="宋体" w:hAnsi="宋体" w:eastAsia="宋体" w:cs="宋体"/>
                <w:color w:val="auto"/>
                <w:sz w:val="24"/>
                <w:szCs w:val="24"/>
                <w:lang w:eastAsia="zh-CN"/>
              </w:rPr>
            </w:pPr>
            <w:r>
              <w:rPr>
                <w:rFonts w:hint="eastAsia" w:ascii="宋体" w:hAnsi="宋体" w:eastAsia="宋体" w:cs="宋体"/>
                <w:bCs/>
                <w:color w:val="auto"/>
                <w:spacing w:val="-2"/>
                <w:sz w:val="24"/>
                <w:szCs w:val="24"/>
                <w:lang w:eastAsia="zh-CN"/>
              </w:rPr>
              <w:t>4、售后方案（满分15分）</w:t>
            </w:r>
            <w:r>
              <w:rPr>
                <w:rFonts w:hint="eastAsia" w:ascii="宋体" w:hAnsi="宋体" w:eastAsia="宋体" w:cs="宋体"/>
                <w:color w:val="auto"/>
                <w:sz w:val="24"/>
                <w:szCs w:val="24"/>
                <w:lang w:eastAsia="zh-CN"/>
              </w:rPr>
              <w:t xml:space="preserve">①供应商具有专门的售后服务机构，服务响应及时，具有不少专业的售后保障团队。根据售后人员配备情况，售后服务响应等情况综合赋分，服务详细、具体得[3-5分]，服务简单、基本可行得[0-2分]。 </w:t>
            </w:r>
          </w:p>
          <w:p w14:paraId="1ECB8AE6">
            <w:pPr>
              <w:adjustRightInd/>
              <w:spacing w:line="360" w:lineRule="exact"/>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②对发生的各类安全事故有善后处理承诺，对履约期内的各类风险 </w:t>
            </w:r>
          </w:p>
          <w:p w14:paraId="019C6BC1">
            <w:pPr>
              <w:adjustRightInd/>
              <w:spacing w:line="360" w:lineRule="exact"/>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作出承诺，并具有相应的优惠、便利承诺得[3-5分]，承诺简单、基本可行得[0-2分]。 </w:t>
            </w:r>
          </w:p>
          <w:p w14:paraId="68DE888D">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color w:val="auto"/>
                <w:sz w:val="24"/>
                <w:szCs w:val="24"/>
                <w:lang w:eastAsia="zh-CN"/>
              </w:rPr>
              <w:t>③提供所投产品质量保证承诺。承诺详细、具体得[3-5分]，承诺简单、基本可行得[0-2分]。</w:t>
            </w:r>
          </w:p>
        </w:tc>
        <w:tc>
          <w:tcPr>
            <w:tcW w:w="790" w:type="dxa"/>
            <w:tcBorders>
              <w:top w:val="single" w:color="auto" w:sz="4" w:space="0"/>
              <w:left w:val="single" w:color="auto" w:sz="4" w:space="0"/>
              <w:right w:val="single" w:color="auto" w:sz="4" w:space="0"/>
            </w:tcBorders>
            <w:vAlign w:val="center"/>
          </w:tcPr>
          <w:p w14:paraId="3C298754">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15</w:t>
            </w:r>
          </w:p>
        </w:tc>
      </w:tr>
      <w:tr w14:paraId="30C3A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2154" w:type="dxa"/>
            <w:vMerge w:val="continue"/>
            <w:tcBorders>
              <w:left w:val="single" w:color="auto" w:sz="4" w:space="0"/>
              <w:right w:val="single" w:color="auto" w:sz="4" w:space="0"/>
            </w:tcBorders>
            <w:vAlign w:val="center"/>
          </w:tcPr>
          <w:p w14:paraId="583E23BB">
            <w:pPr>
              <w:spacing w:line="360" w:lineRule="auto"/>
              <w:jc w:val="center"/>
              <w:rPr>
                <w:rFonts w:ascii="宋体" w:hAnsi="宋体" w:eastAsia="宋体" w:cs="宋体"/>
                <w:b/>
                <w:bCs/>
                <w:color w:val="auto"/>
                <w:sz w:val="24"/>
                <w:szCs w:val="24"/>
              </w:rPr>
            </w:pPr>
          </w:p>
        </w:tc>
        <w:tc>
          <w:tcPr>
            <w:tcW w:w="7364" w:type="dxa"/>
            <w:tcBorders>
              <w:top w:val="single" w:color="auto" w:sz="4" w:space="0"/>
              <w:left w:val="single" w:color="auto" w:sz="4" w:space="0"/>
              <w:right w:val="single" w:color="auto" w:sz="4" w:space="0"/>
            </w:tcBorders>
            <w:vAlign w:val="center"/>
          </w:tcPr>
          <w:p w14:paraId="62ED9652">
            <w:pPr>
              <w:spacing w:line="400" w:lineRule="exact"/>
              <w:rPr>
                <w:rFonts w:ascii="宋体" w:hAnsi="宋体" w:eastAsia="宋体" w:cs="宋体"/>
                <w:bCs/>
                <w:color w:val="auto"/>
                <w:spacing w:val="-2"/>
                <w:sz w:val="24"/>
                <w:szCs w:val="24"/>
                <w:lang w:eastAsia="zh-CN"/>
              </w:rPr>
            </w:pP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应急方案及服务承诺</w:t>
            </w:r>
            <w:r>
              <w:rPr>
                <w:rFonts w:hint="eastAsia" w:ascii="宋体" w:hAnsi="宋体" w:eastAsia="宋体" w:cs="宋体"/>
                <w:color w:val="auto"/>
                <w:sz w:val="24"/>
                <w:szCs w:val="24"/>
                <w:lang w:eastAsia="zh-CN"/>
              </w:rPr>
              <w:t>（满分10分）</w:t>
            </w:r>
            <w:r>
              <w:rPr>
                <w:rFonts w:ascii="宋体" w:hAnsi="宋体" w:eastAsia="宋体" w:cs="宋体"/>
                <w:color w:val="auto"/>
                <w:sz w:val="24"/>
                <w:szCs w:val="24"/>
                <w:lang w:eastAsia="zh-CN"/>
              </w:rPr>
              <w:t>： 针对本项目特点提出产品质量保障应急方案及针对本项目提出切实可行的服务承诺。 方案详细，针对性强，服务承诺全面可行得</w:t>
            </w:r>
            <w:r>
              <w:rPr>
                <w:rFonts w:hint="eastAsia" w:ascii="宋体" w:hAnsi="宋体" w:eastAsia="宋体" w:cs="宋体"/>
                <w:bCs/>
                <w:color w:val="auto"/>
                <w:spacing w:val="-2"/>
                <w:sz w:val="24"/>
                <w:szCs w:val="24"/>
                <w:lang w:eastAsia="zh-CN"/>
              </w:rPr>
              <w:t>[7-10分]</w:t>
            </w:r>
            <w:r>
              <w:rPr>
                <w:rFonts w:ascii="宋体" w:hAnsi="宋体" w:eastAsia="宋体" w:cs="宋体"/>
                <w:color w:val="auto"/>
                <w:sz w:val="24"/>
                <w:szCs w:val="24"/>
                <w:lang w:eastAsia="zh-CN"/>
              </w:rPr>
              <w:t>；方案粗略、服务承诺一般可行得</w:t>
            </w:r>
            <w:r>
              <w:rPr>
                <w:rFonts w:hint="eastAsia" w:ascii="宋体" w:hAnsi="宋体" w:eastAsia="宋体" w:cs="宋体"/>
                <w:bCs/>
                <w:color w:val="auto"/>
                <w:spacing w:val="-2"/>
                <w:sz w:val="24"/>
                <w:szCs w:val="24"/>
                <w:lang w:eastAsia="zh-CN"/>
              </w:rPr>
              <w:t>[4-6 分]</w:t>
            </w:r>
            <w:r>
              <w:rPr>
                <w:rFonts w:ascii="宋体" w:hAnsi="宋体" w:eastAsia="宋体" w:cs="宋体"/>
                <w:color w:val="auto"/>
                <w:sz w:val="24"/>
                <w:szCs w:val="24"/>
                <w:lang w:eastAsia="zh-CN"/>
              </w:rPr>
              <w:t>；方案无针对性、服务承诺差得</w:t>
            </w:r>
            <w:r>
              <w:rPr>
                <w:rFonts w:hint="eastAsia" w:ascii="宋体" w:hAnsi="宋体" w:eastAsia="宋体" w:cs="宋体"/>
                <w:bCs/>
                <w:color w:val="auto"/>
                <w:spacing w:val="-2"/>
                <w:sz w:val="24"/>
                <w:szCs w:val="24"/>
                <w:lang w:eastAsia="zh-CN"/>
              </w:rPr>
              <w:t>[0-3分]</w:t>
            </w:r>
            <w:r>
              <w:rPr>
                <w:rFonts w:ascii="宋体" w:hAnsi="宋体" w:eastAsia="宋体" w:cs="宋体"/>
                <w:color w:val="auto"/>
                <w:sz w:val="24"/>
                <w:szCs w:val="24"/>
                <w:lang w:eastAsia="zh-CN"/>
              </w:rPr>
              <w:t>。</w:t>
            </w:r>
          </w:p>
        </w:tc>
        <w:tc>
          <w:tcPr>
            <w:tcW w:w="790" w:type="dxa"/>
            <w:tcBorders>
              <w:top w:val="single" w:color="auto" w:sz="4" w:space="0"/>
              <w:left w:val="single" w:color="auto" w:sz="4" w:space="0"/>
              <w:right w:val="single" w:color="auto" w:sz="4" w:space="0"/>
            </w:tcBorders>
            <w:vAlign w:val="center"/>
          </w:tcPr>
          <w:p w14:paraId="4FACBC60">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1F969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14:paraId="5C03FC40">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分）</w:t>
            </w:r>
          </w:p>
        </w:tc>
        <w:tc>
          <w:tcPr>
            <w:tcW w:w="7364" w:type="dxa"/>
            <w:tcBorders>
              <w:top w:val="single" w:color="auto" w:sz="4" w:space="0"/>
              <w:left w:val="single" w:color="auto" w:sz="4" w:space="0"/>
              <w:bottom w:val="single" w:color="auto" w:sz="4" w:space="0"/>
              <w:right w:val="single" w:color="auto" w:sz="4" w:space="0"/>
            </w:tcBorders>
          </w:tcPr>
          <w:p w14:paraId="1FF10422">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提供2021年至今完成过的类似项目业绩。每提供一个业绩证明得2分，最多得</w:t>
            </w:r>
            <w:r>
              <w:rPr>
                <w:rFonts w:hint="eastAsia" w:ascii="宋体" w:hAnsi="宋体" w:eastAsia="宋体" w:cs="宋体"/>
                <w:bCs/>
                <w:color w:val="auto"/>
                <w:spacing w:val="-2"/>
                <w:sz w:val="24"/>
                <w:szCs w:val="24"/>
                <w:lang w:val="en-US" w:eastAsia="zh-CN"/>
              </w:rPr>
              <w:t>6</w:t>
            </w:r>
            <w:r>
              <w:rPr>
                <w:rFonts w:hint="eastAsia" w:ascii="宋体" w:hAnsi="宋体" w:eastAsia="宋体" w:cs="宋体"/>
                <w:bCs/>
                <w:color w:val="auto"/>
                <w:spacing w:val="-2"/>
                <w:sz w:val="24"/>
                <w:szCs w:val="24"/>
                <w:lang w:eastAsia="zh-CN"/>
              </w:rPr>
              <w:t>分。</w:t>
            </w:r>
          </w:p>
          <w:p w14:paraId="7C3860DE">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注：以合同协议书或中标通知书复印件加盖公章为准。</w:t>
            </w:r>
          </w:p>
        </w:tc>
        <w:tc>
          <w:tcPr>
            <w:tcW w:w="790" w:type="dxa"/>
            <w:tcBorders>
              <w:top w:val="single" w:color="auto" w:sz="4" w:space="0"/>
              <w:left w:val="single" w:color="auto" w:sz="4" w:space="0"/>
              <w:bottom w:val="single" w:color="auto" w:sz="4" w:space="0"/>
              <w:right w:val="single" w:color="auto" w:sz="4" w:space="0"/>
            </w:tcBorders>
            <w:vAlign w:val="center"/>
          </w:tcPr>
          <w:p w14:paraId="19E920A8">
            <w:pPr>
              <w:spacing w:line="360" w:lineRule="auto"/>
              <w:jc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p>
        </w:tc>
      </w:tr>
      <w:tr w14:paraId="0E633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8" w:hRule="atLeast"/>
          <w:jc w:val="center"/>
        </w:trPr>
        <w:tc>
          <w:tcPr>
            <w:tcW w:w="2154" w:type="dxa"/>
            <w:tcBorders>
              <w:top w:val="single" w:color="auto" w:sz="4" w:space="0"/>
              <w:left w:val="single" w:color="auto" w:sz="4" w:space="0"/>
              <w:right w:val="single" w:color="auto" w:sz="4" w:space="0"/>
            </w:tcBorders>
            <w:vAlign w:val="center"/>
          </w:tcPr>
          <w:p w14:paraId="6F592407">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7364" w:type="dxa"/>
            <w:tcBorders>
              <w:top w:val="single" w:color="auto" w:sz="4" w:space="0"/>
              <w:left w:val="single" w:color="auto" w:sz="4" w:space="0"/>
              <w:bottom w:val="single" w:color="auto" w:sz="4" w:space="0"/>
              <w:right w:val="single" w:color="auto" w:sz="4" w:space="0"/>
            </w:tcBorders>
          </w:tcPr>
          <w:p w14:paraId="49C82265">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1、磋商小组各成员独立打分。</w:t>
            </w:r>
          </w:p>
          <w:p w14:paraId="1DDC4E4A">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2、评委打分超过得分界限或未按本表规定赋分时，该评委的打分作废，不计入汇总分。</w:t>
            </w:r>
          </w:p>
          <w:p w14:paraId="27B43F4E">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3、若出现综合得分并列时，比较价格得分，此分项得分高者排序在前；若价格得分仍相同，比较技术得分，此分项得分高者排序在前；若技术得分仍相同，则由全体磋商小组成员无记名投票，得票高者排序在前。</w:t>
            </w:r>
          </w:p>
          <w:p w14:paraId="48ED65AF">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4、各种计算采用插入法，数字均保留二位小数，第三位“四舍五入”。</w:t>
            </w:r>
          </w:p>
          <w:p w14:paraId="5662B5F3">
            <w:pPr>
              <w:adjustRightInd/>
              <w:spacing w:line="360" w:lineRule="exact"/>
              <w:textAlignment w:val="auto"/>
              <w:rPr>
                <w:rFonts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eastAsia="zh-CN"/>
              </w:rPr>
              <w:t>5、评标过程中，若出现特殊情况时，由磋商小组决定暂停评标，并提出具体处理意见。</w:t>
            </w:r>
          </w:p>
        </w:tc>
        <w:tc>
          <w:tcPr>
            <w:tcW w:w="790" w:type="dxa"/>
            <w:tcBorders>
              <w:top w:val="single" w:color="auto" w:sz="4" w:space="0"/>
              <w:left w:val="single" w:color="auto" w:sz="4" w:space="0"/>
              <w:bottom w:val="single" w:color="auto" w:sz="4" w:space="0"/>
              <w:right w:val="single" w:color="auto" w:sz="4" w:space="0"/>
            </w:tcBorders>
            <w:vAlign w:val="center"/>
          </w:tcPr>
          <w:p w14:paraId="23EB2124">
            <w:pPr>
              <w:spacing w:line="360" w:lineRule="auto"/>
              <w:jc w:val="center"/>
              <w:rPr>
                <w:rFonts w:ascii="宋体" w:hAnsi="宋体" w:eastAsia="宋体" w:cs="宋体"/>
                <w:bCs/>
                <w:color w:val="auto"/>
                <w:sz w:val="24"/>
                <w:szCs w:val="24"/>
                <w:lang w:eastAsia="zh-CN"/>
              </w:rPr>
            </w:pPr>
          </w:p>
        </w:tc>
      </w:tr>
    </w:tbl>
    <w:p w14:paraId="0E636A8A">
      <w:pPr>
        <w:spacing w:before="37" w:line="219" w:lineRule="auto"/>
        <w:ind w:left="592"/>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p w14:paraId="16FAF106">
      <w:pPr>
        <w:spacing w:before="37" w:line="219" w:lineRule="auto"/>
        <w:ind w:left="5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中小企业说明：</w:t>
      </w:r>
    </w:p>
    <w:p w14:paraId="33FD3232">
      <w:pPr>
        <w:widowControl w:val="0"/>
        <w:kinsoku/>
        <w:snapToGrid/>
        <w:spacing w:line="420" w:lineRule="exact"/>
        <w:ind w:firstLine="496" w:firstLineChars="200"/>
        <w:textAlignment w:val="auto"/>
        <w:rPr>
          <w:rFonts w:asciiTheme="majorEastAsia" w:hAnsiTheme="majorEastAsia" w:eastAsiaTheme="majorEastAsia" w:cstheme="majorEastAsia"/>
          <w:b/>
          <w:bCs/>
          <w:color w:val="auto"/>
          <w:sz w:val="24"/>
          <w:lang w:eastAsia="zh-CN"/>
        </w:rPr>
      </w:pPr>
      <w:r>
        <w:rPr>
          <w:rFonts w:ascii="宋体" w:hAnsi="宋体" w:eastAsia="宋体" w:cs="宋体"/>
          <w:color w:val="auto"/>
          <w:spacing w:val="4"/>
          <w:sz w:val="24"/>
          <w:szCs w:val="24"/>
          <w:lang w:eastAsia="zh-CN"/>
        </w:rPr>
        <w:t>1.</w:t>
      </w:r>
      <w:r>
        <w:rPr>
          <w:rFonts w:hint="eastAsia" w:ascii="宋体" w:hAnsi="宋体" w:eastAsia="宋体" w:cs="宋体"/>
          <w:color w:val="auto"/>
          <w:spacing w:val="4"/>
          <w:sz w:val="24"/>
          <w:szCs w:val="24"/>
          <w:lang w:eastAsia="zh-CN"/>
        </w:rPr>
        <w:t>根据《政府采购促进中小企业发展管理办法》（财库〔2020〕46 号）</w:t>
      </w:r>
      <w:r>
        <w:rPr>
          <w:rFonts w:ascii="宋体" w:hAnsi="宋体" w:eastAsia="宋体" w:cs="宋体"/>
          <w:color w:val="auto"/>
          <w:spacing w:val="4"/>
          <w:sz w:val="24"/>
          <w:szCs w:val="24"/>
          <w:lang w:eastAsia="zh-CN"/>
        </w:rPr>
        <w:t>，</w:t>
      </w:r>
      <w:r>
        <w:rPr>
          <w:rFonts w:ascii="宋体" w:hAnsi="宋体" w:eastAsia="宋体" w:cs="宋体"/>
          <w:color w:val="auto"/>
          <w:spacing w:val="3"/>
          <w:sz w:val="24"/>
          <w:szCs w:val="24"/>
          <w:lang w:eastAsia="zh-CN"/>
        </w:rPr>
        <w:t>参加</w:t>
      </w:r>
      <w:r>
        <w:rPr>
          <w:rFonts w:ascii="宋体" w:hAnsi="宋体" w:eastAsia="宋体" w:cs="宋体"/>
          <w:color w:val="auto"/>
          <w:spacing w:val="7"/>
          <w:sz w:val="24"/>
          <w:szCs w:val="24"/>
          <w:lang w:eastAsia="zh-CN"/>
        </w:rPr>
        <w:t>政府采购活动的中小企业应当提供《中小企业声明函》。投标人提供的《中小企业声明</w:t>
      </w:r>
      <w:r>
        <w:rPr>
          <w:rFonts w:ascii="宋体" w:hAnsi="宋体" w:eastAsia="宋体" w:cs="宋体"/>
          <w:color w:val="auto"/>
          <w:spacing w:val="6"/>
          <w:sz w:val="24"/>
          <w:szCs w:val="24"/>
          <w:lang w:eastAsia="zh-CN"/>
        </w:rPr>
        <w:t>函》资料必须真实，否则，按照有关规定予以处理。</w:t>
      </w:r>
      <w:r>
        <w:rPr>
          <w:rFonts w:hint="eastAsia" w:asciiTheme="majorEastAsia" w:hAnsiTheme="majorEastAsia" w:eastAsiaTheme="majorEastAsia" w:cstheme="majorEastAsia"/>
          <w:b/>
          <w:bCs/>
          <w:color w:val="auto"/>
          <w:sz w:val="24"/>
          <w:lang w:eastAsia="zh-CN"/>
        </w:rPr>
        <w:t>注：本项目为专门面向中小企业项目，专门面向中小企业采购的项目，不再执行价格评审优惠的扶持政策。本项目采购标的对应的中小企业划分标准所属行业为：其他未列明行业。</w:t>
      </w:r>
    </w:p>
    <w:p w14:paraId="137B78CA">
      <w:pPr>
        <w:widowControl w:val="0"/>
        <w:kinsoku/>
        <w:snapToGrid/>
        <w:spacing w:line="420" w:lineRule="exact"/>
        <w:ind w:firstLine="484" w:firstLineChars="200"/>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根据</w:t>
      </w:r>
      <w:r>
        <w:rPr>
          <w:rFonts w:hint="eastAsia" w:ascii="宋体" w:hAnsi="宋体" w:eastAsia="宋体" w:cs="宋体"/>
          <w:color w:val="auto"/>
          <w:spacing w:val="1"/>
          <w:sz w:val="24"/>
          <w:szCs w:val="24"/>
          <w:lang w:eastAsia="zh-CN"/>
        </w:rPr>
        <w:t>《政府采购促进中小企业发展管理办法》（财库〔2020〕46 号）</w:t>
      </w:r>
      <w:r>
        <w:rPr>
          <w:rFonts w:ascii="宋体" w:hAnsi="宋体" w:eastAsia="宋体" w:cs="宋体"/>
          <w:color w:val="auto"/>
          <w:spacing w:val="1"/>
          <w:sz w:val="24"/>
          <w:szCs w:val="24"/>
          <w:lang w:eastAsia="zh-CN"/>
        </w:rPr>
        <w:t>的规定中小企应当符合以下条件：</w:t>
      </w:r>
    </w:p>
    <w:p w14:paraId="02D5A1F2">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（1）在货物采购项目中，货物由中小企业制造，即货物由中小企业生产且使该</w:t>
      </w:r>
    </w:p>
    <w:p w14:paraId="58B27C1B">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中小企业商号或者注册商标；</w:t>
      </w:r>
    </w:p>
    <w:p w14:paraId="525004AE">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（2）在工程采购项目中，工程由中小企业承建，即工程施工单位为中小企业；</w:t>
      </w:r>
    </w:p>
    <w:p w14:paraId="62D07521">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（3）在服务采购项目中，服务由中小企业承接，即提供服务的人员为中小企业</w:t>
      </w:r>
      <w:r>
        <w:rPr>
          <w:rFonts w:hint="eastAsia" w:ascii="宋体" w:hAnsi="宋体" w:eastAsia="宋体" w:cs="宋体"/>
          <w:color w:val="auto"/>
          <w:spacing w:val="1"/>
          <w:sz w:val="24"/>
          <w:szCs w:val="24"/>
          <w:lang w:eastAsia="zh-CN"/>
        </w:rPr>
        <w:t>依</w:t>
      </w:r>
      <w:r>
        <w:rPr>
          <w:rFonts w:ascii="宋体" w:hAnsi="宋体" w:eastAsia="宋体" w:cs="宋体"/>
          <w:color w:val="auto"/>
          <w:spacing w:val="1"/>
          <w:sz w:val="24"/>
          <w:szCs w:val="24"/>
          <w:lang w:eastAsia="zh-CN"/>
        </w:rPr>
        <w:t>照《中华人民共和国劳动合同法》订立劳动合同的从业人员；</w:t>
      </w:r>
    </w:p>
    <w:p w14:paraId="722A5EBC">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（4）在货物采购项目中，供应商提供的货物既有中小企业制造货物，也有大型企</w:t>
      </w:r>
    </w:p>
    <w:p w14:paraId="5E8133C7">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业制造货物的，不享受本办法规定的中小企业扶持政策；</w:t>
      </w:r>
    </w:p>
    <w:p w14:paraId="1DAC3F46">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（5） 以联合体形式参加政府采购活动，联合体各方均为中小企业的，联合体视同</w:t>
      </w:r>
    </w:p>
    <w:p w14:paraId="74041C12">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中小企业。其中，联合体各方均为小微企业的，联合体视同小微企业。</w:t>
      </w:r>
    </w:p>
    <w:p w14:paraId="5CB5CEDB">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2.符合中小企业划分标准（中小企业划分标准是指国务院有关部门根据企业从业人 员、营业收入、资产总额等指标制定的中小企业划型标准（工信部联企业〔2011〕300</w:t>
      </w:r>
    </w:p>
    <w:p w14:paraId="45CD8C30">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号）。</w:t>
      </w:r>
    </w:p>
    <w:p w14:paraId="7987E51A">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3.采购人拟采购产品属于优先采购节能、环境标志产品范围的，应当优先采购节能、环境标志产品；拟采购产品符合政府采购强制采购政策的，实行强制采购。</w:t>
      </w:r>
    </w:p>
    <w:p w14:paraId="6D6D0436">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3.1 采购人依据节能产品、环境标志产品品目清单和节能、环境标志产品认证证书</w:t>
      </w:r>
    </w:p>
    <w:p w14:paraId="0A478FDF">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实施政府优先采购和强制采购。</w:t>
      </w:r>
    </w:p>
    <w:p w14:paraId="7667020D">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3.2 采购人拟采购的产品属于品目清单范围的，采购人及其委托的采购代理机构将</w:t>
      </w:r>
    </w:p>
    <w:p w14:paraId="68C694B9">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依据国家确定的认证机构出具的、处于有效期之内的节能、环境标志产品认证证书，对</w:t>
      </w:r>
    </w:p>
    <w:p w14:paraId="25445B8B">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获得证书的产品实施政府优先采购或强制采购。</w:t>
      </w:r>
    </w:p>
    <w:p w14:paraId="4A78B145">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4.监狱企业参加政府采购活动时，应当提供由省级以上监狱管理局、戒毒管理局(含 新疆生产建设兵团)出具的属于监狱企业的证明文件。监狱企业参加政府采购活动，</w:t>
      </w:r>
    </w:p>
    <w:p w14:paraId="133592BD">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视同小型、微型企业。</w:t>
      </w:r>
    </w:p>
    <w:p w14:paraId="094B1B01">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5.符合条件的残疾人福利性单位在参加政府采购活动时，应当提供本通知规定的 《残疾人福利性单位声明函》，并对声明的真实性负责。残疾人福利性单位参加政府采 购活动时，视同小型、微型企业；残疾人福利性单位属于小型、微型企业的，不重复享</w:t>
      </w:r>
    </w:p>
    <w:p w14:paraId="2157ADA3">
      <w:pPr>
        <w:spacing w:before="114" w:line="360" w:lineRule="auto"/>
        <w:ind w:right="7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受政策。</w:t>
      </w:r>
    </w:p>
    <w:p w14:paraId="3BAD0980">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20.磋商小组应当根据综合评分情况，按照评审得分由高到低顺序推荐 3 名以上成交候 选供应商，并编写评审报告报采购人。评审得分相同的，按照最终报价由低到高的顺序推荐。评审得分且最终报价相同的，按照磋商方案优劣顺序推荐。</w:t>
      </w:r>
    </w:p>
    <w:p w14:paraId="785251AF">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21. 确定成交单位</w:t>
      </w:r>
    </w:p>
    <w:p w14:paraId="09148CC8">
      <w:pPr>
        <w:spacing w:before="114" w:line="360" w:lineRule="auto"/>
        <w:ind w:left="124" w:right="72" w:firstLine="47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采购人按照磋商小组推荐的成交候选人排名顺序确定成交单位。采购代理机构将成交结果通知所有未成交的供应商。</w:t>
      </w:r>
    </w:p>
    <w:p w14:paraId="74697ED7">
      <w:pPr>
        <w:spacing w:before="196" w:line="221" w:lineRule="auto"/>
        <w:ind w:left="39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五、授予合同</w:t>
      </w:r>
    </w:p>
    <w:p w14:paraId="0E33E210">
      <w:pPr>
        <w:pStyle w:val="9"/>
        <w:spacing w:line="333" w:lineRule="auto"/>
        <w:rPr>
          <w:color w:val="auto"/>
          <w:lang w:eastAsia="zh-CN"/>
        </w:rPr>
      </w:pPr>
    </w:p>
    <w:p w14:paraId="77743F46">
      <w:pPr>
        <w:spacing w:before="78" w:line="219"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22．成交通知书</w:t>
      </w:r>
    </w:p>
    <w:p w14:paraId="41AC5ADD">
      <w:pPr>
        <w:spacing w:before="184" w:line="468" w:lineRule="exact"/>
        <w:ind w:right="2"/>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22.1 采购代理机构在收到采购人的成交定标复函后，按规定时间向成交供应商</w:t>
      </w:r>
      <w:r>
        <w:rPr>
          <w:rFonts w:ascii="宋体" w:hAnsi="宋体" w:eastAsia="宋体" w:cs="宋体"/>
          <w:color w:val="auto"/>
          <w:spacing w:val="-3"/>
          <w:position w:val="17"/>
          <w:sz w:val="24"/>
          <w:szCs w:val="24"/>
          <w:lang w:eastAsia="zh-CN"/>
        </w:rPr>
        <w:t>发出成</w:t>
      </w:r>
    </w:p>
    <w:p w14:paraId="0C26A2A3">
      <w:pPr>
        <w:spacing w:line="218" w:lineRule="auto"/>
        <w:ind w:left="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交通知书。</w:t>
      </w:r>
    </w:p>
    <w:p w14:paraId="4139EC3B">
      <w:pPr>
        <w:spacing w:before="184" w:line="468" w:lineRule="exact"/>
        <w:ind w:left="484"/>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22.2 成交通知书是合同的组成部分。</w:t>
      </w:r>
    </w:p>
    <w:p w14:paraId="662862EE">
      <w:pPr>
        <w:spacing w:before="184" w:line="221" w:lineRule="auto"/>
        <w:ind w:left="484"/>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w:t>
      </w:r>
      <w:r>
        <w:rPr>
          <w:rFonts w:ascii="宋体" w:hAnsi="宋体" w:eastAsia="宋体" w:cs="宋体"/>
          <w:color w:val="auto"/>
          <w:spacing w:val="-2"/>
          <w:sz w:val="24"/>
          <w:szCs w:val="24"/>
          <w:lang w:eastAsia="zh-CN"/>
        </w:rPr>
        <w:t>．签订合同</w:t>
      </w:r>
    </w:p>
    <w:p w14:paraId="366839F3">
      <w:pPr>
        <w:spacing w:before="180" w:line="219" w:lineRule="auto"/>
        <w:ind w:left="484"/>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w:t>
      </w:r>
      <w:r>
        <w:rPr>
          <w:rFonts w:ascii="宋体" w:hAnsi="宋体" w:eastAsia="宋体" w:cs="宋体"/>
          <w:color w:val="auto"/>
          <w:spacing w:val="-2"/>
          <w:sz w:val="24"/>
          <w:szCs w:val="24"/>
          <w:lang w:eastAsia="zh-CN"/>
        </w:rPr>
        <w:t>.1 成交人应在采购代理机构发出《成交通知书》后</w:t>
      </w:r>
      <w:r>
        <w:rPr>
          <w:rFonts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25</w:t>
      </w:r>
      <w:r>
        <w:rPr>
          <w:rFonts w:ascii="宋体" w:hAnsi="宋体" w:eastAsia="宋体" w:cs="宋体"/>
          <w:color w:val="auto"/>
          <w:spacing w:val="-2"/>
          <w:sz w:val="24"/>
          <w:szCs w:val="24"/>
          <w:lang w:eastAsia="zh-CN"/>
        </w:rPr>
        <w:t>日内到采购人</w:t>
      </w:r>
      <w:r>
        <w:rPr>
          <w:rFonts w:ascii="宋体" w:hAnsi="宋体" w:eastAsia="宋体" w:cs="宋体"/>
          <w:color w:val="auto"/>
          <w:spacing w:val="-3"/>
          <w:sz w:val="24"/>
          <w:szCs w:val="24"/>
          <w:lang w:eastAsia="zh-CN"/>
        </w:rPr>
        <w:t>处签订合同。</w:t>
      </w:r>
    </w:p>
    <w:p w14:paraId="5783F1EC">
      <w:pPr>
        <w:spacing w:before="183" w:line="360" w:lineRule="auto"/>
        <w:ind w:left="9" w:firstLine="475"/>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23</w:t>
      </w:r>
      <w:r>
        <w:rPr>
          <w:rFonts w:ascii="宋体" w:hAnsi="宋体" w:eastAsia="宋体" w:cs="宋体"/>
          <w:color w:val="auto"/>
          <w:sz w:val="24"/>
          <w:szCs w:val="24"/>
          <w:lang w:eastAsia="zh-CN"/>
        </w:rPr>
        <w:t>.2 如果成交人没有按照上述第</w:t>
      </w:r>
      <w:r>
        <w:rPr>
          <w:rFonts w:ascii="宋体" w:hAnsi="宋体" w:eastAsia="宋体" w:cs="宋体"/>
          <w:color w:val="auto"/>
          <w:spacing w:val="-35"/>
          <w:sz w:val="24"/>
          <w:szCs w:val="24"/>
          <w:lang w:eastAsia="zh-CN"/>
        </w:rPr>
        <w:t xml:space="preserve"> </w:t>
      </w:r>
      <w:r>
        <w:rPr>
          <w:rFonts w:ascii="宋体" w:hAnsi="宋体" w:eastAsia="宋体" w:cs="宋体"/>
          <w:color w:val="auto"/>
          <w:sz w:val="24"/>
          <w:szCs w:val="24"/>
          <w:lang w:eastAsia="zh-CN"/>
        </w:rPr>
        <w:t>24.1</w:t>
      </w:r>
      <w:r>
        <w:rPr>
          <w:rFonts w:ascii="宋体" w:hAnsi="宋体" w:eastAsia="宋体" w:cs="宋体"/>
          <w:color w:val="auto"/>
          <w:spacing w:val="-46"/>
          <w:sz w:val="24"/>
          <w:szCs w:val="24"/>
          <w:lang w:eastAsia="zh-CN"/>
        </w:rPr>
        <w:t xml:space="preserve"> </w:t>
      </w:r>
      <w:r>
        <w:rPr>
          <w:rFonts w:ascii="宋体" w:hAnsi="宋体" w:eastAsia="宋体" w:cs="宋体"/>
          <w:color w:val="auto"/>
          <w:sz w:val="24"/>
          <w:szCs w:val="24"/>
          <w:lang w:eastAsia="zh-CN"/>
        </w:rPr>
        <w:t xml:space="preserve">条规定执行，采购人将有充分理由取消该成交 </w:t>
      </w:r>
      <w:r>
        <w:rPr>
          <w:rFonts w:ascii="宋体" w:hAnsi="宋体" w:eastAsia="宋体" w:cs="宋体"/>
          <w:color w:val="auto"/>
          <w:spacing w:val="1"/>
          <w:sz w:val="24"/>
          <w:szCs w:val="24"/>
          <w:lang w:eastAsia="zh-CN"/>
        </w:rPr>
        <w:t>决定。在此情况下，采购人可将合同授予综合得分排序名列下一个的供应</w:t>
      </w:r>
      <w:r>
        <w:rPr>
          <w:rFonts w:ascii="宋体" w:hAnsi="宋体" w:eastAsia="宋体" w:cs="宋体"/>
          <w:color w:val="auto"/>
          <w:sz w:val="24"/>
          <w:szCs w:val="24"/>
          <w:lang w:eastAsia="zh-CN"/>
        </w:rPr>
        <w:t>商，或重新组织</w:t>
      </w:r>
    </w:p>
    <w:p w14:paraId="7BE4D1FB">
      <w:pPr>
        <w:spacing w:before="1" w:line="218" w:lineRule="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采购。</w:t>
      </w:r>
    </w:p>
    <w:p w14:paraId="145895EE">
      <w:pPr>
        <w:spacing w:before="184" w:line="220" w:lineRule="auto"/>
        <w:ind w:left="484"/>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24</w:t>
      </w:r>
      <w:r>
        <w:rPr>
          <w:rFonts w:ascii="宋体" w:hAnsi="宋体" w:eastAsia="宋体" w:cs="宋体"/>
          <w:color w:val="auto"/>
          <w:spacing w:val="-2"/>
          <w:sz w:val="24"/>
          <w:szCs w:val="24"/>
          <w:lang w:eastAsia="zh-CN"/>
        </w:rPr>
        <w:t>．拒绝商业贿赂</w:t>
      </w:r>
    </w:p>
    <w:p w14:paraId="257C75CC">
      <w:pPr>
        <w:spacing w:before="182" w:line="219" w:lineRule="auto"/>
        <w:ind w:right="2"/>
        <w:jc w:val="right"/>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供应商必须填写一份《拒绝政府采购领域商业贿赂承诺书》（格式见第五章）编制在</w:t>
      </w:r>
    </w:p>
    <w:p w14:paraId="32BFDEA3">
      <w:pPr>
        <w:spacing w:before="184" w:line="219" w:lineRule="auto"/>
        <w:ind w:left="1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响应文件中。</w:t>
      </w:r>
    </w:p>
    <w:p w14:paraId="0113052B">
      <w:pPr>
        <w:spacing w:line="219" w:lineRule="auto"/>
        <w:rPr>
          <w:rFonts w:ascii="宋体" w:hAnsi="宋体" w:eastAsia="宋体" w:cs="宋体"/>
          <w:color w:val="auto"/>
          <w:sz w:val="24"/>
          <w:szCs w:val="24"/>
          <w:lang w:eastAsia="zh-CN"/>
        </w:rPr>
        <w:sectPr>
          <w:footerReference r:id="rId4" w:type="default"/>
          <w:pgSz w:w="11906" w:h="16839"/>
          <w:pgMar w:top="1431" w:right="1245" w:bottom="1156" w:left="1255" w:header="0" w:footer="994" w:gutter="0"/>
          <w:pgNumType w:start="1"/>
          <w:cols w:space="720" w:num="1"/>
        </w:sectPr>
      </w:pPr>
    </w:p>
    <w:p w14:paraId="2238FD8D">
      <w:pPr>
        <w:spacing w:before="162" w:line="224" w:lineRule="auto"/>
        <w:ind w:left="2493"/>
        <w:rPr>
          <w:rFonts w:ascii="宋体" w:hAnsi="宋体" w:eastAsia="宋体" w:cs="宋体"/>
          <w:color w:val="auto"/>
          <w:sz w:val="31"/>
          <w:szCs w:val="31"/>
          <w:lang w:eastAsia="zh-CN"/>
        </w:rPr>
      </w:pPr>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第三章</w:t>
      </w:r>
      <w:r>
        <w:rPr>
          <w:rFonts w:ascii="宋体" w:hAnsi="宋体" w:eastAsia="宋体" w:cs="宋体"/>
          <w:color w:val="auto"/>
          <w:spacing w:val="8"/>
          <w:sz w:val="31"/>
          <w:szCs w:val="31"/>
          <w:lang w:eastAsia="zh-CN"/>
        </w:rPr>
        <w:t xml:space="preserve">   </w:t>
      </w:r>
      <w:r>
        <w:rPr>
          <w:rFonts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t>合同主要条款</w:t>
      </w:r>
    </w:p>
    <w:p w14:paraId="7F63DD9D">
      <w:pPr>
        <w:rPr>
          <w:color w:val="auto"/>
          <w:lang w:eastAsia="zh-CN"/>
        </w:rPr>
      </w:pPr>
    </w:p>
    <w:p w14:paraId="3539D69B">
      <w:pPr>
        <w:rPr>
          <w:color w:val="auto"/>
          <w:lang w:eastAsia="zh-CN"/>
        </w:rPr>
      </w:pPr>
    </w:p>
    <w:p w14:paraId="06EADAD8">
      <w:pPr>
        <w:pStyle w:val="27"/>
        <w:ind w:firstLine="480"/>
        <w:rPr>
          <w:color w:val="auto"/>
          <w:lang w:eastAsia="zh-CN"/>
        </w:rPr>
      </w:pPr>
      <w:r>
        <w:rPr>
          <w:rFonts w:hint="eastAsia"/>
          <w:color w:val="auto"/>
          <w:lang w:eastAsia="zh-CN"/>
        </w:rPr>
        <w:t>（本采购合同为非预留</w:t>
      </w:r>
      <w:r>
        <w:rPr>
          <w:color w:val="auto"/>
          <w:lang w:eastAsia="zh-CN"/>
        </w:rPr>
        <w:t>\预留份额专门面向中小企业合同）</w:t>
      </w:r>
    </w:p>
    <w:p w14:paraId="7ADA3E79">
      <w:pPr>
        <w:rPr>
          <w:color w:val="auto"/>
          <w:lang w:eastAsia="zh-CN"/>
        </w:rPr>
      </w:pPr>
    </w:p>
    <w:p w14:paraId="219B9607">
      <w:pPr>
        <w:pStyle w:val="27"/>
        <w:ind w:firstLine="480"/>
        <w:rPr>
          <w:color w:val="auto"/>
          <w:lang w:eastAsia="zh-CN"/>
        </w:rPr>
      </w:pPr>
      <w:r>
        <w:rPr>
          <w:rFonts w:hint="eastAsia"/>
          <w:color w:val="auto"/>
          <w:lang w:eastAsia="zh-CN"/>
        </w:rPr>
        <w:t>甲方（采购人）：</w:t>
      </w:r>
      <w:r>
        <w:rPr>
          <w:color w:val="auto"/>
          <w:lang w:eastAsia="zh-CN"/>
        </w:rPr>
        <w:t>_____________________________________</w:t>
      </w:r>
    </w:p>
    <w:p w14:paraId="68D75DF0">
      <w:pPr>
        <w:pStyle w:val="27"/>
        <w:ind w:firstLine="480"/>
        <w:rPr>
          <w:color w:val="auto"/>
          <w:lang w:eastAsia="zh-CN"/>
        </w:rPr>
      </w:pPr>
      <w:r>
        <w:rPr>
          <w:rFonts w:hint="eastAsia"/>
          <w:color w:val="auto"/>
          <w:lang w:eastAsia="zh-CN"/>
        </w:rPr>
        <w:t>甲方住所：</w:t>
      </w:r>
      <w:r>
        <w:rPr>
          <w:color w:val="auto"/>
          <w:lang w:eastAsia="zh-CN"/>
        </w:rPr>
        <w:t>___________________________________________</w:t>
      </w:r>
    </w:p>
    <w:p w14:paraId="293BA066">
      <w:pPr>
        <w:pStyle w:val="27"/>
        <w:ind w:firstLine="480"/>
        <w:rPr>
          <w:color w:val="auto"/>
          <w:lang w:eastAsia="zh-CN"/>
        </w:rPr>
      </w:pPr>
      <w:r>
        <w:rPr>
          <w:rFonts w:hint="eastAsia"/>
          <w:color w:val="auto"/>
          <w:lang w:eastAsia="zh-CN"/>
        </w:rPr>
        <w:t>乙方（中标供应商）：</w:t>
      </w:r>
      <w:r>
        <w:rPr>
          <w:color w:val="auto"/>
          <w:lang w:eastAsia="zh-CN"/>
        </w:rPr>
        <w:t>_________________________________</w:t>
      </w:r>
    </w:p>
    <w:p w14:paraId="6F852538">
      <w:pPr>
        <w:pStyle w:val="27"/>
        <w:ind w:firstLine="480"/>
        <w:rPr>
          <w:color w:val="auto"/>
          <w:lang w:eastAsia="zh-CN"/>
        </w:rPr>
      </w:pPr>
      <w:r>
        <w:rPr>
          <w:rFonts w:hint="eastAsia"/>
          <w:color w:val="auto"/>
          <w:lang w:eastAsia="zh-CN"/>
        </w:rPr>
        <w:t>乙方住所：</w:t>
      </w:r>
      <w:r>
        <w:rPr>
          <w:color w:val="auto"/>
          <w:lang w:eastAsia="zh-CN"/>
        </w:rPr>
        <w:t>___________________________________________</w:t>
      </w:r>
    </w:p>
    <w:p w14:paraId="61F1D013">
      <w:pPr>
        <w:rPr>
          <w:color w:val="auto"/>
          <w:lang w:eastAsia="zh-CN"/>
        </w:rPr>
      </w:pPr>
    </w:p>
    <w:p w14:paraId="14C85720">
      <w:pPr>
        <w:pStyle w:val="27"/>
        <w:ind w:firstLine="480"/>
        <w:rPr>
          <w:color w:val="auto"/>
          <w:lang w:eastAsia="zh-CN"/>
        </w:rPr>
      </w:pPr>
      <w:r>
        <w:rPr>
          <w:rFonts w:hint="eastAsia"/>
          <w:color w:val="auto"/>
          <w:lang w:eastAsia="zh-CN"/>
        </w:rPr>
        <w:t>根据《中华人民共和国政府采购法》及实施条例、《中华人民共和国民法典》和〈项目名称〉（项目编号：〈项目编号〉）的磋商文件、响应文件等有关规定，为确保甲方采购项目的顺利实施，甲、乙双方在平等自愿原则下签订本合同，并共同遵守如下条款：</w:t>
      </w:r>
    </w:p>
    <w:p w14:paraId="64C32184">
      <w:pPr>
        <w:pStyle w:val="26"/>
        <w:spacing w:before="120" w:after="120"/>
        <w:rPr>
          <w:color w:val="auto"/>
          <w:lang w:eastAsia="zh-CN"/>
        </w:rPr>
      </w:pPr>
      <w:r>
        <w:rPr>
          <w:rFonts w:hint="eastAsia"/>
          <w:color w:val="auto"/>
          <w:lang w:eastAsia="zh-CN"/>
        </w:rPr>
        <w:t>第一条</w:t>
      </w:r>
      <w:r>
        <w:rPr>
          <w:color w:val="auto"/>
          <w:lang w:eastAsia="zh-CN"/>
        </w:rPr>
        <w:t xml:space="preserve">  项目基本情况</w:t>
      </w:r>
    </w:p>
    <w:p w14:paraId="2CE9BC51">
      <w:pPr>
        <w:pStyle w:val="27"/>
        <w:ind w:firstLine="480"/>
        <w:rPr>
          <w:color w:val="auto"/>
          <w:lang w:eastAsia="zh-CN"/>
        </w:rPr>
      </w:pPr>
      <w:r>
        <w:rPr>
          <w:color w:val="auto"/>
          <w:lang w:eastAsia="zh-CN"/>
        </w:rPr>
        <w:t>1．采购标的：</w:t>
      </w:r>
    </w:p>
    <w:p w14:paraId="1DEA3077">
      <w:pPr>
        <w:pStyle w:val="27"/>
        <w:ind w:firstLine="480"/>
        <w:rPr>
          <w:color w:val="auto"/>
          <w:lang w:eastAsia="zh-CN"/>
        </w:rPr>
      </w:pPr>
      <w:r>
        <w:rPr>
          <w:color w:val="auto"/>
          <w:lang w:eastAsia="zh-CN"/>
        </w:rPr>
        <w:t>2．数量：</w:t>
      </w:r>
    </w:p>
    <w:p w14:paraId="3C52122F">
      <w:pPr>
        <w:pStyle w:val="26"/>
        <w:spacing w:before="120" w:after="120"/>
        <w:rPr>
          <w:color w:val="auto"/>
          <w:lang w:eastAsia="zh-CN"/>
        </w:rPr>
      </w:pPr>
      <w:r>
        <w:rPr>
          <w:rFonts w:hint="eastAsia"/>
          <w:color w:val="auto"/>
          <w:lang w:eastAsia="zh-CN"/>
        </w:rPr>
        <w:t>第二条</w:t>
      </w:r>
      <w:r>
        <w:rPr>
          <w:color w:val="auto"/>
          <w:lang w:eastAsia="zh-CN"/>
        </w:rPr>
        <w:t xml:space="preserve">  履约期限、地点及方式</w:t>
      </w:r>
    </w:p>
    <w:p w14:paraId="33905D75">
      <w:pPr>
        <w:pStyle w:val="27"/>
        <w:ind w:firstLine="480"/>
        <w:rPr>
          <w:color w:val="auto"/>
          <w:lang w:eastAsia="zh-CN"/>
        </w:rPr>
      </w:pPr>
      <w:r>
        <w:rPr>
          <w:color w:val="auto"/>
          <w:lang w:eastAsia="zh-CN"/>
        </w:rPr>
        <w:t>1．履约期限：自合同签订之日起___个日历日内。</w:t>
      </w:r>
    </w:p>
    <w:p w14:paraId="445E16D0">
      <w:pPr>
        <w:pStyle w:val="27"/>
        <w:ind w:firstLine="480"/>
        <w:rPr>
          <w:color w:val="auto"/>
          <w:lang w:eastAsia="zh-CN"/>
        </w:rPr>
      </w:pPr>
      <w:r>
        <w:rPr>
          <w:color w:val="auto"/>
          <w:lang w:eastAsia="zh-CN"/>
        </w:rPr>
        <w:t>2．履约地点：</w:t>
      </w:r>
    </w:p>
    <w:p w14:paraId="689E0413">
      <w:pPr>
        <w:pStyle w:val="27"/>
        <w:ind w:firstLine="480"/>
        <w:rPr>
          <w:color w:val="auto"/>
          <w:lang w:eastAsia="zh-CN"/>
        </w:rPr>
      </w:pPr>
      <w:r>
        <w:rPr>
          <w:color w:val="auto"/>
          <w:lang w:eastAsia="zh-CN"/>
        </w:rPr>
        <w:t>3．履约方式：</w:t>
      </w:r>
    </w:p>
    <w:p w14:paraId="110F36EE">
      <w:pPr>
        <w:pStyle w:val="26"/>
        <w:spacing w:before="120" w:after="120"/>
        <w:rPr>
          <w:color w:val="auto"/>
          <w:lang w:eastAsia="zh-CN"/>
        </w:rPr>
      </w:pPr>
      <w:r>
        <w:rPr>
          <w:rFonts w:hint="eastAsia"/>
          <w:color w:val="auto"/>
          <w:lang w:eastAsia="zh-CN"/>
        </w:rPr>
        <w:t>第三条</w:t>
      </w:r>
      <w:r>
        <w:rPr>
          <w:color w:val="auto"/>
          <w:lang w:eastAsia="zh-CN"/>
        </w:rPr>
        <w:t xml:space="preserve">  质量标准</w:t>
      </w:r>
    </w:p>
    <w:p w14:paraId="0FBAFCC4">
      <w:pPr>
        <w:pStyle w:val="27"/>
        <w:ind w:firstLine="480"/>
        <w:rPr>
          <w:color w:val="auto"/>
          <w:lang w:eastAsia="zh-CN"/>
        </w:rPr>
      </w:pPr>
      <w:r>
        <w:rPr>
          <w:rFonts w:hint="eastAsia"/>
          <w:color w:val="auto"/>
          <w:lang w:eastAsia="zh-CN"/>
        </w:rPr>
        <w:t>整个项目应符合国家有关行业规范和标准，包括但不限于：</w:t>
      </w:r>
    </w:p>
    <w:p w14:paraId="137F9671">
      <w:pPr>
        <w:pStyle w:val="27"/>
        <w:ind w:firstLine="480"/>
        <w:rPr>
          <w:color w:val="auto"/>
          <w:lang w:eastAsia="zh-CN"/>
        </w:rPr>
      </w:pPr>
      <w:r>
        <w:rPr>
          <w:color w:val="auto"/>
          <w:lang w:eastAsia="zh-CN"/>
        </w:rPr>
        <w:t>1．GB/T</w:t>
      </w:r>
    </w:p>
    <w:p w14:paraId="20BB191C">
      <w:pPr>
        <w:pStyle w:val="27"/>
        <w:ind w:firstLine="480"/>
        <w:rPr>
          <w:color w:val="auto"/>
          <w:lang w:eastAsia="zh-CN"/>
        </w:rPr>
      </w:pPr>
      <w:r>
        <w:rPr>
          <w:color w:val="auto"/>
          <w:lang w:eastAsia="zh-CN"/>
        </w:rPr>
        <w:t>2．……</w:t>
      </w:r>
    </w:p>
    <w:p w14:paraId="44BF1985">
      <w:pPr>
        <w:pStyle w:val="26"/>
        <w:spacing w:before="120" w:after="120"/>
        <w:rPr>
          <w:color w:val="auto"/>
          <w:lang w:eastAsia="zh-CN"/>
        </w:rPr>
      </w:pPr>
      <w:r>
        <w:rPr>
          <w:rFonts w:hint="eastAsia"/>
          <w:color w:val="auto"/>
          <w:lang w:eastAsia="zh-CN"/>
        </w:rPr>
        <w:t>第四条</w:t>
      </w:r>
      <w:r>
        <w:rPr>
          <w:color w:val="auto"/>
          <w:lang w:eastAsia="zh-CN"/>
        </w:rPr>
        <w:t xml:space="preserve">  合同价款及支付方式</w:t>
      </w:r>
    </w:p>
    <w:p w14:paraId="7242CEB1">
      <w:pPr>
        <w:pStyle w:val="27"/>
        <w:ind w:firstLine="480"/>
        <w:rPr>
          <w:color w:val="auto"/>
          <w:lang w:eastAsia="zh-CN"/>
        </w:rPr>
      </w:pPr>
      <w:r>
        <w:rPr>
          <w:color w:val="auto"/>
          <w:lang w:eastAsia="zh-CN"/>
        </w:rPr>
        <w:t>1．合同价款包括：</w:t>
      </w:r>
    </w:p>
    <w:p w14:paraId="0800522B">
      <w:pPr>
        <w:pStyle w:val="27"/>
        <w:ind w:firstLine="480"/>
        <w:rPr>
          <w:color w:val="auto"/>
          <w:lang w:eastAsia="zh-CN"/>
        </w:rPr>
      </w:pPr>
      <w:r>
        <w:rPr>
          <w:color w:val="auto"/>
          <w:lang w:eastAsia="zh-CN"/>
        </w:rPr>
        <w:t>2．支付方式：</w:t>
      </w:r>
      <w:r>
        <w:rPr>
          <w:rFonts w:hint="eastAsia"/>
          <w:color w:val="auto"/>
          <w:lang w:eastAsia="zh-CN"/>
        </w:rPr>
        <w:t>在规定供货期内完成供货并通过验收，一次性支付。</w:t>
      </w:r>
    </w:p>
    <w:p w14:paraId="0F5CE476">
      <w:pPr>
        <w:pStyle w:val="27"/>
        <w:ind w:firstLine="480"/>
        <w:rPr>
          <w:color w:val="auto"/>
          <w:lang w:eastAsia="zh-CN"/>
        </w:rPr>
      </w:pPr>
      <w:r>
        <w:rPr>
          <w:color w:val="auto"/>
          <w:lang w:eastAsia="zh-CN"/>
        </w:rPr>
        <w:t>3．结算方式：银行转账。</w:t>
      </w:r>
    </w:p>
    <w:p w14:paraId="79B5361D">
      <w:pPr>
        <w:pStyle w:val="27"/>
        <w:ind w:firstLine="480"/>
        <w:rPr>
          <w:color w:val="auto"/>
          <w:lang w:eastAsia="zh-CN"/>
        </w:rPr>
      </w:pPr>
      <w:r>
        <w:rPr>
          <w:color w:val="auto"/>
          <w:lang w:eastAsia="zh-CN"/>
        </w:rPr>
        <w:t>4．结算单位：由甲方负责结算，乙方须向甲方出具合法有效的完税发票，甲方进行支付结算。</w:t>
      </w:r>
    </w:p>
    <w:p w14:paraId="37EA0008">
      <w:pPr>
        <w:pStyle w:val="26"/>
        <w:spacing w:before="120" w:after="120"/>
        <w:rPr>
          <w:color w:val="auto"/>
          <w:lang w:eastAsia="zh-CN"/>
        </w:rPr>
      </w:pPr>
      <w:r>
        <w:rPr>
          <w:rFonts w:hint="eastAsia"/>
          <w:color w:val="auto"/>
          <w:lang w:eastAsia="zh-CN"/>
        </w:rPr>
        <w:t>第五条</w:t>
      </w:r>
      <w:r>
        <w:rPr>
          <w:color w:val="auto"/>
          <w:lang w:eastAsia="zh-CN"/>
        </w:rPr>
        <w:t xml:space="preserve">  验收标准及条件</w:t>
      </w:r>
    </w:p>
    <w:p w14:paraId="270FF25F">
      <w:pPr>
        <w:pStyle w:val="27"/>
        <w:ind w:firstLine="480"/>
        <w:rPr>
          <w:color w:val="auto"/>
          <w:lang w:eastAsia="zh-CN"/>
        </w:rPr>
      </w:pPr>
      <w:r>
        <w:rPr>
          <w:color w:val="auto"/>
          <w:lang w:eastAsia="zh-CN"/>
        </w:rPr>
        <w:t>1．初步验收：</w:t>
      </w:r>
    </w:p>
    <w:p w14:paraId="29D1FA95">
      <w:pPr>
        <w:pStyle w:val="27"/>
        <w:ind w:firstLine="480"/>
        <w:rPr>
          <w:color w:val="auto"/>
          <w:lang w:eastAsia="zh-CN"/>
        </w:rPr>
      </w:pPr>
      <w:r>
        <w:rPr>
          <w:color w:val="auto"/>
          <w:lang w:eastAsia="zh-CN"/>
        </w:rPr>
        <w:t>2．最终验收：</w:t>
      </w:r>
    </w:p>
    <w:p w14:paraId="7786F852">
      <w:pPr>
        <w:pStyle w:val="27"/>
        <w:ind w:firstLine="480"/>
        <w:rPr>
          <w:color w:val="auto"/>
          <w:lang w:eastAsia="zh-CN"/>
        </w:rPr>
      </w:pPr>
      <w:r>
        <w:rPr>
          <w:color w:val="auto"/>
          <w:lang w:eastAsia="zh-CN"/>
        </w:rPr>
        <w:t>3．验收依据：</w:t>
      </w:r>
    </w:p>
    <w:p w14:paraId="0FF16BF6">
      <w:pPr>
        <w:pStyle w:val="27"/>
        <w:ind w:firstLine="480"/>
        <w:rPr>
          <w:color w:val="auto"/>
          <w:lang w:eastAsia="zh-CN"/>
        </w:rPr>
      </w:pPr>
      <w:r>
        <w:rPr>
          <w:rFonts w:hint="eastAsia"/>
          <w:color w:val="auto"/>
          <w:lang w:eastAsia="zh-CN"/>
        </w:rPr>
        <w:t>（</w:t>
      </w:r>
      <w:r>
        <w:rPr>
          <w:color w:val="auto"/>
          <w:lang w:eastAsia="zh-CN"/>
        </w:rPr>
        <w:t>1）磋商文件、投标文件、澄清表（函）；</w:t>
      </w:r>
    </w:p>
    <w:p w14:paraId="3BC76DBF">
      <w:pPr>
        <w:pStyle w:val="27"/>
        <w:ind w:firstLine="480"/>
        <w:rPr>
          <w:color w:val="auto"/>
          <w:lang w:eastAsia="zh-CN"/>
        </w:rPr>
      </w:pPr>
      <w:r>
        <w:rPr>
          <w:rFonts w:hint="eastAsia"/>
          <w:color w:val="auto"/>
          <w:lang w:eastAsia="zh-CN"/>
        </w:rPr>
        <w:t>（</w:t>
      </w:r>
      <w:r>
        <w:rPr>
          <w:color w:val="auto"/>
          <w:lang w:eastAsia="zh-CN"/>
        </w:rPr>
        <w:t>2）本合同及附件文本；</w:t>
      </w:r>
    </w:p>
    <w:p w14:paraId="6CCA06C2">
      <w:pPr>
        <w:pStyle w:val="27"/>
        <w:ind w:firstLine="480"/>
        <w:rPr>
          <w:color w:val="auto"/>
          <w:lang w:eastAsia="zh-CN"/>
        </w:rPr>
      </w:pPr>
      <w:r>
        <w:rPr>
          <w:rFonts w:hint="eastAsia"/>
          <w:color w:val="auto"/>
          <w:lang w:eastAsia="zh-CN"/>
        </w:rPr>
        <w:t>（</w:t>
      </w:r>
      <w:r>
        <w:rPr>
          <w:color w:val="auto"/>
          <w:lang w:eastAsia="zh-CN"/>
        </w:rPr>
        <w:t>3）合同签订时国家及行业现行的标准和技术规范。</w:t>
      </w:r>
    </w:p>
    <w:p w14:paraId="1D724088">
      <w:pPr>
        <w:pStyle w:val="27"/>
        <w:ind w:firstLine="480"/>
        <w:rPr>
          <w:color w:val="auto"/>
          <w:lang w:eastAsia="zh-CN"/>
        </w:rPr>
      </w:pPr>
      <w:r>
        <w:rPr>
          <w:color w:val="auto"/>
          <w:lang w:eastAsia="zh-CN"/>
        </w:rPr>
        <w:t>4．中标供应商应向采购人提交项目实施过程中的所有资料，以便采购人日后管理和维护。</w:t>
      </w:r>
    </w:p>
    <w:p w14:paraId="43226537">
      <w:pPr>
        <w:pStyle w:val="26"/>
        <w:spacing w:before="120" w:after="120"/>
        <w:rPr>
          <w:color w:val="auto"/>
          <w:lang w:eastAsia="zh-CN"/>
        </w:rPr>
      </w:pPr>
      <w:r>
        <w:rPr>
          <w:rFonts w:hint="eastAsia"/>
          <w:color w:val="auto"/>
          <w:lang w:eastAsia="zh-CN"/>
        </w:rPr>
        <w:t>第六条</w:t>
      </w:r>
      <w:r>
        <w:rPr>
          <w:color w:val="auto"/>
          <w:lang w:eastAsia="zh-CN"/>
        </w:rPr>
        <w:t xml:space="preserve">  知识产权（若有）</w:t>
      </w:r>
    </w:p>
    <w:p w14:paraId="1991D795">
      <w:pPr>
        <w:pStyle w:val="27"/>
        <w:ind w:firstLine="480"/>
        <w:rPr>
          <w:color w:val="auto"/>
          <w:lang w:eastAsia="zh-CN"/>
        </w:rPr>
      </w:pPr>
      <w:r>
        <w:rPr>
          <w:rFonts w:hint="eastAsia"/>
          <w:color w:val="auto"/>
          <w:lang w:eastAsia="zh-CN"/>
        </w:rPr>
        <w:t>乙方应保证所提供的服务或其任何一部分均不会侵犯任何第三方的专利权、商标权或著作权。</w:t>
      </w:r>
    </w:p>
    <w:p w14:paraId="0B08387D">
      <w:pPr>
        <w:pStyle w:val="26"/>
        <w:spacing w:before="120" w:after="120"/>
        <w:rPr>
          <w:color w:val="auto"/>
          <w:lang w:eastAsia="zh-CN"/>
        </w:rPr>
      </w:pPr>
      <w:r>
        <w:rPr>
          <w:rFonts w:hint="eastAsia"/>
          <w:color w:val="auto"/>
          <w:lang w:eastAsia="zh-CN"/>
        </w:rPr>
        <w:t>第七条</w:t>
      </w:r>
      <w:r>
        <w:rPr>
          <w:color w:val="auto"/>
          <w:lang w:eastAsia="zh-CN"/>
        </w:rPr>
        <w:t xml:space="preserve">  无产权瑕疵条款（若有）</w:t>
      </w:r>
    </w:p>
    <w:p w14:paraId="556BC037">
      <w:pPr>
        <w:pStyle w:val="27"/>
        <w:ind w:firstLine="480"/>
        <w:rPr>
          <w:color w:val="auto"/>
          <w:lang w:eastAsia="zh-CN"/>
        </w:rPr>
      </w:pPr>
      <w:r>
        <w:rPr>
          <w:rFonts w:hint="eastAsia"/>
          <w:color w:val="auto"/>
          <w:lang w:eastAsia="zh-CN"/>
        </w:rPr>
        <w:t>乙方保证所提供的服务的所有权完全属于乙方且无任何抵押、查封等产权瑕疵。如有产权瑕疵的，视为乙方违约。乙方应负担由此而产生的一切损失。</w:t>
      </w:r>
    </w:p>
    <w:p w14:paraId="21B9EFA6">
      <w:pPr>
        <w:pStyle w:val="26"/>
        <w:spacing w:before="120" w:after="120"/>
        <w:rPr>
          <w:color w:val="auto"/>
          <w:lang w:eastAsia="zh-CN"/>
        </w:rPr>
      </w:pPr>
      <w:r>
        <w:rPr>
          <w:rFonts w:hint="eastAsia"/>
          <w:color w:val="auto"/>
          <w:lang w:eastAsia="zh-CN"/>
        </w:rPr>
        <w:t>第八条</w:t>
      </w:r>
      <w:r>
        <w:rPr>
          <w:color w:val="auto"/>
          <w:lang w:eastAsia="zh-CN"/>
        </w:rPr>
        <w:t xml:space="preserve">  履约保证金（若有）</w:t>
      </w:r>
    </w:p>
    <w:p w14:paraId="752B7BD5">
      <w:pPr>
        <w:pStyle w:val="27"/>
        <w:ind w:firstLine="480"/>
        <w:rPr>
          <w:color w:val="auto"/>
          <w:lang w:eastAsia="zh-CN"/>
        </w:rPr>
      </w:pPr>
      <w:r>
        <w:rPr>
          <w:color w:val="auto"/>
          <w:lang w:eastAsia="zh-CN"/>
        </w:rPr>
        <w:t>1．乙方在签订本合同之前，向甲方构提交履约保证金人民币______元，￥______。</w:t>
      </w:r>
    </w:p>
    <w:p w14:paraId="203A93FD">
      <w:pPr>
        <w:pStyle w:val="27"/>
        <w:ind w:firstLine="480"/>
        <w:rPr>
          <w:color w:val="auto"/>
          <w:lang w:eastAsia="zh-CN"/>
        </w:rPr>
      </w:pPr>
      <w:r>
        <w:rPr>
          <w:color w:val="auto"/>
          <w:lang w:eastAsia="zh-CN"/>
        </w:rPr>
        <w:t>2．履约保证金的有效期为乙方承诺的</w:t>
      </w:r>
      <w:r>
        <w:rPr>
          <w:rFonts w:hint="eastAsia"/>
          <w:color w:val="auto"/>
          <w:lang w:eastAsia="zh-CN"/>
        </w:rPr>
        <w:t>供货期</w:t>
      </w:r>
      <w:r>
        <w:rPr>
          <w:color w:val="auto"/>
          <w:lang w:eastAsia="zh-CN"/>
        </w:rPr>
        <w:t>限。</w:t>
      </w:r>
    </w:p>
    <w:p w14:paraId="024C2343">
      <w:pPr>
        <w:pStyle w:val="27"/>
        <w:ind w:firstLine="480"/>
        <w:rPr>
          <w:color w:val="auto"/>
          <w:lang w:eastAsia="zh-CN"/>
        </w:rPr>
      </w:pPr>
      <w:r>
        <w:rPr>
          <w:color w:val="auto"/>
          <w:lang w:eastAsia="zh-CN"/>
        </w:rPr>
        <w:t>3．履约保证金作为违约金的一部分及用于补偿甲方因乙方不能履行合同义务而蒙受的损失。</w:t>
      </w:r>
    </w:p>
    <w:p w14:paraId="3DF1665B">
      <w:pPr>
        <w:pStyle w:val="27"/>
        <w:ind w:firstLine="480"/>
        <w:rPr>
          <w:color w:val="auto"/>
          <w:lang w:eastAsia="zh-CN"/>
        </w:rPr>
      </w:pPr>
      <w:r>
        <w:rPr>
          <w:color w:val="auto"/>
          <w:lang w:eastAsia="zh-CN"/>
        </w:rPr>
        <w:t>4．</w:t>
      </w:r>
      <w:r>
        <w:rPr>
          <w:rFonts w:hint="eastAsia"/>
          <w:color w:val="auto"/>
          <w:lang w:eastAsia="zh-CN"/>
        </w:rPr>
        <w:t>供货期</w:t>
      </w:r>
      <w:r>
        <w:rPr>
          <w:color w:val="auto"/>
          <w:lang w:eastAsia="zh-CN"/>
        </w:rPr>
        <w:t>限结束后，甲方财务部门接到甲方确认本合同服务等约定事项已经履行完毕的正式书面文件后的___日历日内，向乙方退还履约保证金。</w:t>
      </w:r>
    </w:p>
    <w:p w14:paraId="70F0808F">
      <w:pPr>
        <w:pStyle w:val="27"/>
        <w:ind w:firstLine="480"/>
        <w:rPr>
          <w:color w:val="auto"/>
          <w:lang w:eastAsia="zh-CN"/>
        </w:rPr>
      </w:pPr>
      <w:r>
        <w:rPr>
          <w:color w:val="auto"/>
          <w:lang w:eastAsia="zh-CN"/>
        </w:rPr>
        <w:t>5．乙方可以履约担保函的形式交纳履约保证金。</w:t>
      </w:r>
    </w:p>
    <w:p w14:paraId="5580D413">
      <w:pPr>
        <w:pStyle w:val="26"/>
        <w:spacing w:before="120" w:after="120"/>
        <w:rPr>
          <w:color w:val="auto"/>
          <w:lang w:eastAsia="zh-CN"/>
        </w:rPr>
      </w:pPr>
      <w:r>
        <w:rPr>
          <w:rFonts w:hint="eastAsia"/>
          <w:color w:val="auto"/>
          <w:lang w:eastAsia="zh-CN"/>
        </w:rPr>
        <w:t>第九条</w:t>
      </w:r>
      <w:r>
        <w:rPr>
          <w:color w:val="auto"/>
          <w:lang w:eastAsia="zh-CN"/>
        </w:rPr>
        <w:t xml:space="preserve">  双方的权利和义务</w:t>
      </w:r>
    </w:p>
    <w:p w14:paraId="4A54CCEB">
      <w:pPr>
        <w:pStyle w:val="27"/>
        <w:ind w:firstLine="480"/>
        <w:rPr>
          <w:color w:val="auto"/>
          <w:lang w:eastAsia="zh-CN"/>
        </w:rPr>
      </w:pPr>
      <w:r>
        <w:rPr>
          <w:rFonts w:hint="eastAsia"/>
          <w:color w:val="auto"/>
          <w:lang w:eastAsia="zh-CN"/>
        </w:rPr>
        <w:t>（一）甲方的权利和义务</w:t>
      </w:r>
    </w:p>
    <w:p w14:paraId="3246426A">
      <w:pPr>
        <w:pStyle w:val="27"/>
        <w:ind w:firstLine="480"/>
        <w:rPr>
          <w:color w:val="auto"/>
          <w:lang w:eastAsia="zh-CN"/>
        </w:rPr>
      </w:pPr>
      <w:r>
        <w:rPr>
          <w:color w:val="auto"/>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4C6EBDB0">
      <w:pPr>
        <w:pStyle w:val="27"/>
        <w:ind w:firstLine="480"/>
        <w:rPr>
          <w:color w:val="auto"/>
          <w:lang w:eastAsia="zh-CN"/>
        </w:rPr>
      </w:pPr>
      <w:r>
        <w:rPr>
          <w:color w:val="auto"/>
          <w:lang w:eastAsia="zh-CN"/>
        </w:rPr>
        <w:t>2．甲方有权依据双方签订的考评办法对乙方提供的服务进行定期考评。</w:t>
      </w:r>
    </w:p>
    <w:p w14:paraId="4F6FF954">
      <w:pPr>
        <w:pStyle w:val="27"/>
        <w:ind w:firstLine="480"/>
        <w:rPr>
          <w:color w:val="auto"/>
          <w:lang w:eastAsia="zh-CN"/>
        </w:rPr>
      </w:pPr>
      <w:r>
        <w:rPr>
          <w:color w:val="auto"/>
          <w:lang w:eastAsia="zh-CN"/>
        </w:rPr>
        <w:t>3．负责检查监督乙方管理工作的实施及制度的执行情况。</w:t>
      </w:r>
    </w:p>
    <w:p w14:paraId="15BCF70A">
      <w:pPr>
        <w:pStyle w:val="27"/>
        <w:ind w:firstLine="480"/>
        <w:rPr>
          <w:color w:val="auto"/>
          <w:lang w:eastAsia="zh-CN"/>
        </w:rPr>
      </w:pPr>
      <w:r>
        <w:rPr>
          <w:color w:val="auto"/>
          <w:lang w:eastAsia="zh-CN"/>
        </w:rPr>
        <w:t>4．根据本合同规定，按时向乙方支付应付服务费用。</w:t>
      </w:r>
    </w:p>
    <w:p w14:paraId="0D5E0737">
      <w:pPr>
        <w:pStyle w:val="27"/>
        <w:ind w:firstLine="480"/>
        <w:rPr>
          <w:color w:val="auto"/>
          <w:lang w:eastAsia="zh-CN"/>
        </w:rPr>
      </w:pPr>
      <w:r>
        <w:rPr>
          <w:color w:val="auto"/>
          <w:lang w:eastAsia="zh-CN"/>
        </w:rPr>
        <w:t>5．验收应在甲方和乙方双方共同参加下进行。甲方组成验收小组按国家有关规定、规范进行验收，验收时将会邀请相关的专业人员或机构参与验收。</w:t>
      </w:r>
    </w:p>
    <w:p w14:paraId="6B476E84">
      <w:pPr>
        <w:pStyle w:val="27"/>
        <w:ind w:firstLine="480"/>
        <w:rPr>
          <w:color w:val="auto"/>
          <w:lang w:eastAsia="zh-CN"/>
        </w:rPr>
      </w:pPr>
      <w:r>
        <w:rPr>
          <w:color w:val="auto"/>
          <w:lang w:eastAsia="zh-CN"/>
        </w:rPr>
        <w:t>6．国家法律、法规所规定由甲方承担的其它责任。</w:t>
      </w:r>
    </w:p>
    <w:p w14:paraId="2E67BE3B">
      <w:pPr>
        <w:pStyle w:val="27"/>
        <w:ind w:firstLine="480"/>
        <w:rPr>
          <w:color w:val="auto"/>
          <w:lang w:eastAsia="zh-CN"/>
        </w:rPr>
      </w:pPr>
      <w:r>
        <w:rPr>
          <w:rFonts w:hint="eastAsia"/>
          <w:color w:val="auto"/>
          <w:lang w:eastAsia="zh-CN"/>
        </w:rPr>
        <w:t>（二）乙方的权利和义务</w:t>
      </w:r>
    </w:p>
    <w:p w14:paraId="5CF9B613">
      <w:pPr>
        <w:pStyle w:val="27"/>
        <w:ind w:firstLine="480"/>
        <w:rPr>
          <w:color w:val="auto"/>
          <w:lang w:eastAsia="zh-CN"/>
        </w:rPr>
      </w:pPr>
      <w:r>
        <w:rPr>
          <w:color w:val="auto"/>
          <w:lang w:eastAsia="zh-CN"/>
        </w:rPr>
        <w:t>1．对本合同规定的委托服务范围内的项目享有管理权及服务义务。</w:t>
      </w:r>
    </w:p>
    <w:p w14:paraId="72CACC2B">
      <w:pPr>
        <w:pStyle w:val="27"/>
        <w:ind w:firstLine="480"/>
        <w:rPr>
          <w:color w:val="auto"/>
          <w:lang w:eastAsia="zh-CN"/>
        </w:rPr>
      </w:pPr>
      <w:r>
        <w:rPr>
          <w:color w:val="auto"/>
          <w:lang w:eastAsia="zh-CN"/>
        </w:rPr>
        <w:t>2．根据本合同的规定向甲方收取相关服务费用，并有权在本项目管理范围内管理及合理使用。</w:t>
      </w:r>
    </w:p>
    <w:p w14:paraId="69078295">
      <w:pPr>
        <w:pStyle w:val="27"/>
        <w:ind w:firstLine="480"/>
        <w:rPr>
          <w:color w:val="auto"/>
          <w:lang w:eastAsia="zh-CN"/>
        </w:rPr>
      </w:pPr>
      <w:r>
        <w:rPr>
          <w:color w:val="auto"/>
          <w:lang w:eastAsia="zh-CN"/>
        </w:rPr>
        <w:t>3．及时向甲方通告本项目服务范围内有关服务的重大事项，及时配合处理投诉。</w:t>
      </w:r>
    </w:p>
    <w:p w14:paraId="60297CCC">
      <w:pPr>
        <w:pStyle w:val="27"/>
        <w:ind w:firstLine="480"/>
        <w:rPr>
          <w:color w:val="auto"/>
          <w:lang w:eastAsia="zh-CN"/>
        </w:rPr>
      </w:pPr>
      <w:r>
        <w:rPr>
          <w:color w:val="auto"/>
          <w:lang w:eastAsia="zh-CN"/>
        </w:rPr>
        <w:t>4．接受项目行业管理部门及政府有关部门的指导，接受甲方的监督。</w:t>
      </w:r>
    </w:p>
    <w:p w14:paraId="32A582D0">
      <w:pPr>
        <w:pStyle w:val="27"/>
        <w:ind w:firstLine="480"/>
        <w:rPr>
          <w:color w:val="auto"/>
          <w:lang w:eastAsia="zh-CN"/>
        </w:rPr>
      </w:pPr>
      <w:r>
        <w:rPr>
          <w:color w:val="auto"/>
          <w:lang w:eastAsia="zh-CN"/>
        </w:rPr>
        <w:t>5．国家法律、法规所规定由乙方承担的其它责任。</w:t>
      </w:r>
    </w:p>
    <w:p w14:paraId="12984433">
      <w:pPr>
        <w:pStyle w:val="26"/>
        <w:spacing w:before="120" w:after="120"/>
        <w:rPr>
          <w:color w:val="auto"/>
          <w:lang w:eastAsia="zh-CN"/>
        </w:rPr>
      </w:pPr>
      <w:r>
        <w:rPr>
          <w:rFonts w:hint="eastAsia"/>
          <w:color w:val="auto"/>
          <w:lang w:eastAsia="zh-CN"/>
        </w:rPr>
        <w:t>第十条</w:t>
      </w:r>
      <w:r>
        <w:rPr>
          <w:color w:val="auto"/>
          <w:lang w:eastAsia="zh-CN"/>
        </w:rPr>
        <w:t xml:space="preserve">  违约责任</w:t>
      </w:r>
    </w:p>
    <w:p w14:paraId="767D1BCF">
      <w:pPr>
        <w:pStyle w:val="27"/>
        <w:ind w:firstLine="480"/>
        <w:rPr>
          <w:color w:val="auto"/>
          <w:lang w:eastAsia="zh-CN"/>
        </w:rPr>
      </w:pPr>
      <w:r>
        <w:rPr>
          <w:color w:val="auto"/>
          <w:lang w:eastAsia="zh-CN"/>
        </w:rPr>
        <w:t>1．甲乙双方必须遵守本合同并执行合同中的各项规定，保证本合同的正常履行。</w:t>
      </w:r>
    </w:p>
    <w:p w14:paraId="38A0D8C0">
      <w:pPr>
        <w:pStyle w:val="27"/>
        <w:ind w:firstLine="480"/>
        <w:rPr>
          <w:color w:val="auto"/>
          <w:lang w:eastAsia="zh-CN"/>
        </w:rPr>
      </w:pPr>
      <w:r>
        <w:rPr>
          <w:color w:val="auto"/>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DA7FDAB">
      <w:pPr>
        <w:pStyle w:val="26"/>
        <w:spacing w:before="120" w:after="120"/>
        <w:rPr>
          <w:color w:val="auto"/>
          <w:lang w:eastAsia="zh-CN"/>
        </w:rPr>
      </w:pPr>
      <w:r>
        <w:rPr>
          <w:rFonts w:hint="eastAsia"/>
          <w:color w:val="auto"/>
          <w:lang w:eastAsia="zh-CN"/>
        </w:rPr>
        <w:t>第十一条</w:t>
      </w:r>
      <w:r>
        <w:rPr>
          <w:color w:val="auto"/>
          <w:lang w:eastAsia="zh-CN"/>
        </w:rPr>
        <w:t xml:space="preserve">  不可抗力事件处理</w:t>
      </w:r>
    </w:p>
    <w:p w14:paraId="00BB3A47">
      <w:pPr>
        <w:pStyle w:val="27"/>
        <w:ind w:firstLine="480"/>
        <w:rPr>
          <w:color w:val="auto"/>
          <w:lang w:eastAsia="zh-CN"/>
        </w:rPr>
      </w:pPr>
      <w:r>
        <w:rPr>
          <w:color w:val="auto"/>
          <w:lang w:eastAsia="zh-CN"/>
        </w:rPr>
        <w:t>1．在合同有效期内，任何一方因不可抗力事件导致不能履行合同，则合同履行期可延长，其延长期与不可抗力影响期相同。</w:t>
      </w:r>
    </w:p>
    <w:p w14:paraId="29B76F44">
      <w:pPr>
        <w:pStyle w:val="27"/>
        <w:ind w:firstLine="480"/>
        <w:rPr>
          <w:color w:val="auto"/>
          <w:lang w:eastAsia="zh-CN"/>
        </w:rPr>
      </w:pPr>
      <w:r>
        <w:rPr>
          <w:color w:val="auto"/>
          <w:lang w:eastAsia="zh-CN"/>
        </w:rPr>
        <w:t>2．不可抗力事件发生后，应立即通知对方，并寄送有关权威机构出具的证明。</w:t>
      </w:r>
    </w:p>
    <w:p w14:paraId="7D344364">
      <w:pPr>
        <w:pStyle w:val="27"/>
        <w:ind w:firstLine="480"/>
        <w:rPr>
          <w:color w:val="auto"/>
          <w:lang w:eastAsia="zh-CN"/>
        </w:rPr>
      </w:pPr>
      <w:r>
        <w:rPr>
          <w:color w:val="auto"/>
          <w:lang w:eastAsia="zh-CN"/>
        </w:rPr>
        <w:t>3．不可抗力事件延续15个日历日以上，双方应通过友好协商，确定是否继续履行合同。</w:t>
      </w:r>
    </w:p>
    <w:p w14:paraId="590A47CE">
      <w:pPr>
        <w:pStyle w:val="26"/>
        <w:spacing w:before="120" w:after="120"/>
        <w:rPr>
          <w:color w:val="auto"/>
          <w:lang w:eastAsia="zh-CN"/>
        </w:rPr>
      </w:pPr>
      <w:r>
        <w:rPr>
          <w:rFonts w:hint="eastAsia"/>
          <w:color w:val="auto"/>
          <w:lang w:eastAsia="zh-CN"/>
        </w:rPr>
        <w:t>第十二条</w:t>
      </w:r>
      <w:r>
        <w:rPr>
          <w:color w:val="auto"/>
          <w:lang w:eastAsia="zh-CN"/>
        </w:rPr>
        <w:t xml:space="preserve">  合同的变更和终止</w:t>
      </w:r>
    </w:p>
    <w:p w14:paraId="7A717E6D">
      <w:pPr>
        <w:pStyle w:val="27"/>
        <w:ind w:firstLine="480"/>
        <w:rPr>
          <w:color w:val="auto"/>
          <w:lang w:eastAsia="zh-CN"/>
        </w:rPr>
      </w:pPr>
      <w:r>
        <w:rPr>
          <w:rFonts w:hint="eastAsia"/>
          <w:color w:val="auto"/>
          <w:lang w:eastAsia="zh-CN"/>
        </w:rPr>
        <w:t>除《中华人民共和国政府采购法》第</w:t>
      </w:r>
      <w:r>
        <w:rPr>
          <w:color w:val="auto"/>
          <w:lang w:eastAsia="zh-CN"/>
        </w:rPr>
        <w:t>49条、第50条第二款规定的情形外，本合同一经签订，甲乙双方不得擅自变更、中止或终止合同。</w:t>
      </w:r>
    </w:p>
    <w:p w14:paraId="6F0C1E92">
      <w:pPr>
        <w:pStyle w:val="26"/>
        <w:spacing w:before="120" w:after="120"/>
        <w:rPr>
          <w:color w:val="auto"/>
          <w:lang w:eastAsia="zh-CN"/>
        </w:rPr>
      </w:pPr>
      <w:r>
        <w:rPr>
          <w:rFonts w:hint="eastAsia"/>
          <w:color w:val="auto"/>
          <w:lang w:eastAsia="zh-CN"/>
        </w:rPr>
        <w:t>第十三条</w:t>
      </w:r>
      <w:r>
        <w:rPr>
          <w:color w:val="auto"/>
          <w:lang w:eastAsia="zh-CN"/>
        </w:rPr>
        <w:t xml:space="preserve">  解决合同纠纷的方式</w:t>
      </w:r>
    </w:p>
    <w:p w14:paraId="3EFDB45C">
      <w:pPr>
        <w:pStyle w:val="27"/>
        <w:ind w:firstLine="480"/>
        <w:rPr>
          <w:color w:val="auto"/>
          <w:lang w:eastAsia="zh-CN"/>
        </w:rPr>
      </w:pPr>
      <w:r>
        <w:rPr>
          <w:color w:val="auto"/>
          <w:lang w:eastAsia="zh-CN"/>
        </w:rPr>
        <w:t>1．在执行本合同中发生的或与本合同有关的争端，双方应通过友好协商解决，经协商在___天内不能达成协议时，则采取以下第___种方式解决争议：</w:t>
      </w:r>
    </w:p>
    <w:p w14:paraId="25FD07DD">
      <w:pPr>
        <w:pStyle w:val="27"/>
        <w:ind w:firstLine="480"/>
        <w:rPr>
          <w:color w:val="auto"/>
          <w:lang w:eastAsia="zh-CN"/>
        </w:rPr>
      </w:pPr>
      <w:r>
        <w:rPr>
          <w:rFonts w:hint="eastAsia"/>
          <w:color w:val="auto"/>
          <w:lang w:eastAsia="zh-CN"/>
        </w:rPr>
        <w:t>（</w:t>
      </w:r>
      <w:r>
        <w:rPr>
          <w:color w:val="auto"/>
          <w:lang w:eastAsia="zh-CN"/>
        </w:rPr>
        <w:t>1）向甲方所在地有管辖权的人民法院提起诉讼；</w:t>
      </w:r>
    </w:p>
    <w:p w14:paraId="772365F9">
      <w:pPr>
        <w:pStyle w:val="27"/>
        <w:ind w:firstLine="480"/>
        <w:rPr>
          <w:color w:val="auto"/>
          <w:lang w:eastAsia="zh-CN"/>
        </w:rPr>
      </w:pPr>
      <w:r>
        <w:rPr>
          <w:rFonts w:hint="eastAsia"/>
          <w:color w:val="auto"/>
          <w:lang w:eastAsia="zh-CN"/>
        </w:rPr>
        <w:t>（</w:t>
      </w:r>
      <w:r>
        <w:rPr>
          <w:color w:val="auto"/>
          <w:lang w:eastAsia="zh-CN"/>
        </w:rPr>
        <w:t>2）向西安仲裁委员会按其仲裁规则申请仲裁。</w:t>
      </w:r>
    </w:p>
    <w:p w14:paraId="240C069B">
      <w:pPr>
        <w:pStyle w:val="27"/>
        <w:ind w:firstLine="480"/>
        <w:rPr>
          <w:color w:val="auto"/>
          <w:lang w:eastAsia="zh-CN"/>
        </w:rPr>
      </w:pPr>
      <w:r>
        <w:rPr>
          <w:color w:val="auto"/>
          <w:lang w:eastAsia="zh-CN"/>
        </w:rPr>
        <w:t>2．在仲裁期间，本合同应继续履行。</w:t>
      </w:r>
    </w:p>
    <w:p w14:paraId="7C66399A">
      <w:pPr>
        <w:pStyle w:val="26"/>
        <w:spacing w:before="120" w:after="120"/>
        <w:rPr>
          <w:color w:val="auto"/>
          <w:lang w:eastAsia="zh-CN"/>
        </w:rPr>
      </w:pPr>
      <w:r>
        <w:rPr>
          <w:rFonts w:hint="eastAsia"/>
          <w:color w:val="auto"/>
          <w:lang w:eastAsia="zh-CN"/>
        </w:rPr>
        <w:t>第十四条</w:t>
      </w:r>
      <w:r>
        <w:rPr>
          <w:color w:val="auto"/>
          <w:lang w:eastAsia="zh-CN"/>
        </w:rPr>
        <w:t xml:space="preserve">  合同生效及其他</w:t>
      </w:r>
    </w:p>
    <w:p w14:paraId="78BCCC37">
      <w:pPr>
        <w:pStyle w:val="27"/>
        <w:ind w:firstLine="480"/>
        <w:rPr>
          <w:color w:val="auto"/>
          <w:lang w:eastAsia="zh-CN"/>
        </w:rPr>
      </w:pPr>
      <w:r>
        <w:rPr>
          <w:color w:val="auto"/>
          <w:lang w:eastAsia="zh-CN"/>
        </w:rPr>
        <w:t>1．合同经双方法定代表人（单位负责人）或授权委托代理人签名并加盖单位公章并由采购代理机构盖章后生效。</w:t>
      </w:r>
    </w:p>
    <w:p w14:paraId="7DF3632C">
      <w:pPr>
        <w:pStyle w:val="27"/>
        <w:ind w:firstLine="480"/>
        <w:rPr>
          <w:color w:val="auto"/>
          <w:lang w:eastAsia="zh-CN"/>
        </w:rPr>
      </w:pPr>
      <w:r>
        <w:rPr>
          <w:color w:val="auto"/>
          <w:lang w:eastAsia="zh-CN"/>
        </w:rPr>
        <w:t>2．合同执行中涉及采购资金和采购内容修改或补充的，须经政府采购监管部门审批，并签书面补充协议报政府采购监督管理部门备案，方可作为主合同不可分割的一部分。</w:t>
      </w:r>
    </w:p>
    <w:p w14:paraId="7D307F4C">
      <w:pPr>
        <w:pStyle w:val="27"/>
        <w:ind w:firstLine="480"/>
        <w:rPr>
          <w:color w:val="auto"/>
          <w:lang w:eastAsia="zh-CN"/>
        </w:rPr>
      </w:pPr>
      <w:r>
        <w:rPr>
          <w:color w:val="auto"/>
          <w:lang w:eastAsia="zh-CN"/>
        </w:rPr>
        <w:t>3．本合同一式陆份，自双方签章之日起起效。甲方贰份，乙方贰份，政府采购代理机构壹份，同级财政部门备案壹份，具有同等法律效力。</w:t>
      </w:r>
    </w:p>
    <w:p w14:paraId="4890919A">
      <w:pPr>
        <w:pStyle w:val="26"/>
        <w:spacing w:before="120" w:after="120"/>
        <w:rPr>
          <w:color w:val="auto"/>
          <w:lang w:eastAsia="zh-CN"/>
        </w:rPr>
      </w:pPr>
      <w:r>
        <w:rPr>
          <w:rFonts w:hint="eastAsia"/>
          <w:color w:val="auto"/>
          <w:lang w:eastAsia="zh-CN"/>
        </w:rPr>
        <w:t>第十五条</w:t>
      </w:r>
      <w:r>
        <w:rPr>
          <w:color w:val="auto"/>
          <w:lang w:eastAsia="zh-CN"/>
        </w:rPr>
        <w:t xml:space="preserve">  附件</w:t>
      </w:r>
    </w:p>
    <w:p w14:paraId="6D2E98AF">
      <w:pPr>
        <w:pStyle w:val="27"/>
        <w:ind w:firstLine="480"/>
        <w:rPr>
          <w:color w:val="auto"/>
          <w:lang w:eastAsia="zh-CN"/>
        </w:rPr>
      </w:pPr>
      <w:r>
        <w:rPr>
          <w:color w:val="auto"/>
          <w:lang w:eastAsia="zh-CN"/>
        </w:rPr>
        <w:t>1．项目磋商文件</w:t>
      </w:r>
    </w:p>
    <w:p w14:paraId="2FA46650">
      <w:pPr>
        <w:pStyle w:val="27"/>
        <w:ind w:firstLine="480"/>
        <w:rPr>
          <w:color w:val="auto"/>
          <w:lang w:eastAsia="zh-CN"/>
        </w:rPr>
      </w:pPr>
      <w:r>
        <w:rPr>
          <w:color w:val="auto"/>
          <w:lang w:eastAsia="zh-CN"/>
        </w:rPr>
        <w:t>2．项目修改澄清文件</w:t>
      </w:r>
    </w:p>
    <w:p w14:paraId="50F5E4E7">
      <w:pPr>
        <w:pStyle w:val="27"/>
        <w:ind w:firstLine="480"/>
        <w:rPr>
          <w:color w:val="auto"/>
          <w:lang w:eastAsia="zh-CN"/>
        </w:rPr>
      </w:pPr>
      <w:r>
        <w:rPr>
          <w:color w:val="auto"/>
          <w:lang w:eastAsia="zh-CN"/>
        </w:rPr>
        <w:t>3．项目投标文件</w:t>
      </w:r>
    </w:p>
    <w:p w14:paraId="045B4398">
      <w:pPr>
        <w:pStyle w:val="27"/>
        <w:ind w:firstLine="480"/>
        <w:rPr>
          <w:color w:val="auto"/>
          <w:lang w:eastAsia="zh-CN"/>
        </w:rPr>
      </w:pPr>
      <w:r>
        <w:rPr>
          <w:color w:val="auto"/>
          <w:lang w:eastAsia="zh-CN"/>
        </w:rPr>
        <w:t>4．成交通知书</w:t>
      </w:r>
    </w:p>
    <w:p w14:paraId="3C3CD13F">
      <w:pPr>
        <w:pStyle w:val="27"/>
        <w:ind w:firstLine="480"/>
        <w:rPr>
          <w:color w:val="auto"/>
          <w:lang w:eastAsia="zh-CN"/>
        </w:rPr>
      </w:pPr>
      <w:r>
        <w:rPr>
          <w:color w:val="auto"/>
          <w:lang w:eastAsia="zh-CN"/>
        </w:rPr>
        <w:t>5．其他</w:t>
      </w:r>
    </w:p>
    <w:p w14:paraId="04342C1E">
      <w:pPr>
        <w:pStyle w:val="27"/>
        <w:ind w:firstLine="480"/>
        <w:rPr>
          <w:color w:val="auto"/>
          <w:lang w:eastAsia="zh-CN"/>
        </w:rPr>
      </w:pPr>
    </w:p>
    <w:p w14:paraId="608D2049">
      <w:pPr>
        <w:pStyle w:val="27"/>
        <w:ind w:firstLine="480"/>
        <w:rPr>
          <w:color w:val="auto"/>
          <w:lang w:eastAsia="zh-CN"/>
        </w:rPr>
      </w:pPr>
      <w:r>
        <w:rPr>
          <w:rFonts w:hint="eastAsia"/>
          <w:color w:val="auto"/>
          <w:lang w:eastAsia="zh-CN"/>
        </w:rPr>
        <w:t>（以下无正文）</w:t>
      </w:r>
    </w:p>
    <w:p w14:paraId="211C82DD">
      <w:pPr>
        <w:pStyle w:val="27"/>
        <w:ind w:firstLine="480"/>
        <w:rPr>
          <w:color w:val="auto"/>
          <w:lang w:eastAsia="zh-CN"/>
        </w:rPr>
      </w:pPr>
    </w:p>
    <w:tbl>
      <w:tblPr>
        <w:tblStyle w:val="18"/>
        <w:tblW w:w="8950" w:type="dxa"/>
        <w:tblInd w:w="154" w:type="dxa"/>
        <w:tblLayout w:type="autofit"/>
        <w:tblCellMar>
          <w:top w:w="0" w:type="dxa"/>
          <w:left w:w="108" w:type="dxa"/>
          <w:bottom w:w="0" w:type="dxa"/>
          <w:right w:w="108" w:type="dxa"/>
        </w:tblCellMar>
      </w:tblPr>
      <w:tblGrid>
        <w:gridCol w:w="1689"/>
        <w:gridCol w:w="2828"/>
        <w:gridCol w:w="1850"/>
        <w:gridCol w:w="2583"/>
      </w:tblGrid>
      <w:tr w14:paraId="211D2CCF">
        <w:tblPrEx>
          <w:tblCellMar>
            <w:top w:w="0" w:type="dxa"/>
            <w:left w:w="108" w:type="dxa"/>
            <w:bottom w:w="0" w:type="dxa"/>
            <w:right w:w="108" w:type="dxa"/>
          </w:tblCellMar>
        </w:tblPrEx>
        <w:trPr>
          <w:trHeight w:val="510" w:hRule="atLeast"/>
        </w:trPr>
        <w:tc>
          <w:tcPr>
            <w:tcW w:w="1689" w:type="dxa"/>
            <w:shd w:val="clear" w:color="auto" w:fill="auto"/>
            <w:vAlign w:val="center"/>
          </w:tcPr>
          <w:p w14:paraId="5DD512CD">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甲    方：</w:t>
            </w:r>
          </w:p>
          <w:p w14:paraId="523F3D5B">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（盖章）</w:t>
            </w:r>
          </w:p>
        </w:tc>
        <w:tc>
          <w:tcPr>
            <w:tcW w:w="2828" w:type="dxa"/>
            <w:tcBorders>
              <w:bottom w:val="single" w:color="D9D9D9" w:sz="4" w:space="0"/>
            </w:tcBorders>
            <w:shd w:val="clear" w:color="auto" w:fill="auto"/>
            <w:vAlign w:val="center"/>
          </w:tcPr>
          <w:p w14:paraId="5F21A1B3">
            <w:pPr>
              <w:spacing w:line="420" w:lineRule="exact"/>
              <w:rPr>
                <w:rFonts w:ascii="Times New Roman" w:hAnsi="Times New Roman" w:eastAsia="宋体"/>
                <w:color w:val="auto"/>
                <w:sz w:val="24"/>
                <w:szCs w:val="24"/>
              </w:rPr>
            </w:pPr>
          </w:p>
        </w:tc>
        <w:tc>
          <w:tcPr>
            <w:tcW w:w="1850" w:type="dxa"/>
            <w:shd w:val="clear" w:color="auto" w:fill="auto"/>
            <w:vAlign w:val="center"/>
          </w:tcPr>
          <w:p w14:paraId="28454178">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乙     方：</w:t>
            </w:r>
          </w:p>
          <w:p w14:paraId="03ED7296">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（盖章）</w:t>
            </w:r>
          </w:p>
        </w:tc>
        <w:tc>
          <w:tcPr>
            <w:tcW w:w="2583" w:type="dxa"/>
            <w:tcBorders>
              <w:bottom w:val="single" w:color="D9D9D9" w:sz="4" w:space="0"/>
            </w:tcBorders>
            <w:shd w:val="clear" w:color="auto" w:fill="auto"/>
            <w:vAlign w:val="center"/>
          </w:tcPr>
          <w:p w14:paraId="47519DBD">
            <w:pPr>
              <w:spacing w:line="420" w:lineRule="exact"/>
              <w:rPr>
                <w:rFonts w:ascii="Times New Roman" w:hAnsi="Times New Roman" w:eastAsia="宋体"/>
                <w:color w:val="auto"/>
                <w:sz w:val="24"/>
                <w:szCs w:val="24"/>
              </w:rPr>
            </w:pPr>
          </w:p>
        </w:tc>
      </w:tr>
      <w:tr w14:paraId="2C8A8008">
        <w:tblPrEx>
          <w:tblCellMar>
            <w:top w:w="0" w:type="dxa"/>
            <w:left w:w="108" w:type="dxa"/>
            <w:bottom w:w="0" w:type="dxa"/>
            <w:right w:w="108" w:type="dxa"/>
          </w:tblCellMar>
        </w:tblPrEx>
        <w:trPr>
          <w:trHeight w:val="510" w:hRule="atLeast"/>
        </w:trPr>
        <w:tc>
          <w:tcPr>
            <w:tcW w:w="1689" w:type="dxa"/>
            <w:shd w:val="clear" w:color="auto" w:fill="auto"/>
            <w:vAlign w:val="center"/>
          </w:tcPr>
          <w:p w14:paraId="774CD02C">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法定代表人</w:t>
            </w:r>
            <w:r>
              <w:rPr>
                <w:rFonts w:hint="eastAsia" w:ascii="Times New Roman" w:hAnsi="Times New Roman" w:eastAsia="宋体"/>
                <w:color w:val="auto"/>
                <w:sz w:val="24"/>
                <w:szCs w:val="24"/>
              </w:rPr>
              <w:t>/</w:t>
            </w:r>
            <w:r>
              <w:rPr>
                <w:rFonts w:ascii="Times New Roman" w:hAnsi="Times New Roman" w:eastAsia="宋体"/>
                <w:color w:val="auto"/>
                <w:sz w:val="24"/>
                <w:szCs w:val="24"/>
              </w:rPr>
              <w:t>委托代理人：</w:t>
            </w:r>
          </w:p>
        </w:tc>
        <w:tc>
          <w:tcPr>
            <w:tcW w:w="2828" w:type="dxa"/>
            <w:tcBorders>
              <w:top w:val="single" w:color="D9D9D9" w:sz="4" w:space="0"/>
              <w:bottom w:val="single" w:color="D9D9D9" w:sz="4" w:space="0"/>
            </w:tcBorders>
            <w:shd w:val="clear" w:color="auto" w:fill="auto"/>
            <w:vAlign w:val="center"/>
          </w:tcPr>
          <w:p w14:paraId="58DB130E">
            <w:pPr>
              <w:spacing w:line="420" w:lineRule="exact"/>
              <w:rPr>
                <w:rFonts w:ascii="Times New Roman" w:hAnsi="Times New Roman" w:eastAsia="宋体"/>
                <w:color w:val="auto"/>
                <w:sz w:val="24"/>
                <w:szCs w:val="24"/>
              </w:rPr>
            </w:pPr>
          </w:p>
        </w:tc>
        <w:tc>
          <w:tcPr>
            <w:tcW w:w="1850" w:type="dxa"/>
            <w:shd w:val="clear" w:color="auto" w:fill="auto"/>
            <w:vAlign w:val="center"/>
          </w:tcPr>
          <w:p w14:paraId="6776EFA7">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法定代表人</w:t>
            </w:r>
          </w:p>
          <w:p w14:paraId="58D4C544">
            <w:pPr>
              <w:spacing w:line="420" w:lineRule="exact"/>
              <w:jc w:val="distribute"/>
              <w:rPr>
                <w:rFonts w:ascii="Times New Roman" w:hAnsi="Times New Roman" w:eastAsia="宋体"/>
                <w:color w:val="auto"/>
                <w:sz w:val="24"/>
                <w:szCs w:val="24"/>
              </w:rPr>
            </w:pPr>
            <w:r>
              <w:rPr>
                <w:rFonts w:hint="eastAsia" w:ascii="Times New Roman" w:hAnsi="Times New Roman" w:eastAsia="宋体"/>
                <w:color w:val="auto"/>
                <w:sz w:val="24"/>
                <w:szCs w:val="24"/>
              </w:rPr>
              <w:t>/</w:t>
            </w:r>
            <w:r>
              <w:rPr>
                <w:rFonts w:ascii="Times New Roman" w:hAnsi="Times New Roman" w:eastAsia="宋体"/>
                <w:color w:val="auto"/>
                <w:sz w:val="24"/>
                <w:szCs w:val="24"/>
              </w:rPr>
              <w:t>委托代理人：</w:t>
            </w:r>
          </w:p>
        </w:tc>
        <w:tc>
          <w:tcPr>
            <w:tcW w:w="2583" w:type="dxa"/>
            <w:tcBorders>
              <w:top w:val="single" w:color="D9D9D9" w:sz="4" w:space="0"/>
              <w:bottom w:val="single" w:color="D9D9D9" w:sz="4" w:space="0"/>
            </w:tcBorders>
            <w:shd w:val="clear" w:color="auto" w:fill="auto"/>
            <w:vAlign w:val="center"/>
          </w:tcPr>
          <w:p w14:paraId="75A0953F">
            <w:pPr>
              <w:spacing w:line="420" w:lineRule="exact"/>
              <w:rPr>
                <w:rFonts w:ascii="Times New Roman" w:hAnsi="Times New Roman" w:eastAsia="宋体"/>
                <w:color w:val="auto"/>
                <w:sz w:val="24"/>
                <w:szCs w:val="24"/>
              </w:rPr>
            </w:pPr>
          </w:p>
        </w:tc>
      </w:tr>
      <w:tr w14:paraId="648CCA95">
        <w:tblPrEx>
          <w:tblCellMar>
            <w:top w:w="0" w:type="dxa"/>
            <w:left w:w="108" w:type="dxa"/>
            <w:bottom w:w="0" w:type="dxa"/>
            <w:right w:w="108" w:type="dxa"/>
          </w:tblCellMar>
        </w:tblPrEx>
        <w:trPr>
          <w:trHeight w:val="510" w:hRule="atLeast"/>
        </w:trPr>
        <w:tc>
          <w:tcPr>
            <w:tcW w:w="1689" w:type="dxa"/>
            <w:shd w:val="clear" w:color="auto" w:fill="auto"/>
            <w:vAlign w:val="center"/>
          </w:tcPr>
          <w:p w14:paraId="585E8D58">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地    址：</w:t>
            </w:r>
          </w:p>
        </w:tc>
        <w:tc>
          <w:tcPr>
            <w:tcW w:w="2828" w:type="dxa"/>
            <w:tcBorders>
              <w:top w:val="single" w:color="D9D9D9" w:sz="4" w:space="0"/>
              <w:bottom w:val="single" w:color="D9D9D9" w:sz="4" w:space="0"/>
            </w:tcBorders>
            <w:shd w:val="clear" w:color="auto" w:fill="auto"/>
            <w:vAlign w:val="center"/>
          </w:tcPr>
          <w:p w14:paraId="3E614C06">
            <w:pPr>
              <w:spacing w:line="420" w:lineRule="exact"/>
              <w:rPr>
                <w:rFonts w:ascii="Times New Roman" w:hAnsi="Times New Roman" w:eastAsia="宋体"/>
                <w:color w:val="auto"/>
                <w:sz w:val="24"/>
                <w:szCs w:val="24"/>
              </w:rPr>
            </w:pPr>
          </w:p>
        </w:tc>
        <w:tc>
          <w:tcPr>
            <w:tcW w:w="1850" w:type="dxa"/>
            <w:shd w:val="clear" w:color="auto" w:fill="auto"/>
            <w:vAlign w:val="center"/>
          </w:tcPr>
          <w:p w14:paraId="35AE60F7">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地    址：</w:t>
            </w:r>
          </w:p>
        </w:tc>
        <w:tc>
          <w:tcPr>
            <w:tcW w:w="2583" w:type="dxa"/>
            <w:tcBorders>
              <w:top w:val="single" w:color="D9D9D9" w:sz="4" w:space="0"/>
              <w:bottom w:val="single" w:color="D9D9D9" w:sz="4" w:space="0"/>
            </w:tcBorders>
            <w:shd w:val="clear" w:color="auto" w:fill="auto"/>
            <w:vAlign w:val="center"/>
          </w:tcPr>
          <w:p w14:paraId="7DCAB4F3">
            <w:pPr>
              <w:spacing w:line="420" w:lineRule="exact"/>
              <w:rPr>
                <w:rFonts w:ascii="Times New Roman" w:hAnsi="Times New Roman" w:eastAsia="宋体"/>
                <w:color w:val="auto"/>
                <w:sz w:val="24"/>
                <w:szCs w:val="24"/>
              </w:rPr>
            </w:pPr>
          </w:p>
        </w:tc>
      </w:tr>
      <w:tr w14:paraId="3FCEB11C">
        <w:tblPrEx>
          <w:tblCellMar>
            <w:top w:w="0" w:type="dxa"/>
            <w:left w:w="108" w:type="dxa"/>
            <w:bottom w:w="0" w:type="dxa"/>
            <w:right w:w="108" w:type="dxa"/>
          </w:tblCellMar>
        </w:tblPrEx>
        <w:trPr>
          <w:trHeight w:val="510" w:hRule="atLeast"/>
        </w:trPr>
        <w:tc>
          <w:tcPr>
            <w:tcW w:w="1689" w:type="dxa"/>
            <w:shd w:val="clear" w:color="auto" w:fill="auto"/>
            <w:vAlign w:val="center"/>
          </w:tcPr>
          <w:p w14:paraId="08449D29">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开户银行：</w:t>
            </w:r>
          </w:p>
        </w:tc>
        <w:tc>
          <w:tcPr>
            <w:tcW w:w="2828" w:type="dxa"/>
            <w:tcBorders>
              <w:top w:val="single" w:color="D9D9D9" w:sz="4" w:space="0"/>
              <w:bottom w:val="single" w:color="D9D9D9" w:sz="4" w:space="0"/>
            </w:tcBorders>
            <w:shd w:val="clear" w:color="auto" w:fill="auto"/>
            <w:vAlign w:val="center"/>
          </w:tcPr>
          <w:p w14:paraId="4B4DD801">
            <w:pPr>
              <w:spacing w:line="420" w:lineRule="exact"/>
              <w:rPr>
                <w:rFonts w:ascii="Times New Roman" w:hAnsi="Times New Roman" w:eastAsia="宋体"/>
                <w:color w:val="auto"/>
                <w:sz w:val="24"/>
                <w:szCs w:val="24"/>
              </w:rPr>
            </w:pPr>
          </w:p>
        </w:tc>
        <w:tc>
          <w:tcPr>
            <w:tcW w:w="1850" w:type="dxa"/>
            <w:shd w:val="clear" w:color="auto" w:fill="auto"/>
            <w:vAlign w:val="center"/>
          </w:tcPr>
          <w:p w14:paraId="04647B5A">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开户银行：</w:t>
            </w:r>
          </w:p>
        </w:tc>
        <w:tc>
          <w:tcPr>
            <w:tcW w:w="2583" w:type="dxa"/>
            <w:tcBorders>
              <w:top w:val="single" w:color="D9D9D9" w:sz="4" w:space="0"/>
              <w:bottom w:val="single" w:color="D9D9D9" w:sz="4" w:space="0"/>
            </w:tcBorders>
            <w:shd w:val="clear" w:color="auto" w:fill="auto"/>
            <w:vAlign w:val="center"/>
          </w:tcPr>
          <w:p w14:paraId="1DDCEF22">
            <w:pPr>
              <w:spacing w:line="420" w:lineRule="exact"/>
              <w:rPr>
                <w:rFonts w:ascii="Times New Roman" w:hAnsi="Times New Roman" w:eastAsia="宋体"/>
                <w:color w:val="auto"/>
                <w:sz w:val="24"/>
                <w:szCs w:val="24"/>
              </w:rPr>
            </w:pPr>
          </w:p>
        </w:tc>
      </w:tr>
      <w:tr w14:paraId="641EDE55">
        <w:tblPrEx>
          <w:tblCellMar>
            <w:top w:w="0" w:type="dxa"/>
            <w:left w:w="108" w:type="dxa"/>
            <w:bottom w:w="0" w:type="dxa"/>
            <w:right w:w="108" w:type="dxa"/>
          </w:tblCellMar>
        </w:tblPrEx>
        <w:trPr>
          <w:trHeight w:val="510" w:hRule="atLeast"/>
        </w:trPr>
        <w:tc>
          <w:tcPr>
            <w:tcW w:w="1689" w:type="dxa"/>
            <w:shd w:val="clear" w:color="auto" w:fill="auto"/>
            <w:vAlign w:val="center"/>
          </w:tcPr>
          <w:p w14:paraId="776D5D21">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银行帐号：</w:t>
            </w:r>
          </w:p>
        </w:tc>
        <w:tc>
          <w:tcPr>
            <w:tcW w:w="2828" w:type="dxa"/>
            <w:tcBorders>
              <w:top w:val="single" w:color="D9D9D9" w:sz="4" w:space="0"/>
              <w:bottom w:val="single" w:color="D9D9D9" w:sz="4" w:space="0"/>
            </w:tcBorders>
            <w:shd w:val="clear" w:color="auto" w:fill="auto"/>
            <w:vAlign w:val="center"/>
          </w:tcPr>
          <w:p w14:paraId="399AB2A6">
            <w:pPr>
              <w:spacing w:line="420" w:lineRule="exact"/>
              <w:rPr>
                <w:rFonts w:ascii="Times New Roman" w:hAnsi="Times New Roman" w:eastAsia="宋体"/>
                <w:color w:val="auto"/>
                <w:sz w:val="24"/>
                <w:szCs w:val="24"/>
              </w:rPr>
            </w:pPr>
          </w:p>
        </w:tc>
        <w:tc>
          <w:tcPr>
            <w:tcW w:w="1850" w:type="dxa"/>
            <w:shd w:val="clear" w:color="auto" w:fill="auto"/>
            <w:vAlign w:val="center"/>
          </w:tcPr>
          <w:p w14:paraId="7EC4674A">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银行帐号：</w:t>
            </w:r>
          </w:p>
        </w:tc>
        <w:tc>
          <w:tcPr>
            <w:tcW w:w="2583" w:type="dxa"/>
            <w:tcBorders>
              <w:top w:val="single" w:color="D9D9D9" w:sz="4" w:space="0"/>
              <w:bottom w:val="single" w:color="D9D9D9" w:sz="4" w:space="0"/>
            </w:tcBorders>
            <w:shd w:val="clear" w:color="auto" w:fill="auto"/>
            <w:vAlign w:val="center"/>
          </w:tcPr>
          <w:p w14:paraId="4FBB6BAE">
            <w:pPr>
              <w:spacing w:line="420" w:lineRule="exact"/>
              <w:rPr>
                <w:rFonts w:ascii="Times New Roman" w:hAnsi="Times New Roman" w:eastAsia="宋体"/>
                <w:color w:val="auto"/>
                <w:sz w:val="24"/>
                <w:szCs w:val="24"/>
              </w:rPr>
            </w:pPr>
          </w:p>
        </w:tc>
      </w:tr>
      <w:tr w14:paraId="2B062E37">
        <w:tblPrEx>
          <w:tblCellMar>
            <w:top w:w="0" w:type="dxa"/>
            <w:left w:w="108" w:type="dxa"/>
            <w:bottom w:w="0" w:type="dxa"/>
            <w:right w:w="108" w:type="dxa"/>
          </w:tblCellMar>
        </w:tblPrEx>
        <w:trPr>
          <w:trHeight w:val="510" w:hRule="atLeast"/>
        </w:trPr>
        <w:tc>
          <w:tcPr>
            <w:tcW w:w="1689" w:type="dxa"/>
            <w:shd w:val="clear" w:color="auto" w:fill="auto"/>
            <w:vAlign w:val="center"/>
          </w:tcPr>
          <w:p w14:paraId="0F4440D8">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电    话：</w:t>
            </w:r>
          </w:p>
        </w:tc>
        <w:tc>
          <w:tcPr>
            <w:tcW w:w="2828" w:type="dxa"/>
            <w:tcBorders>
              <w:top w:val="single" w:color="D9D9D9" w:sz="4" w:space="0"/>
              <w:bottom w:val="single" w:color="D9D9D9" w:sz="4" w:space="0"/>
            </w:tcBorders>
            <w:shd w:val="clear" w:color="auto" w:fill="auto"/>
            <w:vAlign w:val="center"/>
          </w:tcPr>
          <w:p w14:paraId="48784967">
            <w:pPr>
              <w:spacing w:line="420" w:lineRule="exact"/>
              <w:rPr>
                <w:rFonts w:ascii="Times New Roman" w:hAnsi="Times New Roman" w:eastAsia="宋体"/>
                <w:color w:val="auto"/>
                <w:sz w:val="24"/>
                <w:szCs w:val="24"/>
              </w:rPr>
            </w:pPr>
          </w:p>
        </w:tc>
        <w:tc>
          <w:tcPr>
            <w:tcW w:w="1850" w:type="dxa"/>
            <w:shd w:val="clear" w:color="auto" w:fill="auto"/>
            <w:vAlign w:val="center"/>
          </w:tcPr>
          <w:p w14:paraId="49A4D154">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电    话：</w:t>
            </w:r>
          </w:p>
        </w:tc>
        <w:tc>
          <w:tcPr>
            <w:tcW w:w="2583" w:type="dxa"/>
            <w:tcBorders>
              <w:top w:val="single" w:color="D9D9D9" w:sz="4" w:space="0"/>
              <w:bottom w:val="single" w:color="D9D9D9" w:sz="4" w:space="0"/>
            </w:tcBorders>
            <w:shd w:val="clear" w:color="auto" w:fill="auto"/>
            <w:vAlign w:val="center"/>
          </w:tcPr>
          <w:p w14:paraId="52FF6658">
            <w:pPr>
              <w:spacing w:line="420" w:lineRule="exact"/>
              <w:rPr>
                <w:rFonts w:ascii="Times New Roman" w:hAnsi="Times New Roman" w:eastAsia="宋体"/>
                <w:color w:val="auto"/>
                <w:sz w:val="24"/>
                <w:szCs w:val="24"/>
              </w:rPr>
            </w:pPr>
          </w:p>
        </w:tc>
      </w:tr>
      <w:tr w14:paraId="789E28AA">
        <w:tblPrEx>
          <w:tblCellMar>
            <w:top w:w="0" w:type="dxa"/>
            <w:left w:w="108" w:type="dxa"/>
            <w:bottom w:w="0" w:type="dxa"/>
            <w:right w:w="108" w:type="dxa"/>
          </w:tblCellMar>
        </w:tblPrEx>
        <w:trPr>
          <w:trHeight w:val="510" w:hRule="atLeast"/>
        </w:trPr>
        <w:tc>
          <w:tcPr>
            <w:tcW w:w="1689" w:type="dxa"/>
            <w:shd w:val="clear" w:color="auto" w:fill="auto"/>
            <w:vAlign w:val="center"/>
          </w:tcPr>
          <w:p w14:paraId="2727AB34">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传    真：</w:t>
            </w:r>
          </w:p>
        </w:tc>
        <w:tc>
          <w:tcPr>
            <w:tcW w:w="2828" w:type="dxa"/>
            <w:tcBorders>
              <w:top w:val="single" w:color="D9D9D9" w:sz="4" w:space="0"/>
              <w:bottom w:val="single" w:color="D9D9D9" w:sz="4" w:space="0"/>
            </w:tcBorders>
            <w:shd w:val="clear" w:color="auto" w:fill="auto"/>
            <w:vAlign w:val="center"/>
          </w:tcPr>
          <w:p w14:paraId="37DFBEB6">
            <w:pPr>
              <w:spacing w:line="420" w:lineRule="exact"/>
              <w:rPr>
                <w:rFonts w:ascii="Times New Roman" w:hAnsi="Times New Roman" w:eastAsia="宋体"/>
                <w:color w:val="auto"/>
                <w:sz w:val="24"/>
                <w:szCs w:val="24"/>
              </w:rPr>
            </w:pPr>
          </w:p>
        </w:tc>
        <w:tc>
          <w:tcPr>
            <w:tcW w:w="1850" w:type="dxa"/>
            <w:shd w:val="clear" w:color="auto" w:fill="auto"/>
            <w:vAlign w:val="center"/>
          </w:tcPr>
          <w:p w14:paraId="1DA41746">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传    真：</w:t>
            </w:r>
          </w:p>
        </w:tc>
        <w:tc>
          <w:tcPr>
            <w:tcW w:w="2583" w:type="dxa"/>
            <w:tcBorders>
              <w:top w:val="single" w:color="D9D9D9" w:sz="4" w:space="0"/>
              <w:bottom w:val="single" w:color="D9D9D9" w:sz="4" w:space="0"/>
            </w:tcBorders>
            <w:shd w:val="clear" w:color="auto" w:fill="auto"/>
            <w:vAlign w:val="center"/>
          </w:tcPr>
          <w:p w14:paraId="3B1D9306">
            <w:pPr>
              <w:spacing w:line="420" w:lineRule="exact"/>
              <w:rPr>
                <w:rFonts w:ascii="Times New Roman" w:hAnsi="Times New Roman" w:eastAsia="宋体"/>
                <w:color w:val="auto"/>
                <w:sz w:val="24"/>
                <w:szCs w:val="24"/>
              </w:rPr>
            </w:pPr>
          </w:p>
        </w:tc>
      </w:tr>
      <w:tr w14:paraId="2FA34065">
        <w:tblPrEx>
          <w:tblCellMar>
            <w:top w:w="0" w:type="dxa"/>
            <w:left w:w="108" w:type="dxa"/>
            <w:bottom w:w="0" w:type="dxa"/>
            <w:right w:w="108" w:type="dxa"/>
          </w:tblCellMar>
        </w:tblPrEx>
        <w:trPr>
          <w:trHeight w:val="510" w:hRule="atLeast"/>
        </w:trPr>
        <w:tc>
          <w:tcPr>
            <w:tcW w:w="1689" w:type="dxa"/>
            <w:shd w:val="clear" w:color="auto" w:fill="auto"/>
            <w:vAlign w:val="center"/>
          </w:tcPr>
          <w:p w14:paraId="668AF9A4">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签约日期：</w:t>
            </w:r>
          </w:p>
        </w:tc>
        <w:tc>
          <w:tcPr>
            <w:tcW w:w="2828" w:type="dxa"/>
            <w:tcBorders>
              <w:top w:val="single" w:color="D9D9D9" w:sz="4" w:space="0"/>
              <w:bottom w:val="single" w:color="D9D9D9" w:sz="4" w:space="0"/>
            </w:tcBorders>
            <w:shd w:val="clear" w:color="auto" w:fill="auto"/>
            <w:vAlign w:val="center"/>
          </w:tcPr>
          <w:p w14:paraId="7C97FA64">
            <w:pPr>
              <w:spacing w:line="420" w:lineRule="exact"/>
              <w:jc w:val="right"/>
              <w:rPr>
                <w:rFonts w:ascii="Times New Roman" w:hAnsi="Times New Roman" w:eastAsia="宋体"/>
                <w:color w:val="auto"/>
                <w:sz w:val="24"/>
                <w:szCs w:val="24"/>
              </w:rPr>
            </w:pPr>
            <w:r>
              <w:rPr>
                <w:rFonts w:ascii="Times New Roman" w:hAnsi="Times New Roman" w:eastAsia="宋体"/>
                <w:color w:val="auto"/>
                <w:sz w:val="24"/>
                <w:szCs w:val="24"/>
              </w:rPr>
              <w:t>年  月  日</w:t>
            </w:r>
          </w:p>
        </w:tc>
        <w:tc>
          <w:tcPr>
            <w:tcW w:w="1850" w:type="dxa"/>
            <w:shd w:val="clear" w:color="auto" w:fill="auto"/>
            <w:vAlign w:val="center"/>
          </w:tcPr>
          <w:p w14:paraId="6D6DCB28">
            <w:pPr>
              <w:spacing w:line="420" w:lineRule="exact"/>
              <w:jc w:val="distribute"/>
              <w:rPr>
                <w:rFonts w:ascii="Times New Roman" w:hAnsi="Times New Roman" w:eastAsia="宋体"/>
                <w:color w:val="auto"/>
                <w:sz w:val="24"/>
                <w:szCs w:val="24"/>
              </w:rPr>
            </w:pPr>
            <w:r>
              <w:rPr>
                <w:rFonts w:ascii="Times New Roman" w:hAnsi="Times New Roman" w:eastAsia="宋体"/>
                <w:color w:val="auto"/>
                <w:sz w:val="24"/>
                <w:szCs w:val="24"/>
              </w:rPr>
              <w:t>签约日期：</w:t>
            </w:r>
          </w:p>
        </w:tc>
        <w:tc>
          <w:tcPr>
            <w:tcW w:w="2583" w:type="dxa"/>
            <w:tcBorders>
              <w:top w:val="single" w:color="D9D9D9" w:sz="4" w:space="0"/>
              <w:bottom w:val="single" w:color="D9D9D9" w:sz="4" w:space="0"/>
            </w:tcBorders>
            <w:shd w:val="clear" w:color="auto" w:fill="auto"/>
            <w:vAlign w:val="center"/>
          </w:tcPr>
          <w:p w14:paraId="2817AF0D">
            <w:pPr>
              <w:spacing w:line="420" w:lineRule="exact"/>
              <w:jc w:val="right"/>
              <w:rPr>
                <w:rFonts w:ascii="Times New Roman" w:hAnsi="Times New Roman" w:eastAsia="宋体"/>
                <w:color w:val="auto"/>
                <w:sz w:val="24"/>
                <w:szCs w:val="24"/>
              </w:rPr>
            </w:pPr>
            <w:r>
              <w:rPr>
                <w:rFonts w:ascii="Times New Roman" w:hAnsi="Times New Roman" w:eastAsia="宋体"/>
                <w:color w:val="auto"/>
                <w:sz w:val="24"/>
                <w:szCs w:val="24"/>
              </w:rPr>
              <w:t>年  月  日</w:t>
            </w:r>
          </w:p>
        </w:tc>
      </w:tr>
    </w:tbl>
    <w:p w14:paraId="24EA1EC9">
      <w:pPr>
        <w:rPr>
          <w:color w:val="auto"/>
        </w:rPr>
      </w:pPr>
    </w:p>
    <w:p w14:paraId="44ABD26C">
      <w:pPr>
        <w:rPr>
          <w:color w:val="auto"/>
        </w:rPr>
      </w:pPr>
    </w:p>
    <w:p w14:paraId="0EB44511">
      <w:pPr>
        <w:rPr>
          <w:color w:val="auto"/>
        </w:rPr>
      </w:pPr>
      <w:r>
        <w:rPr>
          <w:color w:val="auto"/>
        </w:rPr>
        <w:br w:type="page"/>
      </w:r>
    </w:p>
    <w:p w14:paraId="34CA49C2">
      <w:pPr>
        <w:numPr>
          <w:ilvl w:val="0"/>
          <w:numId w:val="1"/>
        </w:numPr>
        <w:spacing w:before="162" w:line="224" w:lineRule="auto"/>
        <w:ind w:left="3113"/>
        <w:outlineLvl w:val="0"/>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pPr>
      <w:bookmarkStart w:id="20" w:name="bookmark4"/>
      <w:bookmarkEnd w:id="20"/>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采购内容及需求</w:t>
      </w:r>
    </w:p>
    <w:p w14:paraId="4F7C743D">
      <w:pPr>
        <w:widowControl w:val="0"/>
        <w:kinsoku/>
        <w:autoSpaceDE/>
        <w:autoSpaceDN/>
        <w:adjustRightInd/>
        <w:snapToGrid/>
        <w:spacing w:line="360" w:lineRule="auto"/>
        <w:textAlignment w:val="auto"/>
        <w:rPr>
          <w:rFonts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一、项目内容</w:t>
      </w:r>
    </w:p>
    <w:p w14:paraId="74841D0D">
      <w:pPr>
        <w:widowControl w:val="0"/>
        <w:kinsoku/>
        <w:autoSpaceDE/>
        <w:autoSpaceDN/>
        <w:adjustRightInd/>
        <w:snapToGrid/>
        <w:spacing w:line="360" w:lineRule="auto"/>
        <w:ind w:firstLine="560" w:firstLineChars="200"/>
        <w:textAlignment w:val="auto"/>
        <w:rPr>
          <w:rFonts w:asciiTheme="minorEastAsia" w:hAnsiTheme="minorEastAsia" w:eastAsiaTheme="minorEastAsia" w:cstheme="minorEastAsia"/>
          <w:color w:val="auto"/>
          <w:sz w:val="28"/>
          <w:szCs w:val="36"/>
          <w:lang w:eastAsia="zh-CN"/>
        </w:rPr>
      </w:pPr>
      <w:r>
        <w:rPr>
          <w:rFonts w:hint="eastAsia" w:asciiTheme="minorEastAsia" w:hAnsiTheme="minorEastAsia" w:eastAsiaTheme="minorEastAsia" w:cstheme="minorEastAsia"/>
          <w:color w:val="auto"/>
          <w:sz w:val="28"/>
          <w:szCs w:val="36"/>
          <w:lang w:eastAsia="zh-CN"/>
        </w:rPr>
        <w:t>根据</w:t>
      </w:r>
      <w:r>
        <w:rPr>
          <w:rFonts w:hint="eastAsia" w:asciiTheme="minorEastAsia" w:hAnsiTheme="minorEastAsia" w:cstheme="minorEastAsia"/>
          <w:color w:val="auto"/>
          <w:sz w:val="28"/>
          <w:szCs w:val="36"/>
          <w:lang w:eastAsia="zh-CN"/>
        </w:rPr>
        <w:t>石泉县职业技术教育中心职校技能大赛比赛设备采购项目要求。此次采购内容主要涉及人工智能实训室建设等内容。</w:t>
      </w:r>
    </w:p>
    <w:p w14:paraId="0B5B7436">
      <w:pPr>
        <w:widowControl w:val="0"/>
        <w:kinsoku/>
        <w:autoSpaceDE/>
        <w:autoSpaceDN/>
        <w:adjustRightInd/>
        <w:snapToGrid/>
        <w:spacing w:line="360" w:lineRule="auto"/>
        <w:textAlignment w:val="auto"/>
        <w:rPr>
          <w:rFonts w:asciiTheme="minorEastAsia" w:hAnsiTheme="minorEastAsia" w:eastAsiaTheme="minorEastAsia" w:cstheme="minorEastAsia"/>
          <w:b/>
          <w:bCs/>
          <w:color w:val="auto"/>
          <w:sz w:val="28"/>
          <w:szCs w:val="36"/>
          <w:lang w:eastAsia="zh-CN"/>
        </w:rPr>
      </w:pPr>
      <w:r>
        <w:rPr>
          <w:rFonts w:hint="eastAsia" w:asciiTheme="minorEastAsia" w:hAnsiTheme="minorEastAsia" w:eastAsiaTheme="minorEastAsia" w:cstheme="minorEastAsia"/>
          <w:b/>
          <w:bCs/>
          <w:color w:val="auto"/>
          <w:sz w:val="28"/>
          <w:szCs w:val="36"/>
          <w:lang w:eastAsia="zh-CN"/>
        </w:rPr>
        <w:t>二、编制依据</w:t>
      </w:r>
    </w:p>
    <w:p w14:paraId="4E85F217">
      <w:pPr>
        <w:widowControl w:val="0"/>
        <w:kinsoku/>
        <w:autoSpaceDE/>
        <w:autoSpaceDN/>
        <w:adjustRightInd/>
        <w:snapToGrid/>
        <w:spacing w:line="360" w:lineRule="auto"/>
        <w:ind w:firstLine="560" w:firstLineChars="200"/>
        <w:textAlignment w:val="auto"/>
        <w:rPr>
          <w:rFonts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1、</w:t>
      </w:r>
      <w:r>
        <w:rPr>
          <w:rFonts w:hint="eastAsia" w:asciiTheme="minorEastAsia" w:hAnsiTheme="minorEastAsia" w:eastAsiaTheme="minorEastAsia" w:cstheme="minorEastAsia"/>
          <w:color w:val="auto"/>
          <w:sz w:val="28"/>
          <w:szCs w:val="36"/>
          <w:lang w:eastAsia="zh-CN"/>
        </w:rPr>
        <w:t>结合</w:t>
      </w:r>
      <w:r>
        <w:rPr>
          <w:rFonts w:hint="eastAsia" w:asciiTheme="minorEastAsia" w:hAnsiTheme="minorEastAsia" w:cstheme="minorEastAsia"/>
          <w:color w:val="auto"/>
          <w:sz w:val="28"/>
          <w:szCs w:val="36"/>
          <w:lang w:eastAsia="zh-CN"/>
        </w:rPr>
        <w:t>石泉县职业技术教育中心职校技能大赛比赛设备采购项目</w:t>
      </w:r>
      <w:r>
        <w:rPr>
          <w:rFonts w:hint="eastAsia" w:asciiTheme="minorEastAsia" w:hAnsiTheme="minorEastAsia" w:eastAsiaTheme="minorEastAsia" w:cstheme="minorEastAsia"/>
          <w:color w:val="auto"/>
          <w:sz w:val="28"/>
          <w:szCs w:val="36"/>
          <w:lang w:eastAsia="zh-CN"/>
        </w:rPr>
        <w:t>的具体实施方案，采用市场询价的方式进行编制</w:t>
      </w:r>
      <w:r>
        <w:rPr>
          <w:rFonts w:hint="eastAsia" w:asciiTheme="minorEastAsia" w:hAnsiTheme="minorEastAsia" w:cstheme="minorEastAsia"/>
          <w:color w:val="auto"/>
          <w:sz w:val="28"/>
          <w:szCs w:val="36"/>
          <w:lang w:eastAsia="zh-CN"/>
        </w:rPr>
        <w:t>，设备参数具体，部分为厂家定制。</w:t>
      </w:r>
    </w:p>
    <w:p w14:paraId="03A53839">
      <w:pPr>
        <w:widowControl w:val="0"/>
        <w:kinsoku/>
        <w:autoSpaceDE/>
        <w:autoSpaceDN/>
        <w:adjustRightInd/>
        <w:snapToGrid/>
        <w:spacing w:line="360" w:lineRule="auto"/>
        <w:ind w:firstLine="560" w:firstLineChars="200"/>
        <w:textAlignment w:val="auto"/>
        <w:rPr>
          <w:rFonts w:ascii="宋体" w:hAnsi="宋体" w:cs="宋体"/>
          <w:color w:val="auto"/>
          <w:sz w:val="28"/>
          <w:szCs w:val="28"/>
          <w:lang w:eastAsia="zh-CN"/>
        </w:rPr>
      </w:pPr>
      <w:r>
        <w:rPr>
          <w:rFonts w:hint="eastAsia" w:ascii="宋体" w:hAnsi="宋体" w:cs="宋体"/>
          <w:color w:val="auto"/>
          <w:sz w:val="28"/>
          <w:szCs w:val="28"/>
          <w:lang w:eastAsia="zh-CN"/>
        </w:rPr>
        <w:t>2、中华人民共和国建设部令第16号《建设工程施工发包与承包计价管理办法》；</w:t>
      </w:r>
    </w:p>
    <w:p w14:paraId="746A8A57">
      <w:pPr>
        <w:widowControl w:val="0"/>
        <w:kinsoku/>
        <w:autoSpaceDE/>
        <w:autoSpaceDN/>
        <w:adjustRightInd/>
        <w:snapToGrid/>
        <w:spacing w:line="360" w:lineRule="auto"/>
        <w:ind w:firstLine="560" w:firstLineChars="200"/>
        <w:textAlignment w:val="auto"/>
        <w:rPr>
          <w:rFonts w:ascii="宋体" w:hAnsi="宋体" w:cs="宋体"/>
          <w:color w:val="auto"/>
          <w:sz w:val="28"/>
          <w:szCs w:val="28"/>
          <w:lang w:eastAsia="zh-CN"/>
        </w:rPr>
      </w:pPr>
      <w:r>
        <w:rPr>
          <w:rFonts w:hint="eastAsia" w:ascii="宋体" w:hAnsi="宋体" w:cs="宋体"/>
          <w:color w:val="auto"/>
          <w:sz w:val="28"/>
          <w:szCs w:val="28"/>
          <w:lang w:eastAsia="zh-CN"/>
        </w:rPr>
        <w:t>3、陕西省人民政府令第133号《陕西省建设工程造价管理办法》；</w:t>
      </w:r>
    </w:p>
    <w:p w14:paraId="364A2F2E">
      <w:pPr>
        <w:widowControl w:val="0"/>
        <w:kinsoku/>
        <w:autoSpaceDE/>
        <w:autoSpaceDN/>
        <w:adjustRightInd/>
        <w:snapToGrid/>
        <w:spacing w:line="360" w:lineRule="auto"/>
        <w:ind w:firstLine="560" w:firstLineChars="200"/>
        <w:textAlignment w:val="auto"/>
        <w:rPr>
          <w:rFonts w:ascii="宋体" w:hAnsi="宋体" w:cs="宋体"/>
          <w:color w:val="auto"/>
          <w:sz w:val="28"/>
          <w:szCs w:val="28"/>
          <w:lang w:eastAsia="zh-CN"/>
        </w:rPr>
      </w:pPr>
      <w:r>
        <w:rPr>
          <w:rFonts w:hint="eastAsia" w:ascii="宋体" w:hAnsi="宋体" w:cs="宋体"/>
          <w:color w:val="auto"/>
          <w:sz w:val="28"/>
          <w:szCs w:val="28"/>
          <w:lang w:eastAsia="zh-CN"/>
        </w:rPr>
        <w:t>4、货物及设备采购相关规范；</w:t>
      </w:r>
    </w:p>
    <w:p w14:paraId="5700D00D">
      <w:pPr>
        <w:widowControl w:val="0"/>
        <w:kinsoku/>
        <w:autoSpaceDE/>
        <w:autoSpaceDN/>
        <w:adjustRightInd/>
        <w:snapToGrid/>
        <w:spacing w:line="360" w:lineRule="auto"/>
        <w:ind w:firstLine="560" w:firstLineChars="200"/>
        <w:textAlignment w:val="auto"/>
        <w:rPr>
          <w:rFonts w:ascii="宋体" w:hAnsi="宋体" w:cs="宋体"/>
          <w:color w:val="auto"/>
          <w:sz w:val="28"/>
          <w:szCs w:val="28"/>
          <w:lang w:eastAsia="zh-CN"/>
        </w:rPr>
      </w:pPr>
      <w:r>
        <w:rPr>
          <w:rFonts w:hint="eastAsia" w:ascii="宋体" w:hAnsi="宋体" w:cs="宋体"/>
          <w:color w:val="auto"/>
          <w:sz w:val="28"/>
          <w:szCs w:val="28"/>
          <w:lang w:eastAsia="zh-CN"/>
        </w:rPr>
        <w:t>5、产品价格依据市场询价综合分析考虑。</w:t>
      </w:r>
    </w:p>
    <w:p w14:paraId="553A627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BE0E7C5">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E28374D">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7DE4A6F">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5DA466A">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1CC0BEC">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BF25E83">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C209224">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8936503">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997208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5C86963">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47FBC3A">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364DEEE">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FC90C7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EF0911D">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DFBFBD8">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6F9867A">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DA8DDA5">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24BEF5D">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drawing>
          <wp:inline distT="0" distB="0" distL="114300" distR="114300">
            <wp:extent cx="6169660" cy="4362450"/>
            <wp:effectExtent l="0" t="0" r="2540" b="11430"/>
            <wp:docPr id="1" name="图片 1" descr="（清单）石泉县职业技术教育中心职校技能大赛比赛设备采购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单）石泉县职业技术教育中心职校技能大赛比赛设备采购项目_00"/>
                    <pic:cNvPicPr>
                      <a:picLocks noChangeAspect="1"/>
                    </pic:cNvPicPr>
                  </pic:nvPicPr>
                  <pic:blipFill>
                    <a:blip r:embed="rId16"/>
                    <a:stretch>
                      <a:fillRect/>
                    </a:stretch>
                  </pic:blipFill>
                  <pic:spPr>
                    <a:xfrm>
                      <a:off x="0" y="0"/>
                      <a:ext cx="6169660" cy="4362450"/>
                    </a:xfrm>
                    <a:prstGeom prst="rect">
                      <a:avLst/>
                    </a:prstGeom>
                  </pic:spPr>
                </pic:pic>
              </a:graphicData>
            </a:graphic>
          </wp:inline>
        </w:drawing>
      </w:r>
    </w:p>
    <w:p w14:paraId="262A9642">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4AD322CA">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0EA7DC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EE8A97D">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EBB0AF6">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08A03E16">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067A86BF">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58FFC12">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FC5F83C">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08D0EA65">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1BCDAF0">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5281682">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DF45396">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137A3F2">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E993787">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06F4343A">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184440C">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A337C4B">
      <w:pPr>
        <w:widowControl w:val="0"/>
        <w:kinsoku/>
        <w:autoSpaceDE/>
        <w:autoSpaceDN/>
        <w:spacing w:line="400" w:lineRule="exact"/>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附件1</w:t>
      </w:r>
    </w:p>
    <w:p w14:paraId="14340D5C">
      <w:pPr>
        <w:widowControl w:val="0"/>
        <w:kinsoku/>
        <w:autoSpaceDE/>
        <w:autoSpaceDN/>
        <w:adjustRightInd/>
        <w:snapToGrid/>
        <w:spacing w:before="120" w:beforeLines="50" w:after="120" w:afterLines="50" w:line="400" w:lineRule="exact"/>
        <w:jc w:val="center"/>
        <w:textAlignment w:val="auto"/>
        <w:rPr>
          <w:rFonts w:ascii="宋体" w:hAnsi="宋体" w:eastAsia="宋体" w:cs="宋体"/>
          <w:b/>
          <w:bCs/>
          <w:color w:val="auto"/>
          <w:sz w:val="38"/>
          <w:szCs w:val="38"/>
          <w:lang w:eastAsia="zh-CN"/>
        </w:rPr>
      </w:pPr>
      <w:r>
        <w:rPr>
          <w:rFonts w:hint="eastAsia" w:ascii="宋体" w:hAnsi="宋体" w:eastAsia="宋体" w:cs="宋体"/>
          <w:b/>
          <w:bCs/>
          <w:color w:val="auto"/>
          <w:sz w:val="38"/>
          <w:szCs w:val="38"/>
          <w:lang w:eastAsia="zh-CN"/>
        </w:rPr>
        <w:t>石泉县职业技术教育中心职校技能大赛比赛设备采购项目</w:t>
      </w:r>
    </w:p>
    <w:p w14:paraId="2BF13A2C">
      <w:pPr>
        <w:widowControl w:val="0"/>
        <w:kinsoku/>
        <w:autoSpaceDE/>
        <w:autoSpaceDN/>
        <w:adjustRightInd/>
        <w:snapToGrid/>
        <w:spacing w:before="120" w:beforeLines="50" w:after="120" w:afterLines="50" w:line="400" w:lineRule="exact"/>
        <w:jc w:val="center"/>
        <w:textAlignment w:val="auto"/>
        <w:rPr>
          <w:rFonts w:ascii="宋体" w:hAnsi="宋体" w:eastAsia="宋体" w:cs="宋体"/>
          <w:b/>
          <w:bCs/>
          <w:color w:val="auto"/>
          <w:sz w:val="38"/>
          <w:szCs w:val="38"/>
          <w:lang w:eastAsia="zh-CN"/>
        </w:rPr>
      </w:pPr>
      <w:r>
        <w:rPr>
          <w:rFonts w:hint="eastAsia" w:ascii="宋体" w:hAnsi="宋体" w:eastAsia="宋体" w:cs="宋体"/>
          <w:b/>
          <w:bCs/>
          <w:color w:val="auto"/>
          <w:sz w:val="38"/>
          <w:szCs w:val="38"/>
          <w:lang w:eastAsia="zh-CN"/>
        </w:rPr>
        <w:t>相关技术参数</w:t>
      </w:r>
    </w:p>
    <w:p w14:paraId="605162DA">
      <w:pPr>
        <w:widowControl w:val="0"/>
        <w:kinsoku/>
        <w:autoSpaceDE/>
        <w:autoSpaceDN/>
        <w:adjustRightInd/>
        <w:snapToGrid/>
        <w:spacing w:before="120" w:beforeLines="50" w:after="120" w:afterLines="50" w:line="400" w:lineRule="exact"/>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一、人工智能实训平台</w:t>
      </w:r>
    </w:p>
    <w:p w14:paraId="2D4A403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1.设备特点 </w:t>
      </w:r>
    </w:p>
    <w:p w14:paraId="148ED4A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平台满足人工智能场景应用，包括人工智能边缘计算硬件、端侧算力及智能工业场景算法库和数据集等AI能力部分、嵌入式Linux系统及智能工业开发软件平台等几部分，各模块项目支撑形成智能工业场景开发应用主体。套件具备智能工业场景的数据采集、数据处理和端侧智能计算等能力。</w:t>
      </w:r>
    </w:p>
    <w:p w14:paraId="4680CD8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1.2软件部分出厂预装 Ubuntu Linux 操作系统与 OpenCV等行业主流视觉库、人工智能常用开发包、智能工业专用场景的算法模型、API和数据集等核心能力资源，支持行业主流深度学习框架的端侧推理框架。</w:t>
      </w:r>
    </w:p>
    <w:p w14:paraId="5658A89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平台集成机器视觉模块、NLP麦克风语音阵列模块，配合提供的算法源代码，可完成包括人脸检测、车牌识别、垃圾分类、目标检测、语音唤醒、语音识别、语音合成、智慧交互音箱、语音控制等实验实训。兼容Caffe/TensorFlow/MXNet训练模型和API，可以让学生对机器视觉的流程、处理方式等有更好的了解，熟悉相关算法，了解实际应用场景，贴近工程化应用。</w:t>
      </w:r>
    </w:p>
    <w:p w14:paraId="2248F48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1.4满足Python编程、机器学习、深度学习、数字图像处理、计算机视觉、语音识别、嵌入式系统及应用等课程或知识点的教学</w:t>
      </w:r>
    </w:p>
    <w:p w14:paraId="63D913E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1.5结合AIOT虚拟仿真系统，可完成AIOT工程应用实现。完成影像语音多模态融合交互慧控系统（真实人脸识别通过后，根据应用协议，虚拟仿真系统中，电磁锁3D动画打开）、语音交互控制系统等</w:t>
      </w:r>
    </w:p>
    <w:p w14:paraId="19DCE48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2.设备参数 </w:t>
      </w:r>
    </w:p>
    <w:p w14:paraId="4A38BD1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人工智能技术应用平台：安装面板采用插接式设计，所有组件均需支持自由插拔，并预留USB、网口等接口，用户可根据需要自行拓展其他组件；一体化桌面式操作台；金属钢结构板材，表面烤漆。尺寸：长≧480mm，高≧620mm，底宽≧200mm。</w:t>
      </w:r>
    </w:p>
    <w:p w14:paraId="7DBA898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2.2人工智能嵌入式边缘计算平台：</w:t>
      </w:r>
    </w:p>
    <w:p w14:paraId="783AAAAD">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（1）CPU：64位四核ARM Cortex-A57@1.43GHZ处理器；</w:t>
      </w:r>
    </w:p>
    <w:p w14:paraId="7DB29652">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（2）GPU：NVIDIA Maxwell架构，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128核 NVIDIA CUDA，0.5 TFLOPS (FP16)，921MHz；</w:t>
      </w:r>
    </w:p>
    <w:p w14:paraId="473DC226">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（3）显存：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4GB 64位LPDDR4，1600MHz-25.6 GB/s；</w:t>
      </w:r>
    </w:p>
    <w:p w14:paraId="274DF71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rPr>
        <w:t>（4）存储：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16GB eMMC</w:t>
      </w:r>
      <w:r>
        <w:rPr>
          <w:rFonts w:hint="eastAsia" w:ascii="宋体" w:hAnsi="宋体" w:eastAsia="宋体" w:cs="宋体"/>
          <w:color w:val="auto"/>
          <w:sz w:val="28"/>
          <w:szCs w:val="28"/>
          <w:lang w:eastAsia="zh-CN"/>
        </w:rPr>
        <w:t>；</w:t>
      </w:r>
    </w:p>
    <w:p w14:paraId="750DB5B3">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（5）视频编码：250 MP/s；1x 4K @ 30 (HEVC)；2x 1080p @ 60 (HEVC)；4x 1080p @ 30 (HEVC)；</w:t>
      </w:r>
    </w:p>
    <w:p w14:paraId="2A008DA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rPr>
        <w:t>（6）视频解码：500 MP/s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1x 4K @ 60 (HEVC)</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2x 4K @ 30 (HEVC)</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4x 1080p @ 60 (HEVC)</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8x 1080p @ 30 (HEVC)</w:t>
      </w:r>
      <w:r>
        <w:rPr>
          <w:rFonts w:hint="eastAsia" w:ascii="宋体" w:hAnsi="宋体" w:eastAsia="宋体" w:cs="宋体"/>
          <w:color w:val="auto"/>
          <w:sz w:val="28"/>
          <w:szCs w:val="28"/>
        </w:rPr>
        <w:tab/>
      </w:r>
      <w:r>
        <w:rPr>
          <w:rFonts w:hint="eastAsia" w:ascii="宋体" w:hAnsi="宋体" w:eastAsia="宋体" w:cs="宋体"/>
          <w:color w:val="auto"/>
          <w:sz w:val="28"/>
          <w:szCs w:val="28"/>
          <w:lang w:eastAsia="zh-CN"/>
        </w:rPr>
        <w:t>；</w:t>
      </w:r>
    </w:p>
    <w:p w14:paraId="7246788F">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2个MIPI CSI-2DPHY通道摄像头接口</w:t>
      </w:r>
    </w:p>
    <w:p w14:paraId="148BF7B1">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（8）千兆以太网</w:t>
      </w:r>
    </w:p>
    <w:p w14:paraId="58AA10F3">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4个USB 3.0、USB 2.0 Micro-B</w:t>
      </w:r>
    </w:p>
    <w:p w14:paraId="0F591757">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（10）TF卡接口，可以进行系统镜像烧写</w:t>
      </w:r>
    </w:p>
    <w:p w14:paraId="67E12F02">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（11）I/O：</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3 个 UART，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 个 SPI、</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 个 I2S、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4 个 I2C、多个 GPIO，40PIN GPIO扩展接口</w:t>
      </w:r>
    </w:p>
    <w:p w14:paraId="44D547B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（11）HDMI高清接口</w:t>
      </w:r>
    </w:p>
    <w:p w14:paraId="452D88E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（12）DC电源接口</w:t>
      </w:r>
    </w:p>
    <w:p w14:paraId="7EE9FA0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（13）poe接口</w:t>
      </w:r>
    </w:p>
    <w:p w14:paraId="712AD9C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（14）MIPICSI摄像头连接口</w:t>
      </w:r>
    </w:p>
    <w:p w14:paraId="13F0A5E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（15）网络连接：WiFi，网口</w:t>
      </w:r>
    </w:p>
    <w:p w14:paraId="1219018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（16）系统启动：通过MicroSD卡启动，也可以将U盘插入usb口，通过U盘启动系统</w:t>
      </w:r>
    </w:p>
    <w:p w14:paraId="645B9E5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（17）支持远程登录：SSH远程登录，VNC远程登录</w:t>
      </w:r>
    </w:p>
    <w:p w14:paraId="29D709D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2.3人工智能边缘显示屏幕模块：≧17.3寸，分辨率：≧1920*1080，接口：HDMI；</w:t>
      </w:r>
    </w:p>
    <w:p w14:paraId="39A21FF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2.4人工智能NLP麦克风语音阵列模块：</w:t>
      </w:r>
    </w:p>
    <w:p w14:paraId="1BB1989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（1）≧6麦克风阵列</w:t>
      </w:r>
    </w:p>
    <w:p w14:paraId="0738438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（2）拾音距离≧10m</w:t>
      </w:r>
    </w:p>
    <w:p w14:paraId="14838E5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（3）集成USB免驱声卡</w:t>
      </w:r>
    </w:p>
    <w:p w14:paraId="15F8D34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（4）板载自带扬声器实现语音交互播报</w:t>
      </w:r>
    </w:p>
    <w:p w14:paraId="05CE610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（5）基于TDOA算法剩声源定位分辨率1°</w:t>
      </w:r>
    </w:p>
    <w:p w14:paraId="596D044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（6）支持多唤醒词、音频降噪、回声消除、离线识别。（7）支持讯飞语音，百度语音等AI平台。</w:t>
      </w:r>
    </w:p>
    <w:p w14:paraId="464A4DF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（8）可应用在语音智能家居、会议定向录音、实时翻译、机器人交互、交通工具智能座舱等领域。</w:t>
      </w:r>
    </w:p>
    <w:p w14:paraId="2B9D063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2.5人工智能机器视觉模块：帧速≧30 FPS，分辨率≧1920*1080P，接口：USB；</w:t>
      </w:r>
    </w:p>
    <w:p w14:paraId="4203785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2.6人工智能多网融合模块：</w:t>
      </w:r>
    </w:p>
    <w:p w14:paraId="1A2D7D93">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（1）M4核心处理器：核心MCU采用基于ARM Cortex-M4内核，32位微控制器STM32F429ZGT6；</w:t>
      </w:r>
    </w:p>
    <w:p w14:paraId="5E37388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（2）≧3.2寸TFT触摸显示屏，分辨率≧320*240，可提供良好的人机交互界面；</w:t>
      </w:r>
    </w:p>
    <w:p w14:paraId="07819CB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（3）无线单元：预留≧4个通用无线模块接口，板载支持ZIGBEE、WIFI、蓝牙、LORA、433等无线模块，可汇聚多种异构网络；</w:t>
      </w:r>
    </w:p>
    <w:p w14:paraId="1265FF5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（4）板载功能：对外TTL串口、232串口、USB转串口等多种通信接口。板载802.11 b/g/n的模组,主频高达580MHz,带WIFI功能和以太网接口。板载嵌入式工业级网关中间件模块，实现UART、Wi-Fi、以太网间的三者互传功能；</w:t>
      </w:r>
    </w:p>
    <w:p w14:paraId="6E022EF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联动存储功能：利用STM32F429其强大处理能力及其自适应实时存储器加速器功能，使得人工智能多网融合模块能实时处理应用层设置的联动信息，将不同联动内容分地址存储，互不干扰。当智能无线节点传送传感器数据到智能异构无线网关时，网关能及时在存储器中查找出对应联动信息，在判断传感器数据后，根据联动信息，控制执行器进行相关联动动作。</w:t>
      </w:r>
    </w:p>
    <w:p w14:paraId="64D0523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（6）IOT中间件：板载802.11 b/g/n的模组,主频高达580MHz,带WIFI功能和以太网接口；板载嵌入式工业级IOT中间件模块，实现UART、Wi-Fi、以太网间的三者互传功能。</w:t>
      </w:r>
    </w:p>
    <w:p w14:paraId="26EF8A8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1）工作模式：透明传输模式、串口指令模式、GPIO模式、HTTPd Client模式</w:t>
      </w:r>
    </w:p>
    <w:p w14:paraId="4EA363B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2）可以同时容纳≧24个客户端同时接入</w:t>
      </w:r>
    </w:p>
    <w:p w14:paraId="6D35668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3）支持AP、STA、AP+STA配网；支持自定义心跳包、套接字分发协议；支持Modbus轮询功能；支持远程升级功能；支持超时重启、定时重启；支持网页、串口AT指令、网路AT指令配置；支持内置天线，传输距离可达280米</w:t>
      </w:r>
    </w:p>
    <w:p w14:paraId="34AB3D5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（7）ZigBee传输模块</w:t>
      </w:r>
    </w:p>
    <w:p w14:paraId="285CBC20">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1）微处理器CC2530F256RHAR；</w:t>
      </w:r>
    </w:p>
    <w:p w14:paraId="08A9CDBA">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2）256KB Flash，</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8KB RAM，2.4GHz(IEEE802．15．4)；</w:t>
      </w:r>
    </w:p>
    <w:p w14:paraId="75461196">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3）内部集成CC2591 PA功率放大模块；</w:t>
      </w:r>
    </w:p>
    <w:p w14:paraId="1C1DB07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4）传输距离可达1km以上；</w:t>
      </w:r>
    </w:p>
    <w:p w14:paraId="3A077A3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5）工业ZigBee集成化解决方案；</w:t>
      </w:r>
    </w:p>
    <w:p w14:paraId="4BE806D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6）传送速率最大250Kbps；通道≧16个可选频段；</w:t>
      </w:r>
    </w:p>
    <w:p w14:paraId="1F5B39C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7）JTAG引出，支持程序调试；板载 2个LED；</w:t>
      </w:r>
    </w:p>
    <w:p w14:paraId="09C5433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8）模块化设计，双排防反插插座；</w:t>
      </w:r>
    </w:p>
    <w:p w14:paraId="6FAF80D8">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（8）WiFi传输模块</w:t>
      </w:r>
    </w:p>
    <w:p w14:paraId="3AEEDAB3">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1）最小的 802.11b/g/n Wi-Fi SOC模块</w:t>
      </w:r>
    </w:p>
    <w:p w14:paraId="7848E528">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2）内置Tensilica L106 超低功耗32位MCU，主频支持 80 MHz和 160 MHz，支持RTOS</w:t>
      </w:r>
    </w:p>
    <w:p w14:paraId="1F8C3176">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3）内置一路10 bit 高精度ADC</w:t>
      </w:r>
    </w:p>
    <w:p w14:paraId="60522E24">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4）支持UART/GPIO/ADC/PWM/IIC 接口</w:t>
      </w:r>
    </w:p>
    <w:p w14:paraId="4BC116B6">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5）采用SMD-22封装</w:t>
      </w:r>
    </w:p>
    <w:p w14:paraId="499112B7">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6）支持多种休眠模式，深度睡眠电流低至20uA</w:t>
      </w:r>
    </w:p>
    <w:p w14:paraId="5D87E51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7）串口速率低至4Mbps</w:t>
      </w:r>
    </w:p>
    <w:p w14:paraId="416BE7A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8）内嵌Lwip协议栈</w:t>
      </w:r>
    </w:p>
    <w:p w14:paraId="63A23AF8">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9）支持 STA/AP/STA+AP 工作模式</w:t>
      </w:r>
    </w:p>
    <w:p w14:paraId="61BD255E">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10）支持安卓、IOS 的 Smart Config（APP）/AirKiss（微信）一键配网</w:t>
      </w:r>
    </w:p>
    <w:p w14:paraId="304F68D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11）支持串口本地升级和远程固件升级（FOTA）</w:t>
      </w:r>
    </w:p>
    <w:p w14:paraId="71766E0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12）通用 AT指令可快速上手</w:t>
      </w:r>
    </w:p>
    <w:p w14:paraId="6766EB0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13）支持二次开发，集成Windows合Linux开发环境</w:t>
      </w:r>
    </w:p>
    <w:p w14:paraId="7253ADF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14）模块化设计，双排防反插插座</w:t>
      </w:r>
    </w:p>
    <w:p w14:paraId="0F465DB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（9）配套黑色有机玻璃罩</w:t>
      </w:r>
    </w:p>
    <w:p w14:paraId="1986D05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2.7人工智能通讯模块：</w:t>
      </w:r>
    </w:p>
    <w:p w14:paraId="63F3415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（1）双MCU设计：无线模块+核心MCU；</w:t>
      </w:r>
    </w:p>
    <w:p w14:paraId="061DA49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（2）无线模块(支持Zigbee、WIFI等)；</w:t>
      </w:r>
    </w:p>
    <w:p w14:paraId="3A40A287">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（3）核心MCU：采用基于ARM Cortex-M3内核，32位微控制器STM32F103ZET6</w:t>
      </w:r>
    </w:p>
    <w:p w14:paraId="5CA7F52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（4）显示单元：≧3.2寸TFT触摸显示屏，分辨率320*240，可提供良好的人机交互界面；</w:t>
      </w:r>
    </w:p>
    <w:p w14:paraId="32759AE9">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（5）板载功能：对外提供多种接口，包括485、CAN、ADC、SPI、PWM、GPIO、UART、IIC等。</w:t>
      </w:r>
    </w:p>
    <w:p w14:paraId="64C4B52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（6）模块的自由切换：通用双排防反插接口，支持ZigBee,WiFi,LoRa等无线模块的自由切换。</w:t>
      </w:r>
    </w:p>
    <w:p w14:paraId="6965C70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（7）配套黑色有机玻璃罩</w:t>
      </w:r>
    </w:p>
    <w:p w14:paraId="0091EE3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AIOT虚拟仿真平台教学知识点互通：与AIOT虚拟仿真设备统一协议互联互通，AIOT虚拟仿真平台的虚拟设备能够完全仿真软硬件模块设备，3D仿真效果硬件模块的外观、接线端口完全一致；真实传感器数据支持接入虚拟仿真互联互通。虚拟仿真平台控制可与真实硬件同步实现控制效果；</w:t>
      </w:r>
    </w:p>
    <w:p w14:paraId="796C085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2.8人工智能感知单元与控制单元：RS485 ModBus温湿度、光照传感器模块；风扇执行器、电磁锁、报警灯模块。</w:t>
      </w:r>
    </w:p>
    <w:p w14:paraId="408A094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2.8.1 RS485 ModBus温湿度传感器</w:t>
      </w:r>
    </w:p>
    <w:p w14:paraId="0A934D1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（1）外壳采用ABS材质</w:t>
      </w:r>
    </w:p>
    <w:p w14:paraId="5001A38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（2）液晶显示器实时显示数据</w:t>
      </w:r>
    </w:p>
    <w:p w14:paraId="69EB5E0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（3）工作电压：10V - 30V DC</w:t>
      </w:r>
    </w:p>
    <w:p w14:paraId="05828F7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（4）最大功耗：0.3W</w:t>
      </w:r>
    </w:p>
    <w:p w14:paraId="7CC714D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（5）输出信号：RS485</w:t>
      </w:r>
    </w:p>
    <w:p w14:paraId="7C78181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（6）响应时间：≤ 15S</w:t>
      </w:r>
    </w:p>
    <w:p w14:paraId="2640C7A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（7）温度长期稳定性：≤ 0.1℃/y</w:t>
      </w:r>
    </w:p>
    <w:p w14:paraId="1E382C6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（8）湿度长期稳定性：≤ 1%RH/y</w:t>
      </w:r>
    </w:p>
    <w:p w14:paraId="6C0C6A5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（9）工作温度：-40℃ T0 +80℃</w:t>
      </w:r>
    </w:p>
    <w:p w14:paraId="3358A6A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（10）温度分辨率：0.1℃</w:t>
      </w:r>
    </w:p>
    <w:p w14:paraId="6AFD67A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（11）湿度分辨率：0.1%RH</w:t>
      </w:r>
    </w:p>
    <w:p w14:paraId="167E1A2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（12）耗电：≤0.15W（12V DC,25℃）</w:t>
      </w:r>
    </w:p>
    <w:p w14:paraId="7EBD411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2.8.2 光照传感器模块</w:t>
      </w:r>
    </w:p>
    <w:p w14:paraId="3D7839F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（1）外壳采用ABS材质，采用防水胶设计。</w:t>
      </w:r>
    </w:p>
    <w:p w14:paraId="4855CFA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（2）工作电压：DC12-24V DC</w:t>
      </w:r>
    </w:p>
    <w:p w14:paraId="1F0C996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（3）耗电：≤ 0.15W（12V DC,25℃）</w:t>
      </w:r>
    </w:p>
    <w:p w14:paraId="4165ECC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（4）光照强度精度：±5%（25℃）</w:t>
      </w:r>
    </w:p>
    <w:p w14:paraId="7E3A028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（5）光照强度：0-65535 Lux</w:t>
      </w:r>
    </w:p>
    <w:p w14:paraId="1281077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（6）长期稳定性：≤5%/y</w:t>
      </w:r>
    </w:p>
    <w:p w14:paraId="7B08EA4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（7）输出信号：RS485</w:t>
      </w:r>
    </w:p>
    <w:p w14:paraId="2011660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（8）工作温度：-10℃ T0 +90℃</w:t>
      </w:r>
    </w:p>
    <w:p w14:paraId="56844DF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2.8.3 风扇执行器</w:t>
      </w:r>
    </w:p>
    <w:p w14:paraId="2CB10A9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（1）内置RGB变色灯，电机采用高品质耐用轴承。</w:t>
      </w:r>
    </w:p>
    <w:p w14:paraId="1EF07D0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（2）工作电压：12 V</w:t>
      </w:r>
    </w:p>
    <w:p w14:paraId="0AFA440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（3）工作原理：磁场电能转化为机械能</w:t>
      </w:r>
    </w:p>
    <w:p w14:paraId="3E106E0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（4）输入信号：开关量</w:t>
      </w:r>
    </w:p>
    <w:p w14:paraId="1759BFD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2.8.4 电磁锁</w:t>
      </w:r>
    </w:p>
    <w:p w14:paraId="69213E8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（1）使用材质：镀镍金属外壳/纯钢线圈。</w:t>
      </w:r>
    </w:p>
    <w:p w14:paraId="3B69577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（2）工作电压：12V/24V </w:t>
      </w:r>
    </w:p>
    <w:p w14:paraId="534DBC4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（3）使用电流：12V/0.4A</w:t>
      </w:r>
    </w:p>
    <w:p w14:paraId="683C211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（4）锁舌行程：≧7mm，锁舌直径≧8mm</w:t>
      </w:r>
    </w:p>
    <w:p w14:paraId="65CF606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（5）锁舌吸力：&lt; 50g</w:t>
      </w:r>
    </w:p>
    <w:p w14:paraId="5FB132F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（6）输入信号：开关量</w:t>
      </w:r>
    </w:p>
    <w:p w14:paraId="2BFD23B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2.8.5 报警灯模块</w:t>
      </w:r>
    </w:p>
    <w:p w14:paraId="29510D1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（1）外壳采用ABS材质</w:t>
      </w:r>
    </w:p>
    <w:p w14:paraId="256FCF6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（2）内置LED灯珠</w:t>
      </w:r>
    </w:p>
    <w:p w14:paraId="4D743DB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（3）工作功率：10W</w:t>
      </w:r>
    </w:p>
    <w:p w14:paraId="7F6F8DA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（4）工作电压：12V</w:t>
      </w:r>
    </w:p>
    <w:p w14:paraId="759973F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（5）输入信号：开关量</w:t>
      </w:r>
    </w:p>
    <w:p w14:paraId="1B039FBB">
      <w:pPr>
        <w:widowControl w:val="0"/>
        <w:kinsoku/>
        <w:autoSpaceDE/>
        <w:autoSpaceDN/>
        <w:spacing w:line="400" w:lineRule="exact"/>
        <w:ind w:firstLine="562" w:firstLineChars="20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符合2024年陕西省职业院校技能大赛人工智能技术应用赛项竞赛规程技术要求</w:t>
      </w:r>
    </w:p>
    <w:p w14:paraId="75139548">
      <w:pPr>
        <w:widowControl w:val="0"/>
        <w:kinsoku/>
        <w:autoSpaceDE/>
        <w:autoSpaceDN/>
        <w:adjustRightInd/>
        <w:snapToGrid/>
        <w:spacing w:before="120" w:beforeLines="50" w:after="120" w:afterLines="50" w:line="400" w:lineRule="exact"/>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二、人工智能实训软件</w:t>
      </w:r>
    </w:p>
    <w:p w14:paraId="0B52EEE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1.软件部分出厂预装操作系统，如ubuntu18，系统内集成linux操作系统环境、python3.7、OpenCV3.0、tensorflow2.0、pytorch1.8等多个主流深度学习框架，帮助用户搭建人工智能一体化的开发环境。</w:t>
      </w:r>
    </w:p>
    <w:p w14:paraId="07A3142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2.平台具备较好的兼容性和安全认证，可兼容百度AI云、阿里云、华为云、科大讯飞AI等。</w:t>
      </w:r>
    </w:p>
    <w:p w14:paraId="164974B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3.兼容Caffe/TensorFlow/MXNet训练模型和API，可以让学生对机器视觉的流程、处理方式等有更好的了解，熟悉相关算法，了解实际应用场景，贴近工程化应用。</w:t>
      </w:r>
    </w:p>
    <w:p w14:paraId="1B0F41B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4.配套Python编程、机器学习、深度学习、数字图像处理、计算机视觉、语音识别、嵌入式系统及应用等课程或知识点的教学内容。</w:t>
      </w:r>
    </w:p>
    <w:p w14:paraId="3358A38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3.5 平台内置jupyter编程环境，集成人工智能深度学习所需的环境资源库，用户可在编程环境中自由创建文件、修改文件、提交文件，同一用户的不同环境相互独立，不同课程任务可调度不同的运行环境；编程环境可实时运行查看反馈结果，并具备代码运行错误的提供功能。</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xml:space="preserve">    5.人工智能虚拟仿真</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xml:space="preserve">    5.1整体要求</w:t>
      </w:r>
    </w:p>
    <w:p w14:paraId="6A87608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平台能够满足学生通过软件模拟学习IOT感知层的硬件设备，是纯软件系统，可直接部署在教学机房或学生自己的电脑上，具备较强的灵活性。能够在软件环境下进行WSN智能节点模块组网学习、RFID射频识别技术、单片机与传感器开发技术、嵌入式等各种设备的仿真实验。上位机程序可以操作真实的硬件设备，也可以操作虚拟仿真设备，通过软件模拟出来的设备具有和真实设备完全一致的特性及接口。</w:t>
      </w:r>
    </w:p>
    <w:p w14:paraId="668E914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（2）支持三维实物建模、IOT器件接线：</w:t>
      </w:r>
    </w:p>
    <w:p w14:paraId="06691FA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实验仪器设备建模，采用三维实物建模，与真实仪器外观比例基本一致，支持360度任意角度选择观看，可操作接线端、开关、按钮等均与实物操作一致，能够清晰的展示仪器的结构与细节，便于直观的认知与体验，更好的与实物相结合；软件设置了画线布线功能，实时验证，确保连线正确，可在硬件连接前做评估。</w:t>
      </w:r>
    </w:p>
    <w:p w14:paraId="09EFF3A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（3）支持虚拟器件和实际器件融合交互</w:t>
      </w:r>
    </w:p>
    <w:p w14:paraId="5562368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平台上位机程序可以操作真实的硬件设备，也可以操作虚拟仿真中的仿真设备，通过软件模拟出来的设备具有和真实设备完全一致的特性及接口。本系统采用C/S架构，通过Socket方式实现与外围设备通讯。仿真设备的数据接口与真实设备完全一致，从而使仿真设备可以完全替代真实设备。平台能够虚拟不同应用场景，并支持相应的创新开发；仿真实验提供仿真实验与硬件实验的数据互联，实现联动操作，在仿真实验中的操作可直接控制硬件部分动作。</w:t>
      </w:r>
    </w:p>
    <w:p w14:paraId="33D317D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（4）支持每个模块的3D模型知识点教学</w:t>
      </w:r>
    </w:p>
    <w:p w14:paraId="44454B9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D建模虚拟仿真实验环境构建，包含实验桌、实验室内部墙面、窗户，实验室外部建筑、树木、花草、阳光等；且能根据系统时间模拟环境光线，更逼真形象；系统里每个部件都做了3D模型。用户通过点击3D布线项目中的模块，便可以出现对应的3D模型（传感器、执行器、通讯模块、网关等）配套教程，学习相关知识点。比如：1个工业二氧化碳传感器，学生要知道它的形状、接口、性能及各种参数的学习。</w:t>
      </w:r>
    </w:p>
    <w:p w14:paraId="3171050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（5）支持多种通讯协议配置</w:t>
      </w:r>
    </w:p>
    <w:p w14:paraId="57DB4B2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硬件布线完成后，需要正确理解配置软件种设备模块的RS485、ZigBee、Bluetooth4.0、LoRa、NBIOT等底层通讯协议，通过软件模拟测试协议的正确性。</w:t>
      </w:r>
    </w:p>
    <w:p w14:paraId="12DE7D3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5.2 平台功能要求：</w:t>
      </w:r>
    </w:p>
    <w:p w14:paraId="7C77933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设备种类要求：仿真系统采用三维动画仿真技术，可仿真原理演示、实验电路搭建调试、实验操作运行演示等功能，清晰易于理解掌握。原理展示与仿真操作相结合，提高学习兴趣强化学习效果。</w:t>
      </w:r>
    </w:p>
    <w:p w14:paraId="1257305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该平台能够虚拟出如下设备，以满足教学使用。</w:t>
      </w:r>
    </w:p>
    <w:p w14:paraId="35E7775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（1）要求每个模拟的设备模块化处理，实现对设备所有接口的完整仿真；</w:t>
      </w:r>
    </w:p>
    <w:p w14:paraId="0BDB163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（2）电源：5V2A、12V1A、24V、9V1.5A等；</w:t>
      </w:r>
    </w:p>
    <w:p w14:paraId="6EF0C16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（3）智能节点模块：STM32智能无线节点、ZigBee/WiFi等无线模块、下载仿真器、调试开发工具等；</w:t>
      </w:r>
    </w:p>
    <w:p w14:paraId="253882C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传感器模块：温湿度、雨雪、风速、风向、温湿度传感器、烟雾传感器、大气压传感器、光照传感器、CO2传感器、人体感应传感器、红外对射、门磁报警器、13.56M读卡器、900M读卡器、舵机控制器、多通道读卡器、土壤湿度、土壤温度、土壤盐分、PH值等不低于20种传感器</w:t>
      </w:r>
    </w:p>
    <w:p w14:paraId="03FEF26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（5）控制器模块：风扇、灯光、电磁锁、电动窗帘等不低于10种控制器等；</w:t>
      </w:r>
    </w:p>
    <w:p w14:paraId="66A5290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（6）中间件模块：支持脱离Android网关，离线逻辑控制功能；</w:t>
      </w:r>
    </w:p>
    <w:p w14:paraId="6924282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（7）Android网关：支持Android软件界面操作动画过程；</w:t>
      </w:r>
    </w:p>
    <w:p w14:paraId="2B24E02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5.3 实验内容要求：</w:t>
      </w:r>
    </w:p>
    <w:p w14:paraId="40B8AB7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所有实验均集成在虚拟仿真内部3D展现实验，实验器材及展览（不低于30个真实硬件建模）：</w:t>
      </w:r>
    </w:p>
    <w:p w14:paraId="07969F8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（1）公共基础共用（智能节点、网关、中间件）</w:t>
      </w:r>
    </w:p>
    <w:p w14:paraId="38734A8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（2）智慧气象实验单元器材展示</w:t>
      </w:r>
    </w:p>
    <w:p w14:paraId="39FEC4E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温湿度、风扇、大气压力、光照、风速、</w:t>
      </w:r>
    </w:p>
    <w:p w14:paraId="7DD4C40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风向、雨雪、声光报警灯传感器与执行器</w:t>
      </w:r>
    </w:p>
    <w:p w14:paraId="6671593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（3）智能门禁实验单元器材展示</w:t>
      </w:r>
    </w:p>
    <w:p w14:paraId="2579A6E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13.56M-RFID读卡器、门磁感应、</w:t>
      </w:r>
    </w:p>
    <w:p w14:paraId="470567D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多普勒人体感应、电磁锁传感器与执行器</w:t>
      </w:r>
    </w:p>
    <w:p w14:paraId="356CFD6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（4）智能安防实验单元器材展示</w:t>
      </w:r>
    </w:p>
    <w:p w14:paraId="3142BDB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紧急按钮、红外对射、烟雾、燃气报警</w:t>
      </w:r>
    </w:p>
    <w:p w14:paraId="68744EF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背景音乐与喇叭、声光报警灯传感器与执行器</w:t>
      </w:r>
    </w:p>
    <w:p w14:paraId="5106833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（5）智能交通实验单元器材展示</w:t>
      </w:r>
    </w:p>
    <w:p w14:paraId="01E4D03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90OM-RFID读卡器、舵机、交通灯传感器与执行器</w:t>
      </w:r>
    </w:p>
    <w:p w14:paraId="4215864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（6）智能家居实验单元器材展示</w:t>
      </w:r>
    </w:p>
    <w:p w14:paraId="4ECD54F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温湿度、燃气传感器、光照、墙面智能插座</w:t>
      </w:r>
    </w:p>
    <w:p w14:paraId="3642872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220V排气扇、调光灯、红外发射器传感器与执行器</w:t>
      </w:r>
    </w:p>
    <w:p w14:paraId="3147350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（7）智慧商场实验单元器材展示</w:t>
      </w:r>
    </w:p>
    <w:p w14:paraId="13C9922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多通道读卡器、多通道天线、RFID卡</w:t>
      </w:r>
    </w:p>
    <w:p w14:paraId="36F7ADE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（8）智能农业实验单元器材展示</w:t>
      </w:r>
    </w:p>
    <w:p w14:paraId="56D6DC9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二氧化碳、酸碱度PH、土壤温湿度</w:t>
      </w:r>
    </w:p>
    <w:p w14:paraId="0BDA7C9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盐分、风扇、自动灌溉喷淋传感器与执行器</w:t>
      </w:r>
    </w:p>
    <w:p w14:paraId="57EB0CA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（9）智能抄表实验单元器材展示</w:t>
      </w:r>
    </w:p>
    <w:p w14:paraId="6F51C51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智能气表、智能电表、智能水表传感器</w:t>
      </w:r>
    </w:p>
    <w:p w14:paraId="2F034D2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（10）3D虚拟仿真-单片机与STM32 实验</w:t>
      </w:r>
    </w:p>
    <w:p w14:paraId="2CB317B3">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KEIL UVISION 工程环境建立</w:t>
      </w:r>
    </w:p>
    <w:p w14:paraId="6DA0FBA7">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 口驱动LED 实验</w:t>
      </w:r>
    </w:p>
    <w:p w14:paraId="53E31666">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串口通信实验</w:t>
      </w:r>
    </w:p>
    <w:p w14:paraId="49DF3413">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液晶显示实验</w:t>
      </w:r>
    </w:p>
    <w:p w14:paraId="12DDA1C2">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ADC 采集实验</w:t>
      </w:r>
    </w:p>
    <w:p w14:paraId="5B9355AF">
      <w:pPr>
        <w:widowControl w:val="0"/>
        <w:numPr>
          <w:ilvl w:val="0"/>
          <w:numId w:val="2"/>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定时器实验</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xml:space="preserve">   （11）3D虚拟仿真-STM32传感器编程实验</w:t>
      </w:r>
    </w:p>
    <w:p w14:paraId="3E4AFBFB">
      <w:pPr>
        <w:widowControl w:val="0"/>
        <w:numPr>
          <w:ilvl w:val="0"/>
          <w:numId w:val="3"/>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智慧气象实验单元传感器编程实验</w:t>
      </w:r>
    </w:p>
    <w:p w14:paraId="5DB1AB1E">
      <w:pPr>
        <w:widowControl w:val="0"/>
        <w:numPr>
          <w:ilvl w:val="0"/>
          <w:numId w:val="3"/>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温湿度、风扇、大气压力、光照、风速、</w:t>
      </w:r>
    </w:p>
    <w:p w14:paraId="03FE7D10">
      <w:pPr>
        <w:widowControl w:val="0"/>
        <w:numPr>
          <w:ilvl w:val="0"/>
          <w:numId w:val="3"/>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风向、雨雪、声光报警灯传感器与执行器</w:t>
      </w:r>
    </w:p>
    <w:p w14:paraId="55107626">
      <w:pPr>
        <w:widowControl w:val="0"/>
        <w:numPr>
          <w:ilvl w:val="0"/>
          <w:numId w:val="3"/>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智能门禁实验单元传感器编程实验</w:t>
      </w:r>
    </w:p>
    <w:p w14:paraId="73917781">
      <w:pPr>
        <w:widowControl w:val="0"/>
        <w:numPr>
          <w:ilvl w:val="0"/>
          <w:numId w:val="3"/>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13.56M-RFID读卡器、门磁感应、</w:t>
      </w:r>
    </w:p>
    <w:p w14:paraId="2EA278B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6）多普勒人体感应、电磁锁传感器与执行器</w:t>
      </w:r>
    </w:p>
    <w:p w14:paraId="29FCD64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7）智能安防实验单元传感器编程实验</w:t>
      </w:r>
    </w:p>
    <w:p w14:paraId="63B5093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8）紧急按钮、红外对射、烟雾、燃气报警</w:t>
      </w:r>
    </w:p>
    <w:p w14:paraId="332EFE9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9）背景音乐与喇叭、声光报警灯传感器与执行器</w:t>
      </w:r>
    </w:p>
    <w:p w14:paraId="2CE898A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10）智能交通实验单元传感器编程实验</w:t>
      </w:r>
    </w:p>
    <w:p w14:paraId="72351D4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11）90OM-RFID读卡器、舵机、交通灯传感器与执行器</w:t>
      </w:r>
    </w:p>
    <w:p w14:paraId="7AB1FC9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12）智能家居实验单元传感器编程实验</w:t>
      </w:r>
    </w:p>
    <w:p w14:paraId="19353E1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13）温湿度、燃气传感器、光照、墙面智能插座</w:t>
      </w:r>
    </w:p>
    <w:p w14:paraId="2A9C12EF">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14）220V排气扇、调光灯、红外发射器传感器与执行器</w:t>
      </w:r>
    </w:p>
    <w:p w14:paraId="408F2A1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 智慧商场实验单元传感器编程实验</w:t>
      </w:r>
    </w:p>
    <w:p w14:paraId="4F4EE1A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 多通道读卡器、多通道天线、RFID卡</w:t>
      </w:r>
    </w:p>
    <w:p w14:paraId="203415C5">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17) 智能农业实验单元传感器编程实验</w:t>
      </w:r>
    </w:p>
    <w:p w14:paraId="0933E65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18) 二氧化碳、酸碱度PH、土壤温湿度</w:t>
      </w:r>
    </w:p>
    <w:p w14:paraId="2718147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19) 盐分、风扇、自动灌溉喷淋传感器与执行器</w:t>
      </w:r>
    </w:p>
    <w:p w14:paraId="61D5B49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20) 智能抄表实验单元传感器编程实验</w:t>
      </w:r>
    </w:p>
    <w:p w14:paraId="5E7D7711">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 智能气表、智能电表、智能水表传感器</w:t>
      </w:r>
    </w:p>
    <w:p w14:paraId="0E4DB73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（12）3D虚拟仿真-组网实验</w:t>
      </w:r>
    </w:p>
    <w:p w14:paraId="5679C1D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 ZigBee组网配置实验 </w:t>
      </w:r>
    </w:p>
    <w:p w14:paraId="180E5CA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 ZigBee组网传感器采集实验</w:t>
      </w:r>
    </w:p>
    <w:p w14:paraId="7A053CB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3) WiFi组网配置实验 </w:t>
      </w:r>
    </w:p>
    <w:p w14:paraId="35F66430">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 WiFi组网传感器采集实验</w:t>
      </w:r>
    </w:p>
    <w:p w14:paraId="486E521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（13）3D虚拟仿真-系统集成实验</w:t>
      </w:r>
    </w:p>
    <w:p w14:paraId="4B500F3A">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智慧气象实验单元搭建</w:t>
      </w:r>
    </w:p>
    <w:p w14:paraId="5964F9DD">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智能门禁实验单元搭建</w:t>
      </w:r>
    </w:p>
    <w:p w14:paraId="11D26C4E">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智能安防实验单元搭建</w:t>
      </w:r>
    </w:p>
    <w:p w14:paraId="509197B8">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智能交通实验单元搭建</w:t>
      </w:r>
    </w:p>
    <w:p w14:paraId="7C764E33">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智能家居实验单元搭建</w:t>
      </w:r>
    </w:p>
    <w:p w14:paraId="61A2EAFE">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智慧商场实验单元搭建</w:t>
      </w:r>
    </w:p>
    <w:p w14:paraId="421E04D7">
      <w:pPr>
        <w:widowControl w:val="0"/>
        <w:numPr>
          <w:ilvl w:val="0"/>
          <w:numId w:val="4"/>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智能农业实验单元搭建</w:t>
      </w:r>
    </w:p>
    <w:p w14:paraId="14AC7B88">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rPr>
        <w:t>）3D虚拟仿真-Android Studio开发实验</w:t>
      </w:r>
    </w:p>
    <w:p w14:paraId="380BD890">
      <w:pPr>
        <w:widowControl w:val="0"/>
        <w:numPr>
          <w:ilvl w:val="0"/>
          <w:numId w:val="5"/>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Android Studio开发环境的搭建</w:t>
      </w:r>
    </w:p>
    <w:p w14:paraId="397FE315">
      <w:pPr>
        <w:widowControl w:val="0"/>
        <w:numPr>
          <w:ilvl w:val="0"/>
          <w:numId w:val="5"/>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新建工程、调试、发布应用</w:t>
      </w:r>
    </w:p>
    <w:p w14:paraId="7A375D24">
      <w:pPr>
        <w:widowControl w:val="0"/>
        <w:numPr>
          <w:ilvl w:val="0"/>
          <w:numId w:val="5"/>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IOT综合示例-传感器采集</w:t>
      </w:r>
    </w:p>
    <w:p w14:paraId="38FD16FA">
      <w:pPr>
        <w:widowControl w:val="0"/>
        <w:numPr>
          <w:ilvl w:val="0"/>
          <w:numId w:val="5"/>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IOT综合示例-控制器控制</w:t>
      </w:r>
    </w:p>
    <w:p w14:paraId="60675A0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（15）3D虚拟仿真- C# IOT应用开发实验</w:t>
      </w:r>
    </w:p>
    <w:p w14:paraId="77F66768">
      <w:pPr>
        <w:widowControl w:val="0"/>
        <w:numPr>
          <w:ilvl w:val="0"/>
          <w:numId w:val="6"/>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开发环境VisualStudio搭建</w:t>
      </w:r>
    </w:p>
    <w:p w14:paraId="42E9F3F2">
      <w:pPr>
        <w:widowControl w:val="0"/>
        <w:numPr>
          <w:ilvl w:val="0"/>
          <w:numId w:val="6"/>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新建工程、调试、发布应用</w:t>
      </w:r>
    </w:p>
    <w:p w14:paraId="24406BCC">
      <w:pPr>
        <w:widowControl w:val="0"/>
        <w:numPr>
          <w:ilvl w:val="0"/>
          <w:numId w:val="6"/>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C# 综合示例代码解析</w:t>
      </w:r>
    </w:p>
    <w:p w14:paraId="567445A1">
      <w:pPr>
        <w:widowControl w:val="0"/>
        <w:numPr>
          <w:ilvl w:val="0"/>
          <w:numId w:val="6"/>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IOT综合示例-传感器采集</w:t>
      </w:r>
    </w:p>
    <w:p w14:paraId="45A00722">
      <w:pPr>
        <w:widowControl w:val="0"/>
        <w:numPr>
          <w:ilvl w:val="0"/>
          <w:numId w:val="6"/>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IOT综合示例-控制器控制</w:t>
      </w:r>
    </w:p>
    <w:p w14:paraId="273E6E6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（16）3D虚拟仿真-IOT综合应用案例（选配）</w:t>
      </w:r>
    </w:p>
    <w:p w14:paraId="211F4BF4">
      <w:pPr>
        <w:widowControl w:val="0"/>
        <w:numPr>
          <w:ilvl w:val="0"/>
          <w:numId w:val="7"/>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IOT应用之Android智能农业环境调节应用案例</w:t>
      </w:r>
    </w:p>
    <w:p w14:paraId="48B188E3">
      <w:pPr>
        <w:widowControl w:val="0"/>
        <w:numPr>
          <w:ilvl w:val="0"/>
          <w:numId w:val="7"/>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IOT应用之Android智能家居安防提醒应用案例</w:t>
      </w:r>
    </w:p>
    <w:p w14:paraId="5DDD3D9C">
      <w:pPr>
        <w:widowControl w:val="0"/>
        <w:numPr>
          <w:ilvl w:val="0"/>
          <w:numId w:val="7"/>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IOT应用之Android智能家居RFID门禁应用案例</w:t>
      </w:r>
    </w:p>
    <w:p w14:paraId="0B917F03">
      <w:pPr>
        <w:widowControl w:val="0"/>
        <w:numPr>
          <w:ilvl w:val="0"/>
          <w:numId w:val="7"/>
        </w:numPr>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IOT应用之Android智能家居控制电器应用案例</w:t>
      </w:r>
    </w:p>
    <w:p w14:paraId="67C25ACC">
      <w:pPr>
        <w:widowControl w:val="0"/>
        <w:numPr>
          <w:ilvl w:val="0"/>
          <w:numId w:val="7"/>
        </w:numPr>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IOT应用之Android智能家居灯光调节应用案例</w:t>
      </w:r>
    </w:p>
    <w:p w14:paraId="2622339B">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5.4 综合应用开发实验资源</w:t>
      </w:r>
    </w:p>
    <w:p w14:paraId="09227F9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（1）智能农业虚拟仿真系统（选配）</w:t>
      </w:r>
    </w:p>
    <w:p w14:paraId="0B850212">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仿真智能农业中无线传感网的各种传感设备，包括空气温湿度、土壤水分、土壤温度、光照度、二氧化碳浓度，仿真智能农业生产环境控制设备，仿真：通风设备、灌溉设备、遮阳帘等，学生可以通过移动端的开发采集仿真系统中的数据，并可以控制仿真系统中的相应设备的开关。</w:t>
      </w:r>
    </w:p>
    <w:p w14:paraId="08AD33F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（2）智能家居虚拟仿真系统（选配）</w:t>
      </w:r>
    </w:p>
    <w:p w14:paraId="77AEA8B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本实验在智能家居虚拟仿真环境下进行，提供智能家居设备的认知、功能的操作以及应用开发等实验内容。包括如下内容：智能家居网关、智能开关 、智能插座、红外转发器、窗帘控制器等设备以及配套的控制软件。</w:t>
      </w:r>
    </w:p>
    <w:p w14:paraId="028BAAEF">
      <w:pPr>
        <w:pStyle w:val="17"/>
        <w:widowControl w:val="0"/>
        <w:kinsoku/>
        <w:autoSpaceDE/>
        <w:autoSpaceDN/>
        <w:spacing w:after="0" w:line="400" w:lineRule="exact"/>
        <w:ind w:left="0" w:leftChars="0" w:firstLine="56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实验设计本着 “虚实结合”的原则进行设计，所有仿真的设备均按照真实设备外观及开发接口进行，学生的学习或教师的科研成果均可无缝移植到真实的硬件设备之中。</w:t>
      </w:r>
    </w:p>
    <w:p w14:paraId="432951B0">
      <w:pPr>
        <w:pStyle w:val="17"/>
        <w:widowControl w:val="0"/>
        <w:kinsoku/>
        <w:autoSpaceDE/>
        <w:autoSpaceDN/>
        <w:spacing w:after="0" w:line="400" w:lineRule="exact"/>
        <w:ind w:left="0" w:leftChars="0" w:firstLine="562"/>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符合2024年陕西省职业院校技能大赛人工智能技术应用赛项竞赛规程技术要求</w:t>
      </w:r>
    </w:p>
    <w:p w14:paraId="232FB5FE">
      <w:pPr>
        <w:pStyle w:val="17"/>
        <w:widowControl w:val="0"/>
        <w:kinsoku/>
        <w:autoSpaceDE/>
        <w:autoSpaceDN/>
        <w:adjustRightInd/>
        <w:snapToGrid/>
        <w:spacing w:before="120" w:beforeLines="50" w:afterLines="50" w:line="400" w:lineRule="exact"/>
        <w:ind w:left="0" w:leftChars="0" w:firstLine="0" w:firstLineChars="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三、专业配套工作站</w:t>
      </w:r>
    </w:p>
    <w:p w14:paraId="78658EB6">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1、内存：≥16G 3200MHz UDIMM，插槽：≥4个，最大可支持128GB内存</w:t>
      </w:r>
    </w:p>
    <w:p w14:paraId="6B20DA3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2、硬盘：≥256G M.2SSD+1T，</w:t>
      </w:r>
    </w:p>
    <w:p w14:paraId="66608B28">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3、显卡：配置RTX3060 12G独显</w:t>
      </w:r>
    </w:p>
    <w:p w14:paraId="20C75E44">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4、网卡：集成千兆以太网卡</w:t>
      </w:r>
    </w:p>
    <w:p w14:paraId="1B781D4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5、声卡：集成声卡，立体声+麦克风</w:t>
      </w:r>
    </w:p>
    <w:p w14:paraId="6A08576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6、光驱：无光驱</w:t>
      </w:r>
    </w:p>
    <w:p w14:paraId="5D0DFB1C">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7、电源：配置≥500W ， </w:t>
      </w:r>
    </w:p>
    <w:p w14:paraId="7C674233">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8、显示器：Think 21.5显示器</w:t>
      </w:r>
    </w:p>
    <w:p w14:paraId="2063A759">
      <w:pPr>
        <w:pStyle w:val="17"/>
        <w:widowControl w:val="0"/>
        <w:kinsoku/>
        <w:autoSpaceDE/>
        <w:autoSpaceDN/>
        <w:spacing w:after="0" w:line="400" w:lineRule="exact"/>
        <w:ind w:left="0" w:leftChars="0" w:firstLine="562"/>
        <w:jc w:val="both"/>
        <w:textAlignment w:val="auto"/>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人工智能实训平台配套专业工作站</w:t>
      </w:r>
    </w:p>
    <w:p w14:paraId="2A17CEE2">
      <w:pPr>
        <w:pStyle w:val="17"/>
        <w:widowControl w:val="0"/>
        <w:kinsoku/>
        <w:autoSpaceDE/>
        <w:autoSpaceDN/>
        <w:adjustRightInd/>
        <w:snapToGrid/>
        <w:spacing w:before="120" w:beforeLines="50" w:after="0" w:line="400" w:lineRule="exact"/>
        <w:ind w:left="0" w:leftChars="0" w:firstLine="0" w:firstLineChars="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集成配套工作站</w:t>
      </w:r>
    </w:p>
    <w:p w14:paraId="6E688DDD">
      <w:pPr>
        <w:widowControl w:val="0"/>
        <w:kinsoku/>
        <w:autoSpaceDE/>
        <w:autoSpaceDN/>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1、主板：Intel Q670，支持TPM 2.0安全芯片</w:t>
      </w:r>
    </w:p>
    <w:p w14:paraId="3C17485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2、内存：16G 3200MHz UDIMM，插槽：≥4个，最大可支持128GB内存</w:t>
      </w:r>
    </w:p>
    <w:p w14:paraId="643F8247">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3、硬盘：≧1T，</w:t>
      </w:r>
    </w:p>
    <w:p w14:paraId="7375D8F9">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4、显卡：1650 ≧4G独显</w:t>
      </w:r>
    </w:p>
    <w:p w14:paraId="0B11B9FA">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5、网卡：集成千兆以太网卡</w:t>
      </w:r>
    </w:p>
    <w:p w14:paraId="4218667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6、声卡：集成声卡，立体声+麦克风</w:t>
      </w:r>
    </w:p>
    <w:p w14:paraId="3D20ABDE">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7、光驱：无光驱</w:t>
      </w:r>
    </w:p>
    <w:p w14:paraId="296E310D">
      <w:pPr>
        <w:widowControl w:val="0"/>
        <w:kinsoku/>
        <w:autoSpaceDE/>
        <w:autoSpaceDN/>
        <w:spacing w:line="40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8、电源：配置300W</w:t>
      </w:r>
    </w:p>
    <w:p w14:paraId="035C8B8E">
      <w:pPr>
        <w:pStyle w:val="17"/>
        <w:widowControl w:val="0"/>
        <w:kinsoku/>
        <w:autoSpaceDE/>
        <w:autoSpaceDN/>
        <w:spacing w:after="0" w:line="400" w:lineRule="exact"/>
        <w:ind w:left="0" w:leftChars="0" w:firstLine="562"/>
        <w:jc w:val="both"/>
        <w:textAlignment w:val="auto"/>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人工智能实训平台配套集成工作站</w:t>
      </w:r>
    </w:p>
    <w:p w14:paraId="1062732C">
      <w:pPr>
        <w:pStyle w:val="17"/>
        <w:widowControl w:val="0"/>
        <w:kinsoku/>
        <w:autoSpaceDE/>
        <w:autoSpaceDN/>
        <w:adjustRightInd/>
        <w:snapToGrid/>
        <w:spacing w:before="120" w:beforeLines="50" w:after="0" w:line="400" w:lineRule="exact"/>
        <w:ind w:left="0" w:leftChars="0" w:firstLine="0" w:firstLineChars="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五、人工智能实训设备展台</w:t>
      </w:r>
    </w:p>
    <w:p w14:paraId="2BE91562">
      <w:pPr>
        <w:pStyle w:val="17"/>
        <w:widowControl w:val="0"/>
        <w:kinsoku/>
        <w:autoSpaceDE/>
        <w:autoSpaceDN/>
        <w:adjustRightInd/>
        <w:snapToGrid/>
        <w:spacing w:after="0" w:line="400" w:lineRule="exact"/>
        <w:ind w:left="0" w:leftChars="0" w:firstLine="56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尺寸：≥1800*600*750 mm</w:t>
      </w:r>
    </w:p>
    <w:p w14:paraId="27E6257F">
      <w:pPr>
        <w:pStyle w:val="17"/>
        <w:widowControl w:val="0"/>
        <w:kinsoku/>
        <w:autoSpaceDE/>
        <w:autoSpaceDN/>
        <w:adjustRightInd/>
        <w:snapToGrid/>
        <w:spacing w:after="0" w:line="400" w:lineRule="exact"/>
        <w:ind w:left="0" w:leftChars="0" w:firstLine="56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材质：烤漆高密度板</w:t>
      </w:r>
    </w:p>
    <w:p w14:paraId="43394B42">
      <w:pPr>
        <w:pStyle w:val="17"/>
        <w:widowControl w:val="0"/>
        <w:kinsoku/>
        <w:autoSpaceDE/>
        <w:autoSpaceDN/>
        <w:adjustRightInd/>
        <w:snapToGrid/>
        <w:spacing w:after="0" w:line="400" w:lineRule="exact"/>
        <w:ind w:left="0" w:leftChars="0" w:firstLine="56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灯光：双面带冰蓝色灯</w:t>
      </w:r>
    </w:p>
    <w:p w14:paraId="0808FFD1">
      <w:pPr>
        <w:pStyle w:val="17"/>
        <w:widowControl w:val="0"/>
        <w:kinsoku/>
        <w:autoSpaceDE/>
        <w:autoSpaceDN/>
        <w:adjustRightInd/>
        <w:snapToGrid/>
        <w:spacing w:after="0" w:line="400" w:lineRule="exact"/>
        <w:ind w:left="0" w:leftChars="0" w:firstLine="56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供电： AC 220V</w:t>
      </w:r>
    </w:p>
    <w:p w14:paraId="5C4AAA6C">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778E599">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40CFBC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1247315">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E5FF2C1">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1F08EF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4AA2E37">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FBBD78F">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4497227">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0ACF68B">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67B0B0F">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964331E">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409B242">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30855D4">
      <w:pPr>
        <w:pStyle w:val="17"/>
        <w:rPr>
          <w:color w:val="auto"/>
          <w:lang w:eastAsia="zh-CN"/>
        </w:rPr>
      </w:pPr>
    </w:p>
    <w:p w14:paraId="21D1ADA3">
      <w:pPr>
        <w:pStyle w:val="17"/>
        <w:rPr>
          <w:color w:val="auto"/>
          <w:lang w:eastAsia="zh-CN"/>
        </w:rPr>
      </w:pPr>
    </w:p>
    <w:p w14:paraId="03FF175E">
      <w:pPr>
        <w:pStyle w:val="17"/>
        <w:rPr>
          <w:color w:val="auto"/>
          <w:lang w:eastAsia="zh-CN"/>
        </w:rPr>
      </w:pPr>
    </w:p>
    <w:p w14:paraId="6C3019C2">
      <w:pPr>
        <w:pStyle w:val="17"/>
        <w:rPr>
          <w:color w:val="auto"/>
          <w:lang w:eastAsia="zh-CN"/>
        </w:rPr>
      </w:pPr>
    </w:p>
    <w:p w14:paraId="0C59128D">
      <w:pPr>
        <w:pStyle w:val="17"/>
        <w:rPr>
          <w:color w:val="auto"/>
          <w:lang w:eastAsia="zh-CN"/>
        </w:rPr>
      </w:pPr>
    </w:p>
    <w:p w14:paraId="5029746D">
      <w:pPr>
        <w:pStyle w:val="17"/>
        <w:rPr>
          <w:color w:val="auto"/>
          <w:lang w:eastAsia="zh-CN"/>
        </w:rPr>
      </w:pPr>
    </w:p>
    <w:p w14:paraId="61646531">
      <w:pPr>
        <w:pStyle w:val="17"/>
        <w:rPr>
          <w:color w:val="auto"/>
          <w:lang w:eastAsia="zh-CN"/>
        </w:rPr>
      </w:pPr>
    </w:p>
    <w:p w14:paraId="638B02B5">
      <w:pPr>
        <w:spacing w:before="63" w:line="224" w:lineRule="auto"/>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6F3C7E5">
      <w:pPr>
        <w:spacing w:before="63" w:line="224" w:lineRule="auto"/>
        <w:ind w:left="1932"/>
        <w:outlineLvl w:val="0"/>
        <w:rPr>
          <w:rFonts w:ascii="宋体" w:hAnsi="宋体" w:eastAsia="宋体" w:cs="宋体"/>
          <w:color w:val="auto"/>
          <w:sz w:val="31"/>
          <w:szCs w:val="31"/>
          <w:lang w:eastAsia="zh-CN"/>
        </w:rPr>
      </w:pPr>
      <w:r>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第五章</w:t>
      </w:r>
      <w:r>
        <w:rPr>
          <w:rFonts w:ascii="宋体" w:hAnsi="宋体" w:eastAsia="宋体" w:cs="宋体"/>
          <w:color w:val="auto"/>
          <w:spacing w:val="9"/>
          <w:sz w:val="31"/>
          <w:szCs w:val="31"/>
          <w:lang w:eastAsia="zh-CN"/>
        </w:rPr>
        <w:t xml:space="preserve">  </w:t>
      </w:r>
      <w:r>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磋商响应文件基本格式</w:t>
      </w:r>
    </w:p>
    <w:p w14:paraId="31489CD8">
      <w:pPr>
        <w:spacing w:before="55" w:line="219" w:lineRule="auto"/>
        <w:rPr>
          <w:rFonts w:ascii="宋体" w:hAnsi="宋体" w:eastAsia="宋体" w:cs="宋体"/>
          <w:color w:val="auto"/>
          <w:sz w:val="28"/>
          <w:szCs w:val="28"/>
          <w:lang w:eastAsia="zh-CN"/>
          <w14:textOutline w14:w="5105" w14:cap="sq" w14:cmpd="sng" w14:algn="ctr">
            <w14:solidFill>
              <w14:srgbClr w14:val="000000"/>
            </w14:solidFill>
            <w14:prstDash w14:val="solid"/>
            <w14:bevel/>
          </w14:textOutline>
        </w:rPr>
      </w:pPr>
    </w:p>
    <w:p w14:paraId="49B5DF96">
      <w:pPr>
        <w:spacing w:before="55" w:line="219" w:lineRule="auto"/>
        <w:rPr>
          <w:rFonts w:ascii="宋体" w:hAnsi="宋体" w:eastAsia="宋体" w:cs="宋体"/>
          <w:color w:val="auto"/>
          <w:sz w:val="28"/>
          <w:szCs w:val="28"/>
          <w:lang w:eastAsia="zh-CN"/>
          <w14:textOutline w14:w="5105" w14:cap="sq" w14:cmpd="sng" w14:algn="ctr">
            <w14:solidFill>
              <w14:srgbClr w14:val="000000"/>
            </w14:solidFill>
            <w14:prstDash w14:val="solid"/>
            <w14:bevel/>
          </w14:textOutline>
        </w:rPr>
      </w:pPr>
      <w:r>
        <w:rPr>
          <w:rFonts w:ascii="宋体" w:hAnsi="宋体" w:eastAsia="宋体" w:cs="宋体"/>
          <w:color w:val="auto"/>
          <w:sz w:val="28"/>
          <w:szCs w:val="28"/>
          <w:lang w:eastAsia="zh-CN"/>
          <w14:textOutline w14:w="5105" w14:cap="sq" w14:cmpd="sng" w14:algn="ctr">
            <w14:solidFill>
              <w14:srgbClr w14:val="000000"/>
            </w14:solidFill>
            <w14:prstDash w14:val="solid"/>
            <w14:bevel/>
          </w14:textOutline>
        </w:rPr>
        <w:t>项目编号：</w:t>
      </w:r>
      <w:r>
        <w:rPr>
          <w:rFonts w:hint="eastAsia" w:ascii="宋体" w:hAnsi="宋体" w:eastAsia="宋体" w:cs="宋体"/>
          <w:color w:val="auto"/>
          <w:sz w:val="28"/>
          <w:szCs w:val="28"/>
          <w:lang w:eastAsia="zh-CN"/>
          <w14:textOutline w14:w="5105" w14:cap="sq" w14:cmpd="sng" w14:algn="ctr">
            <w14:solidFill>
              <w14:srgbClr w14:val="000000"/>
            </w14:solidFill>
            <w14:prstDash w14:val="solid"/>
            <w14:bevel/>
          </w14:textOutline>
        </w:rPr>
        <w:t>YC24440097(CGP)</w:t>
      </w:r>
    </w:p>
    <w:p w14:paraId="614F6484">
      <w:pPr>
        <w:pStyle w:val="9"/>
        <w:spacing w:line="257" w:lineRule="auto"/>
        <w:rPr>
          <w:color w:val="auto"/>
          <w:lang w:eastAsia="zh-CN"/>
        </w:rPr>
      </w:pPr>
    </w:p>
    <w:p w14:paraId="3DD012CA">
      <w:pPr>
        <w:pStyle w:val="9"/>
        <w:spacing w:line="257" w:lineRule="auto"/>
        <w:rPr>
          <w:color w:val="auto"/>
          <w:lang w:eastAsia="zh-CN"/>
        </w:rPr>
      </w:pPr>
    </w:p>
    <w:p w14:paraId="726DAC5E">
      <w:pPr>
        <w:pStyle w:val="9"/>
        <w:spacing w:line="257" w:lineRule="auto"/>
        <w:rPr>
          <w:color w:val="auto"/>
          <w:lang w:eastAsia="zh-CN"/>
        </w:rPr>
      </w:pPr>
    </w:p>
    <w:p w14:paraId="747A7BF2">
      <w:pPr>
        <w:pStyle w:val="9"/>
        <w:spacing w:line="257" w:lineRule="auto"/>
        <w:rPr>
          <w:color w:val="auto"/>
          <w:lang w:eastAsia="zh-CN"/>
        </w:rPr>
      </w:pPr>
    </w:p>
    <w:p w14:paraId="19F1DF0A">
      <w:pPr>
        <w:pStyle w:val="9"/>
        <w:spacing w:line="257" w:lineRule="auto"/>
        <w:rPr>
          <w:color w:val="auto"/>
          <w:lang w:eastAsia="zh-CN"/>
        </w:rPr>
      </w:pPr>
    </w:p>
    <w:p w14:paraId="6F063A4D">
      <w:pPr>
        <w:pStyle w:val="9"/>
        <w:spacing w:line="258" w:lineRule="auto"/>
        <w:rPr>
          <w:color w:val="auto"/>
          <w:lang w:eastAsia="zh-CN"/>
        </w:rPr>
      </w:pPr>
    </w:p>
    <w:p w14:paraId="5CF79A9A">
      <w:pPr>
        <w:pStyle w:val="9"/>
        <w:spacing w:line="258" w:lineRule="auto"/>
        <w:rPr>
          <w:color w:val="auto"/>
          <w:lang w:eastAsia="zh-CN"/>
        </w:rPr>
      </w:pPr>
    </w:p>
    <w:p w14:paraId="21F2DEE3">
      <w:pPr>
        <w:pStyle w:val="9"/>
        <w:spacing w:line="253" w:lineRule="auto"/>
        <w:jc w:val="center"/>
        <w:rPr>
          <w:rFonts w:eastAsia="宋体"/>
          <w:color w:val="auto"/>
          <w:lang w:eastAsia="zh-CN"/>
        </w:rPr>
      </w:pPr>
      <w:r>
        <w:rPr>
          <w:rFonts w:hint="eastAsia" w:ascii="宋体" w:hAnsi="宋体" w:eastAsia="宋体" w:cs="宋体"/>
          <w:color w:val="auto"/>
          <w:spacing w:val="10"/>
          <w:sz w:val="43"/>
          <w:szCs w:val="43"/>
          <w:lang w:eastAsia="zh-CN"/>
          <w14:textOutline w14:w="7975" w14:cap="sq" w14:cmpd="sng" w14:algn="ctr">
            <w14:solidFill>
              <w14:srgbClr w14:val="000000"/>
            </w14:solidFill>
            <w14:prstDash w14:val="solid"/>
            <w14:bevel/>
          </w14:textOutline>
        </w:rPr>
        <w:t>石泉县职业技术教育中心职校技能大赛比赛设备</w:t>
      </w:r>
    </w:p>
    <w:p w14:paraId="7D5D753D">
      <w:pPr>
        <w:pStyle w:val="9"/>
        <w:spacing w:line="253" w:lineRule="auto"/>
        <w:rPr>
          <w:color w:val="auto"/>
          <w:lang w:eastAsia="zh-CN"/>
        </w:rPr>
      </w:pPr>
    </w:p>
    <w:p w14:paraId="0567B002">
      <w:pPr>
        <w:pStyle w:val="9"/>
        <w:spacing w:line="253" w:lineRule="auto"/>
        <w:rPr>
          <w:color w:val="auto"/>
          <w:lang w:eastAsia="zh-CN"/>
        </w:rPr>
      </w:pPr>
    </w:p>
    <w:p w14:paraId="75D7E02A">
      <w:pPr>
        <w:pStyle w:val="9"/>
        <w:spacing w:line="253" w:lineRule="auto"/>
        <w:rPr>
          <w:color w:val="auto"/>
          <w:lang w:eastAsia="zh-CN"/>
        </w:rPr>
      </w:pPr>
    </w:p>
    <w:p w14:paraId="75BFA83C">
      <w:pPr>
        <w:pStyle w:val="9"/>
        <w:spacing w:line="254" w:lineRule="auto"/>
        <w:rPr>
          <w:color w:val="auto"/>
          <w:lang w:eastAsia="zh-CN"/>
        </w:rPr>
      </w:pPr>
    </w:p>
    <w:p w14:paraId="54A60519">
      <w:pPr>
        <w:pStyle w:val="9"/>
        <w:spacing w:line="254" w:lineRule="auto"/>
        <w:rPr>
          <w:color w:val="auto"/>
          <w:lang w:eastAsia="zh-CN"/>
        </w:rPr>
      </w:pPr>
    </w:p>
    <w:p w14:paraId="001E814E">
      <w:pPr>
        <w:pStyle w:val="9"/>
        <w:spacing w:line="254" w:lineRule="auto"/>
        <w:rPr>
          <w:color w:val="auto"/>
          <w:lang w:eastAsia="zh-CN"/>
        </w:rPr>
      </w:pPr>
    </w:p>
    <w:p w14:paraId="2D532C0F">
      <w:pPr>
        <w:spacing w:before="270" w:line="222" w:lineRule="auto"/>
        <w:ind w:left="2231"/>
        <w:rPr>
          <w:rFonts w:ascii="宋体" w:hAnsi="宋体" w:eastAsia="宋体" w:cs="宋体"/>
          <w:color w:val="auto"/>
          <w:sz w:val="83"/>
          <w:szCs w:val="83"/>
          <w:lang w:eastAsia="zh-CN"/>
        </w:rPr>
      </w:pPr>
      <w:r>
        <w:rPr>
          <w:rFonts w:ascii="宋体" w:hAnsi="宋体" w:eastAsia="宋体" w:cs="宋体"/>
          <w:color w:val="auto"/>
          <w:spacing w:val="45"/>
          <w:sz w:val="83"/>
          <w:szCs w:val="83"/>
          <w:lang w:eastAsia="zh-CN"/>
          <w14:textOutline w14:w="14490" w14:cap="sq" w14:cmpd="sng" w14:algn="ctr">
            <w14:solidFill>
              <w14:srgbClr w14:val="000000"/>
            </w14:solidFill>
            <w14:prstDash w14:val="solid"/>
            <w14:bevel/>
          </w14:textOutline>
        </w:rPr>
        <w:t>磋商响应文件</w:t>
      </w:r>
    </w:p>
    <w:p w14:paraId="6ACE010F">
      <w:pPr>
        <w:pStyle w:val="9"/>
        <w:spacing w:line="251" w:lineRule="auto"/>
        <w:rPr>
          <w:color w:val="auto"/>
          <w:lang w:eastAsia="zh-CN"/>
        </w:rPr>
      </w:pPr>
    </w:p>
    <w:p w14:paraId="7C0B7ADB">
      <w:pPr>
        <w:pStyle w:val="9"/>
        <w:spacing w:line="251" w:lineRule="auto"/>
        <w:rPr>
          <w:color w:val="auto"/>
          <w:lang w:eastAsia="zh-CN"/>
        </w:rPr>
      </w:pPr>
    </w:p>
    <w:p w14:paraId="5F751EAA">
      <w:pPr>
        <w:pStyle w:val="9"/>
        <w:spacing w:line="251" w:lineRule="auto"/>
        <w:rPr>
          <w:color w:val="auto"/>
          <w:lang w:eastAsia="zh-CN"/>
        </w:rPr>
      </w:pPr>
    </w:p>
    <w:p w14:paraId="2B264A62">
      <w:pPr>
        <w:pStyle w:val="9"/>
        <w:spacing w:line="251" w:lineRule="auto"/>
        <w:rPr>
          <w:color w:val="auto"/>
          <w:lang w:eastAsia="zh-CN"/>
        </w:rPr>
      </w:pPr>
    </w:p>
    <w:p w14:paraId="77005748">
      <w:pPr>
        <w:pStyle w:val="9"/>
        <w:spacing w:line="252" w:lineRule="auto"/>
        <w:rPr>
          <w:color w:val="auto"/>
          <w:lang w:eastAsia="zh-CN"/>
        </w:rPr>
      </w:pPr>
    </w:p>
    <w:p w14:paraId="63216282">
      <w:pPr>
        <w:pStyle w:val="9"/>
        <w:spacing w:line="252" w:lineRule="auto"/>
        <w:rPr>
          <w:color w:val="auto"/>
          <w:lang w:eastAsia="zh-CN"/>
        </w:rPr>
      </w:pPr>
    </w:p>
    <w:p w14:paraId="12CD1116">
      <w:pPr>
        <w:pStyle w:val="9"/>
        <w:spacing w:line="252" w:lineRule="auto"/>
        <w:rPr>
          <w:color w:val="auto"/>
          <w:lang w:eastAsia="zh-CN"/>
        </w:rPr>
      </w:pPr>
    </w:p>
    <w:p w14:paraId="60153622">
      <w:pPr>
        <w:pStyle w:val="9"/>
        <w:spacing w:line="252" w:lineRule="auto"/>
        <w:rPr>
          <w:color w:val="auto"/>
          <w:lang w:eastAsia="zh-CN"/>
        </w:rPr>
      </w:pPr>
    </w:p>
    <w:p w14:paraId="28CA9896">
      <w:pPr>
        <w:pStyle w:val="9"/>
        <w:spacing w:line="252" w:lineRule="auto"/>
        <w:rPr>
          <w:color w:val="auto"/>
          <w:lang w:eastAsia="zh-CN"/>
        </w:rPr>
      </w:pPr>
    </w:p>
    <w:p w14:paraId="7F4C6AFC">
      <w:pPr>
        <w:pStyle w:val="9"/>
        <w:spacing w:line="252" w:lineRule="auto"/>
        <w:rPr>
          <w:color w:val="auto"/>
          <w:lang w:eastAsia="zh-CN"/>
        </w:rPr>
      </w:pPr>
    </w:p>
    <w:p w14:paraId="31B1441A">
      <w:pPr>
        <w:pStyle w:val="9"/>
        <w:spacing w:line="252" w:lineRule="auto"/>
        <w:rPr>
          <w:color w:val="auto"/>
          <w:lang w:eastAsia="zh-CN"/>
        </w:rPr>
      </w:pPr>
    </w:p>
    <w:p w14:paraId="788E6B57">
      <w:pPr>
        <w:pStyle w:val="9"/>
        <w:spacing w:line="252" w:lineRule="auto"/>
        <w:rPr>
          <w:color w:val="auto"/>
          <w:lang w:eastAsia="zh-CN"/>
        </w:rPr>
      </w:pPr>
    </w:p>
    <w:p w14:paraId="0AB8D6E7">
      <w:pPr>
        <w:pStyle w:val="9"/>
        <w:spacing w:line="252" w:lineRule="auto"/>
        <w:rPr>
          <w:color w:val="auto"/>
          <w:lang w:eastAsia="zh-CN"/>
        </w:rPr>
      </w:pPr>
    </w:p>
    <w:p w14:paraId="70191DC7">
      <w:pPr>
        <w:pStyle w:val="9"/>
        <w:spacing w:line="252" w:lineRule="auto"/>
        <w:rPr>
          <w:color w:val="auto"/>
          <w:lang w:eastAsia="zh-CN"/>
        </w:rPr>
      </w:pPr>
    </w:p>
    <w:p w14:paraId="0E984E89">
      <w:pPr>
        <w:pStyle w:val="9"/>
        <w:spacing w:line="252" w:lineRule="auto"/>
        <w:rPr>
          <w:color w:val="auto"/>
          <w:lang w:eastAsia="zh-CN"/>
        </w:rPr>
      </w:pPr>
    </w:p>
    <w:p w14:paraId="04099F56">
      <w:pPr>
        <w:pStyle w:val="9"/>
        <w:spacing w:line="252" w:lineRule="auto"/>
        <w:rPr>
          <w:color w:val="auto"/>
          <w:lang w:eastAsia="zh-CN"/>
        </w:rPr>
      </w:pPr>
    </w:p>
    <w:p w14:paraId="00325740">
      <w:pPr>
        <w:pStyle w:val="9"/>
        <w:spacing w:line="252" w:lineRule="auto"/>
        <w:rPr>
          <w:color w:val="auto"/>
          <w:lang w:eastAsia="zh-CN"/>
        </w:rPr>
      </w:pPr>
    </w:p>
    <w:p w14:paraId="2649DDC9">
      <w:pPr>
        <w:spacing w:before="101" w:line="224" w:lineRule="auto"/>
        <w:ind w:left="1573"/>
        <w:rPr>
          <w:rFonts w:ascii="宋体" w:hAnsi="宋体" w:eastAsia="宋体" w:cs="宋体"/>
          <w:color w:val="auto"/>
          <w:sz w:val="31"/>
          <w:szCs w:val="31"/>
          <w:lang w:eastAsia="zh-CN"/>
        </w:rPr>
      </w:pPr>
      <w:r>
        <w:rPr>
          <w:rFonts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供</w:t>
      </w:r>
      <w:r>
        <w:rPr>
          <w:rFonts w:ascii="宋体" w:hAnsi="宋体" w:eastAsia="宋体" w:cs="宋体"/>
          <w:color w:val="auto"/>
          <w:spacing w:val="10"/>
          <w:sz w:val="31"/>
          <w:szCs w:val="31"/>
          <w:lang w:eastAsia="zh-CN"/>
        </w:rPr>
        <w:t xml:space="preserve"> </w:t>
      </w:r>
      <w:r>
        <w:rPr>
          <w:rFonts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应</w:t>
      </w:r>
      <w:r>
        <w:rPr>
          <w:rFonts w:ascii="宋体" w:hAnsi="宋体" w:eastAsia="宋体" w:cs="宋体"/>
          <w:color w:val="auto"/>
          <w:spacing w:val="28"/>
          <w:sz w:val="31"/>
          <w:szCs w:val="31"/>
          <w:lang w:eastAsia="zh-CN"/>
        </w:rPr>
        <w:t xml:space="preserve"> </w:t>
      </w:r>
      <w:r>
        <w:rPr>
          <w:rFonts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商</w:t>
      </w:r>
      <w:r>
        <w:rPr>
          <w:rFonts w:ascii="宋体" w:hAnsi="宋体" w:eastAsia="宋体" w:cs="宋体"/>
          <w:color w:val="auto"/>
          <w:spacing w:val="-12"/>
          <w:sz w:val="31"/>
          <w:szCs w:val="31"/>
          <w:lang w:eastAsia="zh-CN"/>
          <w14:textOutline w14:w="5791" w14:cap="sq" w14:cmpd="sng" w14:algn="ctr">
            <w14:solidFill>
              <w14:srgbClr w14:val="000000"/>
            </w14:solidFill>
            <w14:prstDash w14:val="solid"/>
            <w14:bevel/>
          </w14:textOutline>
        </w:rPr>
        <w:t>：</w:t>
      </w:r>
      <w:r>
        <w:rPr>
          <w:rFonts w:ascii="宋体" w:hAnsi="宋体" w:eastAsia="宋体" w:cs="宋体"/>
          <w:color w:val="auto"/>
          <w:spacing w:val="5"/>
          <w:sz w:val="31"/>
          <w:szCs w:val="31"/>
          <w:u w:val="single"/>
          <w:lang w:eastAsia="zh-CN"/>
        </w:rPr>
        <w:t xml:space="preserve">                     </w:t>
      </w:r>
      <w:r>
        <w:rPr>
          <w:rFonts w:ascii="宋体" w:hAnsi="宋体" w:eastAsia="宋体" w:cs="宋体"/>
          <w:color w:val="auto"/>
          <w:spacing w:val="-12"/>
          <w:sz w:val="31"/>
          <w:szCs w:val="31"/>
          <w:lang w:eastAsia="zh-CN"/>
          <w14:textOutline w14:w="5791" w14:cap="sq" w14:cmpd="sng" w14:algn="ctr">
            <w14:solidFill>
              <w14:srgbClr w14:val="000000"/>
            </w14:solidFill>
            <w14:prstDash w14:val="solid"/>
            <w14:bevel/>
          </w14:textOutline>
        </w:rPr>
        <w:t>（</w:t>
      </w:r>
      <w:r>
        <w:rPr>
          <w:rFonts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盖章）</w:t>
      </w:r>
    </w:p>
    <w:p w14:paraId="7ACE2FF3">
      <w:pPr>
        <w:pStyle w:val="9"/>
        <w:spacing w:line="320" w:lineRule="auto"/>
        <w:rPr>
          <w:color w:val="auto"/>
          <w:lang w:eastAsia="zh-CN"/>
        </w:rPr>
      </w:pPr>
    </w:p>
    <w:p w14:paraId="531273E3">
      <w:pPr>
        <w:spacing w:before="101" w:line="224" w:lineRule="auto"/>
        <w:ind w:left="1575"/>
        <w:rPr>
          <w:rFonts w:ascii="宋体" w:hAnsi="宋体" w:eastAsia="宋体" w:cs="宋体"/>
          <w:color w:val="auto"/>
          <w:sz w:val="31"/>
          <w:szCs w:val="31"/>
          <w:lang w:eastAsia="zh-CN"/>
        </w:rPr>
      </w:pPr>
      <w:r>
        <w:rPr>
          <w:rFonts w:ascii="宋体" w:hAnsi="宋体" w:eastAsia="宋体" w:cs="宋体"/>
          <w:color w:val="auto"/>
          <w:spacing w:val="12"/>
          <w:sz w:val="31"/>
          <w:szCs w:val="31"/>
          <w:lang w:eastAsia="zh-CN"/>
          <w14:textOutline w14:w="5791" w14:cap="sq" w14:cmpd="sng" w14:algn="ctr">
            <w14:solidFill>
              <w14:srgbClr w14:val="000000"/>
            </w14:solidFill>
            <w14:prstDash w14:val="solid"/>
            <w14:bevel/>
          </w14:textOutline>
        </w:rPr>
        <w:t>法定代表人或授权代理人</w:t>
      </w:r>
      <w:r>
        <w:rPr>
          <w:rFonts w:ascii="宋体" w:hAnsi="宋体" w:eastAsia="宋体" w:cs="宋体"/>
          <w:color w:val="auto"/>
          <w:spacing w:val="-17"/>
          <w:sz w:val="31"/>
          <w:szCs w:val="31"/>
          <w:lang w:eastAsia="zh-CN"/>
          <w14:textOutline w14:w="5791" w14:cap="sq" w14:cmpd="sng" w14:algn="ctr">
            <w14:solidFill>
              <w14:srgbClr w14:val="000000"/>
            </w14:solidFill>
            <w14:prstDash w14:val="solid"/>
            <w14:bevel/>
          </w14:textOutline>
        </w:rPr>
        <w:t>：</w:t>
      </w:r>
      <w:r>
        <w:rPr>
          <w:rFonts w:ascii="宋体" w:hAnsi="宋体" w:eastAsia="宋体" w:cs="宋体"/>
          <w:color w:val="auto"/>
          <w:spacing w:val="20"/>
          <w:sz w:val="31"/>
          <w:szCs w:val="31"/>
          <w:lang w:eastAsia="zh-CN"/>
        </w:rPr>
        <w:t xml:space="preserve"> </w:t>
      </w:r>
      <w:r>
        <w:rPr>
          <w:rFonts w:ascii="宋体" w:hAnsi="宋体" w:eastAsia="宋体" w:cs="宋体"/>
          <w:color w:val="auto"/>
          <w:spacing w:val="5"/>
          <w:sz w:val="31"/>
          <w:szCs w:val="31"/>
          <w:u w:val="single"/>
          <w:lang w:eastAsia="zh-CN"/>
        </w:rPr>
        <w:t xml:space="preserve">      </w:t>
      </w:r>
      <w:r>
        <w:rPr>
          <w:rFonts w:ascii="宋体" w:hAnsi="宋体" w:eastAsia="宋体" w:cs="宋体"/>
          <w:color w:val="auto"/>
          <w:spacing w:val="-17"/>
          <w:sz w:val="31"/>
          <w:szCs w:val="31"/>
          <w:lang w:eastAsia="zh-CN"/>
          <w14:textOutline w14:w="5791" w14:cap="sq" w14:cmpd="sng" w14:algn="ctr">
            <w14:solidFill>
              <w14:srgbClr w14:val="000000"/>
            </w14:solidFill>
            <w14:prstDash w14:val="solid"/>
            <w14:bevel/>
          </w14:textOutline>
        </w:rPr>
        <w:t>（</w:t>
      </w:r>
      <w:r>
        <w:rPr>
          <w:rFonts w:ascii="宋体" w:hAnsi="宋体" w:eastAsia="宋体" w:cs="宋体"/>
          <w:color w:val="auto"/>
          <w:spacing w:val="12"/>
          <w:sz w:val="31"/>
          <w:szCs w:val="31"/>
          <w:lang w:eastAsia="zh-CN"/>
          <w14:textOutline w14:w="5791" w14:cap="sq" w14:cmpd="sng" w14:algn="ctr">
            <w14:solidFill>
              <w14:srgbClr w14:val="000000"/>
            </w14:solidFill>
            <w14:prstDash w14:val="solid"/>
            <w14:bevel/>
          </w14:textOutline>
        </w:rPr>
        <w:t>签字或盖章）</w:t>
      </w:r>
    </w:p>
    <w:p w14:paraId="05F4B9FD">
      <w:pPr>
        <w:pStyle w:val="9"/>
        <w:spacing w:line="323" w:lineRule="auto"/>
        <w:rPr>
          <w:color w:val="auto"/>
          <w:lang w:eastAsia="zh-CN"/>
        </w:rPr>
      </w:pPr>
    </w:p>
    <w:p w14:paraId="188FCF51">
      <w:pPr>
        <w:spacing w:before="101" w:line="225" w:lineRule="auto"/>
        <w:ind w:left="1628"/>
        <w:rPr>
          <w:rFonts w:ascii="宋体" w:hAnsi="宋体" w:eastAsia="宋体" w:cs="宋体"/>
          <w:color w:val="auto"/>
          <w:sz w:val="28"/>
          <w:szCs w:val="28"/>
          <w:lang w:eastAsia="zh-CN"/>
        </w:rPr>
      </w:pPr>
      <w:r>
        <w:rPr>
          <w:rFonts w:ascii="宋体" w:hAnsi="宋体" w:eastAsia="宋体" w:cs="宋体"/>
          <w:color w:val="auto"/>
          <w:spacing w:val="-14"/>
          <w:sz w:val="31"/>
          <w:szCs w:val="31"/>
          <w:lang w:eastAsia="zh-CN"/>
          <w14:textOutline w14:w="5791" w14:cap="sq" w14:cmpd="sng" w14:algn="ctr">
            <w14:solidFill>
              <w14:srgbClr w14:val="000000"/>
            </w14:solidFill>
            <w14:prstDash w14:val="solid"/>
            <w14:bevel/>
          </w14:textOutline>
        </w:rPr>
        <w:t>日</w:t>
      </w:r>
      <w:r>
        <w:rPr>
          <w:rFonts w:ascii="宋体" w:hAnsi="宋体" w:eastAsia="宋体" w:cs="宋体"/>
          <w:color w:val="auto"/>
          <w:spacing w:val="10"/>
          <w:sz w:val="31"/>
          <w:szCs w:val="31"/>
          <w:lang w:eastAsia="zh-CN"/>
        </w:rPr>
        <w:t xml:space="preserve">    </w:t>
      </w:r>
      <w:r>
        <w:rPr>
          <w:rFonts w:ascii="宋体" w:hAnsi="宋体" w:eastAsia="宋体" w:cs="宋体"/>
          <w:color w:val="auto"/>
          <w:spacing w:val="-14"/>
          <w:sz w:val="31"/>
          <w:szCs w:val="31"/>
          <w:lang w:eastAsia="zh-CN"/>
          <w14:textOutline w14:w="5791" w14:cap="sq" w14:cmpd="sng" w14:algn="ctr">
            <w14:solidFill>
              <w14:srgbClr w14:val="000000"/>
            </w14:solidFill>
            <w14:prstDash w14:val="solid"/>
            <w14:bevel/>
          </w14:textOutline>
        </w:rPr>
        <w:t>期</w:t>
      </w:r>
      <w:r>
        <w:rPr>
          <w:rFonts w:ascii="宋体" w:hAnsi="宋体" w:eastAsia="宋体" w:cs="宋体"/>
          <w:color w:val="auto"/>
          <w:spacing w:val="-14"/>
          <w:sz w:val="31"/>
          <w:szCs w:val="31"/>
          <w:lang w:eastAsia="zh-CN"/>
        </w:rPr>
        <w:t>：</w:t>
      </w:r>
      <w:r>
        <w:rPr>
          <w:rFonts w:ascii="宋体" w:hAnsi="宋体" w:eastAsia="宋体" w:cs="宋体"/>
          <w:color w:val="auto"/>
          <w:spacing w:val="11"/>
          <w:sz w:val="31"/>
          <w:szCs w:val="31"/>
          <w:u w:val="single"/>
          <w:lang w:eastAsia="zh-CN"/>
        </w:rPr>
        <w:t xml:space="preserve">      </w:t>
      </w:r>
      <w:r>
        <w:rPr>
          <w:rFonts w:ascii="宋体" w:hAnsi="宋体" w:eastAsia="宋体" w:cs="宋体"/>
          <w:color w:val="auto"/>
          <w:spacing w:val="-138"/>
          <w:sz w:val="31"/>
          <w:szCs w:val="31"/>
          <w:lang w:eastAsia="zh-CN"/>
        </w:rPr>
        <w:t xml:space="preserve"> </w:t>
      </w:r>
      <w:r>
        <w:rPr>
          <w:rFonts w:ascii="宋体" w:hAnsi="宋体" w:eastAsia="宋体" w:cs="宋体"/>
          <w:color w:val="auto"/>
          <w:spacing w:val="-14"/>
          <w:sz w:val="28"/>
          <w:szCs w:val="28"/>
          <w:lang w:eastAsia="zh-CN"/>
          <w14:textOutline w14:w="5105" w14:cap="sq" w14:cmpd="sng" w14:algn="ctr">
            <w14:solidFill>
              <w14:srgbClr w14:val="000000"/>
            </w14:solidFill>
            <w14:prstDash w14:val="solid"/>
            <w14:bevel/>
          </w14:textOutline>
        </w:rPr>
        <w:t>年</w:t>
      </w:r>
      <w:r>
        <w:rPr>
          <w:rFonts w:ascii="宋体" w:hAnsi="宋体" w:eastAsia="宋体" w:cs="宋体"/>
          <w:color w:val="auto"/>
          <w:spacing w:val="3"/>
          <w:sz w:val="28"/>
          <w:szCs w:val="28"/>
          <w:u w:val="single"/>
          <w:lang w:eastAsia="zh-CN"/>
        </w:rPr>
        <w:t xml:space="preserve">      </w:t>
      </w:r>
      <w:r>
        <w:rPr>
          <w:rFonts w:ascii="宋体" w:hAnsi="宋体" w:eastAsia="宋体" w:cs="宋体"/>
          <w:color w:val="auto"/>
          <w:spacing w:val="-121"/>
          <w:sz w:val="28"/>
          <w:szCs w:val="28"/>
          <w:lang w:eastAsia="zh-CN"/>
        </w:rPr>
        <w:t xml:space="preserve"> </w:t>
      </w:r>
      <w:r>
        <w:rPr>
          <w:rFonts w:ascii="宋体" w:hAnsi="宋体" w:eastAsia="宋体" w:cs="宋体"/>
          <w:color w:val="auto"/>
          <w:spacing w:val="-14"/>
          <w:sz w:val="28"/>
          <w:szCs w:val="28"/>
          <w:lang w:eastAsia="zh-CN"/>
          <w14:textOutline w14:w="5105" w14:cap="sq" w14:cmpd="sng" w14:algn="ctr">
            <w14:solidFill>
              <w14:srgbClr w14:val="000000"/>
            </w14:solidFill>
            <w14:prstDash w14:val="solid"/>
            <w14:bevel/>
          </w14:textOutline>
        </w:rPr>
        <w:t>月</w:t>
      </w:r>
      <w:r>
        <w:rPr>
          <w:rFonts w:ascii="宋体" w:hAnsi="宋体" w:eastAsia="宋体" w:cs="宋体"/>
          <w:color w:val="auto"/>
          <w:spacing w:val="-138"/>
          <w:sz w:val="28"/>
          <w:szCs w:val="28"/>
          <w:lang w:eastAsia="zh-CN"/>
        </w:rPr>
        <w:t xml:space="preserve"> </w:t>
      </w:r>
      <w:r>
        <w:rPr>
          <w:rFonts w:ascii="宋体" w:hAnsi="宋体" w:eastAsia="宋体" w:cs="宋体"/>
          <w:color w:val="auto"/>
          <w:spacing w:val="3"/>
          <w:sz w:val="28"/>
          <w:szCs w:val="28"/>
          <w:u w:val="single"/>
          <w:lang w:eastAsia="zh-CN"/>
        </w:rPr>
        <w:t xml:space="preserve">      </w:t>
      </w:r>
      <w:r>
        <w:rPr>
          <w:rFonts w:ascii="宋体" w:hAnsi="宋体" w:eastAsia="宋体" w:cs="宋体"/>
          <w:color w:val="auto"/>
          <w:spacing w:val="-79"/>
          <w:sz w:val="28"/>
          <w:szCs w:val="28"/>
          <w:lang w:eastAsia="zh-CN"/>
        </w:rPr>
        <w:t xml:space="preserve"> </w:t>
      </w:r>
      <w:r>
        <w:rPr>
          <w:rFonts w:ascii="宋体" w:hAnsi="宋体" w:eastAsia="宋体" w:cs="宋体"/>
          <w:color w:val="auto"/>
          <w:spacing w:val="-14"/>
          <w:sz w:val="28"/>
          <w:szCs w:val="28"/>
          <w:lang w:eastAsia="zh-CN"/>
          <w14:textOutline w14:w="5105" w14:cap="sq" w14:cmpd="sng" w14:algn="ctr">
            <w14:solidFill>
              <w14:srgbClr w14:val="000000"/>
            </w14:solidFill>
            <w14:prstDash w14:val="solid"/>
            <w14:bevel/>
          </w14:textOutline>
        </w:rPr>
        <w:t>日</w:t>
      </w:r>
    </w:p>
    <w:p w14:paraId="6D4B6F2E">
      <w:pPr>
        <w:spacing w:line="225" w:lineRule="auto"/>
        <w:rPr>
          <w:rFonts w:ascii="宋体" w:hAnsi="宋体" w:eastAsia="宋体" w:cs="宋体"/>
          <w:color w:val="auto"/>
          <w:sz w:val="28"/>
          <w:szCs w:val="28"/>
          <w:lang w:eastAsia="zh-CN"/>
        </w:rPr>
        <w:sectPr>
          <w:footerReference r:id="rId5" w:type="default"/>
          <w:pgSz w:w="11906" w:h="16839"/>
          <w:pgMar w:top="1424" w:right="1089" w:bottom="1080" w:left="1095" w:header="0" w:footer="901" w:gutter="0"/>
          <w:cols w:space="720" w:num="1"/>
        </w:sectPr>
      </w:pPr>
    </w:p>
    <w:p w14:paraId="0AA9DE17">
      <w:pPr>
        <w:pStyle w:val="9"/>
        <w:spacing w:line="274" w:lineRule="auto"/>
        <w:rPr>
          <w:color w:val="auto"/>
          <w:lang w:eastAsia="zh-CN"/>
        </w:rPr>
      </w:pPr>
    </w:p>
    <w:p w14:paraId="31B9D739">
      <w:pPr>
        <w:pStyle w:val="9"/>
        <w:spacing w:line="274" w:lineRule="auto"/>
        <w:rPr>
          <w:color w:val="auto"/>
          <w:lang w:eastAsia="zh-CN"/>
        </w:rPr>
      </w:pPr>
    </w:p>
    <w:p w14:paraId="41826865">
      <w:pPr>
        <w:spacing w:before="153" w:line="225" w:lineRule="auto"/>
        <w:ind w:left="3436"/>
        <w:outlineLvl w:val="0"/>
        <w:rPr>
          <w:rFonts w:ascii="宋体" w:hAnsi="宋体" w:eastAsia="宋体" w:cs="宋体"/>
          <w:color w:val="auto"/>
          <w:sz w:val="47"/>
          <w:szCs w:val="47"/>
          <w:lang w:eastAsia="zh-CN"/>
        </w:rPr>
      </w:pPr>
      <w:r>
        <w:rPr>
          <w:rFonts w:ascii="宋体" w:hAnsi="宋体" w:eastAsia="宋体" w:cs="宋体"/>
          <w:color w:val="auto"/>
          <w:spacing w:val="-51"/>
          <w:sz w:val="47"/>
          <w:szCs w:val="47"/>
          <w:lang w:eastAsia="zh-CN"/>
          <w14:textOutline w14:w="8712" w14:cap="sq" w14:cmpd="sng" w14:algn="ctr">
            <w14:solidFill>
              <w14:srgbClr w14:val="000000"/>
            </w14:solidFill>
            <w14:prstDash w14:val="solid"/>
            <w14:bevel/>
          </w14:textOutline>
        </w:rPr>
        <w:t>目</w:t>
      </w:r>
      <w:r>
        <w:rPr>
          <w:rFonts w:ascii="宋体" w:hAnsi="宋体" w:eastAsia="宋体" w:cs="宋体"/>
          <w:color w:val="auto"/>
          <w:spacing w:val="13"/>
          <w:sz w:val="47"/>
          <w:szCs w:val="47"/>
          <w:lang w:eastAsia="zh-CN"/>
        </w:rPr>
        <w:t xml:space="preserve">   </w:t>
      </w:r>
      <w:r>
        <w:rPr>
          <w:rFonts w:ascii="宋体" w:hAnsi="宋体" w:eastAsia="宋体" w:cs="宋体"/>
          <w:color w:val="auto"/>
          <w:spacing w:val="-51"/>
          <w:sz w:val="47"/>
          <w:szCs w:val="47"/>
          <w:lang w:eastAsia="zh-CN"/>
          <w14:textOutline w14:w="8712" w14:cap="sq" w14:cmpd="sng" w14:algn="ctr">
            <w14:solidFill>
              <w14:srgbClr w14:val="000000"/>
            </w14:solidFill>
            <w14:prstDash w14:val="solid"/>
            <w14:bevel/>
          </w14:textOutline>
        </w:rPr>
        <w:t>录</w:t>
      </w:r>
    </w:p>
    <w:p w14:paraId="42EBB77E">
      <w:pPr>
        <w:pStyle w:val="9"/>
        <w:spacing w:line="249" w:lineRule="auto"/>
        <w:rPr>
          <w:color w:val="auto"/>
          <w:lang w:eastAsia="zh-CN"/>
        </w:rPr>
      </w:pPr>
    </w:p>
    <w:p w14:paraId="67EB3D94">
      <w:pPr>
        <w:pStyle w:val="9"/>
        <w:spacing w:line="249" w:lineRule="auto"/>
        <w:rPr>
          <w:color w:val="auto"/>
          <w:lang w:eastAsia="zh-CN"/>
        </w:rPr>
      </w:pPr>
    </w:p>
    <w:p w14:paraId="46A64AAE">
      <w:pPr>
        <w:pStyle w:val="9"/>
        <w:spacing w:line="249" w:lineRule="auto"/>
        <w:rPr>
          <w:color w:val="auto"/>
          <w:lang w:eastAsia="zh-CN"/>
        </w:rPr>
      </w:pPr>
    </w:p>
    <w:p w14:paraId="748BCEF9">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一、响应函</w:t>
      </w:r>
    </w:p>
    <w:p w14:paraId="32901786">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二、第一次磋商报价表</w:t>
      </w:r>
    </w:p>
    <w:p w14:paraId="5CE34D44">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三、资格证明文件</w:t>
      </w:r>
    </w:p>
    <w:p w14:paraId="1717FE86">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四、</w:t>
      </w: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投标方案</w:t>
      </w:r>
    </w:p>
    <w:p w14:paraId="0E8C25D6">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五</w:t>
      </w: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投标人近三年同类项目业绩</w:t>
      </w:r>
    </w:p>
    <w:p w14:paraId="31943D56">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六</w:t>
      </w: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政府采购投标人拒绝政府采购领域商业贿赂承诺书</w:t>
      </w:r>
    </w:p>
    <w:p w14:paraId="1F01E7BB">
      <w:pPr>
        <w:spacing w:before="264" w:line="600" w:lineRule="exact"/>
        <w:ind w:left="862"/>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七</w:t>
      </w:r>
      <w:r>
        <w:rPr>
          <w:rFonts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4"/>
          <w:sz w:val="28"/>
          <w:szCs w:val="28"/>
          <w:lang w:eastAsia="zh-CN"/>
          <w14:textOutline w14:w="5105" w14:cap="sq" w14:cmpd="sng" w14:algn="ctr">
            <w14:solidFill>
              <w14:srgbClr w14:val="000000"/>
            </w14:solidFill>
            <w14:prstDash w14:val="solid"/>
            <w14:bevel/>
          </w14:textOutline>
        </w:rPr>
        <w:t>其他材料</w:t>
      </w:r>
    </w:p>
    <w:p w14:paraId="0317A097">
      <w:pPr>
        <w:spacing w:line="219" w:lineRule="auto"/>
        <w:rPr>
          <w:rFonts w:ascii="宋体" w:hAnsi="宋体" w:eastAsia="宋体" w:cs="宋体"/>
          <w:color w:val="auto"/>
          <w:sz w:val="28"/>
          <w:szCs w:val="28"/>
          <w:lang w:eastAsia="zh-CN"/>
        </w:rPr>
        <w:sectPr>
          <w:footerReference r:id="rId6" w:type="default"/>
          <w:pgSz w:w="11906" w:h="16839"/>
          <w:pgMar w:top="1431" w:right="1785" w:bottom="1080" w:left="1785" w:header="0" w:footer="901" w:gutter="0"/>
          <w:cols w:space="720" w:num="1"/>
        </w:sectPr>
      </w:pPr>
    </w:p>
    <w:p w14:paraId="21E7CDF5">
      <w:pPr>
        <w:spacing w:before="215" w:line="226" w:lineRule="auto"/>
        <w:ind w:left="4078"/>
        <w:rPr>
          <w:rFonts w:ascii="宋体" w:hAnsi="宋体" w:eastAsia="宋体" w:cs="宋体"/>
          <w:color w:val="auto"/>
          <w:sz w:val="31"/>
          <w:szCs w:val="31"/>
          <w:lang w:eastAsia="zh-CN"/>
        </w:rPr>
      </w:pPr>
      <w:r>
        <w:rPr>
          <w:rFonts w:ascii="宋体" w:hAnsi="宋体" w:eastAsia="宋体" w:cs="宋体"/>
          <w:color w:val="auto"/>
          <w:spacing w:val="7"/>
          <w:sz w:val="31"/>
          <w:szCs w:val="31"/>
          <w:lang w:eastAsia="zh-CN"/>
          <w14:textOutline w14:w="5791" w14:cap="sq" w14:cmpd="sng" w14:algn="ctr">
            <w14:solidFill>
              <w14:srgbClr w14:val="000000"/>
            </w14:solidFill>
            <w14:prstDash w14:val="solid"/>
            <w14:bevel/>
          </w14:textOutline>
        </w:rPr>
        <w:t>一、响应函</w:t>
      </w:r>
    </w:p>
    <w:p w14:paraId="54D50678">
      <w:pPr>
        <w:spacing w:before="160" w:line="219" w:lineRule="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致</w:t>
      </w:r>
      <w:r>
        <w:rPr>
          <w:rFonts w:ascii="宋体" w:hAnsi="宋体" w:eastAsia="宋体" w:cs="宋体"/>
          <w:color w:val="auto"/>
          <w:spacing w:val="-1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采购代理机构名称）</w:t>
      </w:r>
    </w:p>
    <w:p w14:paraId="0B661AF7">
      <w:pPr>
        <w:spacing w:before="154" w:line="338" w:lineRule="auto"/>
        <w:ind w:right="53"/>
        <w:jc w:val="right"/>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根据贵方为</w:t>
      </w:r>
      <w:r>
        <w:rPr>
          <w:rFonts w:ascii="宋体" w:hAnsi="宋体" w:eastAsia="宋体" w:cs="宋体"/>
          <w:color w:val="auto"/>
          <w:spacing w:val="1"/>
          <w:sz w:val="24"/>
          <w:szCs w:val="24"/>
          <w:u w:val="single"/>
          <w:lang w:eastAsia="zh-CN"/>
        </w:rPr>
        <w:t xml:space="preserve">  （项目名称</w:t>
      </w:r>
      <w:r>
        <w:rPr>
          <w:rFonts w:ascii="宋体" w:hAnsi="宋体" w:eastAsia="宋体" w:cs="宋体"/>
          <w:color w:val="auto"/>
          <w:spacing w:val="-16"/>
          <w:sz w:val="24"/>
          <w:szCs w:val="24"/>
          <w:u w:val="single"/>
          <w:lang w:eastAsia="zh-CN"/>
        </w:rPr>
        <w:t>）（</w:t>
      </w:r>
      <w:r>
        <w:rPr>
          <w:rFonts w:ascii="宋体" w:hAnsi="宋体" w:eastAsia="宋体" w:cs="宋体"/>
          <w:color w:val="auto"/>
          <w:spacing w:val="1"/>
          <w:sz w:val="24"/>
          <w:szCs w:val="24"/>
          <w:u w:val="single"/>
          <w:lang w:eastAsia="zh-CN"/>
        </w:rPr>
        <w:t xml:space="preserve">项目编号）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采购工程发布的竞争性磋商公告，我单位签</w:t>
      </w:r>
    </w:p>
    <w:p w14:paraId="67252263">
      <w:pPr>
        <w:spacing w:line="218"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字代表</w:t>
      </w:r>
      <w:r>
        <w:rPr>
          <w:rFonts w:ascii="宋体" w:hAnsi="宋体" w:eastAsia="宋体" w:cs="宋体"/>
          <w:color w:val="auto"/>
          <w:spacing w:val="-2"/>
          <w:sz w:val="24"/>
          <w:szCs w:val="24"/>
          <w:u w:val="single"/>
          <w:lang w:eastAsia="zh-CN"/>
        </w:rPr>
        <w:t xml:space="preserve"> （姓名、职务） </w:t>
      </w:r>
      <w:r>
        <w:rPr>
          <w:rFonts w:ascii="宋体" w:hAnsi="宋体" w:eastAsia="宋体" w:cs="宋体"/>
          <w:color w:val="auto"/>
          <w:spacing w:val="-92"/>
          <w:sz w:val="24"/>
          <w:szCs w:val="24"/>
          <w:lang w:eastAsia="zh-CN"/>
        </w:rPr>
        <w:t xml:space="preserve"> </w:t>
      </w:r>
      <w:r>
        <w:rPr>
          <w:rFonts w:ascii="宋体" w:hAnsi="宋体" w:eastAsia="宋体" w:cs="宋体"/>
          <w:color w:val="auto"/>
          <w:spacing w:val="-2"/>
          <w:sz w:val="24"/>
          <w:szCs w:val="24"/>
          <w:lang w:eastAsia="zh-CN"/>
        </w:rPr>
        <w:t>经正式授权并代表供应商</w:t>
      </w:r>
      <w:r>
        <w:rPr>
          <w:rFonts w:ascii="宋体" w:hAnsi="宋体" w:eastAsia="宋体" w:cs="宋体"/>
          <w:color w:val="auto"/>
          <w:spacing w:val="-2"/>
          <w:sz w:val="24"/>
          <w:szCs w:val="24"/>
          <w:u w:val="single"/>
          <w:lang w:eastAsia="zh-CN"/>
        </w:rPr>
        <w:t xml:space="preserve">   （供应商名称）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2"/>
          <w:sz w:val="24"/>
          <w:szCs w:val="24"/>
          <w:lang w:eastAsia="zh-CN"/>
        </w:rPr>
        <w:t>提交磋商响应文件。</w:t>
      </w:r>
    </w:p>
    <w:p w14:paraId="16A513B2">
      <w:pPr>
        <w:spacing w:before="157" w:line="219" w:lineRule="auto"/>
        <w:ind w:left="479"/>
        <w:rPr>
          <w:rFonts w:ascii="宋体" w:hAnsi="宋体" w:eastAsia="宋体" w:cs="宋体"/>
          <w:color w:val="auto"/>
          <w:sz w:val="24"/>
          <w:szCs w:val="24"/>
          <w:lang w:eastAsia="zh-CN"/>
        </w:rPr>
      </w:pPr>
      <w:r>
        <w:rPr>
          <w:rFonts w:ascii="宋体" w:hAnsi="宋体" w:eastAsia="宋体" w:cs="宋体"/>
          <w:color w:val="auto"/>
          <w:sz w:val="24"/>
          <w:szCs w:val="24"/>
          <w:lang w:eastAsia="zh-CN"/>
          <w14:textOutline w14:w="4356" w14:cap="sq" w14:cmpd="sng" w14:algn="ctr">
            <w14:solidFill>
              <w14:srgbClr w14:val="000000"/>
            </w14:solidFill>
            <w14:prstDash w14:val="solid"/>
            <w14:bevel/>
          </w14:textOutline>
        </w:rPr>
        <w:t>在此，签字代表宣布同意如下：</w:t>
      </w:r>
    </w:p>
    <w:p w14:paraId="55F16470">
      <w:pPr>
        <w:spacing w:before="155" w:line="338" w:lineRule="auto"/>
        <w:ind w:right="53"/>
        <w:jc w:val="right"/>
        <w:rPr>
          <w:rFonts w:ascii="宋体" w:hAnsi="宋体" w:eastAsia="宋体" w:cs="宋体"/>
          <w:color w:val="auto"/>
          <w:sz w:val="24"/>
          <w:szCs w:val="24"/>
          <w:lang w:eastAsia="zh-CN"/>
        </w:rPr>
      </w:pPr>
      <w:r>
        <w:rPr>
          <w:rFonts w:ascii="宋体" w:hAnsi="宋体" w:eastAsia="宋体" w:cs="宋体"/>
          <w:color w:val="auto"/>
          <w:sz w:val="24"/>
          <w:szCs w:val="24"/>
          <w:lang w:eastAsia="zh-CN"/>
        </w:rPr>
        <w:t>1．所附报价表中规定的应提交和交付的工程总报价为</w:t>
      </w:r>
      <w:r>
        <w:rPr>
          <w:rFonts w:ascii="宋体" w:hAnsi="宋体" w:eastAsia="宋体" w:cs="宋体"/>
          <w:color w:val="auto"/>
          <w:sz w:val="24"/>
          <w:szCs w:val="24"/>
          <w:u w:val="single"/>
          <w:lang w:eastAsia="zh-CN"/>
        </w:rPr>
        <w:t xml:space="preserve">  人民币金额数（同时用汉字</w:t>
      </w:r>
      <w:r>
        <w:rPr>
          <w:rFonts w:ascii="宋体" w:hAnsi="宋体" w:eastAsia="宋体" w:cs="宋体"/>
          <w:color w:val="auto"/>
          <w:spacing w:val="-1"/>
          <w:sz w:val="24"/>
          <w:szCs w:val="24"/>
          <w:u w:val="single"/>
          <w:lang w:eastAsia="zh-CN"/>
        </w:rPr>
        <w:t>大写</w:t>
      </w:r>
    </w:p>
    <w:p w14:paraId="28A6EF2F">
      <w:pPr>
        <w:spacing w:before="1" w:line="217" w:lineRule="auto"/>
        <w:rPr>
          <w:rFonts w:ascii="宋体" w:hAnsi="宋体" w:eastAsia="宋体" w:cs="宋体"/>
          <w:color w:val="auto"/>
          <w:sz w:val="24"/>
          <w:szCs w:val="24"/>
          <w:lang w:eastAsia="zh-CN"/>
        </w:rPr>
      </w:pPr>
      <w:r>
        <w:rPr>
          <w:rFonts w:ascii="宋体" w:hAnsi="宋体" w:eastAsia="宋体" w:cs="宋体"/>
          <w:color w:val="auto"/>
          <w:spacing w:val="-1"/>
          <w:sz w:val="24"/>
          <w:szCs w:val="24"/>
          <w:u w:val="single"/>
          <w:lang w:eastAsia="zh-CN"/>
        </w:rPr>
        <w:t xml:space="preserve">和数字表示的总报价） </w:t>
      </w:r>
      <w:r>
        <w:rPr>
          <w:rFonts w:ascii="宋体" w:hAnsi="宋体" w:eastAsia="宋体" w:cs="宋体"/>
          <w:color w:val="auto"/>
          <w:spacing w:val="-1"/>
          <w:sz w:val="24"/>
          <w:szCs w:val="24"/>
          <w:lang w:eastAsia="zh-CN"/>
        </w:rPr>
        <w:t>。</w:t>
      </w:r>
    </w:p>
    <w:p w14:paraId="2732B764">
      <w:pPr>
        <w:spacing w:before="159" w:line="219" w:lineRule="auto"/>
        <w:ind w:left="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2．我们将按磋商文件的规定履行合同责任和义务。</w:t>
      </w:r>
    </w:p>
    <w:p w14:paraId="5FB23E95">
      <w:pPr>
        <w:spacing w:before="154" w:line="439" w:lineRule="exact"/>
        <w:ind w:right="53"/>
        <w:jc w:val="right"/>
        <w:rPr>
          <w:rFonts w:ascii="宋体" w:hAnsi="宋体" w:eastAsia="宋体" w:cs="宋体"/>
          <w:color w:val="auto"/>
          <w:sz w:val="24"/>
          <w:szCs w:val="24"/>
          <w:lang w:eastAsia="zh-CN"/>
        </w:rPr>
      </w:pPr>
      <w:r>
        <w:rPr>
          <w:rFonts w:ascii="宋体" w:hAnsi="宋体" w:eastAsia="宋体" w:cs="宋体"/>
          <w:color w:val="auto"/>
          <w:position w:val="14"/>
          <w:sz w:val="24"/>
          <w:szCs w:val="24"/>
          <w:lang w:eastAsia="zh-CN"/>
        </w:rPr>
        <w:t>3．我们已详细审查全部磋商文件。我们完全理解并同意放弃对这方面有不明及误解的权</w:t>
      </w:r>
    </w:p>
    <w:p w14:paraId="5417D05D">
      <w:pPr>
        <w:spacing w:before="1" w:line="219" w:lineRule="auto"/>
        <w:ind w:left="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力。</w:t>
      </w:r>
    </w:p>
    <w:p w14:paraId="30A171C1">
      <w:pPr>
        <w:spacing w:before="156" w:line="338" w:lineRule="auto"/>
        <w:ind w:right="53"/>
        <w:jc w:val="right"/>
        <w:rPr>
          <w:rFonts w:ascii="宋体" w:hAnsi="宋体" w:eastAsia="宋体" w:cs="宋体"/>
          <w:color w:val="auto"/>
          <w:sz w:val="24"/>
          <w:szCs w:val="24"/>
          <w:lang w:eastAsia="zh-CN"/>
        </w:rPr>
      </w:pPr>
      <w:r>
        <w:rPr>
          <w:rFonts w:ascii="宋体" w:hAnsi="宋体" w:eastAsia="宋体" w:cs="宋体"/>
          <w:color w:val="auto"/>
          <w:sz w:val="24"/>
          <w:szCs w:val="24"/>
          <w:lang w:eastAsia="zh-CN"/>
        </w:rPr>
        <w:t>4．本磋商有效期为自磋商之日起</w:t>
      </w:r>
      <w:r>
        <w:rPr>
          <w:rFonts w:ascii="宋体" w:hAnsi="宋体" w:eastAsia="宋体" w:cs="宋体"/>
          <w:color w:val="auto"/>
          <w:spacing w:val="-116"/>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z w:val="24"/>
          <w:szCs w:val="24"/>
          <w:lang w:eastAsia="zh-CN"/>
        </w:rPr>
        <w:t>个日历日（成交供应商的响应文件有效期延长为</w:t>
      </w:r>
    </w:p>
    <w:p w14:paraId="3C95B728">
      <w:pPr>
        <w:spacing w:line="220" w:lineRule="auto"/>
        <w:ind w:left="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与合同有效期一致）。</w:t>
      </w:r>
    </w:p>
    <w:p w14:paraId="56A03C4B">
      <w:pPr>
        <w:spacing w:before="153" w:line="442" w:lineRule="exact"/>
        <w:ind w:right="53"/>
        <w:jc w:val="right"/>
        <w:rPr>
          <w:rFonts w:ascii="宋体" w:hAnsi="宋体" w:eastAsia="宋体" w:cs="宋体"/>
          <w:color w:val="auto"/>
          <w:sz w:val="24"/>
          <w:szCs w:val="24"/>
          <w:lang w:eastAsia="zh-CN"/>
        </w:rPr>
      </w:pPr>
      <w:r>
        <w:rPr>
          <w:rFonts w:ascii="宋体" w:hAnsi="宋体" w:eastAsia="宋体" w:cs="宋体"/>
          <w:color w:val="auto"/>
          <w:position w:val="15"/>
          <w:sz w:val="24"/>
          <w:szCs w:val="24"/>
          <w:lang w:eastAsia="zh-CN"/>
        </w:rPr>
        <w:t>5．我们同意提供按照贵方可能要求的与其磋商有关的一切数据或资料，完全理解贵方不</w:t>
      </w:r>
    </w:p>
    <w:p w14:paraId="5C35DD04">
      <w:pPr>
        <w:spacing w:before="1" w:line="217" w:lineRule="auto"/>
        <w:ind w:left="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一定接受最低磋商报价的响应文件或收到的任何响应文件。</w:t>
      </w:r>
    </w:p>
    <w:p w14:paraId="196CBF24">
      <w:pPr>
        <w:spacing w:before="15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6．与本磋商有关的一切正式往来信函请寄：</w:t>
      </w:r>
    </w:p>
    <w:p w14:paraId="7BED9600">
      <w:pPr>
        <w:pStyle w:val="9"/>
        <w:spacing w:line="257" w:lineRule="auto"/>
        <w:rPr>
          <w:color w:val="auto"/>
          <w:lang w:eastAsia="zh-CN"/>
        </w:rPr>
      </w:pPr>
    </w:p>
    <w:p w14:paraId="64A07A9B">
      <w:pPr>
        <w:pStyle w:val="9"/>
        <w:spacing w:line="257" w:lineRule="auto"/>
        <w:rPr>
          <w:color w:val="auto"/>
          <w:lang w:eastAsia="zh-CN"/>
        </w:rPr>
      </w:pPr>
    </w:p>
    <w:p w14:paraId="7B8C68D7">
      <w:pPr>
        <w:spacing w:before="78" w:line="219" w:lineRule="auto"/>
        <w:ind w:left="48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供应商名称</w:t>
      </w:r>
      <w:r>
        <w:rPr>
          <w:rFonts w:ascii="宋体" w:hAnsi="宋体" w:eastAsia="宋体" w:cs="宋体"/>
          <w:color w:val="auto"/>
          <w:spacing w:val="-18"/>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8"/>
          <w:sz w:val="24"/>
          <w:szCs w:val="24"/>
          <w:lang w:eastAsia="zh-CN"/>
        </w:rPr>
        <w:t>（</w:t>
      </w:r>
      <w:r>
        <w:rPr>
          <w:rFonts w:ascii="宋体" w:hAnsi="宋体" w:eastAsia="宋体" w:cs="宋体"/>
          <w:color w:val="auto"/>
          <w:spacing w:val="3"/>
          <w:sz w:val="24"/>
          <w:szCs w:val="24"/>
          <w:lang w:eastAsia="zh-CN"/>
        </w:rPr>
        <w:t>公章）</w:t>
      </w:r>
    </w:p>
    <w:p w14:paraId="549F0CD2">
      <w:pPr>
        <w:spacing w:before="155" w:line="33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法定代表人或授权代理人</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r>
        <w:rPr>
          <w:rFonts w:ascii="宋体" w:hAnsi="宋体" w:eastAsia="宋体" w:cs="宋体"/>
          <w:color w:val="auto"/>
          <w:spacing w:val="1"/>
          <w:sz w:val="24"/>
          <w:szCs w:val="24"/>
          <w:lang w:eastAsia="zh-CN"/>
        </w:rPr>
        <w:t>签字或盖章）</w:t>
      </w:r>
    </w:p>
    <w:p w14:paraId="74BBB2EC">
      <w:pPr>
        <w:spacing w:before="1" w:line="220" w:lineRule="auto"/>
        <w:ind w:left="48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详细地址：</w:t>
      </w:r>
      <w:r>
        <w:rPr>
          <w:rFonts w:ascii="宋体" w:hAnsi="宋体" w:eastAsia="宋体" w:cs="宋体"/>
          <w:color w:val="auto"/>
          <w:sz w:val="24"/>
          <w:szCs w:val="24"/>
          <w:u w:val="single"/>
          <w:lang w:eastAsia="zh-CN"/>
        </w:rPr>
        <w:t xml:space="preserve">                                </w:t>
      </w:r>
    </w:p>
    <w:p w14:paraId="5FCBF162">
      <w:pPr>
        <w:spacing w:before="155" w:line="338" w:lineRule="auto"/>
        <w:ind w:left="49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邮政编码：</w:t>
      </w:r>
      <w:r>
        <w:rPr>
          <w:rFonts w:ascii="宋体" w:hAnsi="宋体" w:eastAsia="宋体" w:cs="宋体"/>
          <w:color w:val="auto"/>
          <w:spacing w:val="-4"/>
          <w:sz w:val="24"/>
          <w:szCs w:val="24"/>
          <w:u w:val="single"/>
          <w:lang w:eastAsia="zh-CN"/>
        </w:rPr>
        <w:t xml:space="preserve">                                 </w:t>
      </w:r>
    </w:p>
    <w:p w14:paraId="2DF81AF0">
      <w:pPr>
        <w:spacing w:line="221" w:lineRule="auto"/>
        <w:ind w:left="508"/>
        <w:rPr>
          <w:rFonts w:ascii="宋体" w:hAnsi="宋体" w:eastAsia="宋体" w:cs="宋体"/>
          <w:color w:val="auto"/>
          <w:sz w:val="24"/>
          <w:szCs w:val="24"/>
          <w:lang w:eastAsia="zh-CN"/>
        </w:rPr>
      </w:pPr>
      <w:r>
        <w:rPr>
          <w:rFonts w:ascii="宋体" w:hAnsi="宋体" w:eastAsia="宋体" w:cs="宋体"/>
          <w:color w:val="auto"/>
          <w:spacing w:val="-16"/>
          <w:sz w:val="24"/>
          <w:szCs w:val="24"/>
          <w:lang w:eastAsia="zh-CN"/>
        </w:rPr>
        <w:t>电</w:t>
      </w:r>
      <w:r>
        <w:rPr>
          <w:rFonts w:ascii="宋体" w:hAnsi="宋体" w:eastAsia="宋体" w:cs="宋体"/>
          <w:color w:val="auto"/>
          <w:spacing w:val="2"/>
          <w:sz w:val="24"/>
          <w:szCs w:val="24"/>
          <w:lang w:eastAsia="zh-CN"/>
        </w:rPr>
        <w:t xml:space="preserve">    </w:t>
      </w:r>
      <w:r>
        <w:rPr>
          <w:rFonts w:ascii="宋体" w:hAnsi="宋体" w:eastAsia="宋体" w:cs="宋体"/>
          <w:color w:val="auto"/>
          <w:spacing w:val="-16"/>
          <w:sz w:val="24"/>
          <w:szCs w:val="24"/>
          <w:lang w:eastAsia="zh-CN"/>
        </w:rPr>
        <w:t>话：</w:t>
      </w:r>
      <w:r>
        <w:rPr>
          <w:rFonts w:ascii="宋体" w:hAnsi="宋体" w:eastAsia="宋体" w:cs="宋体"/>
          <w:color w:val="auto"/>
          <w:sz w:val="24"/>
          <w:szCs w:val="24"/>
          <w:u w:val="single"/>
          <w:lang w:eastAsia="zh-CN"/>
        </w:rPr>
        <w:t xml:space="preserve">                                </w:t>
      </w:r>
    </w:p>
    <w:p w14:paraId="222E36F7">
      <w:pPr>
        <w:spacing w:before="121" w:line="219" w:lineRule="auto"/>
        <w:ind w:left="521"/>
        <w:outlineLvl w:val="0"/>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15"/>
          <w:sz w:val="24"/>
          <w:szCs w:val="24"/>
          <w:lang w:eastAsia="zh-CN"/>
        </w:rPr>
        <w:t>日</w:t>
      </w:r>
    </w:p>
    <w:p w14:paraId="16DFF4FC">
      <w:pPr>
        <w:spacing w:line="219" w:lineRule="auto"/>
        <w:rPr>
          <w:rFonts w:ascii="宋体" w:hAnsi="宋体" w:eastAsia="宋体" w:cs="宋体"/>
          <w:color w:val="auto"/>
          <w:sz w:val="24"/>
          <w:szCs w:val="24"/>
          <w:lang w:eastAsia="zh-CN"/>
        </w:rPr>
        <w:sectPr>
          <w:footerReference r:id="rId7" w:type="default"/>
          <w:pgSz w:w="11906" w:h="16839"/>
          <w:pgMar w:top="1431" w:right="1025" w:bottom="1080" w:left="1089" w:header="0" w:footer="794" w:gutter="0"/>
          <w:cols w:space="720" w:num="1"/>
        </w:sectPr>
      </w:pPr>
    </w:p>
    <w:p w14:paraId="1E93BFFA">
      <w:pPr>
        <w:spacing w:before="64" w:line="223" w:lineRule="auto"/>
        <w:ind w:left="3103"/>
        <w:rPr>
          <w:rFonts w:ascii="宋体" w:hAnsi="宋体" w:eastAsia="宋体" w:cs="宋体"/>
          <w:color w:val="auto"/>
          <w:sz w:val="31"/>
          <w:szCs w:val="31"/>
          <w:lang w:eastAsia="zh-CN"/>
        </w:rPr>
      </w:pPr>
      <w:r>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二、第一次磋商报价表</w:t>
      </w:r>
    </w:p>
    <w:p w14:paraId="25389218">
      <w:pPr>
        <w:spacing w:line="199" w:lineRule="exact"/>
        <w:rPr>
          <w:color w:val="auto"/>
          <w:lang w:eastAsia="zh-CN"/>
        </w:rPr>
      </w:pPr>
    </w:p>
    <w:tbl>
      <w:tblPr>
        <w:tblStyle w:val="20"/>
        <w:tblW w:w="9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7"/>
        <w:gridCol w:w="5713"/>
      </w:tblGrid>
      <w:tr w14:paraId="5C0F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567" w:type="dxa"/>
          </w:tcPr>
          <w:p w14:paraId="06496602">
            <w:pPr>
              <w:spacing w:line="366" w:lineRule="auto"/>
              <w:rPr>
                <w:color w:val="auto"/>
                <w:lang w:eastAsia="zh-CN"/>
              </w:rPr>
            </w:pPr>
          </w:p>
          <w:p w14:paraId="48DB128C">
            <w:pPr>
              <w:pStyle w:val="21"/>
              <w:spacing w:before="78" w:line="219" w:lineRule="auto"/>
              <w:ind w:left="1118"/>
              <w:rPr>
                <w:color w:val="auto"/>
              </w:rPr>
            </w:pPr>
            <w:r>
              <w:rPr>
                <w:color w:val="auto"/>
                <w:spacing w:val="-4"/>
              </w:rPr>
              <w:t>项目编号</w:t>
            </w:r>
          </w:p>
        </w:tc>
        <w:tc>
          <w:tcPr>
            <w:tcW w:w="5713" w:type="dxa"/>
          </w:tcPr>
          <w:p w14:paraId="17636B10">
            <w:pPr>
              <w:rPr>
                <w:color w:val="auto"/>
              </w:rPr>
            </w:pPr>
          </w:p>
        </w:tc>
      </w:tr>
      <w:tr w14:paraId="7879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3567" w:type="dxa"/>
          </w:tcPr>
          <w:p w14:paraId="49B34E60">
            <w:pPr>
              <w:spacing w:line="363" w:lineRule="auto"/>
              <w:rPr>
                <w:color w:val="auto"/>
              </w:rPr>
            </w:pPr>
          </w:p>
          <w:p w14:paraId="7ED29E8D">
            <w:pPr>
              <w:pStyle w:val="21"/>
              <w:spacing w:before="78" w:line="220" w:lineRule="auto"/>
              <w:ind w:left="1118"/>
              <w:rPr>
                <w:color w:val="auto"/>
              </w:rPr>
            </w:pPr>
            <w:r>
              <w:rPr>
                <w:color w:val="auto"/>
                <w:spacing w:val="-4"/>
              </w:rPr>
              <w:t>项目名称</w:t>
            </w:r>
          </w:p>
        </w:tc>
        <w:tc>
          <w:tcPr>
            <w:tcW w:w="5713" w:type="dxa"/>
          </w:tcPr>
          <w:p w14:paraId="711973B7">
            <w:pPr>
              <w:rPr>
                <w:color w:val="auto"/>
              </w:rPr>
            </w:pPr>
          </w:p>
        </w:tc>
      </w:tr>
      <w:tr w14:paraId="5F3F5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3567" w:type="dxa"/>
          </w:tcPr>
          <w:p w14:paraId="5CD79149">
            <w:pPr>
              <w:spacing w:line="260" w:lineRule="auto"/>
              <w:rPr>
                <w:color w:val="auto"/>
              </w:rPr>
            </w:pPr>
          </w:p>
          <w:p w14:paraId="54ED8359">
            <w:pPr>
              <w:spacing w:line="261" w:lineRule="auto"/>
              <w:rPr>
                <w:color w:val="auto"/>
              </w:rPr>
            </w:pPr>
          </w:p>
          <w:p w14:paraId="36D4C167">
            <w:pPr>
              <w:pStyle w:val="21"/>
              <w:spacing w:before="78" w:line="218" w:lineRule="auto"/>
              <w:ind w:left="641"/>
              <w:rPr>
                <w:color w:val="auto"/>
              </w:rPr>
            </w:pPr>
            <w:r>
              <w:rPr>
                <w:color w:val="auto"/>
                <w:spacing w:val="-2"/>
              </w:rPr>
              <w:t>总报价（人民币）</w:t>
            </w:r>
          </w:p>
        </w:tc>
        <w:tc>
          <w:tcPr>
            <w:tcW w:w="5713" w:type="dxa"/>
          </w:tcPr>
          <w:p w14:paraId="1B0C5E9E">
            <w:pPr>
              <w:pStyle w:val="21"/>
              <w:spacing w:before="212" w:line="219" w:lineRule="auto"/>
              <w:ind w:left="253"/>
              <w:rPr>
                <w:color w:val="auto"/>
                <w:lang w:eastAsia="zh-CN"/>
              </w:rPr>
            </w:pPr>
            <w:r>
              <w:rPr>
                <w:color w:val="auto"/>
                <w:spacing w:val="-3"/>
                <w:lang w:eastAsia="zh-CN"/>
              </w:rPr>
              <w:t>大写金额：</w:t>
            </w:r>
            <w:r>
              <w:rPr>
                <w:color w:val="auto"/>
                <w:u w:val="single"/>
                <w:lang w:eastAsia="zh-CN"/>
              </w:rPr>
              <w:t xml:space="preserve">           </w:t>
            </w:r>
          </w:p>
          <w:p w14:paraId="449690D7">
            <w:pPr>
              <w:pStyle w:val="21"/>
              <w:spacing w:before="281" w:line="219" w:lineRule="auto"/>
              <w:ind w:left="256"/>
              <w:rPr>
                <w:color w:val="auto"/>
                <w:lang w:eastAsia="zh-CN"/>
              </w:rPr>
            </w:pPr>
            <w:r>
              <w:rPr>
                <w:color w:val="auto"/>
                <w:spacing w:val="-1"/>
                <w:lang w:eastAsia="zh-CN"/>
              </w:rPr>
              <w:t>小写金额：</w:t>
            </w:r>
            <w:r>
              <w:rPr>
                <w:color w:val="auto"/>
                <w:spacing w:val="-1"/>
                <w:u w:val="single"/>
                <w:lang w:eastAsia="zh-CN"/>
              </w:rPr>
              <w:t xml:space="preserve">           </w:t>
            </w:r>
            <w:r>
              <w:rPr>
                <w:color w:val="auto"/>
                <w:spacing w:val="-109"/>
                <w:lang w:eastAsia="zh-CN"/>
              </w:rPr>
              <w:t xml:space="preserve"> </w:t>
            </w:r>
            <w:r>
              <w:rPr>
                <w:color w:val="auto"/>
                <w:spacing w:val="-1"/>
                <w:lang w:eastAsia="zh-CN"/>
              </w:rPr>
              <w:t>元</w:t>
            </w:r>
          </w:p>
        </w:tc>
      </w:tr>
      <w:tr w14:paraId="3C13B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567" w:type="dxa"/>
          </w:tcPr>
          <w:p w14:paraId="2CEC644D">
            <w:pPr>
              <w:spacing w:line="363" w:lineRule="auto"/>
              <w:rPr>
                <w:color w:val="auto"/>
              </w:rPr>
            </w:pPr>
          </w:p>
          <w:p w14:paraId="03D0BB7D">
            <w:pPr>
              <w:pStyle w:val="21"/>
              <w:spacing w:before="78" w:line="220" w:lineRule="auto"/>
              <w:ind w:firstLine="1130" w:firstLineChars="500"/>
              <w:rPr>
                <w:rFonts w:hint="eastAsia" w:eastAsia="宋体"/>
                <w:color w:val="auto"/>
                <w:lang w:eastAsia="zh-CN"/>
              </w:rPr>
            </w:pPr>
            <w:r>
              <w:rPr>
                <w:rFonts w:hint="eastAsia"/>
                <w:color w:val="auto"/>
                <w:spacing w:val="-7"/>
                <w:lang w:eastAsia="zh-CN"/>
              </w:rPr>
              <w:t>合同履行期</w:t>
            </w:r>
          </w:p>
        </w:tc>
        <w:tc>
          <w:tcPr>
            <w:tcW w:w="5713" w:type="dxa"/>
          </w:tcPr>
          <w:p w14:paraId="79B551E5">
            <w:pPr>
              <w:rPr>
                <w:color w:val="auto"/>
              </w:rPr>
            </w:pPr>
          </w:p>
        </w:tc>
      </w:tr>
      <w:tr w14:paraId="752F6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567" w:type="dxa"/>
          </w:tcPr>
          <w:p w14:paraId="5AE6ACBF">
            <w:pPr>
              <w:spacing w:line="366" w:lineRule="auto"/>
              <w:rPr>
                <w:color w:val="auto"/>
              </w:rPr>
            </w:pPr>
          </w:p>
          <w:p w14:paraId="5E7E0855">
            <w:pPr>
              <w:pStyle w:val="21"/>
              <w:spacing w:before="78" w:line="220" w:lineRule="auto"/>
              <w:ind w:left="1115"/>
              <w:rPr>
                <w:color w:val="auto"/>
              </w:rPr>
            </w:pPr>
            <w:r>
              <w:rPr>
                <w:color w:val="auto"/>
                <w:spacing w:val="-3"/>
              </w:rPr>
              <w:t>质量标准</w:t>
            </w:r>
          </w:p>
        </w:tc>
        <w:tc>
          <w:tcPr>
            <w:tcW w:w="5713" w:type="dxa"/>
          </w:tcPr>
          <w:p w14:paraId="241282C4">
            <w:pPr>
              <w:rPr>
                <w:color w:val="auto"/>
              </w:rPr>
            </w:pPr>
          </w:p>
        </w:tc>
      </w:tr>
      <w:tr w14:paraId="6472E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567" w:type="dxa"/>
          </w:tcPr>
          <w:p w14:paraId="360A3970">
            <w:pPr>
              <w:spacing w:line="366" w:lineRule="auto"/>
              <w:rPr>
                <w:color w:val="auto"/>
              </w:rPr>
            </w:pPr>
          </w:p>
          <w:p w14:paraId="414A6038">
            <w:pPr>
              <w:pStyle w:val="21"/>
              <w:spacing w:before="78" w:line="221" w:lineRule="auto"/>
              <w:ind w:left="1357"/>
              <w:rPr>
                <w:color w:val="auto"/>
              </w:rPr>
            </w:pPr>
            <w:r>
              <w:rPr>
                <w:color w:val="auto"/>
                <w:spacing w:val="-7"/>
              </w:rPr>
              <w:t>备注</w:t>
            </w:r>
          </w:p>
        </w:tc>
        <w:tc>
          <w:tcPr>
            <w:tcW w:w="5713" w:type="dxa"/>
          </w:tcPr>
          <w:p w14:paraId="5D5A18B6">
            <w:pPr>
              <w:rPr>
                <w:color w:val="auto"/>
              </w:rPr>
            </w:pPr>
          </w:p>
        </w:tc>
      </w:tr>
    </w:tbl>
    <w:p w14:paraId="27DBC0C2">
      <w:pPr>
        <w:pStyle w:val="9"/>
        <w:spacing w:line="281" w:lineRule="auto"/>
        <w:rPr>
          <w:color w:val="auto"/>
        </w:rPr>
      </w:pPr>
    </w:p>
    <w:p w14:paraId="347EABB8">
      <w:pPr>
        <w:pStyle w:val="9"/>
        <w:spacing w:line="281" w:lineRule="auto"/>
        <w:rPr>
          <w:color w:val="auto"/>
        </w:rPr>
      </w:pPr>
    </w:p>
    <w:p w14:paraId="7A8E7221">
      <w:pPr>
        <w:pStyle w:val="9"/>
        <w:spacing w:line="281" w:lineRule="auto"/>
        <w:rPr>
          <w:color w:val="auto"/>
        </w:rPr>
      </w:pPr>
    </w:p>
    <w:p w14:paraId="45BD5659">
      <w:pPr>
        <w:pStyle w:val="9"/>
        <w:spacing w:line="282" w:lineRule="auto"/>
        <w:rPr>
          <w:color w:val="auto"/>
        </w:rPr>
      </w:pPr>
    </w:p>
    <w:p w14:paraId="0BA65FA3">
      <w:pPr>
        <w:spacing w:before="78" w:line="219" w:lineRule="auto"/>
        <w:ind w:left="66"/>
        <w:rPr>
          <w:rFonts w:ascii="宋体" w:hAnsi="宋体" w:eastAsia="宋体" w:cs="宋体"/>
          <w:color w:val="auto"/>
          <w:sz w:val="24"/>
          <w:szCs w:val="24"/>
        </w:rPr>
      </w:pPr>
      <w:r>
        <w:rPr>
          <w:rFonts w:ascii="宋体" w:hAnsi="宋体" w:eastAsia="宋体" w:cs="宋体"/>
          <w:color w:val="auto"/>
          <w:spacing w:val="4"/>
          <w:sz w:val="24"/>
          <w:szCs w:val="24"/>
        </w:rPr>
        <w:t>供应商</w:t>
      </w:r>
      <w:r>
        <w:rPr>
          <w:rFonts w:ascii="宋体" w:hAnsi="宋体" w:eastAsia="宋体" w:cs="宋体"/>
          <w:color w:val="auto"/>
          <w:spacing w:val="-18"/>
          <w:sz w:val="24"/>
          <w:szCs w:val="24"/>
        </w:rPr>
        <w:t>：</w:t>
      </w:r>
      <w:r>
        <w:rPr>
          <w:rFonts w:ascii="宋体" w:hAnsi="宋体" w:eastAsia="宋体" w:cs="宋体"/>
          <w:color w:val="auto"/>
          <w:sz w:val="24"/>
          <w:szCs w:val="24"/>
          <w:u w:val="single"/>
        </w:rPr>
        <w:t xml:space="preserve">                              </w:t>
      </w:r>
      <w:r>
        <w:rPr>
          <w:rFonts w:ascii="宋体" w:hAnsi="宋体" w:eastAsia="宋体" w:cs="宋体"/>
          <w:color w:val="auto"/>
          <w:spacing w:val="-18"/>
          <w:sz w:val="24"/>
          <w:szCs w:val="24"/>
        </w:rPr>
        <w:t>（</w:t>
      </w:r>
      <w:r>
        <w:rPr>
          <w:rFonts w:ascii="宋体" w:hAnsi="宋体" w:eastAsia="宋体" w:cs="宋体"/>
          <w:color w:val="auto"/>
          <w:spacing w:val="4"/>
          <w:sz w:val="24"/>
          <w:szCs w:val="24"/>
        </w:rPr>
        <w:t>盖章）</w:t>
      </w:r>
    </w:p>
    <w:p w14:paraId="08AFB8C0">
      <w:pPr>
        <w:pStyle w:val="9"/>
        <w:spacing w:line="259" w:lineRule="auto"/>
        <w:rPr>
          <w:color w:val="auto"/>
        </w:rPr>
      </w:pPr>
    </w:p>
    <w:p w14:paraId="584F4AA2">
      <w:pPr>
        <w:spacing w:before="78" w:line="219" w:lineRule="auto"/>
        <w:ind w:left="6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法定代表人或授权代理人</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r>
        <w:rPr>
          <w:rFonts w:ascii="宋体" w:hAnsi="宋体" w:eastAsia="宋体" w:cs="宋体"/>
          <w:color w:val="auto"/>
          <w:spacing w:val="1"/>
          <w:sz w:val="24"/>
          <w:szCs w:val="24"/>
          <w:lang w:eastAsia="zh-CN"/>
        </w:rPr>
        <w:t>签字或盖章）</w:t>
      </w:r>
    </w:p>
    <w:p w14:paraId="74EEFB1F">
      <w:pPr>
        <w:pStyle w:val="9"/>
        <w:spacing w:line="260" w:lineRule="auto"/>
        <w:rPr>
          <w:color w:val="auto"/>
          <w:lang w:eastAsia="zh-CN"/>
        </w:rPr>
      </w:pPr>
    </w:p>
    <w:p w14:paraId="0F24BF0A">
      <w:pPr>
        <w:spacing w:before="78" w:line="219" w:lineRule="auto"/>
        <w:ind w:left="107"/>
        <w:outlineLvl w:val="0"/>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日期：</w:t>
      </w:r>
      <w:r>
        <w:rPr>
          <w:rFonts w:ascii="宋体" w:hAnsi="宋体" w:eastAsia="宋体" w:cs="宋体"/>
          <w:color w:val="auto"/>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13"/>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13"/>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13"/>
          <w:sz w:val="24"/>
          <w:szCs w:val="24"/>
          <w:lang w:eastAsia="zh-CN"/>
        </w:rPr>
        <w:t>日</w:t>
      </w:r>
    </w:p>
    <w:p w14:paraId="0FC18FF8">
      <w:pPr>
        <w:spacing w:line="219" w:lineRule="auto"/>
        <w:rPr>
          <w:rFonts w:ascii="宋体" w:hAnsi="宋体" w:eastAsia="宋体" w:cs="宋体"/>
          <w:color w:val="auto"/>
          <w:sz w:val="24"/>
          <w:szCs w:val="24"/>
          <w:lang w:eastAsia="zh-CN"/>
        </w:rPr>
      </w:pPr>
    </w:p>
    <w:p w14:paraId="0FBCCC74">
      <w:pPr>
        <w:spacing w:line="219" w:lineRule="auto"/>
        <w:rPr>
          <w:rFonts w:ascii="宋体" w:hAnsi="宋体" w:eastAsia="宋体" w:cs="宋体"/>
          <w:color w:val="auto"/>
          <w:sz w:val="24"/>
          <w:szCs w:val="24"/>
          <w:lang w:eastAsia="zh-CN"/>
        </w:rPr>
      </w:pPr>
    </w:p>
    <w:p w14:paraId="58FC29D3">
      <w:pPr>
        <w:spacing w:line="219" w:lineRule="auto"/>
        <w:rPr>
          <w:rFonts w:ascii="宋体" w:hAnsi="宋体" w:eastAsia="宋体" w:cs="宋体"/>
          <w:color w:val="auto"/>
          <w:sz w:val="24"/>
          <w:szCs w:val="24"/>
          <w:lang w:eastAsia="zh-CN"/>
        </w:rPr>
      </w:pPr>
    </w:p>
    <w:p w14:paraId="5CDD5985">
      <w:pPr>
        <w:spacing w:line="219" w:lineRule="auto"/>
        <w:rPr>
          <w:rFonts w:ascii="宋体" w:hAnsi="宋体" w:eastAsia="宋体" w:cs="宋体"/>
          <w:color w:val="auto"/>
          <w:sz w:val="24"/>
          <w:szCs w:val="24"/>
          <w:lang w:eastAsia="zh-CN"/>
        </w:rPr>
      </w:pPr>
    </w:p>
    <w:p w14:paraId="32C0234D">
      <w:pPr>
        <w:spacing w:line="219" w:lineRule="auto"/>
        <w:rPr>
          <w:rFonts w:ascii="宋体" w:hAnsi="宋体" w:eastAsia="宋体" w:cs="宋体"/>
          <w:color w:val="auto"/>
          <w:sz w:val="24"/>
          <w:szCs w:val="24"/>
          <w:lang w:eastAsia="zh-CN"/>
        </w:rPr>
      </w:pPr>
    </w:p>
    <w:p w14:paraId="10170E9A">
      <w:pPr>
        <w:spacing w:line="219" w:lineRule="auto"/>
        <w:rPr>
          <w:rFonts w:ascii="宋体" w:hAnsi="宋体" w:eastAsia="宋体" w:cs="宋体"/>
          <w:color w:val="auto"/>
          <w:sz w:val="24"/>
          <w:szCs w:val="24"/>
          <w:lang w:eastAsia="zh-CN"/>
        </w:rPr>
      </w:pPr>
    </w:p>
    <w:p w14:paraId="5F97E450">
      <w:pPr>
        <w:spacing w:line="219" w:lineRule="auto"/>
        <w:rPr>
          <w:rFonts w:ascii="宋体" w:hAnsi="宋体" w:eastAsia="宋体" w:cs="宋体"/>
          <w:color w:val="auto"/>
          <w:sz w:val="24"/>
          <w:szCs w:val="24"/>
          <w:lang w:eastAsia="zh-CN"/>
        </w:rPr>
      </w:pPr>
    </w:p>
    <w:p w14:paraId="611EBE02">
      <w:pPr>
        <w:spacing w:line="219" w:lineRule="auto"/>
        <w:rPr>
          <w:rFonts w:ascii="宋体" w:hAnsi="宋体" w:eastAsia="宋体" w:cs="宋体"/>
          <w:color w:val="auto"/>
          <w:sz w:val="24"/>
          <w:szCs w:val="24"/>
          <w:lang w:eastAsia="zh-CN"/>
        </w:rPr>
      </w:pPr>
    </w:p>
    <w:p w14:paraId="344413BC">
      <w:pPr>
        <w:pStyle w:val="2"/>
        <w:rPr>
          <w:rFonts w:ascii="宋体" w:hAnsi="宋体" w:eastAsia="宋体" w:cs="宋体"/>
          <w:color w:val="auto"/>
          <w:sz w:val="24"/>
          <w:szCs w:val="24"/>
          <w:lang w:eastAsia="zh-CN"/>
        </w:rPr>
      </w:pPr>
    </w:p>
    <w:p w14:paraId="4F380D98">
      <w:pPr>
        <w:rPr>
          <w:rFonts w:ascii="宋体" w:hAnsi="宋体" w:eastAsia="宋体" w:cs="宋体"/>
          <w:color w:val="auto"/>
          <w:sz w:val="24"/>
          <w:szCs w:val="24"/>
          <w:lang w:eastAsia="zh-CN"/>
        </w:rPr>
      </w:pPr>
    </w:p>
    <w:p w14:paraId="1B3D7F08">
      <w:pPr>
        <w:pStyle w:val="2"/>
        <w:rPr>
          <w:lang w:eastAsia="zh-CN"/>
        </w:rPr>
      </w:pPr>
    </w:p>
    <w:p w14:paraId="736C309C">
      <w:pPr>
        <w:spacing w:line="219" w:lineRule="auto"/>
        <w:rPr>
          <w:rFonts w:ascii="宋体" w:hAnsi="宋体" w:eastAsia="宋体" w:cs="宋体"/>
          <w:color w:val="auto"/>
          <w:sz w:val="24"/>
          <w:szCs w:val="24"/>
          <w:lang w:eastAsia="zh-CN"/>
        </w:rPr>
      </w:pPr>
    </w:p>
    <w:p w14:paraId="1891C15E">
      <w:pPr>
        <w:spacing w:line="219" w:lineRule="auto"/>
        <w:rPr>
          <w:rFonts w:ascii="宋体" w:hAnsi="宋体" w:eastAsia="宋体" w:cs="宋体"/>
          <w:color w:val="auto"/>
          <w:sz w:val="24"/>
          <w:szCs w:val="24"/>
          <w:lang w:eastAsia="zh-CN"/>
        </w:rPr>
      </w:pPr>
    </w:p>
    <w:p w14:paraId="2AB3EDD2">
      <w:pPr>
        <w:widowControl w:val="0"/>
        <w:kinsoku/>
        <w:autoSpaceDE/>
        <w:autoSpaceDN/>
        <w:adjustRightInd/>
        <w:snapToGrid/>
        <w:spacing w:line="360" w:lineRule="auto"/>
        <w:jc w:val="center"/>
        <w:textAlignment w:val="auto"/>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（一）已标价分项清单</w:t>
      </w:r>
    </w:p>
    <w:p w14:paraId="53B74D61">
      <w:pPr>
        <w:widowControl w:val="0"/>
        <w:kinsoku/>
        <w:autoSpaceDE/>
        <w:autoSpaceDN/>
        <w:adjustRightInd/>
        <w:snapToGrid/>
        <w:spacing w:line="360" w:lineRule="auto"/>
        <w:ind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注：报价时必须按清单表格所列内容进行报价，不得更改，凡与清单不符的一律视为无效投标。</w:t>
      </w:r>
    </w:p>
    <w:p w14:paraId="3A207601">
      <w:pPr>
        <w:pStyle w:val="2"/>
        <w:widowControl w:val="0"/>
        <w:kinsoku/>
        <w:autoSpaceDE/>
        <w:autoSpaceDN/>
        <w:adjustRightInd/>
        <w:snapToGrid/>
        <w:spacing w:line="360" w:lineRule="auto"/>
        <w:textAlignment w:val="auto"/>
        <w:rPr>
          <w:rFonts w:asciiTheme="majorEastAsia" w:hAnsiTheme="majorEastAsia" w:eastAsiaTheme="majorEastAsia" w:cstheme="majorEastAsia"/>
          <w:color w:val="auto"/>
        </w:rPr>
      </w:pPr>
    </w:p>
    <w:p w14:paraId="2CC4F147">
      <w:pPr>
        <w:spacing w:line="219" w:lineRule="auto"/>
        <w:rPr>
          <w:rFonts w:ascii="宋体" w:hAnsi="宋体" w:eastAsia="宋体" w:cs="宋体"/>
          <w:color w:val="auto"/>
          <w:sz w:val="24"/>
          <w:szCs w:val="24"/>
          <w:lang w:eastAsia="zh-CN"/>
        </w:rPr>
        <w:sectPr>
          <w:footerReference r:id="rId8" w:type="default"/>
          <w:pgSz w:w="11906" w:h="16839"/>
          <w:pgMar w:top="1424" w:right="1357" w:bottom="1080" w:left="1263" w:header="0" w:footer="794" w:gutter="0"/>
          <w:cols w:space="720" w:num="1"/>
        </w:sectPr>
      </w:pPr>
    </w:p>
    <w:p w14:paraId="7F4EBABE">
      <w:pPr>
        <w:widowControl w:val="0"/>
        <w:kinsoku/>
        <w:autoSpaceDE/>
        <w:autoSpaceDN/>
        <w:adjustRightInd/>
        <w:snapToGrid/>
        <w:spacing w:line="360" w:lineRule="auto"/>
        <w:jc w:val="center"/>
        <w:textAlignment w:val="auto"/>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（二）货物说明一览表</w:t>
      </w:r>
    </w:p>
    <w:p w14:paraId="0A5F0E27">
      <w:pPr>
        <w:spacing w:line="360" w:lineRule="auto"/>
        <w:ind w:left="-525" w:firstLine="2625"/>
        <w:rPr>
          <w:rFonts w:ascii="宋体" w:hAnsi="宋体" w:eastAsia="宋体" w:cs="宋体"/>
          <w:b/>
          <w:color w:val="auto"/>
          <w:sz w:val="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64"/>
        <w:gridCol w:w="1220"/>
        <w:gridCol w:w="1342"/>
        <w:gridCol w:w="1464"/>
        <w:gridCol w:w="1464"/>
        <w:gridCol w:w="1464"/>
      </w:tblGrid>
      <w:tr w14:paraId="7627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7" w:type="dxa"/>
            <w:vAlign w:val="center"/>
          </w:tcPr>
          <w:p w14:paraId="7BAE9CD8">
            <w:pPr>
              <w:spacing w:line="36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1464" w:type="dxa"/>
            <w:vAlign w:val="center"/>
          </w:tcPr>
          <w:p w14:paraId="74C410E3">
            <w:pPr>
              <w:spacing w:line="360" w:lineRule="auto"/>
              <w:jc w:val="center"/>
              <w:rPr>
                <w:rFonts w:ascii="宋体" w:hAnsi="宋体" w:eastAsia="宋体" w:cs="宋体"/>
                <w:color w:val="auto"/>
                <w:sz w:val="24"/>
              </w:rPr>
            </w:pPr>
            <w:r>
              <w:rPr>
                <w:rFonts w:hint="eastAsia" w:ascii="宋体" w:hAnsi="宋体" w:eastAsia="宋体" w:cs="宋体"/>
                <w:color w:val="auto"/>
                <w:sz w:val="24"/>
              </w:rPr>
              <w:t>设备名称</w:t>
            </w:r>
          </w:p>
        </w:tc>
        <w:tc>
          <w:tcPr>
            <w:tcW w:w="1220" w:type="dxa"/>
            <w:vAlign w:val="center"/>
          </w:tcPr>
          <w:p w14:paraId="20C8CF93">
            <w:pPr>
              <w:spacing w:line="360" w:lineRule="auto"/>
              <w:jc w:val="center"/>
              <w:rPr>
                <w:rFonts w:ascii="宋体" w:hAnsi="宋体" w:eastAsia="宋体" w:cs="宋体"/>
                <w:color w:val="auto"/>
                <w:sz w:val="24"/>
              </w:rPr>
            </w:pPr>
            <w:r>
              <w:rPr>
                <w:rFonts w:hint="eastAsia" w:ascii="宋体" w:hAnsi="宋体" w:eastAsia="宋体" w:cs="宋体"/>
                <w:color w:val="auto"/>
                <w:sz w:val="24"/>
              </w:rPr>
              <w:t>数量</w:t>
            </w:r>
          </w:p>
        </w:tc>
        <w:tc>
          <w:tcPr>
            <w:tcW w:w="1342" w:type="dxa"/>
            <w:vAlign w:val="center"/>
          </w:tcPr>
          <w:p w14:paraId="52CFFEA9">
            <w:pPr>
              <w:spacing w:line="360" w:lineRule="auto"/>
              <w:jc w:val="center"/>
              <w:rPr>
                <w:rFonts w:ascii="宋体" w:hAnsi="宋体" w:eastAsia="宋体" w:cs="宋体"/>
                <w:color w:val="auto"/>
                <w:sz w:val="24"/>
              </w:rPr>
            </w:pPr>
            <w:r>
              <w:rPr>
                <w:rFonts w:hint="eastAsia" w:ascii="宋体" w:hAnsi="宋体" w:eastAsia="宋体" w:cs="宋体"/>
                <w:color w:val="auto"/>
                <w:sz w:val="24"/>
              </w:rPr>
              <w:t>制造商</w:t>
            </w:r>
          </w:p>
        </w:tc>
        <w:tc>
          <w:tcPr>
            <w:tcW w:w="1464" w:type="dxa"/>
          </w:tcPr>
          <w:p w14:paraId="10698572">
            <w:pPr>
              <w:spacing w:line="360" w:lineRule="auto"/>
              <w:jc w:val="center"/>
              <w:rPr>
                <w:rFonts w:ascii="宋体" w:hAnsi="宋体" w:eastAsia="宋体" w:cs="宋体"/>
                <w:color w:val="auto"/>
                <w:sz w:val="24"/>
              </w:rPr>
            </w:pPr>
            <w:r>
              <w:rPr>
                <w:rFonts w:hint="eastAsia" w:ascii="宋体" w:hAnsi="宋体" w:eastAsia="宋体" w:cs="宋体"/>
                <w:color w:val="auto"/>
                <w:sz w:val="24"/>
              </w:rPr>
              <w:t>型号</w:t>
            </w:r>
          </w:p>
        </w:tc>
        <w:tc>
          <w:tcPr>
            <w:tcW w:w="1464" w:type="dxa"/>
            <w:vAlign w:val="center"/>
          </w:tcPr>
          <w:p w14:paraId="3B31170B">
            <w:pPr>
              <w:spacing w:line="360" w:lineRule="auto"/>
              <w:jc w:val="center"/>
              <w:rPr>
                <w:rFonts w:ascii="宋体" w:hAnsi="宋体" w:eastAsia="宋体" w:cs="宋体"/>
                <w:color w:val="auto"/>
                <w:sz w:val="24"/>
              </w:rPr>
            </w:pPr>
            <w:r>
              <w:rPr>
                <w:rFonts w:hint="eastAsia" w:ascii="宋体" w:hAnsi="宋体" w:eastAsia="宋体" w:cs="宋体"/>
                <w:color w:val="auto"/>
                <w:sz w:val="24"/>
              </w:rPr>
              <w:t>规格参数</w:t>
            </w:r>
          </w:p>
        </w:tc>
        <w:tc>
          <w:tcPr>
            <w:tcW w:w="1464" w:type="dxa"/>
          </w:tcPr>
          <w:p w14:paraId="654DD66A">
            <w:pPr>
              <w:spacing w:line="360" w:lineRule="auto"/>
              <w:jc w:val="center"/>
              <w:rPr>
                <w:rFonts w:ascii="宋体" w:hAnsi="宋体" w:eastAsia="宋体" w:cs="宋体"/>
                <w:color w:val="auto"/>
                <w:sz w:val="24"/>
              </w:rPr>
            </w:pPr>
            <w:r>
              <w:rPr>
                <w:rFonts w:hint="eastAsia" w:ascii="宋体" w:hAnsi="宋体" w:eastAsia="宋体" w:cs="宋体"/>
                <w:color w:val="auto"/>
                <w:sz w:val="24"/>
              </w:rPr>
              <w:t>备注</w:t>
            </w:r>
          </w:p>
        </w:tc>
      </w:tr>
      <w:tr w14:paraId="4290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63F4F559">
            <w:pPr>
              <w:spacing w:line="360" w:lineRule="auto"/>
              <w:jc w:val="center"/>
              <w:rPr>
                <w:rFonts w:ascii="宋体" w:hAnsi="宋体" w:eastAsia="宋体" w:cs="宋体"/>
                <w:color w:val="auto"/>
                <w:sz w:val="24"/>
              </w:rPr>
            </w:pPr>
          </w:p>
        </w:tc>
        <w:tc>
          <w:tcPr>
            <w:tcW w:w="1464" w:type="dxa"/>
            <w:vAlign w:val="center"/>
          </w:tcPr>
          <w:p w14:paraId="477535F7">
            <w:pPr>
              <w:spacing w:line="360" w:lineRule="auto"/>
              <w:jc w:val="center"/>
              <w:rPr>
                <w:rFonts w:ascii="宋体" w:hAnsi="宋体" w:eastAsia="宋体" w:cs="宋体"/>
                <w:color w:val="auto"/>
                <w:sz w:val="24"/>
              </w:rPr>
            </w:pPr>
          </w:p>
        </w:tc>
        <w:tc>
          <w:tcPr>
            <w:tcW w:w="1220" w:type="dxa"/>
            <w:vAlign w:val="center"/>
          </w:tcPr>
          <w:p w14:paraId="76A42E60">
            <w:pPr>
              <w:spacing w:line="360" w:lineRule="auto"/>
              <w:jc w:val="center"/>
              <w:rPr>
                <w:rFonts w:ascii="宋体" w:hAnsi="宋体" w:eastAsia="宋体" w:cs="宋体"/>
                <w:color w:val="auto"/>
                <w:sz w:val="24"/>
              </w:rPr>
            </w:pPr>
          </w:p>
        </w:tc>
        <w:tc>
          <w:tcPr>
            <w:tcW w:w="1342" w:type="dxa"/>
            <w:vAlign w:val="center"/>
          </w:tcPr>
          <w:p w14:paraId="13941D6D">
            <w:pPr>
              <w:spacing w:line="360" w:lineRule="auto"/>
              <w:jc w:val="center"/>
              <w:rPr>
                <w:rFonts w:ascii="宋体" w:hAnsi="宋体" w:eastAsia="宋体" w:cs="宋体"/>
                <w:color w:val="auto"/>
                <w:sz w:val="24"/>
              </w:rPr>
            </w:pPr>
          </w:p>
        </w:tc>
        <w:tc>
          <w:tcPr>
            <w:tcW w:w="1464" w:type="dxa"/>
          </w:tcPr>
          <w:p w14:paraId="34399E83">
            <w:pPr>
              <w:spacing w:line="360" w:lineRule="auto"/>
              <w:jc w:val="center"/>
              <w:rPr>
                <w:rFonts w:ascii="宋体" w:hAnsi="宋体" w:eastAsia="宋体" w:cs="宋体"/>
                <w:color w:val="auto"/>
                <w:sz w:val="24"/>
              </w:rPr>
            </w:pPr>
          </w:p>
        </w:tc>
        <w:tc>
          <w:tcPr>
            <w:tcW w:w="1464" w:type="dxa"/>
            <w:vAlign w:val="center"/>
          </w:tcPr>
          <w:p w14:paraId="2182DF1C">
            <w:pPr>
              <w:spacing w:line="360" w:lineRule="auto"/>
              <w:jc w:val="center"/>
              <w:rPr>
                <w:rFonts w:ascii="宋体" w:hAnsi="宋体" w:eastAsia="宋体" w:cs="宋体"/>
                <w:color w:val="auto"/>
                <w:sz w:val="24"/>
              </w:rPr>
            </w:pPr>
          </w:p>
        </w:tc>
        <w:tc>
          <w:tcPr>
            <w:tcW w:w="1464" w:type="dxa"/>
          </w:tcPr>
          <w:p w14:paraId="34B5EEA5">
            <w:pPr>
              <w:spacing w:line="360" w:lineRule="auto"/>
              <w:jc w:val="center"/>
              <w:rPr>
                <w:rFonts w:ascii="宋体" w:hAnsi="宋体" w:eastAsia="宋体" w:cs="宋体"/>
                <w:color w:val="auto"/>
                <w:sz w:val="24"/>
              </w:rPr>
            </w:pPr>
          </w:p>
        </w:tc>
      </w:tr>
      <w:tr w14:paraId="1365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7" w:type="dxa"/>
            <w:vAlign w:val="center"/>
          </w:tcPr>
          <w:p w14:paraId="4D45DC76">
            <w:pPr>
              <w:spacing w:line="360" w:lineRule="auto"/>
              <w:jc w:val="center"/>
              <w:rPr>
                <w:rFonts w:ascii="宋体" w:hAnsi="宋体" w:eastAsia="宋体" w:cs="宋体"/>
                <w:color w:val="auto"/>
                <w:sz w:val="24"/>
              </w:rPr>
            </w:pPr>
          </w:p>
        </w:tc>
        <w:tc>
          <w:tcPr>
            <w:tcW w:w="1464" w:type="dxa"/>
            <w:vAlign w:val="center"/>
          </w:tcPr>
          <w:p w14:paraId="0C278711">
            <w:pPr>
              <w:spacing w:line="360" w:lineRule="auto"/>
              <w:jc w:val="center"/>
              <w:rPr>
                <w:rFonts w:ascii="宋体" w:hAnsi="宋体" w:eastAsia="宋体" w:cs="宋体"/>
                <w:color w:val="auto"/>
                <w:sz w:val="24"/>
              </w:rPr>
            </w:pPr>
          </w:p>
        </w:tc>
        <w:tc>
          <w:tcPr>
            <w:tcW w:w="1220" w:type="dxa"/>
            <w:vAlign w:val="center"/>
          </w:tcPr>
          <w:p w14:paraId="637555BD">
            <w:pPr>
              <w:spacing w:line="360" w:lineRule="auto"/>
              <w:jc w:val="center"/>
              <w:rPr>
                <w:rFonts w:ascii="宋体" w:hAnsi="宋体" w:eastAsia="宋体" w:cs="宋体"/>
                <w:color w:val="auto"/>
                <w:sz w:val="24"/>
              </w:rPr>
            </w:pPr>
          </w:p>
        </w:tc>
        <w:tc>
          <w:tcPr>
            <w:tcW w:w="1342" w:type="dxa"/>
            <w:vAlign w:val="center"/>
          </w:tcPr>
          <w:p w14:paraId="27672734">
            <w:pPr>
              <w:spacing w:line="360" w:lineRule="auto"/>
              <w:jc w:val="center"/>
              <w:rPr>
                <w:rFonts w:ascii="宋体" w:hAnsi="宋体" w:eastAsia="宋体" w:cs="宋体"/>
                <w:color w:val="auto"/>
                <w:sz w:val="24"/>
              </w:rPr>
            </w:pPr>
          </w:p>
        </w:tc>
        <w:tc>
          <w:tcPr>
            <w:tcW w:w="1464" w:type="dxa"/>
          </w:tcPr>
          <w:p w14:paraId="3B57ACD0">
            <w:pPr>
              <w:spacing w:line="360" w:lineRule="auto"/>
              <w:jc w:val="center"/>
              <w:rPr>
                <w:rFonts w:ascii="宋体" w:hAnsi="宋体" w:eastAsia="宋体" w:cs="宋体"/>
                <w:color w:val="auto"/>
                <w:sz w:val="24"/>
              </w:rPr>
            </w:pPr>
          </w:p>
        </w:tc>
        <w:tc>
          <w:tcPr>
            <w:tcW w:w="1464" w:type="dxa"/>
            <w:vAlign w:val="center"/>
          </w:tcPr>
          <w:p w14:paraId="2D8D86DF">
            <w:pPr>
              <w:spacing w:line="360" w:lineRule="auto"/>
              <w:jc w:val="center"/>
              <w:rPr>
                <w:rFonts w:ascii="宋体" w:hAnsi="宋体" w:eastAsia="宋体" w:cs="宋体"/>
                <w:color w:val="auto"/>
                <w:sz w:val="24"/>
              </w:rPr>
            </w:pPr>
          </w:p>
        </w:tc>
        <w:tc>
          <w:tcPr>
            <w:tcW w:w="1464" w:type="dxa"/>
          </w:tcPr>
          <w:p w14:paraId="297BF4A7">
            <w:pPr>
              <w:spacing w:line="360" w:lineRule="auto"/>
              <w:jc w:val="center"/>
              <w:rPr>
                <w:rFonts w:ascii="宋体" w:hAnsi="宋体" w:eastAsia="宋体" w:cs="宋体"/>
                <w:color w:val="auto"/>
                <w:sz w:val="24"/>
              </w:rPr>
            </w:pPr>
          </w:p>
        </w:tc>
      </w:tr>
      <w:tr w14:paraId="6F94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33B1196A">
            <w:pPr>
              <w:spacing w:line="360" w:lineRule="auto"/>
              <w:jc w:val="center"/>
              <w:rPr>
                <w:rFonts w:ascii="宋体" w:hAnsi="宋体" w:eastAsia="宋体" w:cs="宋体"/>
                <w:color w:val="auto"/>
                <w:sz w:val="24"/>
              </w:rPr>
            </w:pPr>
          </w:p>
        </w:tc>
        <w:tc>
          <w:tcPr>
            <w:tcW w:w="1464" w:type="dxa"/>
            <w:vAlign w:val="center"/>
          </w:tcPr>
          <w:p w14:paraId="2C28CEBA">
            <w:pPr>
              <w:spacing w:line="360" w:lineRule="auto"/>
              <w:jc w:val="center"/>
              <w:rPr>
                <w:rFonts w:ascii="宋体" w:hAnsi="宋体" w:eastAsia="宋体" w:cs="宋体"/>
                <w:color w:val="auto"/>
                <w:sz w:val="24"/>
              </w:rPr>
            </w:pPr>
          </w:p>
        </w:tc>
        <w:tc>
          <w:tcPr>
            <w:tcW w:w="1220" w:type="dxa"/>
            <w:vAlign w:val="center"/>
          </w:tcPr>
          <w:p w14:paraId="348F7988">
            <w:pPr>
              <w:spacing w:line="360" w:lineRule="auto"/>
              <w:jc w:val="center"/>
              <w:rPr>
                <w:rFonts w:ascii="宋体" w:hAnsi="宋体" w:eastAsia="宋体" w:cs="宋体"/>
                <w:color w:val="auto"/>
                <w:sz w:val="24"/>
              </w:rPr>
            </w:pPr>
          </w:p>
        </w:tc>
        <w:tc>
          <w:tcPr>
            <w:tcW w:w="1342" w:type="dxa"/>
            <w:vAlign w:val="center"/>
          </w:tcPr>
          <w:p w14:paraId="7F362693">
            <w:pPr>
              <w:spacing w:line="360" w:lineRule="auto"/>
              <w:jc w:val="center"/>
              <w:rPr>
                <w:rFonts w:ascii="宋体" w:hAnsi="宋体" w:eastAsia="宋体" w:cs="宋体"/>
                <w:color w:val="auto"/>
                <w:sz w:val="24"/>
              </w:rPr>
            </w:pPr>
          </w:p>
        </w:tc>
        <w:tc>
          <w:tcPr>
            <w:tcW w:w="1464" w:type="dxa"/>
          </w:tcPr>
          <w:p w14:paraId="5B72E33E">
            <w:pPr>
              <w:spacing w:line="360" w:lineRule="auto"/>
              <w:jc w:val="center"/>
              <w:rPr>
                <w:rFonts w:ascii="宋体" w:hAnsi="宋体" w:eastAsia="宋体" w:cs="宋体"/>
                <w:color w:val="auto"/>
                <w:sz w:val="24"/>
              </w:rPr>
            </w:pPr>
          </w:p>
        </w:tc>
        <w:tc>
          <w:tcPr>
            <w:tcW w:w="1464" w:type="dxa"/>
            <w:vAlign w:val="center"/>
          </w:tcPr>
          <w:p w14:paraId="61849584">
            <w:pPr>
              <w:spacing w:line="360" w:lineRule="auto"/>
              <w:jc w:val="center"/>
              <w:rPr>
                <w:rFonts w:ascii="宋体" w:hAnsi="宋体" w:eastAsia="宋体" w:cs="宋体"/>
                <w:color w:val="auto"/>
                <w:sz w:val="24"/>
              </w:rPr>
            </w:pPr>
          </w:p>
        </w:tc>
        <w:tc>
          <w:tcPr>
            <w:tcW w:w="1464" w:type="dxa"/>
          </w:tcPr>
          <w:p w14:paraId="3668DA8C">
            <w:pPr>
              <w:spacing w:line="360" w:lineRule="auto"/>
              <w:jc w:val="center"/>
              <w:rPr>
                <w:rFonts w:ascii="宋体" w:hAnsi="宋体" w:eastAsia="宋体" w:cs="宋体"/>
                <w:color w:val="auto"/>
                <w:sz w:val="24"/>
              </w:rPr>
            </w:pPr>
          </w:p>
        </w:tc>
      </w:tr>
      <w:tr w14:paraId="7A3C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3F8B7C9A">
            <w:pPr>
              <w:spacing w:line="360" w:lineRule="auto"/>
              <w:jc w:val="center"/>
              <w:rPr>
                <w:rFonts w:ascii="宋体" w:hAnsi="宋体" w:eastAsia="宋体" w:cs="宋体"/>
                <w:color w:val="auto"/>
                <w:sz w:val="24"/>
              </w:rPr>
            </w:pPr>
          </w:p>
        </w:tc>
        <w:tc>
          <w:tcPr>
            <w:tcW w:w="1464" w:type="dxa"/>
            <w:vAlign w:val="center"/>
          </w:tcPr>
          <w:p w14:paraId="6537F1FD">
            <w:pPr>
              <w:spacing w:line="360" w:lineRule="auto"/>
              <w:jc w:val="center"/>
              <w:rPr>
                <w:rFonts w:ascii="宋体" w:hAnsi="宋体" w:eastAsia="宋体" w:cs="宋体"/>
                <w:color w:val="auto"/>
                <w:sz w:val="24"/>
              </w:rPr>
            </w:pPr>
          </w:p>
        </w:tc>
        <w:tc>
          <w:tcPr>
            <w:tcW w:w="1220" w:type="dxa"/>
            <w:vAlign w:val="center"/>
          </w:tcPr>
          <w:p w14:paraId="2E4B7325">
            <w:pPr>
              <w:spacing w:line="360" w:lineRule="auto"/>
              <w:jc w:val="center"/>
              <w:rPr>
                <w:rFonts w:ascii="宋体" w:hAnsi="宋体" w:eastAsia="宋体" w:cs="宋体"/>
                <w:color w:val="auto"/>
                <w:sz w:val="24"/>
              </w:rPr>
            </w:pPr>
          </w:p>
        </w:tc>
        <w:tc>
          <w:tcPr>
            <w:tcW w:w="1342" w:type="dxa"/>
            <w:vAlign w:val="center"/>
          </w:tcPr>
          <w:p w14:paraId="1F8D0C10">
            <w:pPr>
              <w:spacing w:line="360" w:lineRule="auto"/>
              <w:jc w:val="center"/>
              <w:rPr>
                <w:rFonts w:ascii="宋体" w:hAnsi="宋体" w:eastAsia="宋体" w:cs="宋体"/>
                <w:color w:val="auto"/>
                <w:sz w:val="24"/>
              </w:rPr>
            </w:pPr>
          </w:p>
        </w:tc>
        <w:tc>
          <w:tcPr>
            <w:tcW w:w="1464" w:type="dxa"/>
          </w:tcPr>
          <w:p w14:paraId="01148F71">
            <w:pPr>
              <w:spacing w:line="360" w:lineRule="auto"/>
              <w:jc w:val="center"/>
              <w:rPr>
                <w:rFonts w:ascii="宋体" w:hAnsi="宋体" w:eastAsia="宋体" w:cs="宋体"/>
                <w:color w:val="auto"/>
                <w:sz w:val="24"/>
              </w:rPr>
            </w:pPr>
          </w:p>
        </w:tc>
        <w:tc>
          <w:tcPr>
            <w:tcW w:w="1464" w:type="dxa"/>
            <w:vAlign w:val="center"/>
          </w:tcPr>
          <w:p w14:paraId="0CCF9C6C">
            <w:pPr>
              <w:spacing w:line="360" w:lineRule="auto"/>
              <w:jc w:val="center"/>
              <w:rPr>
                <w:rFonts w:ascii="宋体" w:hAnsi="宋体" w:eastAsia="宋体" w:cs="宋体"/>
                <w:color w:val="auto"/>
                <w:sz w:val="24"/>
              </w:rPr>
            </w:pPr>
          </w:p>
        </w:tc>
        <w:tc>
          <w:tcPr>
            <w:tcW w:w="1464" w:type="dxa"/>
          </w:tcPr>
          <w:p w14:paraId="13B0A1D2">
            <w:pPr>
              <w:spacing w:line="360" w:lineRule="auto"/>
              <w:jc w:val="center"/>
              <w:rPr>
                <w:rFonts w:ascii="宋体" w:hAnsi="宋体" w:eastAsia="宋体" w:cs="宋体"/>
                <w:color w:val="auto"/>
                <w:sz w:val="24"/>
              </w:rPr>
            </w:pPr>
          </w:p>
        </w:tc>
      </w:tr>
      <w:tr w14:paraId="6193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0677AE0B">
            <w:pPr>
              <w:spacing w:line="360" w:lineRule="auto"/>
              <w:jc w:val="center"/>
              <w:rPr>
                <w:rFonts w:ascii="宋体" w:hAnsi="宋体" w:eastAsia="宋体" w:cs="宋体"/>
                <w:color w:val="auto"/>
                <w:sz w:val="24"/>
              </w:rPr>
            </w:pPr>
          </w:p>
        </w:tc>
        <w:tc>
          <w:tcPr>
            <w:tcW w:w="1464" w:type="dxa"/>
            <w:vAlign w:val="center"/>
          </w:tcPr>
          <w:p w14:paraId="385C971E">
            <w:pPr>
              <w:spacing w:line="360" w:lineRule="auto"/>
              <w:jc w:val="center"/>
              <w:rPr>
                <w:rFonts w:ascii="宋体" w:hAnsi="宋体" w:eastAsia="宋体" w:cs="宋体"/>
                <w:color w:val="auto"/>
                <w:sz w:val="24"/>
              </w:rPr>
            </w:pPr>
          </w:p>
        </w:tc>
        <w:tc>
          <w:tcPr>
            <w:tcW w:w="1220" w:type="dxa"/>
            <w:vAlign w:val="center"/>
          </w:tcPr>
          <w:p w14:paraId="531E1970">
            <w:pPr>
              <w:spacing w:line="360" w:lineRule="auto"/>
              <w:jc w:val="center"/>
              <w:rPr>
                <w:rFonts w:ascii="宋体" w:hAnsi="宋体" w:eastAsia="宋体" w:cs="宋体"/>
                <w:color w:val="auto"/>
                <w:sz w:val="24"/>
              </w:rPr>
            </w:pPr>
          </w:p>
        </w:tc>
        <w:tc>
          <w:tcPr>
            <w:tcW w:w="1342" w:type="dxa"/>
            <w:vAlign w:val="center"/>
          </w:tcPr>
          <w:p w14:paraId="44C2B8BA">
            <w:pPr>
              <w:spacing w:line="360" w:lineRule="auto"/>
              <w:jc w:val="center"/>
              <w:rPr>
                <w:rFonts w:ascii="宋体" w:hAnsi="宋体" w:eastAsia="宋体" w:cs="宋体"/>
                <w:color w:val="auto"/>
                <w:sz w:val="24"/>
              </w:rPr>
            </w:pPr>
          </w:p>
        </w:tc>
        <w:tc>
          <w:tcPr>
            <w:tcW w:w="1464" w:type="dxa"/>
          </w:tcPr>
          <w:p w14:paraId="7D3585A4">
            <w:pPr>
              <w:spacing w:line="360" w:lineRule="auto"/>
              <w:jc w:val="center"/>
              <w:rPr>
                <w:rFonts w:ascii="宋体" w:hAnsi="宋体" w:eastAsia="宋体" w:cs="宋体"/>
                <w:color w:val="auto"/>
                <w:sz w:val="24"/>
              </w:rPr>
            </w:pPr>
          </w:p>
        </w:tc>
        <w:tc>
          <w:tcPr>
            <w:tcW w:w="1464" w:type="dxa"/>
            <w:vAlign w:val="center"/>
          </w:tcPr>
          <w:p w14:paraId="0954EF20">
            <w:pPr>
              <w:spacing w:line="360" w:lineRule="auto"/>
              <w:jc w:val="center"/>
              <w:rPr>
                <w:rFonts w:ascii="宋体" w:hAnsi="宋体" w:eastAsia="宋体" w:cs="宋体"/>
                <w:color w:val="auto"/>
                <w:sz w:val="24"/>
              </w:rPr>
            </w:pPr>
          </w:p>
        </w:tc>
        <w:tc>
          <w:tcPr>
            <w:tcW w:w="1464" w:type="dxa"/>
          </w:tcPr>
          <w:p w14:paraId="1A664C8F">
            <w:pPr>
              <w:spacing w:line="360" w:lineRule="auto"/>
              <w:jc w:val="center"/>
              <w:rPr>
                <w:rFonts w:ascii="宋体" w:hAnsi="宋体" w:eastAsia="宋体" w:cs="宋体"/>
                <w:color w:val="auto"/>
                <w:sz w:val="24"/>
              </w:rPr>
            </w:pPr>
          </w:p>
        </w:tc>
      </w:tr>
      <w:tr w14:paraId="58FB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7DD39960">
            <w:pPr>
              <w:spacing w:line="360" w:lineRule="auto"/>
              <w:jc w:val="center"/>
              <w:rPr>
                <w:rFonts w:ascii="宋体" w:hAnsi="宋体" w:eastAsia="宋体" w:cs="宋体"/>
                <w:color w:val="auto"/>
                <w:sz w:val="24"/>
              </w:rPr>
            </w:pPr>
          </w:p>
        </w:tc>
        <w:tc>
          <w:tcPr>
            <w:tcW w:w="1464" w:type="dxa"/>
            <w:vAlign w:val="center"/>
          </w:tcPr>
          <w:p w14:paraId="39AFF71B">
            <w:pPr>
              <w:spacing w:line="360" w:lineRule="auto"/>
              <w:jc w:val="center"/>
              <w:rPr>
                <w:rFonts w:ascii="宋体" w:hAnsi="宋体" w:eastAsia="宋体" w:cs="宋体"/>
                <w:color w:val="auto"/>
                <w:sz w:val="24"/>
              </w:rPr>
            </w:pPr>
          </w:p>
        </w:tc>
        <w:tc>
          <w:tcPr>
            <w:tcW w:w="1220" w:type="dxa"/>
            <w:vAlign w:val="center"/>
          </w:tcPr>
          <w:p w14:paraId="2EA78AC5">
            <w:pPr>
              <w:spacing w:line="360" w:lineRule="auto"/>
              <w:jc w:val="center"/>
              <w:rPr>
                <w:rFonts w:ascii="宋体" w:hAnsi="宋体" w:eastAsia="宋体" w:cs="宋体"/>
                <w:color w:val="auto"/>
                <w:sz w:val="24"/>
              </w:rPr>
            </w:pPr>
          </w:p>
        </w:tc>
        <w:tc>
          <w:tcPr>
            <w:tcW w:w="1342" w:type="dxa"/>
            <w:vAlign w:val="center"/>
          </w:tcPr>
          <w:p w14:paraId="6C8377BD">
            <w:pPr>
              <w:spacing w:line="360" w:lineRule="auto"/>
              <w:jc w:val="center"/>
              <w:rPr>
                <w:rFonts w:ascii="宋体" w:hAnsi="宋体" w:eastAsia="宋体" w:cs="宋体"/>
                <w:color w:val="auto"/>
                <w:sz w:val="24"/>
              </w:rPr>
            </w:pPr>
          </w:p>
        </w:tc>
        <w:tc>
          <w:tcPr>
            <w:tcW w:w="1464" w:type="dxa"/>
          </w:tcPr>
          <w:p w14:paraId="0A957524">
            <w:pPr>
              <w:spacing w:line="360" w:lineRule="auto"/>
              <w:jc w:val="center"/>
              <w:rPr>
                <w:rFonts w:ascii="宋体" w:hAnsi="宋体" w:eastAsia="宋体" w:cs="宋体"/>
                <w:color w:val="auto"/>
                <w:sz w:val="24"/>
              </w:rPr>
            </w:pPr>
          </w:p>
        </w:tc>
        <w:tc>
          <w:tcPr>
            <w:tcW w:w="1464" w:type="dxa"/>
            <w:vAlign w:val="center"/>
          </w:tcPr>
          <w:p w14:paraId="22BB93B6">
            <w:pPr>
              <w:spacing w:line="360" w:lineRule="auto"/>
              <w:jc w:val="center"/>
              <w:rPr>
                <w:rFonts w:ascii="宋体" w:hAnsi="宋体" w:eastAsia="宋体" w:cs="宋体"/>
                <w:color w:val="auto"/>
                <w:sz w:val="24"/>
              </w:rPr>
            </w:pPr>
          </w:p>
        </w:tc>
        <w:tc>
          <w:tcPr>
            <w:tcW w:w="1464" w:type="dxa"/>
          </w:tcPr>
          <w:p w14:paraId="111E7859">
            <w:pPr>
              <w:spacing w:line="360" w:lineRule="auto"/>
              <w:jc w:val="center"/>
              <w:rPr>
                <w:rFonts w:ascii="宋体" w:hAnsi="宋体" w:eastAsia="宋体" w:cs="宋体"/>
                <w:color w:val="auto"/>
                <w:sz w:val="24"/>
              </w:rPr>
            </w:pPr>
          </w:p>
        </w:tc>
      </w:tr>
      <w:tr w14:paraId="478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4A97BB8F">
            <w:pPr>
              <w:spacing w:line="360" w:lineRule="auto"/>
              <w:jc w:val="center"/>
              <w:rPr>
                <w:rFonts w:ascii="宋体" w:hAnsi="宋体" w:eastAsia="宋体" w:cs="宋体"/>
                <w:color w:val="auto"/>
                <w:sz w:val="24"/>
              </w:rPr>
            </w:pPr>
          </w:p>
        </w:tc>
        <w:tc>
          <w:tcPr>
            <w:tcW w:w="1464" w:type="dxa"/>
            <w:vAlign w:val="center"/>
          </w:tcPr>
          <w:p w14:paraId="3A032ED9">
            <w:pPr>
              <w:spacing w:line="360" w:lineRule="auto"/>
              <w:jc w:val="center"/>
              <w:rPr>
                <w:rFonts w:ascii="宋体" w:hAnsi="宋体" w:eastAsia="宋体" w:cs="宋体"/>
                <w:color w:val="auto"/>
                <w:sz w:val="24"/>
              </w:rPr>
            </w:pPr>
          </w:p>
        </w:tc>
        <w:tc>
          <w:tcPr>
            <w:tcW w:w="1220" w:type="dxa"/>
            <w:vAlign w:val="center"/>
          </w:tcPr>
          <w:p w14:paraId="272902C4">
            <w:pPr>
              <w:spacing w:line="360" w:lineRule="auto"/>
              <w:jc w:val="center"/>
              <w:rPr>
                <w:rFonts w:ascii="宋体" w:hAnsi="宋体" w:eastAsia="宋体" w:cs="宋体"/>
                <w:color w:val="auto"/>
                <w:sz w:val="24"/>
              </w:rPr>
            </w:pPr>
          </w:p>
        </w:tc>
        <w:tc>
          <w:tcPr>
            <w:tcW w:w="1342" w:type="dxa"/>
            <w:vAlign w:val="center"/>
          </w:tcPr>
          <w:p w14:paraId="6B5BDB10">
            <w:pPr>
              <w:spacing w:line="360" w:lineRule="auto"/>
              <w:jc w:val="center"/>
              <w:rPr>
                <w:rFonts w:ascii="宋体" w:hAnsi="宋体" w:eastAsia="宋体" w:cs="宋体"/>
                <w:color w:val="auto"/>
                <w:sz w:val="24"/>
              </w:rPr>
            </w:pPr>
          </w:p>
        </w:tc>
        <w:tc>
          <w:tcPr>
            <w:tcW w:w="1464" w:type="dxa"/>
          </w:tcPr>
          <w:p w14:paraId="3DEFE80D">
            <w:pPr>
              <w:spacing w:line="360" w:lineRule="auto"/>
              <w:jc w:val="center"/>
              <w:rPr>
                <w:rFonts w:ascii="宋体" w:hAnsi="宋体" w:eastAsia="宋体" w:cs="宋体"/>
                <w:color w:val="auto"/>
                <w:sz w:val="24"/>
              </w:rPr>
            </w:pPr>
          </w:p>
        </w:tc>
        <w:tc>
          <w:tcPr>
            <w:tcW w:w="1464" w:type="dxa"/>
            <w:vAlign w:val="center"/>
          </w:tcPr>
          <w:p w14:paraId="37A622A6">
            <w:pPr>
              <w:spacing w:line="360" w:lineRule="auto"/>
              <w:jc w:val="center"/>
              <w:rPr>
                <w:rFonts w:ascii="宋体" w:hAnsi="宋体" w:eastAsia="宋体" w:cs="宋体"/>
                <w:color w:val="auto"/>
                <w:sz w:val="24"/>
              </w:rPr>
            </w:pPr>
          </w:p>
        </w:tc>
        <w:tc>
          <w:tcPr>
            <w:tcW w:w="1464" w:type="dxa"/>
          </w:tcPr>
          <w:p w14:paraId="7B8C11AB">
            <w:pPr>
              <w:spacing w:line="360" w:lineRule="auto"/>
              <w:jc w:val="center"/>
              <w:rPr>
                <w:rFonts w:ascii="宋体" w:hAnsi="宋体" w:eastAsia="宋体" w:cs="宋体"/>
                <w:color w:val="auto"/>
                <w:sz w:val="24"/>
              </w:rPr>
            </w:pPr>
          </w:p>
        </w:tc>
      </w:tr>
      <w:tr w14:paraId="1624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4B37089B">
            <w:pPr>
              <w:spacing w:line="360" w:lineRule="auto"/>
              <w:jc w:val="center"/>
              <w:rPr>
                <w:rFonts w:ascii="宋体" w:hAnsi="宋体" w:eastAsia="宋体" w:cs="宋体"/>
                <w:color w:val="auto"/>
                <w:sz w:val="24"/>
              </w:rPr>
            </w:pPr>
          </w:p>
        </w:tc>
        <w:tc>
          <w:tcPr>
            <w:tcW w:w="1464" w:type="dxa"/>
            <w:vAlign w:val="center"/>
          </w:tcPr>
          <w:p w14:paraId="19521181">
            <w:pPr>
              <w:spacing w:line="360" w:lineRule="auto"/>
              <w:jc w:val="center"/>
              <w:rPr>
                <w:rFonts w:ascii="宋体" w:hAnsi="宋体" w:eastAsia="宋体" w:cs="宋体"/>
                <w:color w:val="auto"/>
                <w:sz w:val="24"/>
              </w:rPr>
            </w:pPr>
          </w:p>
        </w:tc>
        <w:tc>
          <w:tcPr>
            <w:tcW w:w="1220" w:type="dxa"/>
            <w:vAlign w:val="center"/>
          </w:tcPr>
          <w:p w14:paraId="7C764A9E">
            <w:pPr>
              <w:spacing w:line="360" w:lineRule="auto"/>
              <w:jc w:val="center"/>
              <w:rPr>
                <w:rFonts w:ascii="宋体" w:hAnsi="宋体" w:eastAsia="宋体" w:cs="宋体"/>
                <w:color w:val="auto"/>
                <w:sz w:val="24"/>
              </w:rPr>
            </w:pPr>
          </w:p>
        </w:tc>
        <w:tc>
          <w:tcPr>
            <w:tcW w:w="1342" w:type="dxa"/>
            <w:vAlign w:val="center"/>
          </w:tcPr>
          <w:p w14:paraId="6119778C">
            <w:pPr>
              <w:spacing w:line="360" w:lineRule="auto"/>
              <w:jc w:val="center"/>
              <w:rPr>
                <w:rFonts w:ascii="宋体" w:hAnsi="宋体" w:eastAsia="宋体" w:cs="宋体"/>
                <w:color w:val="auto"/>
                <w:sz w:val="24"/>
              </w:rPr>
            </w:pPr>
          </w:p>
        </w:tc>
        <w:tc>
          <w:tcPr>
            <w:tcW w:w="1464" w:type="dxa"/>
          </w:tcPr>
          <w:p w14:paraId="290C2248">
            <w:pPr>
              <w:spacing w:line="360" w:lineRule="auto"/>
              <w:jc w:val="center"/>
              <w:rPr>
                <w:rFonts w:ascii="宋体" w:hAnsi="宋体" w:eastAsia="宋体" w:cs="宋体"/>
                <w:color w:val="auto"/>
                <w:sz w:val="24"/>
              </w:rPr>
            </w:pPr>
          </w:p>
        </w:tc>
        <w:tc>
          <w:tcPr>
            <w:tcW w:w="1464" w:type="dxa"/>
            <w:vAlign w:val="center"/>
          </w:tcPr>
          <w:p w14:paraId="518BF7A0">
            <w:pPr>
              <w:spacing w:line="360" w:lineRule="auto"/>
              <w:jc w:val="center"/>
              <w:rPr>
                <w:rFonts w:ascii="宋体" w:hAnsi="宋体" w:eastAsia="宋体" w:cs="宋体"/>
                <w:color w:val="auto"/>
                <w:sz w:val="24"/>
              </w:rPr>
            </w:pPr>
          </w:p>
        </w:tc>
        <w:tc>
          <w:tcPr>
            <w:tcW w:w="1464" w:type="dxa"/>
          </w:tcPr>
          <w:p w14:paraId="01A79C4E">
            <w:pPr>
              <w:spacing w:line="360" w:lineRule="auto"/>
              <w:jc w:val="center"/>
              <w:rPr>
                <w:rFonts w:ascii="宋体" w:hAnsi="宋体" w:eastAsia="宋体" w:cs="宋体"/>
                <w:color w:val="auto"/>
                <w:sz w:val="24"/>
              </w:rPr>
            </w:pPr>
          </w:p>
        </w:tc>
      </w:tr>
      <w:tr w14:paraId="0BE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012EC85A">
            <w:pPr>
              <w:spacing w:line="360" w:lineRule="auto"/>
              <w:jc w:val="center"/>
              <w:rPr>
                <w:rFonts w:ascii="宋体" w:hAnsi="宋体" w:eastAsia="宋体" w:cs="宋体"/>
                <w:color w:val="auto"/>
                <w:sz w:val="24"/>
              </w:rPr>
            </w:pPr>
          </w:p>
        </w:tc>
        <w:tc>
          <w:tcPr>
            <w:tcW w:w="1464" w:type="dxa"/>
            <w:vAlign w:val="center"/>
          </w:tcPr>
          <w:p w14:paraId="7AC8CE04">
            <w:pPr>
              <w:spacing w:line="360" w:lineRule="auto"/>
              <w:jc w:val="center"/>
              <w:rPr>
                <w:rFonts w:ascii="宋体" w:hAnsi="宋体" w:eastAsia="宋体" w:cs="宋体"/>
                <w:color w:val="auto"/>
                <w:sz w:val="24"/>
              </w:rPr>
            </w:pPr>
          </w:p>
        </w:tc>
        <w:tc>
          <w:tcPr>
            <w:tcW w:w="1220" w:type="dxa"/>
            <w:vAlign w:val="center"/>
          </w:tcPr>
          <w:p w14:paraId="0494632F">
            <w:pPr>
              <w:spacing w:line="360" w:lineRule="auto"/>
              <w:jc w:val="center"/>
              <w:rPr>
                <w:rFonts w:ascii="宋体" w:hAnsi="宋体" w:eastAsia="宋体" w:cs="宋体"/>
                <w:color w:val="auto"/>
                <w:sz w:val="24"/>
              </w:rPr>
            </w:pPr>
          </w:p>
        </w:tc>
        <w:tc>
          <w:tcPr>
            <w:tcW w:w="1342" w:type="dxa"/>
            <w:vAlign w:val="center"/>
          </w:tcPr>
          <w:p w14:paraId="4BADC2BD">
            <w:pPr>
              <w:spacing w:line="360" w:lineRule="auto"/>
              <w:jc w:val="center"/>
              <w:rPr>
                <w:rFonts w:ascii="宋体" w:hAnsi="宋体" w:eastAsia="宋体" w:cs="宋体"/>
                <w:color w:val="auto"/>
                <w:sz w:val="24"/>
              </w:rPr>
            </w:pPr>
          </w:p>
        </w:tc>
        <w:tc>
          <w:tcPr>
            <w:tcW w:w="1464" w:type="dxa"/>
          </w:tcPr>
          <w:p w14:paraId="64149D22">
            <w:pPr>
              <w:spacing w:line="360" w:lineRule="auto"/>
              <w:jc w:val="center"/>
              <w:rPr>
                <w:rFonts w:ascii="宋体" w:hAnsi="宋体" w:eastAsia="宋体" w:cs="宋体"/>
                <w:color w:val="auto"/>
                <w:sz w:val="24"/>
              </w:rPr>
            </w:pPr>
          </w:p>
        </w:tc>
        <w:tc>
          <w:tcPr>
            <w:tcW w:w="1464" w:type="dxa"/>
            <w:vAlign w:val="center"/>
          </w:tcPr>
          <w:p w14:paraId="05DCFE57">
            <w:pPr>
              <w:spacing w:line="360" w:lineRule="auto"/>
              <w:jc w:val="center"/>
              <w:rPr>
                <w:rFonts w:ascii="宋体" w:hAnsi="宋体" w:eastAsia="宋体" w:cs="宋体"/>
                <w:color w:val="auto"/>
                <w:sz w:val="24"/>
              </w:rPr>
            </w:pPr>
          </w:p>
        </w:tc>
        <w:tc>
          <w:tcPr>
            <w:tcW w:w="1464" w:type="dxa"/>
          </w:tcPr>
          <w:p w14:paraId="0A16130B">
            <w:pPr>
              <w:spacing w:line="360" w:lineRule="auto"/>
              <w:jc w:val="center"/>
              <w:rPr>
                <w:rFonts w:ascii="宋体" w:hAnsi="宋体" w:eastAsia="宋体" w:cs="宋体"/>
                <w:color w:val="auto"/>
                <w:sz w:val="24"/>
              </w:rPr>
            </w:pPr>
          </w:p>
        </w:tc>
      </w:tr>
      <w:tr w14:paraId="7041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77A49412">
            <w:pPr>
              <w:spacing w:line="360" w:lineRule="auto"/>
              <w:jc w:val="center"/>
              <w:rPr>
                <w:rFonts w:ascii="宋体" w:hAnsi="宋体" w:eastAsia="宋体" w:cs="宋体"/>
                <w:color w:val="auto"/>
                <w:sz w:val="24"/>
              </w:rPr>
            </w:pPr>
          </w:p>
        </w:tc>
        <w:tc>
          <w:tcPr>
            <w:tcW w:w="1464" w:type="dxa"/>
            <w:vAlign w:val="center"/>
          </w:tcPr>
          <w:p w14:paraId="7FD16E32">
            <w:pPr>
              <w:spacing w:line="360" w:lineRule="auto"/>
              <w:jc w:val="center"/>
              <w:rPr>
                <w:rFonts w:ascii="宋体" w:hAnsi="宋体" w:eastAsia="宋体" w:cs="宋体"/>
                <w:color w:val="auto"/>
                <w:sz w:val="24"/>
              </w:rPr>
            </w:pPr>
          </w:p>
        </w:tc>
        <w:tc>
          <w:tcPr>
            <w:tcW w:w="1220" w:type="dxa"/>
            <w:vAlign w:val="center"/>
          </w:tcPr>
          <w:p w14:paraId="207D7784">
            <w:pPr>
              <w:spacing w:line="360" w:lineRule="auto"/>
              <w:jc w:val="center"/>
              <w:rPr>
                <w:rFonts w:ascii="宋体" w:hAnsi="宋体" w:eastAsia="宋体" w:cs="宋体"/>
                <w:color w:val="auto"/>
                <w:sz w:val="24"/>
              </w:rPr>
            </w:pPr>
          </w:p>
        </w:tc>
        <w:tc>
          <w:tcPr>
            <w:tcW w:w="1342" w:type="dxa"/>
            <w:vAlign w:val="center"/>
          </w:tcPr>
          <w:p w14:paraId="085EC678">
            <w:pPr>
              <w:spacing w:line="360" w:lineRule="auto"/>
              <w:jc w:val="center"/>
              <w:rPr>
                <w:rFonts w:ascii="宋体" w:hAnsi="宋体" w:eastAsia="宋体" w:cs="宋体"/>
                <w:color w:val="auto"/>
                <w:sz w:val="24"/>
              </w:rPr>
            </w:pPr>
          </w:p>
        </w:tc>
        <w:tc>
          <w:tcPr>
            <w:tcW w:w="1464" w:type="dxa"/>
          </w:tcPr>
          <w:p w14:paraId="36F08FF5">
            <w:pPr>
              <w:spacing w:line="360" w:lineRule="auto"/>
              <w:jc w:val="center"/>
              <w:rPr>
                <w:rFonts w:ascii="宋体" w:hAnsi="宋体" w:eastAsia="宋体" w:cs="宋体"/>
                <w:color w:val="auto"/>
                <w:sz w:val="24"/>
              </w:rPr>
            </w:pPr>
          </w:p>
        </w:tc>
        <w:tc>
          <w:tcPr>
            <w:tcW w:w="1464" w:type="dxa"/>
            <w:vAlign w:val="center"/>
          </w:tcPr>
          <w:p w14:paraId="45CF83D8">
            <w:pPr>
              <w:spacing w:line="360" w:lineRule="auto"/>
              <w:jc w:val="center"/>
              <w:rPr>
                <w:rFonts w:ascii="宋体" w:hAnsi="宋体" w:eastAsia="宋体" w:cs="宋体"/>
                <w:color w:val="auto"/>
                <w:sz w:val="24"/>
              </w:rPr>
            </w:pPr>
          </w:p>
        </w:tc>
        <w:tc>
          <w:tcPr>
            <w:tcW w:w="1464" w:type="dxa"/>
          </w:tcPr>
          <w:p w14:paraId="4501C724">
            <w:pPr>
              <w:spacing w:line="360" w:lineRule="auto"/>
              <w:jc w:val="center"/>
              <w:rPr>
                <w:rFonts w:ascii="宋体" w:hAnsi="宋体" w:eastAsia="宋体" w:cs="宋体"/>
                <w:color w:val="auto"/>
                <w:sz w:val="24"/>
              </w:rPr>
            </w:pPr>
          </w:p>
        </w:tc>
      </w:tr>
      <w:tr w14:paraId="2926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7" w:type="dxa"/>
            <w:vAlign w:val="center"/>
          </w:tcPr>
          <w:p w14:paraId="1D438ED2">
            <w:pPr>
              <w:spacing w:line="360" w:lineRule="auto"/>
              <w:jc w:val="center"/>
              <w:rPr>
                <w:rFonts w:ascii="宋体" w:hAnsi="宋体" w:eastAsia="宋体" w:cs="宋体"/>
                <w:color w:val="auto"/>
                <w:sz w:val="24"/>
              </w:rPr>
            </w:pPr>
          </w:p>
        </w:tc>
        <w:tc>
          <w:tcPr>
            <w:tcW w:w="1464" w:type="dxa"/>
            <w:vAlign w:val="center"/>
          </w:tcPr>
          <w:p w14:paraId="43CADA0B">
            <w:pPr>
              <w:spacing w:line="360" w:lineRule="auto"/>
              <w:jc w:val="center"/>
              <w:rPr>
                <w:rFonts w:ascii="宋体" w:hAnsi="宋体" w:eastAsia="宋体" w:cs="宋体"/>
                <w:color w:val="auto"/>
                <w:sz w:val="24"/>
              </w:rPr>
            </w:pPr>
          </w:p>
        </w:tc>
        <w:tc>
          <w:tcPr>
            <w:tcW w:w="1220" w:type="dxa"/>
            <w:vAlign w:val="center"/>
          </w:tcPr>
          <w:p w14:paraId="581BA3F9">
            <w:pPr>
              <w:spacing w:line="360" w:lineRule="auto"/>
              <w:jc w:val="center"/>
              <w:rPr>
                <w:rFonts w:ascii="宋体" w:hAnsi="宋体" w:eastAsia="宋体" w:cs="宋体"/>
                <w:color w:val="auto"/>
                <w:sz w:val="24"/>
              </w:rPr>
            </w:pPr>
          </w:p>
        </w:tc>
        <w:tc>
          <w:tcPr>
            <w:tcW w:w="1342" w:type="dxa"/>
            <w:vAlign w:val="center"/>
          </w:tcPr>
          <w:p w14:paraId="376E6857">
            <w:pPr>
              <w:spacing w:line="360" w:lineRule="auto"/>
              <w:jc w:val="center"/>
              <w:rPr>
                <w:rFonts w:ascii="宋体" w:hAnsi="宋体" w:eastAsia="宋体" w:cs="宋体"/>
                <w:color w:val="auto"/>
                <w:sz w:val="24"/>
              </w:rPr>
            </w:pPr>
          </w:p>
        </w:tc>
        <w:tc>
          <w:tcPr>
            <w:tcW w:w="1464" w:type="dxa"/>
          </w:tcPr>
          <w:p w14:paraId="21A5A620">
            <w:pPr>
              <w:spacing w:line="360" w:lineRule="auto"/>
              <w:jc w:val="center"/>
              <w:rPr>
                <w:rFonts w:ascii="宋体" w:hAnsi="宋体" w:eastAsia="宋体" w:cs="宋体"/>
                <w:color w:val="auto"/>
                <w:sz w:val="24"/>
              </w:rPr>
            </w:pPr>
          </w:p>
        </w:tc>
        <w:tc>
          <w:tcPr>
            <w:tcW w:w="1464" w:type="dxa"/>
            <w:vAlign w:val="center"/>
          </w:tcPr>
          <w:p w14:paraId="6AE2EF44">
            <w:pPr>
              <w:spacing w:line="360" w:lineRule="auto"/>
              <w:jc w:val="center"/>
              <w:rPr>
                <w:rFonts w:ascii="宋体" w:hAnsi="宋体" w:eastAsia="宋体" w:cs="宋体"/>
                <w:color w:val="auto"/>
                <w:sz w:val="24"/>
              </w:rPr>
            </w:pPr>
          </w:p>
        </w:tc>
        <w:tc>
          <w:tcPr>
            <w:tcW w:w="1464" w:type="dxa"/>
          </w:tcPr>
          <w:p w14:paraId="1F01F526">
            <w:pPr>
              <w:spacing w:line="360" w:lineRule="auto"/>
              <w:jc w:val="center"/>
              <w:rPr>
                <w:rFonts w:ascii="宋体" w:hAnsi="宋体" w:eastAsia="宋体" w:cs="宋体"/>
                <w:color w:val="auto"/>
                <w:sz w:val="24"/>
              </w:rPr>
            </w:pPr>
          </w:p>
        </w:tc>
      </w:tr>
      <w:tr w14:paraId="3A86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413A2950">
            <w:pPr>
              <w:spacing w:line="360" w:lineRule="auto"/>
              <w:jc w:val="center"/>
              <w:rPr>
                <w:rFonts w:ascii="宋体" w:hAnsi="宋体" w:eastAsia="宋体" w:cs="宋体"/>
                <w:color w:val="auto"/>
                <w:sz w:val="24"/>
              </w:rPr>
            </w:pPr>
          </w:p>
        </w:tc>
        <w:tc>
          <w:tcPr>
            <w:tcW w:w="1464" w:type="dxa"/>
            <w:vAlign w:val="center"/>
          </w:tcPr>
          <w:p w14:paraId="6F4FAAF7">
            <w:pPr>
              <w:spacing w:line="360" w:lineRule="auto"/>
              <w:jc w:val="center"/>
              <w:rPr>
                <w:rFonts w:ascii="宋体" w:hAnsi="宋体" w:eastAsia="宋体" w:cs="宋体"/>
                <w:color w:val="auto"/>
                <w:sz w:val="24"/>
              </w:rPr>
            </w:pPr>
          </w:p>
        </w:tc>
        <w:tc>
          <w:tcPr>
            <w:tcW w:w="1220" w:type="dxa"/>
            <w:vAlign w:val="center"/>
          </w:tcPr>
          <w:p w14:paraId="5E5EBBD1">
            <w:pPr>
              <w:spacing w:line="360" w:lineRule="auto"/>
              <w:jc w:val="center"/>
              <w:rPr>
                <w:rFonts w:ascii="宋体" w:hAnsi="宋体" w:eastAsia="宋体" w:cs="宋体"/>
                <w:color w:val="auto"/>
                <w:sz w:val="24"/>
              </w:rPr>
            </w:pPr>
          </w:p>
        </w:tc>
        <w:tc>
          <w:tcPr>
            <w:tcW w:w="1342" w:type="dxa"/>
            <w:vAlign w:val="center"/>
          </w:tcPr>
          <w:p w14:paraId="735824F4">
            <w:pPr>
              <w:spacing w:line="360" w:lineRule="auto"/>
              <w:jc w:val="center"/>
              <w:rPr>
                <w:rFonts w:ascii="宋体" w:hAnsi="宋体" w:eastAsia="宋体" w:cs="宋体"/>
                <w:color w:val="auto"/>
                <w:sz w:val="24"/>
              </w:rPr>
            </w:pPr>
          </w:p>
        </w:tc>
        <w:tc>
          <w:tcPr>
            <w:tcW w:w="1464" w:type="dxa"/>
          </w:tcPr>
          <w:p w14:paraId="178E914A">
            <w:pPr>
              <w:spacing w:line="360" w:lineRule="auto"/>
              <w:jc w:val="center"/>
              <w:rPr>
                <w:rFonts w:ascii="宋体" w:hAnsi="宋体" w:eastAsia="宋体" w:cs="宋体"/>
                <w:color w:val="auto"/>
                <w:sz w:val="24"/>
              </w:rPr>
            </w:pPr>
          </w:p>
        </w:tc>
        <w:tc>
          <w:tcPr>
            <w:tcW w:w="1464" w:type="dxa"/>
            <w:vAlign w:val="center"/>
          </w:tcPr>
          <w:p w14:paraId="5368860B">
            <w:pPr>
              <w:spacing w:line="360" w:lineRule="auto"/>
              <w:jc w:val="center"/>
              <w:rPr>
                <w:rFonts w:ascii="宋体" w:hAnsi="宋体" w:eastAsia="宋体" w:cs="宋体"/>
                <w:color w:val="auto"/>
                <w:sz w:val="24"/>
              </w:rPr>
            </w:pPr>
          </w:p>
        </w:tc>
        <w:tc>
          <w:tcPr>
            <w:tcW w:w="1464" w:type="dxa"/>
          </w:tcPr>
          <w:p w14:paraId="6BEB3CBE">
            <w:pPr>
              <w:spacing w:line="360" w:lineRule="auto"/>
              <w:jc w:val="center"/>
              <w:rPr>
                <w:rFonts w:ascii="宋体" w:hAnsi="宋体" w:eastAsia="宋体" w:cs="宋体"/>
                <w:color w:val="auto"/>
                <w:sz w:val="24"/>
              </w:rPr>
            </w:pPr>
          </w:p>
        </w:tc>
      </w:tr>
      <w:tr w14:paraId="2CC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7" w:type="dxa"/>
            <w:vAlign w:val="center"/>
          </w:tcPr>
          <w:p w14:paraId="4BB8D837">
            <w:pPr>
              <w:spacing w:line="360" w:lineRule="auto"/>
              <w:jc w:val="center"/>
              <w:rPr>
                <w:rFonts w:ascii="宋体" w:hAnsi="宋体" w:eastAsia="宋体" w:cs="宋体"/>
                <w:color w:val="auto"/>
                <w:sz w:val="24"/>
              </w:rPr>
            </w:pPr>
          </w:p>
        </w:tc>
        <w:tc>
          <w:tcPr>
            <w:tcW w:w="1464" w:type="dxa"/>
            <w:vAlign w:val="center"/>
          </w:tcPr>
          <w:p w14:paraId="0D4B8901">
            <w:pPr>
              <w:spacing w:line="360" w:lineRule="auto"/>
              <w:jc w:val="center"/>
              <w:rPr>
                <w:rFonts w:ascii="宋体" w:hAnsi="宋体" w:eastAsia="宋体" w:cs="宋体"/>
                <w:color w:val="auto"/>
                <w:sz w:val="24"/>
              </w:rPr>
            </w:pPr>
          </w:p>
        </w:tc>
        <w:tc>
          <w:tcPr>
            <w:tcW w:w="1220" w:type="dxa"/>
            <w:vAlign w:val="center"/>
          </w:tcPr>
          <w:p w14:paraId="25D3A8BB">
            <w:pPr>
              <w:spacing w:line="360" w:lineRule="auto"/>
              <w:jc w:val="center"/>
              <w:rPr>
                <w:rFonts w:ascii="宋体" w:hAnsi="宋体" w:eastAsia="宋体" w:cs="宋体"/>
                <w:color w:val="auto"/>
                <w:sz w:val="24"/>
              </w:rPr>
            </w:pPr>
          </w:p>
        </w:tc>
        <w:tc>
          <w:tcPr>
            <w:tcW w:w="1342" w:type="dxa"/>
            <w:vAlign w:val="center"/>
          </w:tcPr>
          <w:p w14:paraId="43FCDEB5">
            <w:pPr>
              <w:spacing w:line="360" w:lineRule="auto"/>
              <w:jc w:val="center"/>
              <w:rPr>
                <w:rFonts w:ascii="宋体" w:hAnsi="宋体" w:eastAsia="宋体" w:cs="宋体"/>
                <w:color w:val="auto"/>
                <w:sz w:val="24"/>
              </w:rPr>
            </w:pPr>
          </w:p>
        </w:tc>
        <w:tc>
          <w:tcPr>
            <w:tcW w:w="1464" w:type="dxa"/>
          </w:tcPr>
          <w:p w14:paraId="56F89840">
            <w:pPr>
              <w:spacing w:line="360" w:lineRule="auto"/>
              <w:jc w:val="center"/>
              <w:rPr>
                <w:rFonts w:ascii="宋体" w:hAnsi="宋体" w:eastAsia="宋体" w:cs="宋体"/>
                <w:color w:val="auto"/>
                <w:sz w:val="24"/>
              </w:rPr>
            </w:pPr>
          </w:p>
        </w:tc>
        <w:tc>
          <w:tcPr>
            <w:tcW w:w="1464" w:type="dxa"/>
            <w:vAlign w:val="center"/>
          </w:tcPr>
          <w:p w14:paraId="19F5A891">
            <w:pPr>
              <w:spacing w:line="360" w:lineRule="auto"/>
              <w:jc w:val="center"/>
              <w:rPr>
                <w:rFonts w:ascii="宋体" w:hAnsi="宋体" w:eastAsia="宋体" w:cs="宋体"/>
                <w:color w:val="auto"/>
                <w:sz w:val="24"/>
              </w:rPr>
            </w:pPr>
          </w:p>
        </w:tc>
        <w:tc>
          <w:tcPr>
            <w:tcW w:w="1464" w:type="dxa"/>
          </w:tcPr>
          <w:p w14:paraId="005089F0">
            <w:pPr>
              <w:spacing w:line="360" w:lineRule="auto"/>
              <w:jc w:val="center"/>
              <w:rPr>
                <w:rFonts w:ascii="宋体" w:hAnsi="宋体" w:eastAsia="宋体" w:cs="宋体"/>
                <w:color w:val="auto"/>
                <w:sz w:val="24"/>
              </w:rPr>
            </w:pPr>
          </w:p>
        </w:tc>
      </w:tr>
      <w:tr w14:paraId="45B7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7" w:type="dxa"/>
            <w:vAlign w:val="center"/>
          </w:tcPr>
          <w:p w14:paraId="1EF24FA2">
            <w:pPr>
              <w:spacing w:line="360" w:lineRule="auto"/>
              <w:jc w:val="center"/>
              <w:rPr>
                <w:rFonts w:ascii="宋体" w:hAnsi="宋体" w:eastAsia="宋体" w:cs="宋体"/>
                <w:color w:val="auto"/>
                <w:sz w:val="24"/>
              </w:rPr>
            </w:pPr>
          </w:p>
        </w:tc>
        <w:tc>
          <w:tcPr>
            <w:tcW w:w="1464" w:type="dxa"/>
            <w:vAlign w:val="center"/>
          </w:tcPr>
          <w:p w14:paraId="50E5C647">
            <w:pPr>
              <w:spacing w:line="360" w:lineRule="auto"/>
              <w:jc w:val="center"/>
              <w:rPr>
                <w:rFonts w:ascii="宋体" w:hAnsi="宋体" w:eastAsia="宋体" w:cs="宋体"/>
                <w:color w:val="auto"/>
                <w:sz w:val="24"/>
              </w:rPr>
            </w:pPr>
          </w:p>
        </w:tc>
        <w:tc>
          <w:tcPr>
            <w:tcW w:w="1220" w:type="dxa"/>
            <w:vAlign w:val="center"/>
          </w:tcPr>
          <w:p w14:paraId="19F47620">
            <w:pPr>
              <w:spacing w:line="360" w:lineRule="auto"/>
              <w:jc w:val="center"/>
              <w:rPr>
                <w:rFonts w:ascii="宋体" w:hAnsi="宋体" w:eastAsia="宋体" w:cs="宋体"/>
                <w:color w:val="auto"/>
                <w:sz w:val="24"/>
              </w:rPr>
            </w:pPr>
          </w:p>
        </w:tc>
        <w:tc>
          <w:tcPr>
            <w:tcW w:w="1342" w:type="dxa"/>
            <w:vAlign w:val="center"/>
          </w:tcPr>
          <w:p w14:paraId="5264656B">
            <w:pPr>
              <w:spacing w:line="360" w:lineRule="auto"/>
              <w:jc w:val="center"/>
              <w:rPr>
                <w:rFonts w:ascii="宋体" w:hAnsi="宋体" w:eastAsia="宋体" w:cs="宋体"/>
                <w:color w:val="auto"/>
                <w:sz w:val="24"/>
              </w:rPr>
            </w:pPr>
          </w:p>
        </w:tc>
        <w:tc>
          <w:tcPr>
            <w:tcW w:w="1464" w:type="dxa"/>
          </w:tcPr>
          <w:p w14:paraId="709391C2">
            <w:pPr>
              <w:spacing w:line="360" w:lineRule="auto"/>
              <w:jc w:val="center"/>
              <w:rPr>
                <w:rFonts w:ascii="宋体" w:hAnsi="宋体" w:eastAsia="宋体" w:cs="宋体"/>
                <w:color w:val="auto"/>
                <w:sz w:val="24"/>
              </w:rPr>
            </w:pPr>
          </w:p>
        </w:tc>
        <w:tc>
          <w:tcPr>
            <w:tcW w:w="1464" w:type="dxa"/>
            <w:vAlign w:val="center"/>
          </w:tcPr>
          <w:p w14:paraId="684BC226">
            <w:pPr>
              <w:spacing w:line="360" w:lineRule="auto"/>
              <w:jc w:val="center"/>
              <w:rPr>
                <w:rFonts w:ascii="宋体" w:hAnsi="宋体" w:eastAsia="宋体" w:cs="宋体"/>
                <w:color w:val="auto"/>
                <w:sz w:val="24"/>
              </w:rPr>
            </w:pPr>
          </w:p>
        </w:tc>
        <w:tc>
          <w:tcPr>
            <w:tcW w:w="1464" w:type="dxa"/>
          </w:tcPr>
          <w:p w14:paraId="3D64239E">
            <w:pPr>
              <w:spacing w:line="360" w:lineRule="auto"/>
              <w:jc w:val="center"/>
              <w:rPr>
                <w:rFonts w:ascii="宋体" w:hAnsi="宋体" w:eastAsia="宋体" w:cs="宋体"/>
                <w:color w:val="auto"/>
                <w:sz w:val="24"/>
              </w:rPr>
            </w:pPr>
          </w:p>
        </w:tc>
      </w:tr>
    </w:tbl>
    <w:p w14:paraId="1EA840B1">
      <w:pPr>
        <w:spacing w:line="360" w:lineRule="auto"/>
        <w:rPr>
          <w:rFonts w:ascii="宋体" w:hAnsi="宋体" w:eastAsia="宋体" w:cs="宋体"/>
          <w:b/>
          <w:color w:val="auto"/>
          <w:sz w:val="24"/>
        </w:rPr>
      </w:pPr>
    </w:p>
    <w:p w14:paraId="37C690EE">
      <w:pPr>
        <w:ind w:firstLine="361" w:firstLineChars="150"/>
        <w:rPr>
          <w:rFonts w:ascii="宋体" w:hAnsi="宋体" w:eastAsia="宋体" w:cs="宋体"/>
          <w:b/>
          <w:color w:val="auto"/>
          <w:sz w:val="24"/>
        </w:rPr>
      </w:pPr>
    </w:p>
    <w:p w14:paraId="57B2D101">
      <w:pPr>
        <w:ind w:firstLine="361" w:firstLineChars="150"/>
        <w:rPr>
          <w:rFonts w:ascii="宋体" w:hAnsi="宋体" w:eastAsia="宋体" w:cs="宋体"/>
          <w:b/>
          <w:color w:val="auto"/>
          <w:sz w:val="24"/>
        </w:rPr>
      </w:pPr>
    </w:p>
    <w:p w14:paraId="0208E557">
      <w:pPr>
        <w:ind w:firstLine="361" w:firstLineChars="150"/>
        <w:rPr>
          <w:rFonts w:ascii="宋体" w:hAnsi="宋体" w:eastAsia="宋体" w:cs="宋体"/>
          <w:b/>
          <w:color w:val="auto"/>
          <w:sz w:val="24"/>
        </w:rPr>
      </w:pPr>
    </w:p>
    <w:p w14:paraId="2A52E325">
      <w:pPr>
        <w:ind w:firstLine="360" w:firstLineChars="150"/>
        <w:rPr>
          <w:rFonts w:ascii="宋体" w:hAnsi="宋体" w:eastAsia="宋体" w:cs="宋体"/>
          <w:color w:val="auto"/>
          <w:sz w:val="24"/>
        </w:rPr>
      </w:pPr>
    </w:p>
    <w:p w14:paraId="48E0C02F">
      <w:pPr>
        <w:ind w:firstLine="360" w:firstLineChars="150"/>
        <w:rPr>
          <w:rFonts w:ascii="宋体" w:hAnsi="宋体" w:eastAsia="宋体" w:cs="宋体"/>
          <w:color w:val="auto"/>
          <w:sz w:val="24"/>
        </w:rPr>
      </w:pPr>
      <w:r>
        <w:rPr>
          <w:rFonts w:hint="eastAsia" w:ascii="宋体" w:hAnsi="宋体" w:eastAsia="宋体" w:cs="宋体"/>
          <w:color w:val="auto"/>
          <w:sz w:val="24"/>
        </w:rPr>
        <w:t xml:space="preserve">供应商（公章）：  </w:t>
      </w:r>
    </w:p>
    <w:p w14:paraId="7139AF53">
      <w:pPr>
        <w:ind w:firstLine="360" w:firstLineChars="150"/>
        <w:rPr>
          <w:rFonts w:ascii="宋体" w:hAnsi="宋体" w:eastAsia="宋体" w:cs="宋体"/>
          <w:color w:val="auto"/>
          <w:sz w:val="24"/>
        </w:rPr>
      </w:pPr>
    </w:p>
    <w:p w14:paraId="4D0804B4">
      <w:pPr>
        <w:ind w:firstLine="360" w:firstLineChars="150"/>
        <w:rPr>
          <w:rFonts w:ascii="宋体" w:hAnsi="宋体" w:eastAsia="宋体" w:cs="宋体"/>
          <w:color w:val="auto"/>
          <w:sz w:val="24"/>
        </w:rPr>
      </w:pPr>
    </w:p>
    <w:p w14:paraId="47A9497A">
      <w:pPr>
        <w:ind w:firstLine="360" w:firstLineChars="150"/>
        <w:rPr>
          <w:rFonts w:ascii="宋体" w:hAnsi="宋体" w:eastAsia="宋体" w:cs="宋体"/>
          <w:color w:val="auto"/>
          <w:sz w:val="24"/>
        </w:rPr>
      </w:pPr>
      <w:r>
        <w:rPr>
          <w:rFonts w:hint="eastAsia" w:ascii="宋体" w:hAnsi="宋体" w:eastAsia="宋体" w:cs="宋体"/>
          <w:color w:val="auto"/>
          <w:sz w:val="24"/>
        </w:rPr>
        <w:t xml:space="preserve">             </w:t>
      </w:r>
    </w:p>
    <w:p w14:paraId="4474B03A">
      <w:pPr>
        <w:ind w:firstLine="360" w:firstLineChars="150"/>
        <w:rPr>
          <w:rFonts w:ascii="宋体" w:hAnsi="宋体" w:eastAsia="宋体" w:cs="宋体"/>
          <w:color w:val="auto"/>
          <w:sz w:val="24"/>
          <w:lang w:eastAsia="zh-CN"/>
        </w:rPr>
      </w:pPr>
      <w:r>
        <w:rPr>
          <w:rFonts w:hint="eastAsia" w:ascii="宋体" w:hAnsi="宋体" w:eastAsia="宋体" w:cs="宋体"/>
          <w:color w:val="auto"/>
          <w:sz w:val="24"/>
          <w:lang w:eastAsia="zh-CN"/>
        </w:rPr>
        <w:t>法定代表人或授权委托人（签字或盖章）</w:t>
      </w:r>
      <w:r>
        <w:rPr>
          <w:rFonts w:hint="eastAsia" w:ascii="宋体" w:hAnsi="宋体" w:eastAsia="宋体" w:cs="宋体"/>
          <w:bCs/>
          <w:color w:val="auto"/>
          <w:sz w:val="24"/>
          <w:lang w:eastAsia="zh-CN"/>
        </w:rPr>
        <w:t>：</w:t>
      </w:r>
    </w:p>
    <w:p w14:paraId="4B9971EB">
      <w:pPr>
        <w:ind w:left="-525" w:leftChars="-250" w:firstLine="720" w:firstLineChars="300"/>
        <w:rPr>
          <w:rFonts w:ascii="宋体" w:hAnsi="宋体" w:eastAsia="宋体" w:cs="宋体"/>
          <w:color w:val="auto"/>
          <w:sz w:val="24"/>
          <w:lang w:eastAsia="zh-CN"/>
        </w:rPr>
      </w:pPr>
      <w:r>
        <w:rPr>
          <w:rFonts w:hint="eastAsia" w:ascii="宋体" w:hAnsi="宋体" w:eastAsia="宋体" w:cs="宋体"/>
          <w:color w:val="auto"/>
          <w:sz w:val="24"/>
          <w:lang w:eastAsia="zh-CN"/>
        </w:rPr>
        <w:t xml:space="preserve">                          </w:t>
      </w:r>
    </w:p>
    <w:p w14:paraId="58B41DD6">
      <w:pPr>
        <w:ind w:left="-525" w:leftChars="-250" w:firstLine="720" w:firstLineChars="300"/>
        <w:rPr>
          <w:rFonts w:ascii="宋体" w:hAnsi="宋体" w:eastAsia="宋体" w:cs="宋体"/>
          <w:color w:val="auto"/>
          <w:sz w:val="24"/>
          <w:lang w:eastAsia="zh-CN"/>
        </w:rPr>
      </w:pPr>
    </w:p>
    <w:p w14:paraId="10E96FF0">
      <w:pPr>
        <w:spacing w:line="400" w:lineRule="exact"/>
        <w:rPr>
          <w:rFonts w:ascii="宋体" w:hAnsi="宋体" w:eastAsia="宋体" w:cs="宋体"/>
          <w:color w:val="auto"/>
          <w:sz w:val="24"/>
          <w:lang w:eastAsia="zh-CN"/>
        </w:rPr>
      </w:pPr>
      <w:r>
        <w:rPr>
          <w:rFonts w:hint="eastAsia" w:ascii="宋体" w:hAnsi="宋体" w:eastAsia="宋体" w:cs="宋体"/>
          <w:color w:val="auto"/>
          <w:sz w:val="24"/>
          <w:lang w:eastAsia="zh-CN"/>
        </w:rPr>
        <w:tab/>
      </w:r>
    </w:p>
    <w:p w14:paraId="667811D1">
      <w:pPr>
        <w:spacing w:before="150" w:line="225" w:lineRule="auto"/>
        <w:ind w:left="3591"/>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75071A5">
      <w:pPr>
        <w:spacing w:before="150" w:line="225" w:lineRule="auto"/>
        <w:ind w:left="3591"/>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54247DF0">
      <w:pPr>
        <w:widowControl w:val="0"/>
        <w:kinsoku/>
        <w:autoSpaceDE/>
        <w:autoSpaceDN/>
        <w:adjustRightInd/>
        <w:snapToGrid/>
        <w:spacing w:line="360" w:lineRule="auto"/>
        <w:jc w:val="center"/>
        <w:textAlignment w:val="auto"/>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（三）投标产品偏差表</w:t>
      </w:r>
    </w:p>
    <w:p w14:paraId="17004678">
      <w:pPr>
        <w:spacing w:line="360" w:lineRule="auto"/>
        <w:ind w:left="-525" w:firstLine="2625"/>
        <w:rPr>
          <w:rFonts w:ascii="宋体" w:hAnsi="宋体" w:eastAsia="宋体" w:cs="宋体"/>
          <w:b/>
          <w:color w:val="auto"/>
          <w:sz w:val="1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511"/>
        <w:gridCol w:w="1216"/>
        <w:gridCol w:w="1688"/>
        <w:gridCol w:w="1819"/>
        <w:gridCol w:w="1442"/>
      </w:tblGrid>
      <w:tr w14:paraId="5A8F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14:paraId="009C1AC0">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511" w:type="dxa"/>
            <w:vAlign w:val="center"/>
          </w:tcPr>
          <w:p w14:paraId="7FBAF137">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名称</w:t>
            </w:r>
          </w:p>
        </w:tc>
        <w:tc>
          <w:tcPr>
            <w:tcW w:w="1216" w:type="dxa"/>
            <w:vAlign w:val="center"/>
          </w:tcPr>
          <w:p w14:paraId="41C4D766">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88" w:type="dxa"/>
            <w:vAlign w:val="center"/>
          </w:tcPr>
          <w:p w14:paraId="37883235">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文件</w:t>
            </w:r>
          </w:p>
          <w:p w14:paraId="7EFAE009">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要求数据</w:t>
            </w:r>
          </w:p>
        </w:tc>
        <w:tc>
          <w:tcPr>
            <w:tcW w:w="1819" w:type="dxa"/>
            <w:vAlign w:val="center"/>
          </w:tcPr>
          <w:p w14:paraId="7971AFBA">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w:t>
            </w:r>
          </w:p>
          <w:p w14:paraId="196F7985">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实际数据</w:t>
            </w:r>
          </w:p>
        </w:tc>
        <w:tc>
          <w:tcPr>
            <w:tcW w:w="1442" w:type="dxa"/>
            <w:vAlign w:val="center"/>
          </w:tcPr>
          <w:p w14:paraId="64959C09">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响应说明</w:t>
            </w:r>
          </w:p>
        </w:tc>
      </w:tr>
      <w:tr w14:paraId="1253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5F51C59B">
            <w:pPr>
              <w:spacing w:line="360" w:lineRule="auto"/>
              <w:rPr>
                <w:rFonts w:ascii="宋体" w:hAnsi="宋体" w:eastAsia="宋体" w:cs="宋体"/>
                <w:color w:val="auto"/>
                <w:sz w:val="24"/>
                <w:szCs w:val="24"/>
              </w:rPr>
            </w:pPr>
          </w:p>
        </w:tc>
        <w:tc>
          <w:tcPr>
            <w:tcW w:w="1511" w:type="dxa"/>
          </w:tcPr>
          <w:p w14:paraId="5F16B3C2">
            <w:pPr>
              <w:spacing w:line="360" w:lineRule="auto"/>
              <w:rPr>
                <w:rFonts w:ascii="宋体" w:hAnsi="宋体" w:eastAsia="宋体" w:cs="宋体"/>
                <w:color w:val="auto"/>
                <w:sz w:val="24"/>
                <w:szCs w:val="24"/>
              </w:rPr>
            </w:pPr>
          </w:p>
        </w:tc>
        <w:tc>
          <w:tcPr>
            <w:tcW w:w="1216" w:type="dxa"/>
          </w:tcPr>
          <w:p w14:paraId="04FAFB43">
            <w:pPr>
              <w:spacing w:line="360" w:lineRule="auto"/>
              <w:rPr>
                <w:rFonts w:ascii="宋体" w:hAnsi="宋体" w:eastAsia="宋体" w:cs="宋体"/>
                <w:color w:val="auto"/>
                <w:sz w:val="24"/>
                <w:szCs w:val="24"/>
              </w:rPr>
            </w:pPr>
          </w:p>
        </w:tc>
        <w:tc>
          <w:tcPr>
            <w:tcW w:w="1688" w:type="dxa"/>
          </w:tcPr>
          <w:p w14:paraId="2B85EE64">
            <w:pPr>
              <w:spacing w:line="360" w:lineRule="auto"/>
              <w:rPr>
                <w:rFonts w:ascii="宋体" w:hAnsi="宋体" w:eastAsia="宋体" w:cs="宋体"/>
                <w:color w:val="auto"/>
                <w:sz w:val="24"/>
                <w:szCs w:val="24"/>
              </w:rPr>
            </w:pPr>
          </w:p>
        </w:tc>
        <w:tc>
          <w:tcPr>
            <w:tcW w:w="1819" w:type="dxa"/>
          </w:tcPr>
          <w:p w14:paraId="4C173CE2">
            <w:pPr>
              <w:spacing w:line="360" w:lineRule="auto"/>
              <w:rPr>
                <w:rFonts w:ascii="宋体" w:hAnsi="宋体" w:eastAsia="宋体" w:cs="宋体"/>
                <w:color w:val="auto"/>
                <w:sz w:val="24"/>
                <w:szCs w:val="24"/>
              </w:rPr>
            </w:pPr>
          </w:p>
        </w:tc>
        <w:tc>
          <w:tcPr>
            <w:tcW w:w="1442" w:type="dxa"/>
          </w:tcPr>
          <w:p w14:paraId="328779AD">
            <w:pPr>
              <w:spacing w:line="360" w:lineRule="auto"/>
              <w:rPr>
                <w:rFonts w:ascii="宋体" w:hAnsi="宋体" w:eastAsia="宋体" w:cs="宋体"/>
                <w:color w:val="auto"/>
                <w:sz w:val="24"/>
                <w:szCs w:val="24"/>
              </w:rPr>
            </w:pPr>
          </w:p>
        </w:tc>
      </w:tr>
      <w:tr w14:paraId="1742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30C46714">
            <w:pPr>
              <w:spacing w:line="360" w:lineRule="auto"/>
              <w:rPr>
                <w:rFonts w:ascii="宋体" w:hAnsi="宋体" w:eastAsia="宋体" w:cs="宋体"/>
                <w:color w:val="auto"/>
                <w:sz w:val="24"/>
                <w:szCs w:val="24"/>
              </w:rPr>
            </w:pPr>
          </w:p>
        </w:tc>
        <w:tc>
          <w:tcPr>
            <w:tcW w:w="1511" w:type="dxa"/>
          </w:tcPr>
          <w:p w14:paraId="79B32B86">
            <w:pPr>
              <w:spacing w:line="360" w:lineRule="auto"/>
              <w:rPr>
                <w:rFonts w:ascii="宋体" w:hAnsi="宋体" w:eastAsia="宋体" w:cs="宋体"/>
                <w:color w:val="auto"/>
                <w:sz w:val="24"/>
                <w:szCs w:val="24"/>
              </w:rPr>
            </w:pPr>
          </w:p>
        </w:tc>
        <w:tc>
          <w:tcPr>
            <w:tcW w:w="1216" w:type="dxa"/>
          </w:tcPr>
          <w:p w14:paraId="6999BBE6">
            <w:pPr>
              <w:spacing w:line="360" w:lineRule="auto"/>
              <w:rPr>
                <w:rFonts w:ascii="宋体" w:hAnsi="宋体" w:eastAsia="宋体" w:cs="宋体"/>
                <w:color w:val="auto"/>
                <w:sz w:val="24"/>
                <w:szCs w:val="24"/>
              </w:rPr>
            </w:pPr>
          </w:p>
        </w:tc>
        <w:tc>
          <w:tcPr>
            <w:tcW w:w="1688" w:type="dxa"/>
          </w:tcPr>
          <w:p w14:paraId="49CA4916">
            <w:pPr>
              <w:spacing w:line="360" w:lineRule="auto"/>
              <w:rPr>
                <w:rFonts w:ascii="宋体" w:hAnsi="宋体" w:eastAsia="宋体" w:cs="宋体"/>
                <w:color w:val="auto"/>
                <w:sz w:val="24"/>
                <w:szCs w:val="24"/>
              </w:rPr>
            </w:pPr>
          </w:p>
        </w:tc>
        <w:tc>
          <w:tcPr>
            <w:tcW w:w="1819" w:type="dxa"/>
          </w:tcPr>
          <w:p w14:paraId="7062A55C">
            <w:pPr>
              <w:spacing w:line="360" w:lineRule="auto"/>
              <w:rPr>
                <w:rFonts w:ascii="宋体" w:hAnsi="宋体" w:eastAsia="宋体" w:cs="宋体"/>
                <w:color w:val="auto"/>
                <w:sz w:val="24"/>
                <w:szCs w:val="24"/>
              </w:rPr>
            </w:pPr>
          </w:p>
        </w:tc>
        <w:tc>
          <w:tcPr>
            <w:tcW w:w="1442" w:type="dxa"/>
          </w:tcPr>
          <w:p w14:paraId="136EA87F">
            <w:pPr>
              <w:spacing w:line="360" w:lineRule="auto"/>
              <w:rPr>
                <w:rFonts w:ascii="宋体" w:hAnsi="宋体" w:eastAsia="宋体" w:cs="宋体"/>
                <w:color w:val="auto"/>
                <w:sz w:val="24"/>
                <w:szCs w:val="24"/>
              </w:rPr>
            </w:pPr>
          </w:p>
        </w:tc>
      </w:tr>
      <w:tr w14:paraId="7C3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765FFAD3">
            <w:pPr>
              <w:spacing w:line="360" w:lineRule="auto"/>
              <w:rPr>
                <w:rFonts w:ascii="宋体" w:hAnsi="宋体" w:eastAsia="宋体" w:cs="宋体"/>
                <w:color w:val="auto"/>
                <w:sz w:val="24"/>
                <w:szCs w:val="24"/>
              </w:rPr>
            </w:pPr>
          </w:p>
        </w:tc>
        <w:tc>
          <w:tcPr>
            <w:tcW w:w="1511" w:type="dxa"/>
          </w:tcPr>
          <w:p w14:paraId="5B26798C">
            <w:pPr>
              <w:spacing w:line="360" w:lineRule="auto"/>
              <w:rPr>
                <w:rFonts w:ascii="宋体" w:hAnsi="宋体" w:eastAsia="宋体" w:cs="宋体"/>
                <w:color w:val="auto"/>
                <w:sz w:val="24"/>
                <w:szCs w:val="24"/>
              </w:rPr>
            </w:pPr>
          </w:p>
        </w:tc>
        <w:tc>
          <w:tcPr>
            <w:tcW w:w="1216" w:type="dxa"/>
          </w:tcPr>
          <w:p w14:paraId="6E11C44D">
            <w:pPr>
              <w:spacing w:line="360" w:lineRule="auto"/>
              <w:rPr>
                <w:rFonts w:ascii="宋体" w:hAnsi="宋体" w:eastAsia="宋体" w:cs="宋体"/>
                <w:color w:val="auto"/>
                <w:sz w:val="24"/>
                <w:szCs w:val="24"/>
              </w:rPr>
            </w:pPr>
          </w:p>
        </w:tc>
        <w:tc>
          <w:tcPr>
            <w:tcW w:w="1688" w:type="dxa"/>
          </w:tcPr>
          <w:p w14:paraId="3AA4B303">
            <w:pPr>
              <w:spacing w:line="360" w:lineRule="auto"/>
              <w:rPr>
                <w:rFonts w:ascii="宋体" w:hAnsi="宋体" w:eastAsia="宋体" w:cs="宋体"/>
                <w:color w:val="auto"/>
                <w:sz w:val="24"/>
                <w:szCs w:val="24"/>
              </w:rPr>
            </w:pPr>
          </w:p>
        </w:tc>
        <w:tc>
          <w:tcPr>
            <w:tcW w:w="1819" w:type="dxa"/>
          </w:tcPr>
          <w:p w14:paraId="5B744970">
            <w:pPr>
              <w:spacing w:line="360" w:lineRule="auto"/>
              <w:rPr>
                <w:rFonts w:ascii="宋体" w:hAnsi="宋体" w:eastAsia="宋体" w:cs="宋体"/>
                <w:color w:val="auto"/>
                <w:sz w:val="24"/>
                <w:szCs w:val="24"/>
              </w:rPr>
            </w:pPr>
          </w:p>
        </w:tc>
        <w:tc>
          <w:tcPr>
            <w:tcW w:w="1442" w:type="dxa"/>
          </w:tcPr>
          <w:p w14:paraId="1732353E">
            <w:pPr>
              <w:spacing w:line="360" w:lineRule="auto"/>
              <w:rPr>
                <w:rFonts w:ascii="宋体" w:hAnsi="宋体" w:eastAsia="宋体" w:cs="宋体"/>
                <w:color w:val="auto"/>
                <w:sz w:val="24"/>
                <w:szCs w:val="24"/>
              </w:rPr>
            </w:pPr>
          </w:p>
        </w:tc>
      </w:tr>
      <w:tr w14:paraId="5746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0872F2DD">
            <w:pPr>
              <w:spacing w:line="360" w:lineRule="auto"/>
              <w:rPr>
                <w:rFonts w:ascii="宋体" w:hAnsi="宋体" w:eastAsia="宋体" w:cs="宋体"/>
                <w:color w:val="auto"/>
                <w:sz w:val="24"/>
                <w:szCs w:val="24"/>
              </w:rPr>
            </w:pPr>
          </w:p>
        </w:tc>
        <w:tc>
          <w:tcPr>
            <w:tcW w:w="1511" w:type="dxa"/>
          </w:tcPr>
          <w:p w14:paraId="3CDBCE58">
            <w:pPr>
              <w:spacing w:line="360" w:lineRule="auto"/>
              <w:rPr>
                <w:rFonts w:ascii="宋体" w:hAnsi="宋体" w:eastAsia="宋体" w:cs="宋体"/>
                <w:color w:val="auto"/>
                <w:sz w:val="24"/>
                <w:szCs w:val="24"/>
              </w:rPr>
            </w:pPr>
          </w:p>
        </w:tc>
        <w:tc>
          <w:tcPr>
            <w:tcW w:w="1216" w:type="dxa"/>
          </w:tcPr>
          <w:p w14:paraId="5787D970">
            <w:pPr>
              <w:spacing w:line="360" w:lineRule="auto"/>
              <w:rPr>
                <w:rFonts w:ascii="宋体" w:hAnsi="宋体" w:eastAsia="宋体" w:cs="宋体"/>
                <w:color w:val="auto"/>
                <w:sz w:val="24"/>
                <w:szCs w:val="24"/>
              </w:rPr>
            </w:pPr>
          </w:p>
        </w:tc>
        <w:tc>
          <w:tcPr>
            <w:tcW w:w="1688" w:type="dxa"/>
          </w:tcPr>
          <w:p w14:paraId="11AD84DE">
            <w:pPr>
              <w:spacing w:line="360" w:lineRule="auto"/>
              <w:rPr>
                <w:rFonts w:ascii="宋体" w:hAnsi="宋体" w:eastAsia="宋体" w:cs="宋体"/>
                <w:color w:val="auto"/>
                <w:sz w:val="24"/>
                <w:szCs w:val="24"/>
              </w:rPr>
            </w:pPr>
          </w:p>
        </w:tc>
        <w:tc>
          <w:tcPr>
            <w:tcW w:w="1819" w:type="dxa"/>
          </w:tcPr>
          <w:p w14:paraId="48CEF0B2">
            <w:pPr>
              <w:spacing w:line="360" w:lineRule="auto"/>
              <w:rPr>
                <w:rFonts w:ascii="宋体" w:hAnsi="宋体" w:eastAsia="宋体" w:cs="宋体"/>
                <w:color w:val="auto"/>
                <w:sz w:val="24"/>
                <w:szCs w:val="24"/>
              </w:rPr>
            </w:pPr>
          </w:p>
        </w:tc>
        <w:tc>
          <w:tcPr>
            <w:tcW w:w="1442" w:type="dxa"/>
          </w:tcPr>
          <w:p w14:paraId="45F4B168">
            <w:pPr>
              <w:spacing w:line="360" w:lineRule="auto"/>
              <w:rPr>
                <w:rFonts w:ascii="宋体" w:hAnsi="宋体" w:eastAsia="宋体" w:cs="宋体"/>
                <w:color w:val="auto"/>
                <w:sz w:val="24"/>
                <w:szCs w:val="24"/>
              </w:rPr>
            </w:pPr>
          </w:p>
        </w:tc>
      </w:tr>
      <w:tr w14:paraId="0366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523FF498">
            <w:pPr>
              <w:spacing w:line="360" w:lineRule="auto"/>
              <w:rPr>
                <w:rFonts w:ascii="宋体" w:hAnsi="宋体" w:eastAsia="宋体" w:cs="宋体"/>
                <w:color w:val="auto"/>
                <w:sz w:val="24"/>
                <w:szCs w:val="24"/>
              </w:rPr>
            </w:pPr>
          </w:p>
        </w:tc>
        <w:tc>
          <w:tcPr>
            <w:tcW w:w="1511" w:type="dxa"/>
          </w:tcPr>
          <w:p w14:paraId="7A974654">
            <w:pPr>
              <w:spacing w:line="360" w:lineRule="auto"/>
              <w:rPr>
                <w:rFonts w:ascii="宋体" w:hAnsi="宋体" w:eastAsia="宋体" w:cs="宋体"/>
                <w:color w:val="auto"/>
                <w:sz w:val="24"/>
                <w:szCs w:val="24"/>
              </w:rPr>
            </w:pPr>
          </w:p>
        </w:tc>
        <w:tc>
          <w:tcPr>
            <w:tcW w:w="1216" w:type="dxa"/>
          </w:tcPr>
          <w:p w14:paraId="1871FFED">
            <w:pPr>
              <w:spacing w:line="360" w:lineRule="auto"/>
              <w:rPr>
                <w:rFonts w:ascii="宋体" w:hAnsi="宋体" w:eastAsia="宋体" w:cs="宋体"/>
                <w:color w:val="auto"/>
                <w:sz w:val="24"/>
                <w:szCs w:val="24"/>
              </w:rPr>
            </w:pPr>
          </w:p>
        </w:tc>
        <w:tc>
          <w:tcPr>
            <w:tcW w:w="1688" w:type="dxa"/>
          </w:tcPr>
          <w:p w14:paraId="6873E0DD">
            <w:pPr>
              <w:spacing w:line="360" w:lineRule="auto"/>
              <w:rPr>
                <w:rFonts w:ascii="宋体" w:hAnsi="宋体" w:eastAsia="宋体" w:cs="宋体"/>
                <w:color w:val="auto"/>
                <w:sz w:val="24"/>
                <w:szCs w:val="24"/>
              </w:rPr>
            </w:pPr>
          </w:p>
        </w:tc>
        <w:tc>
          <w:tcPr>
            <w:tcW w:w="1819" w:type="dxa"/>
          </w:tcPr>
          <w:p w14:paraId="40868036">
            <w:pPr>
              <w:spacing w:line="360" w:lineRule="auto"/>
              <w:rPr>
                <w:rFonts w:ascii="宋体" w:hAnsi="宋体" w:eastAsia="宋体" w:cs="宋体"/>
                <w:color w:val="auto"/>
                <w:sz w:val="24"/>
                <w:szCs w:val="24"/>
              </w:rPr>
            </w:pPr>
          </w:p>
        </w:tc>
        <w:tc>
          <w:tcPr>
            <w:tcW w:w="1442" w:type="dxa"/>
          </w:tcPr>
          <w:p w14:paraId="02F1701D">
            <w:pPr>
              <w:spacing w:line="360" w:lineRule="auto"/>
              <w:rPr>
                <w:rFonts w:ascii="宋体" w:hAnsi="宋体" w:eastAsia="宋体" w:cs="宋体"/>
                <w:color w:val="auto"/>
                <w:sz w:val="24"/>
                <w:szCs w:val="24"/>
              </w:rPr>
            </w:pPr>
          </w:p>
        </w:tc>
      </w:tr>
      <w:tr w14:paraId="31D2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148190B6">
            <w:pPr>
              <w:spacing w:line="360" w:lineRule="auto"/>
              <w:rPr>
                <w:rFonts w:ascii="宋体" w:hAnsi="宋体" w:eastAsia="宋体" w:cs="宋体"/>
                <w:color w:val="auto"/>
                <w:sz w:val="24"/>
                <w:szCs w:val="24"/>
              </w:rPr>
            </w:pPr>
          </w:p>
        </w:tc>
        <w:tc>
          <w:tcPr>
            <w:tcW w:w="1511" w:type="dxa"/>
          </w:tcPr>
          <w:p w14:paraId="49994E3B">
            <w:pPr>
              <w:spacing w:line="360" w:lineRule="auto"/>
              <w:rPr>
                <w:rFonts w:ascii="宋体" w:hAnsi="宋体" w:eastAsia="宋体" w:cs="宋体"/>
                <w:color w:val="auto"/>
                <w:sz w:val="24"/>
                <w:szCs w:val="24"/>
              </w:rPr>
            </w:pPr>
          </w:p>
        </w:tc>
        <w:tc>
          <w:tcPr>
            <w:tcW w:w="1216" w:type="dxa"/>
          </w:tcPr>
          <w:p w14:paraId="195AF9E7">
            <w:pPr>
              <w:spacing w:line="360" w:lineRule="auto"/>
              <w:rPr>
                <w:rFonts w:ascii="宋体" w:hAnsi="宋体" w:eastAsia="宋体" w:cs="宋体"/>
                <w:color w:val="auto"/>
                <w:sz w:val="24"/>
                <w:szCs w:val="24"/>
              </w:rPr>
            </w:pPr>
          </w:p>
        </w:tc>
        <w:tc>
          <w:tcPr>
            <w:tcW w:w="1688" w:type="dxa"/>
          </w:tcPr>
          <w:p w14:paraId="5231C139">
            <w:pPr>
              <w:spacing w:line="360" w:lineRule="auto"/>
              <w:rPr>
                <w:rFonts w:ascii="宋体" w:hAnsi="宋体" w:eastAsia="宋体" w:cs="宋体"/>
                <w:color w:val="auto"/>
                <w:sz w:val="24"/>
                <w:szCs w:val="24"/>
              </w:rPr>
            </w:pPr>
          </w:p>
        </w:tc>
        <w:tc>
          <w:tcPr>
            <w:tcW w:w="1819" w:type="dxa"/>
          </w:tcPr>
          <w:p w14:paraId="59CE8B49">
            <w:pPr>
              <w:spacing w:line="360" w:lineRule="auto"/>
              <w:rPr>
                <w:rFonts w:ascii="宋体" w:hAnsi="宋体" w:eastAsia="宋体" w:cs="宋体"/>
                <w:color w:val="auto"/>
                <w:sz w:val="24"/>
                <w:szCs w:val="24"/>
              </w:rPr>
            </w:pPr>
          </w:p>
        </w:tc>
        <w:tc>
          <w:tcPr>
            <w:tcW w:w="1442" w:type="dxa"/>
          </w:tcPr>
          <w:p w14:paraId="63C258B8">
            <w:pPr>
              <w:spacing w:line="360" w:lineRule="auto"/>
              <w:rPr>
                <w:rFonts w:ascii="宋体" w:hAnsi="宋体" w:eastAsia="宋体" w:cs="宋体"/>
                <w:color w:val="auto"/>
                <w:sz w:val="24"/>
                <w:szCs w:val="24"/>
              </w:rPr>
            </w:pPr>
          </w:p>
        </w:tc>
      </w:tr>
      <w:tr w14:paraId="4A6D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6F8FDDB1">
            <w:pPr>
              <w:spacing w:line="360" w:lineRule="auto"/>
              <w:rPr>
                <w:rFonts w:ascii="宋体" w:hAnsi="宋体" w:eastAsia="宋体" w:cs="宋体"/>
                <w:color w:val="auto"/>
                <w:sz w:val="24"/>
                <w:szCs w:val="24"/>
              </w:rPr>
            </w:pPr>
          </w:p>
        </w:tc>
        <w:tc>
          <w:tcPr>
            <w:tcW w:w="1511" w:type="dxa"/>
          </w:tcPr>
          <w:p w14:paraId="7D38C3F6">
            <w:pPr>
              <w:spacing w:line="360" w:lineRule="auto"/>
              <w:rPr>
                <w:rFonts w:ascii="宋体" w:hAnsi="宋体" w:eastAsia="宋体" w:cs="宋体"/>
                <w:color w:val="auto"/>
                <w:sz w:val="24"/>
                <w:szCs w:val="24"/>
              </w:rPr>
            </w:pPr>
          </w:p>
        </w:tc>
        <w:tc>
          <w:tcPr>
            <w:tcW w:w="1216" w:type="dxa"/>
          </w:tcPr>
          <w:p w14:paraId="05C2AD88">
            <w:pPr>
              <w:spacing w:line="360" w:lineRule="auto"/>
              <w:rPr>
                <w:rFonts w:ascii="宋体" w:hAnsi="宋体" w:eastAsia="宋体" w:cs="宋体"/>
                <w:color w:val="auto"/>
                <w:sz w:val="24"/>
                <w:szCs w:val="24"/>
              </w:rPr>
            </w:pPr>
          </w:p>
        </w:tc>
        <w:tc>
          <w:tcPr>
            <w:tcW w:w="1688" w:type="dxa"/>
          </w:tcPr>
          <w:p w14:paraId="1887E2F2">
            <w:pPr>
              <w:spacing w:line="360" w:lineRule="auto"/>
              <w:rPr>
                <w:rFonts w:ascii="宋体" w:hAnsi="宋体" w:eastAsia="宋体" w:cs="宋体"/>
                <w:color w:val="auto"/>
                <w:sz w:val="24"/>
                <w:szCs w:val="24"/>
              </w:rPr>
            </w:pPr>
          </w:p>
        </w:tc>
        <w:tc>
          <w:tcPr>
            <w:tcW w:w="1819" w:type="dxa"/>
          </w:tcPr>
          <w:p w14:paraId="301A1BA8">
            <w:pPr>
              <w:spacing w:line="360" w:lineRule="auto"/>
              <w:rPr>
                <w:rFonts w:ascii="宋体" w:hAnsi="宋体" w:eastAsia="宋体" w:cs="宋体"/>
                <w:color w:val="auto"/>
                <w:sz w:val="24"/>
                <w:szCs w:val="24"/>
              </w:rPr>
            </w:pPr>
          </w:p>
        </w:tc>
        <w:tc>
          <w:tcPr>
            <w:tcW w:w="1442" w:type="dxa"/>
          </w:tcPr>
          <w:p w14:paraId="74A3C948">
            <w:pPr>
              <w:spacing w:line="360" w:lineRule="auto"/>
              <w:rPr>
                <w:rFonts w:ascii="宋体" w:hAnsi="宋体" w:eastAsia="宋体" w:cs="宋体"/>
                <w:color w:val="auto"/>
                <w:sz w:val="24"/>
                <w:szCs w:val="24"/>
              </w:rPr>
            </w:pPr>
          </w:p>
        </w:tc>
      </w:tr>
      <w:tr w14:paraId="678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6D889E7B">
            <w:pPr>
              <w:spacing w:line="360" w:lineRule="auto"/>
              <w:rPr>
                <w:rFonts w:ascii="宋体" w:hAnsi="宋体" w:eastAsia="宋体" w:cs="宋体"/>
                <w:color w:val="auto"/>
                <w:sz w:val="24"/>
                <w:szCs w:val="24"/>
              </w:rPr>
            </w:pPr>
          </w:p>
        </w:tc>
        <w:tc>
          <w:tcPr>
            <w:tcW w:w="1511" w:type="dxa"/>
          </w:tcPr>
          <w:p w14:paraId="2D34BEA2">
            <w:pPr>
              <w:spacing w:line="360" w:lineRule="auto"/>
              <w:rPr>
                <w:rFonts w:ascii="宋体" w:hAnsi="宋体" w:eastAsia="宋体" w:cs="宋体"/>
                <w:color w:val="auto"/>
                <w:sz w:val="24"/>
                <w:szCs w:val="24"/>
              </w:rPr>
            </w:pPr>
          </w:p>
        </w:tc>
        <w:tc>
          <w:tcPr>
            <w:tcW w:w="1216" w:type="dxa"/>
          </w:tcPr>
          <w:p w14:paraId="5B8220B2">
            <w:pPr>
              <w:spacing w:line="360" w:lineRule="auto"/>
              <w:rPr>
                <w:rFonts w:ascii="宋体" w:hAnsi="宋体" w:eastAsia="宋体" w:cs="宋体"/>
                <w:color w:val="auto"/>
                <w:sz w:val="24"/>
                <w:szCs w:val="24"/>
              </w:rPr>
            </w:pPr>
          </w:p>
        </w:tc>
        <w:tc>
          <w:tcPr>
            <w:tcW w:w="1688" w:type="dxa"/>
          </w:tcPr>
          <w:p w14:paraId="2A2D3052">
            <w:pPr>
              <w:spacing w:line="360" w:lineRule="auto"/>
              <w:rPr>
                <w:rFonts w:ascii="宋体" w:hAnsi="宋体" w:eastAsia="宋体" w:cs="宋体"/>
                <w:color w:val="auto"/>
                <w:sz w:val="24"/>
                <w:szCs w:val="24"/>
              </w:rPr>
            </w:pPr>
          </w:p>
        </w:tc>
        <w:tc>
          <w:tcPr>
            <w:tcW w:w="1819" w:type="dxa"/>
          </w:tcPr>
          <w:p w14:paraId="22A38398">
            <w:pPr>
              <w:spacing w:line="360" w:lineRule="auto"/>
              <w:rPr>
                <w:rFonts w:ascii="宋体" w:hAnsi="宋体" w:eastAsia="宋体" w:cs="宋体"/>
                <w:color w:val="auto"/>
                <w:sz w:val="24"/>
                <w:szCs w:val="24"/>
              </w:rPr>
            </w:pPr>
          </w:p>
        </w:tc>
        <w:tc>
          <w:tcPr>
            <w:tcW w:w="1442" w:type="dxa"/>
          </w:tcPr>
          <w:p w14:paraId="75FC34D5">
            <w:pPr>
              <w:spacing w:line="360" w:lineRule="auto"/>
              <w:rPr>
                <w:rFonts w:ascii="宋体" w:hAnsi="宋体" w:eastAsia="宋体" w:cs="宋体"/>
                <w:color w:val="auto"/>
                <w:sz w:val="24"/>
                <w:szCs w:val="24"/>
              </w:rPr>
            </w:pPr>
          </w:p>
        </w:tc>
      </w:tr>
      <w:tr w14:paraId="22A7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469CDA6D">
            <w:pPr>
              <w:spacing w:line="360" w:lineRule="auto"/>
              <w:rPr>
                <w:rFonts w:ascii="宋体" w:hAnsi="宋体" w:eastAsia="宋体" w:cs="宋体"/>
                <w:color w:val="auto"/>
                <w:sz w:val="24"/>
                <w:szCs w:val="24"/>
              </w:rPr>
            </w:pPr>
          </w:p>
        </w:tc>
        <w:tc>
          <w:tcPr>
            <w:tcW w:w="1511" w:type="dxa"/>
          </w:tcPr>
          <w:p w14:paraId="0A74730C">
            <w:pPr>
              <w:spacing w:line="360" w:lineRule="auto"/>
              <w:rPr>
                <w:rFonts w:ascii="宋体" w:hAnsi="宋体" w:eastAsia="宋体" w:cs="宋体"/>
                <w:color w:val="auto"/>
                <w:sz w:val="24"/>
                <w:szCs w:val="24"/>
              </w:rPr>
            </w:pPr>
          </w:p>
        </w:tc>
        <w:tc>
          <w:tcPr>
            <w:tcW w:w="1216" w:type="dxa"/>
          </w:tcPr>
          <w:p w14:paraId="306E58F8">
            <w:pPr>
              <w:spacing w:line="360" w:lineRule="auto"/>
              <w:rPr>
                <w:rFonts w:ascii="宋体" w:hAnsi="宋体" w:eastAsia="宋体" w:cs="宋体"/>
                <w:color w:val="auto"/>
                <w:sz w:val="24"/>
                <w:szCs w:val="24"/>
              </w:rPr>
            </w:pPr>
          </w:p>
        </w:tc>
        <w:tc>
          <w:tcPr>
            <w:tcW w:w="1688" w:type="dxa"/>
          </w:tcPr>
          <w:p w14:paraId="1457F21F">
            <w:pPr>
              <w:spacing w:line="360" w:lineRule="auto"/>
              <w:rPr>
                <w:rFonts w:ascii="宋体" w:hAnsi="宋体" w:eastAsia="宋体" w:cs="宋体"/>
                <w:color w:val="auto"/>
                <w:sz w:val="24"/>
                <w:szCs w:val="24"/>
              </w:rPr>
            </w:pPr>
          </w:p>
        </w:tc>
        <w:tc>
          <w:tcPr>
            <w:tcW w:w="1819" w:type="dxa"/>
          </w:tcPr>
          <w:p w14:paraId="0CF04271">
            <w:pPr>
              <w:spacing w:line="360" w:lineRule="auto"/>
              <w:rPr>
                <w:rFonts w:ascii="宋体" w:hAnsi="宋体" w:eastAsia="宋体" w:cs="宋体"/>
                <w:color w:val="auto"/>
                <w:sz w:val="24"/>
                <w:szCs w:val="24"/>
              </w:rPr>
            </w:pPr>
          </w:p>
        </w:tc>
        <w:tc>
          <w:tcPr>
            <w:tcW w:w="1442" w:type="dxa"/>
          </w:tcPr>
          <w:p w14:paraId="78319ED9">
            <w:pPr>
              <w:spacing w:line="360" w:lineRule="auto"/>
              <w:rPr>
                <w:rFonts w:ascii="宋体" w:hAnsi="宋体" w:eastAsia="宋体" w:cs="宋体"/>
                <w:color w:val="auto"/>
                <w:sz w:val="24"/>
                <w:szCs w:val="24"/>
              </w:rPr>
            </w:pPr>
          </w:p>
        </w:tc>
      </w:tr>
      <w:tr w14:paraId="7020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1B97F08F">
            <w:pPr>
              <w:spacing w:line="360" w:lineRule="auto"/>
              <w:rPr>
                <w:rFonts w:ascii="宋体" w:hAnsi="宋体" w:eastAsia="宋体" w:cs="宋体"/>
                <w:color w:val="auto"/>
                <w:sz w:val="24"/>
                <w:szCs w:val="24"/>
              </w:rPr>
            </w:pPr>
          </w:p>
        </w:tc>
        <w:tc>
          <w:tcPr>
            <w:tcW w:w="1511" w:type="dxa"/>
          </w:tcPr>
          <w:p w14:paraId="2EF45865">
            <w:pPr>
              <w:spacing w:line="360" w:lineRule="auto"/>
              <w:rPr>
                <w:rFonts w:ascii="宋体" w:hAnsi="宋体" w:eastAsia="宋体" w:cs="宋体"/>
                <w:color w:val="auto"/>
                <w:sz w:val="24"/>
                <w:szCs w:val="24"/>
              </w:rPr>
            </w:pPr>
          </w:p>
        </w:tc>
        <w:tc>
          <w:tcPr>
            <w:tcW w:w="1216" w:type="dxa"/>
          </w:tcPr>
          <w:p w14:paraId="6EEFE83D">
            <w:pPr>
              <w:spacing w:line="360" w:lineRule="auto"/>
              <w:rPr>
                <w:rFonts w:ascii="宋体" w:hAnsi="宋体" w:eastAsia="宋体" w:cs="宋体"/>
                <w:color w:val="auto"/>
                <w:sz w:val="24"/>
                <w:szCs w:val="24"/>
              </w:rPr>
            </w:pPr>
          </w:p>
        </w:tc>
        <w:tc>
          <w:tcPr>
            <w:tcW w:w="1688" w:type="dxa"/>
          </w:tcPr>
          <w:p w14:paraId="04AD6C4B">
            <w:pPr>
              <w:spacing w:line="360" w:lineRule="auto"/>
              <w:rPr>
                <w:rFonts w:ascii="宋体" w:hAnsi="宋体" w:eastAsia="宋体" w:cs="宋体"/>
                <w:color w:val="auto"/>
                <w:sz w:val="24"/>
                <w:szCs w:val="24"/>
              </w:rPr>
            </w:pPr>
          </w:p>
        </w:tc>
        <w:tc>
          <w:tcPr>
            <w:tcW w:w="1819" w:type="dxa"/>
          </w:tcPr>
          <w:p w14:paraId="0C201DBD">
            <w:pPr>
              <w:spacing w:line="360" w:lineRule="auto"/>
              <w:rPr>
                <w:rFonts w:ascii="宋体" w:hAnsi="宋体" w:eastAsia="宋体" w:cs="宋体"/>
                <w:color w:val="auto"/>
                <w:sz w:val="24"/>
                <w:szCs w:val="24"/>
              </w:rPr>
            </w:pPr>
          </w:p>
        </w:tc>
        <w:tc>
          <w:tcPr>
            <w:tcW w:w="1442" w:type="dxa"/>
          </w:tcPr>
          <w:p w14:paraId="4721A0BE">
            <w:pPr>
              <w:spacing w:line="360" w:lineRule="auto"/>
              <w:rPr>
                <w:rFonts w:ascii="宋体" w:hAnsi="宋体" w:eastAsia="宋体" w:cs="宋体"/>
                <w:color w:val="auto"/>
                <w:sz w:val="24"/>
                <w:szCs w:val="24"/>
              </w:rPr>
            </w:pPr>
          </w:p>
        </w:tc>
      </w:tr>
      <w:tr w14:paraId="585D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2A9AFAA9">
            <w:pPr>
              <w:spacing w:line="360" w:lineRule="auto"/>
              <w:rPr>
                <w:rFonts w:ascii="宋体" w:hAnsi="宋体" w:eastAsia="宋体" w:cs="宋体"/>
                <w:color w:val="auto"/>
                <w:sz w:val="24"/>
                <w:szCs w:val="24"/>
              </w:rPr>
            </w:pPr>
          </w:p>
        </w:tc>
        <w:tc>
          <w:tcPr>
            <w:tcW w:w="1511" w:type="dxa"/>
          </w:tcPr>
          <w:p w14:paraId="168EFEF0">
            <w:pPr>
              <w:spacing w:line="360" w:lineRule="auto"/>
              <w:rPr>
                <w:rFonts w:ascii="宋体" w:hAnsi="宋体" w:eastAsia="宋体" w:cs="宋体"/>
                <w:color w:val="auto"/>
                <w:sz w:val="24"/>
                <w:szCs w:val="24"/>
              </w:rPr>
            </w:pPr>
          </w:p>
        </w:tc>
        <w:tc>
          <w:tcPr>
            <w:tcW w:w="1216" w:type="dxa"/>
          </w:tcPr>
          <w:p w14:paraId="06D6F2FD">
            <w:pPr>
              <w:spacing w:line="360" w:lineRule="auto"/>
              <w:rPr>
                <w:rFonts w:ascii="宋体" w:hAnsi="宋体" w:eastAsia="宋体" w:cs="宋体"/>
                <w:color w:val="auto"/>
                <w:sz w:val="24"/>
                <w:szCs w:val="24"/>
              </w:rPr>
            </w:pPr>
          </w:p>
        </w:tc>
        <w:tc>
          <w:tcPr>
            <w:tcW w:w="1688" w:type="dxa"/>
          </w:tcPr>
          <w:p w14:paraId="7F34976B">
            <w:pPr>
              <w:spacing w:line="360" w:lineRule="auto"/>
              <w:rPr>
                <w:rFonts w:ascii="宋体" w:hAnsi="宋体" w:eastAsia="宋体" w:cs="宋体"/>
                <w:color w:val="auto"/>
                <w:sz w:val="24"/>
                <w:szCs w:val="24"/>
              </w:rPr>
            </w:pPr>
          </w:p>
        </w:tc>
        <w:tc>
          <w:tcPr>
            <w:tcW w:w="1819" w:type="dxa"/>
          </w:tcPr>
          <w:p w14:paraId="1FA1D6F7">
            <w:pPr>
              <w:spacing w:line="360" w:lineRule="auto"/>
              <w:rPr>
                <w:rFonts w:ascii="宋体" w:hAnsi="宋体" w:eastAsia="宋体" w:cs="宋体"/>
                <w:color w:val="auto"/>
                <w:sz w:val="24"/>
                <w:szCs w:val="24"/>
              </w:rPr>
            </w:pPr>
          </w:p>
        </w:tc>
        <w:tc>
          <w:tcPr>
            <w:tcW w:w="1442" w:type="dxa"/>
          </w:tcPr>
          <w:p w14:paraId="1EC07535">
            <w:pPr>
              <w:spacing w:line="360" w:lineRule="auto"/>
              <w:rPr>
                <w:rFonts w:ascii="宋体" w:hAnsi="宋体" w:eastAsia="宋体" w:cs="宋体"/>
                <w:color w:val="auto"/>
                <w:sz w:val="24"/>
                <w:szCs w:val="24"/>
              </w:rPr>
            </w:pPr>
          </w:p>
        </w:tc>
      </w:tr>
      <w:tr w14:paraId="5266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0D03B47E">
            <w:pPr>
              <w:spacing w:line="360" w:lineRule="auto"/>
              <w:rPr>
                <w:rFonts w:ascii="宋体" w:hAnsi="宋体" w:eastAsia="宋体" w:cs="宋体"/>
                <w:color w:val="auto"/>
                <w:sz w:val="24"/>
                <w:szCs w:val="24"/>
              </w:rPr>
            </w:pPr>
          </w:p>
        </w:tc>
        <w:tc>
          <w:tcPr>
            <w:tcW w:w="1511" w:type="dxa"/>
          </w:tcPr>
          <w:p w14:paraId="622FEDA2">
            <w:pPr>
              <w:spacing w:line="360" w:lineRule="auto"/>
              <w:rPr>
                <w:rFonts w:ascii="宋体" w:hAnsi="宋体" w:eastAsia="宋体" w:cs="宋体"/>
                <w:color w:val="auto"/>
                <w:sz w:val="24"/>
                <w:szCs w:val="24"/>
              </w:rPr>
            </w:pPr>
          </w:p>
        </w:tc>
        <w:tc>
          <w:tcPr>
            <w:tcW w:w="1216" w:type="dxa"/>
          </w:tcPr>
          <w:p w14:paraId="63BC51F7">
            <w:pPr>
              <w:spacing w:line="360" w:lineRule="auto"/>
              <w:rPr>
                <w:rFonts w:ascii="宋体" w:hAnsi="宋体" w:eastAsia="宋体" w:cs="宋体"/>
                <w:color w:val="auto"/>
                <w:sz w:val="24"/>
                <w:szCs w:val="24"/>
              </w:rPr>
            </w:pPr>
          </w:p>
        </w:tc>
        <w:tc>
          <w:tcPr>
            <w:tcW w:w="1688" w:type="dxa"/>
          </w:tcPr>
          <w:p w14:paraId="4AA16312">
            <w:pPr>
              <w:spacing w:line="360" w:lineRule="auto"/>
              <w:rPr>
                <w:rFonts w:ascii="宋体" w:hAnsi="宋体" w:eastAsia="宋体" w:cs="宋体"/>
                <w:color w:val="auto"/>
                <w:sz w:val="24"/>
                <w:szCs w:val="24"/>
              </w:rPr>
            </w:pPr>
          </w:p>
        </w:tc>
        <w:tc>
          <w:tcPr>
            <w:tcW w:w="1819" w:type="dxa"/>
          </w:tcPr>
          <w:p w14:paraId="2C628A6C">
            <w:pPr>
              <w:spacing w:line="360" w:lineRule="auto"/>
              <w:rPr>
                <w:rFonts w:ascii="宋体" w:hAnsi="宋体" w:eastAsia="宋体" w:cs="宋体"/>
                <w:color w:val="auto"/>
                <w:sz w:val="24"/>
                <w:szCs w:val="24"/>
              </w:rPr>
            </w:pPr>
          </w:p>
        </w:tc>
        <w:tc>
          <w:tcPr>
            <w:tcW w:w="1442" w:type="dxa"/>
          </w:tcPr>
          <w:p w14:paraId="5B6525C1">
            <w:pPr>
              <w:spacing w:line="360" w:lineRule="auto"/>
              <w:rPr>
                <w:rFonts w:ascii="宋体" w:hAnsi="宋体" w:eastAsia="宋体" w:cs="宋体"/>
                <w:color w:val="auto"/>
                <w:sz w:val="24"/>
                <w:szCs w:val="24"/>
              </w:rPr>
            </w:pPr>
          </w:p>
        </w:tc>
      </w:tr>
      <w:tr w14:paraId="49DA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35B6078E">
            <w:pPr>
              <w:spacing w:line="360" w:lineRule="auto"/>
              <w:rPr>
                <w:rFonts w:ascii="宋体" w:hAnsi="宋体" w:eastAsia="宋体" w:cs="宋体"/>
                <w:color w:val="auto"/>
                <w:sz w:val="24"/>
                <w:szCs w:val="24"/>
              </w:rPr>
            </w:pPr>
          </w:p>
        </w:tc>
        <w:tc>
          <w:tcPr>
            <w:tcW w:w="1511" w:type="dxa"/>
          </w:tcPr>
          <w:p w14:paraId="234CAC94">
            <w:pPr>
              <w:spacing w:line="360" w:lineRule="auto"/>
              <w:rPr>
                <w:rFonts w:ascii="宋体" w:hAnsi="宋体" w:eastAsia="宋体" w:cs="宋体"/>
                <w:color w:val="auto"/>
                <w:sz w:val="24"/>
                <w:szCs w:val="24"/>
              </w:rPr>
            </w:pPr>
          </w:p>
        </w:tc>
        <w:tc>
          <w:tcPr>
            <w:tcW w:w="1216" w:type="dxa"/>
          </w:tcPr>
          <w:p w14:paraId="4F856303">
            <w:pPr>
              <w:spacing w:line="360" w:lineRule="auto"/>
              <w:rPr>
                <w:rFonts w:ascii="宋体" w:hAnsi="宋体" w:eastAsia="宋体" w:cs="宋体"/>
                <w:color w:val="auto"/>
                <w:sz w:val="24"/>
                <w:szCs w:val="24"/>
              </w:rPr>
            </w:pPr>
          </w:p>
        </w:tc>
        <w:tc>
          <w:tcPr>
            <w:tcW w:w="1688" w:type="dxa"/>
          </w:tcPr>
          <w:p w14:paraId="4B343B3D">
            <w:pPr>
              <w:spacing w:line="360" w:lineRule="auto"/>
              <w:rPr>
                <w:rFonts w:ascii="宋体" w:hAnsi="宋体" w:eastAsia="宋体" w:cs="宋体"/>
                <w:color w:val="auto"/>
                <w:sz w:val="24"/>
                <w:szCs w:val="24"/>
              </w:rPr>
            </w:pPr>
          </w:p>
        </w:tc>
        <w:tc>
          <w:tcPr>
            <w:tcW w:w="1819" w:type="dxa"/>
          </w:tcPr>
          <w:p w14:paraId="2DD16223">
            <w:pPr>
              <w:spacing w:line="360" w:lineRule="auto"/>
              <w:rPr>
                <w:rFonts w:ascii="宋体" w:hAnsi="宋体" w:eastAsia="宋体" w:cs="宋体"/>
                <w:color w:val="auto"/>
                <w:sz w:val="24"/>
                <w:szCs w:val="24"/>
              </w:rPr>
            </w:pPr>
          </w:p>
        </w:tc>
        <w:tc>
          <w:tcPr>
            <w:tcW w:w="1442" w:type="dxa"/>
          </w:tcPr>
          <w:p w14:paraId="54AE9D6C">
            <w:pPr>
              <w:spacing w:line="360" w:lineRule="auto"/>
              <w:rPr>
                <w:rFonts w:ascii="宋体" w:hAnsi="宋体" w:eastAsia="宋体" w:cs="宋体"/>
                <w:color w:val="auto"/>
                <w:sz w:val="24"/>
                <w:szCs w:val="24"/>
              </w:rPr>
            </w:pPr>
          </w:p>
        </w:tc>
      </w:tr>
      <w:tr w14:paraId="0599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14:paraId="5132EF33">
            <w:pPr>
              <w:spacing w:line="360" w:lineRule="auto"/>
              <w:rPr>
                <w:rFonts w:ascii="宋体" w:hAnsi="宋体" w:eastAsia="宋体" w:cs="宋体"/>
                <w:color w:val="auto"/>
                <w:sz w:val="24"/>
                <w:szCs w:val="24"/>
              </w:rPr>
            </w:pPr>
          </w:p>
        </w:tc>
        <w:tc>
          <w:tcPr>
            <w:tcW w:w="1511" w:type="dxa"/>
          </w:tcPr>
          <w:p w14:paraId="2A0F4F32">
            <w:pPr>
              <w:spacing w:line="360" w:lineRule="auto"/>
              <w:rPr>
                <w:rFonts w:ascii="宋体" w:hAnsi="宋体" w:eastAsia="宋体" w:cs="宋体"/>
                <w:color w:val="auto"/>
                <w:sz w:val="24"/>
                <w:szCs w:val="24"/>
              </w:rPr>
            </w:pPr>
          </w:p>
        </w:tc>
        <w:tc>
          <w:tcPr>
            <w:tcW w:w="1216" w:type="dxa"/>
          </w:tcPr>
          <w:p w14:paraId="285DF893">
            <w:pPr>
              <w:spacing w:line="360" w:lineRule="auto"/>
              <w:rPr>
                <w:rFonts w:ascii="宋体" w:hAnsi="宋体" w:eastAsia="宋体" w:cs="宋体"/>
                <w:color w:val="auto"/>
                <w:sz w:val="24"/>
                <w:szCs w:val="24"/>
              </w:rPr>
            </w:pPr>
          </w:p>
        </w:tc>
        <w:tc>
          <w:tcPr>
            <w:tcW w:w="1688" w:type="dxa"/>
          </w:tcPr>
          <w:p w14:paraId="3815D6DA">
            <w:pPr>
              <w:spacing w:line="360" w:lineRule="auto"/>
              <w:rPr>
                <w:rFonts w:ascii="宋体" w:hAnsi="宋体" w:eastAsia="宋体" w:cs="宋体"/>
                <w:color w:val="auto"/>
                <w:sz w:val="24"/>
                <w:szCs w:val="24"/>
              </w:rPr>
            </w:pPr>
          </w:p>
        </w:tc>
        <w:tc>
          <w:tcPr>
            <w:tcW w:w="1819" w:type="dxa"/>
          </w:tcPr>
          <w:p w14:paraId="38E02C8E">
            <w:pPr>
              <w:spacing w:line="360" w:lineRule="auto"/>
              <w:rPr>
                <w:rFonts w:ascii="宋体" w:hAnsi="宋体" w:eastAsia="宋体" w:cs="宋体"/>
                <w:color w:val="auto"/>
                <w:sz w:val="24"/>
                <w:szCs w:val="24"/>
              </w:rPr>
            </w:pPr>
          </w:p>
        </w:tc>
        <w:tc>
          <w:tcPr>
            <w:tcW w:w="1442" w:type="dxa"/>
          </w:tcPr>
          <w:p w14:paraId="0B1A28BE">
            <w:pPr>
              <w:spacing w:line="360" w:lineRule="auto"/>
              <w:rPr>
                <w:rFonts w:ascii="宋体" w:hAnsi="宋体" w:eastAsia="宋体" w:cs="宋体"/>
                <w:color w:val="auto"/>
                <w:sz w:val="24"/>
                <w:szCs w:val="24"/>
              </w:rPr>
            </w:pPr>
          </w:p>
        </w:tc>
      </w:tr>
    </w:tbl>
    <w:p w14:paraId="75EA95F1">
      <w:pPr>
        <w:spacing w:line="360" w:lineRule="auto"/>
        <w:rPr>
          <w:rFonts w:ascii="宋体" w:hAnsi="宋体" w:eastAsia="宋体" w:cs="宋体"/>
          <w:b/>
          <w:color w:val="auto"/>
          <w:sz w:val="24"/>
          <w:szCs w:val="24"/>
        </w:rPr>
      </w:pPr>
    </w:p>
    <w:p w14:paraId="43874559">
      <w:pPr>
        <w:spacing w:line="360" w:lineRule="auto"/>
        <w:ind w:firstLine="482" w:firstLineChars="200"/>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说明：1、响应说明填写：优于、相同、低于</w:t>
      </w:r>
    </w:p>
    <w:p w14:paraId="377C387B">
      <w:pPr>
        <w:spacing w:line="360" w:lineRule="auto"/>
        <w:ind w:firstLine="480" w:firstLineChars="200"/>
        <w:rPr>
          <w:rFonts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b/>
          <w:bCs/>
          <w:color w:val="auto"/>
          <w:sz w:val="24"/>
          <w:szCs w:val="24"/>
          <w:lang w:eastAsia="zh-CN"/>
        </w:rPr>
        <w:t>2、招标数据需逐条应答。</w:t>
      </w:r>
    </w:p>
    <w:p w14:paraId="338F95A9">
      <w:pPr>
        <w:ind w:firstLine="360" w:firstLineChars="150"/>
        <w:rPr>
          <w:rFonts w:ascii="宋体" w:hAnsi="宋体" w:eastAsia="宋体" w:cs="宋体"/>
          <w:color w:val="auto"/>
          <w:sz w:val="24"/>
          <w:szCs w:val="24"/>
          <w:lang w:eastAsia="zh-CN"/>
        </w:rPr>
      </w:pPr>
    </w:p>
    <w:p w14:paraId="266D391B">
      <w:pPr>
        <w:ind w:firstLine="360" w:firstLineChars="150"/>
        <w:rPr>
          <w:rFonts w:ascii="宋体" w:hAnsi="宋体" w:eastAsia="宋体" w:cs="宋体"/>
          <w:color w:val="auto"/>
          <w:sz w:val="24"/>
          <w:szCs w:val="24"/>
          <w:lang w:eastAsia="zh-CN"/>
        </w:rPr>
      </w:pPr>
    </w:p>
    <w:p w14:paraId="473489F0">
      <w:pPr>
        <w:ind w:firstLine="360" w:firstLineChars="150"/>
        <w:rPr>
          <w:rFonts w:ascii="宋体" w:hAnsi="宋体" w:eastAsia="宋体" w:cs="宋体"/>
          <w:color w:val="auto"/>
          <w:sz w:val="24"/>
          <w:szCs w:val="24"/>
          <w:lang w:eastAsia="zh-CN"/>
        </w:rPr>
      </w:pPr>
    </w:p>
    <w:p w14:paraId="459CA0D1">
      <w:pPr>
        <w:ind w:firstLine="360" w:firstLineChars="15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供应商（公章）：  </w:t>
      </w:r>
    </w:p>
    <w:p w14:paraId="24D24998">
      <w:pPr>
        <w:ind w:firstLine="360" w:firstLineChars="15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325E13A0">
      <w:pPr>
        <w:spacing w:line="400" w:lineRule="exact"/>
        <w:ind w:firstLine="360" w:firstLineChars="150"/>
        <w:rPr>
          <w:rFonts w:ascii="宋体" w:hAnsi="宋体" w:eastAsia="宋体" w:cs="宋体"/>
          <w:color w:val="auto"/>
          <w:sz w:val="24"/>
          <w:szCs w:val="24"/>
          <w:lang w:eastAsia="zh-CN"/>
        </w:rPr>
      </w:pPr>
      <w:r>
        <w:rPr>
          <w:rFonts w:hint="eastAsia" w:ascii="宋体" w:hAnsi="宋体" w:eastAsia="宋体" w:cs="宋体"/>
          <w:color w:val="auto"/>
          <w:sz w:val="24"/>
          <w:lang w:eastAsia="zh-CN"/>
        </w:rPr>
        <w:t>法定代表人或授权委托人（签字或盖章）</w:t>
      </w:r>
      <w:r>
        <w:rPr>
          <w:rFonts w:hint="eastAsia" w:ascii="宋体" w:hAnsi="宋体" w:eastAsia="宋体" w:cs="宋体"/>
          <w:bCs/>
          <w:color w:val="auto"/>
          <w:sz w:val="24"/>
          <w:lang w:eastAsia="zh-CN"/>
        </w:rPr>
        <w:t>：</w:t>
      </w:r>
    </w:p>
    <w:p w14:paraId="5E23BEEF">
      <w:pPr>
        <w:spacing w:line="400" w:lineRule="exact"/>
        <w:jc w:val="center"/>
        <w:rPr>
          <w:rFonts w:ascii="宋体" w:hAnsi="宋体" w:eastAsia="宋体" w:cs="宋体"/>
          <w:color w:val="auto"/>
          <w:sz w:val="24"/>
          <w:szCs w:val="24"/>
          <w:lang w:eastAsia="zh-CN"/>
        </w:rPr>
      </w:pPr>
    </w:p>
    <w:p w14:paraId="1C60C08D">
      <w:pPr>
        <w:spacing w:before="150" w:line="225" w:lineRule="auto"/>
        <w:ind w:left="3591"/>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46C7A003">
      <w:pPr>
        <w:spacing w:before="150" w:line="225" w:lineRule="auto"/>
        <w:ind w:left="3591"/>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352752B">
      <w:pPr>
        <w:spacing w:before="150" w:line="225" w:lineRule="auto"/>
        <w:ind w:left="3591"/>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3D65E9E8">
      <w:pPr>
        <w:spacing w:before="150" w:line="225" w:lineRule="auto"/>
        <w:ind w:left="3591"/>
        <w:rPr>
          <w:rFonts w:ascii="宋体" w:hAnsi="宋体" w:eastAsia="宋体" w:cs="宋体"/>
          <w:color w:val="auto"/>
          <w:sz w:val="31"/>
          <w:szCs w:val="31"/>
          <w:lang w:eastAsia="zh-CN"/>
        </w:rPr>
      </w:pPr>
      <w:r>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三、资格证明文件</w:t>
      </w:r>
    </w:p>
    <w:p w14:paraId="09CB49B8">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（1）提供有效合格的统一社会信用代码的营业执照，其他组织经营的须提供合法凭证，自然人的提供身份证明文件；</w:t>
      </w:r>
    </w:p>
    <w:p w14:paraId="56D7C28D">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（2）法定代表人直接参加投标的，须出具法定代表人身份证；法定代表人授权代表参加投标的，须出具法定代表人授权委托书、法定代表人身份证复印件以及被授权代表身份证复印件；</w:t>
      </w:r>
    </w:p>
    <w:p w14:paraId="2E4F8998">
      <w:pPr>
        <w:kinsoku/>
        <w:autoSpaceDE/>
        <w:autoSpaceDN/>
        <w:adjustRightInd/>
        <w:snapToGrid/>
        <w:spacing w:before="3" w:line="51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 xml:space="preserve">（3）财务状况报告:提供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3C5E550D">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4）社会保障资金缴纳证明: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09F19C7B">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（5）税收缴纳证明:自2024年1月1日以来已缴纳的至少一个月的纳税证明或完税证明，纳税证明或完税证明上应有代收机构或税务机关的公章或业务专用章。依法免税的供应商应提供相关文件证明；</w:t>
      </w:r>
    </w:p>
    <w:p w14:paraId="150CDC79">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6）通过中国政府采购网（www.ccgp.gov.cn）和“信用中国”网站(www.creditchina.gov.cn)查询相关主体无失信记录（网站查询的截图，加盖企业公章）以及参加政府采购活动前3年内在经营活动中没有重大违法记录的书面声明；</w:t>
      </w:r>
    </w:p>
    <w:p w14:paraId="2972D3DE">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（7）供应商应提供中小企业声明函或残疾人福利性单位声明函或监狱企业证明文件；</w:t>
      </w:r>
    </w:p>
    <w:p w14:paraId="3536B12F">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eastAsia="zh-CN"/>
        </w:rPr>
        <w:t>8</w:t>
      </w:r>
      <w:r>
        <w:rPr>
          <w:rFonts w:asciiTheme="majorEastAsia" w:hAnsiTheme="majorEastAsia" w:eastAsiaTheme="majorEastAsia" w:cstheme="majorEastAsia"/>
          <w:color w:val="auto"/>
          <w:sz w:val="24"/>
          <w:szCs w:val="24"/>
          <w:lang w:eastAsia="zh-CN"/>
        </w:rPr>
        <w:t>）供应商提供具有履行合同所必需的设备和专业技术能力的书面声明；</w:t>
      </w:r>
    </w:p>
    <w:p w14:paraId="0E382122">
      <w:pPr>
        <w:kinsoku/>
        <w:autoSpaceDE/>
        <w:autoSpaceDN/>
        <w:adjustRightInd/>
        <w:snapToGrid/>
        <w:spacing w:before="3" w:line="480" w:lineRule="exact"/>
        <w:ind w:right="1"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（9）本项目不接受联合体投标。</w:t>
      </w:r>
    </w:p>
    <w:p w14:paraId="1A5BCCA7">
      <w:pPr>
        <w:pStyle w:val="9"/>
        <w:spacing w:line="435" w:lineRule="auto"/>
        <w:rPr>
          <w:color w:val="auto"/>
          <w:lang w:eastAsia="zh-CN"/>
        </w:rPr>
      </w:pPr>
    </w:p>
    <w:p w14:paraId="4EC6D817">
      <w:pPr>
        <w:spacing w:before="92" w:line="219" w:lineRule="auto"/>
        <w:ind w:left="1"/>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14:textOutline w14:w="5105" w14:cap="sq" w14:cmpd="sng" w14:algn="ctr">
            <w14:solidFill>
              <w14:srgbClr w14:val="000000"/>
            </w14:solidFill>
            <w14:prstDash w14:val="solid"/>
            <w14:bevel/>
          </w14:textOutline>
        </w:rPr>
        <w:t>注：供应商未按竞争性磋商文件要求附相关资</w:t>
      </w:r>
      <w:r>
        <w:rPr>
          <w:rFonts w:ascii="宋体" w:hAnsi="宋体" w:eastAsia="宋体" w:cs="宋体"/>
          <w:color w:val="auto"/>
          <w:sz w:val="28"/>
          <w:szCs w:val="28"/>
          <w:lang w:eastAsia="zh-CN"/>
          <w14:textOutline w14:w="5105" w14:cap="sq" w14:cmpd="sng" w14:algn="ctr">
            <w14:solidFill>
              <w14:srgbClr w14:val="000000"/>
            </w14:solidFill>
            <w14:prstDash w14:val="solid"/>
            <w14:bevel/>
          </w14:textOutline>
        </w:rPr>
        <w:t>质证件的，按无效标处理。</w:t>
      </w:r>
    </w:p>
    <w:p w14:paraId="390902FB">
      <w:pPr>
        <w:spacing w:line="219" w:lineRule="auto"/>
        <w:rPr>
          <w:rFonts w:ascii="宋体" w:hAnsi="宋体" w:eastAsia="宋体" w:cs="宋体"/>
          <w:color w:val="auto"/>
          <w:sz w:val="28"/>
          <w:szCs w:val="28"/>
          <w:lang w:eastAsia="zh-CN"/>
        </w:rPr>
        <w:sectPr>
          <w:footerReference r:id="rId9" w:type="default"/>
          <w:pgSz w:w="11906" w:h="16839"/>
          <w:pgMar w:top="1431" w:right="1006" w:bottom="1080" w:left="1089" w:header="0" w:footer="901" w:gutter="0"/>
          <w:cols w:space="720" w:num="1"/>
        </w:sectPr>
      </w:pPr>
    </w:p>
    <w:p w14:paraId="2DCDC215">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499B7798">
      <w:pPr>
        <w:tabs>
          <w:tab w:val="left" w:pos="8820"/>
        </w:tabs>
        <w:spacing w:line="400" w:lineRule="atLeast"/>
        <w:outlineLvl w:val="1"/>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b/>
          <w:bCs/>
          <w:color w:val="auto"/>
          <w:kern w:val="2"/>
          <w:sz w:val="28"/>
          <w:szCs w:val="28"/>
          <w:lang w:eastAsia="zh-CN"/>
        </w:rPr>
        <w:t>附件1：</w:t>
      </w:r>
    </w:p>
    <w:p w14:paraId="6C47E57F">
      <w:pPr>
        <w:pStyle w:val="4"/>
        <w:ind w:firstLine="1405" w:firstLineChars="5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法定代表人身份证明书</w:t>
      </w:r>
    </w:p>
    <w:p w14:paraId="1D3C2CD4">
      <w:pPr>
        <w:spacing w:line="360" w:lineRule="auto"/>
        <w:ind w:firstLine="420" w:firstLineChars="200"/>
        <w:rPr>
          <w:rFonts w:asciiTheme="majorEastAsia" w:hAnsiTheme="majorEastAsia" w:eastAsiaTheme="majorEastAsia" w:cstheme="majorEastAsia"/>
          <w:color w:val="auto"/>
          <w:lang w:eastAsia="zh-CN"/>
        </w:rPr>
      </w:pPr>
    </w:p>
    <w:p w14:paraId="289085E0">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投标人名称：</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 xml:space="preserve"> </w:t>
      </w:r>
    </w:p>
    <w:p w14:paraId="4B6CB971">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单位性质：</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 xml:space="preserve"> </w:t>
      </w:r>
    </w:p>
    <w:p w14:paraId="25130070">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地址：</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 xml:space="preserve"> </w:t>
      </w:r>
    </w:p>
    <w:p w14:paraId="6504A11A">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成立时间：</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年</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月</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日</w:t>
      </w:r>
    </w:p>
    <w:p w14:paraId="7DA5492B">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经营期限：</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 xml:space="preserve"> </w:t>
      </w:r>
    </w:p>
    <w:p w14:paraId="48F4F7F2">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姓名：</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性别：</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年龄：</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职务：</w:t>
      </w:r>
      <w:r>
        <w:rPr>
          <w:rFonts w:hint="eastAsia" w:asciiTheme="majorEastAsia" w:hAnsiTheme="majorEastAsia" w:eastAsiaTheme="majorEastAsia" w:cstheme="majorEastAsia"/>
          <w:color w:val="auto"/>
          <w:u w:val="single"/>
          <w:lang w:eastAsia="zh-CN"/>
        </w:rPr>
        <w:t xml:space="preserve">       </w:t>
      </w:r>
    </w:p>
    <w:p w14:paraId="78D8EC88">
      <w:pPr>
        <w:spacing w:line="360" w:lineRule="auto"/>
        <w:ind w:firstLine="420" w:firstLineChars="200"/>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系</w:t>
      </w:r>
      <w:r>
        <w:rPr>
          <w:rFonts w:hint="eastAsia" w:asciiTheme="majorEastAsia" w:hAnsiTheme="majorEastAsia" w:eastAsiaTheme="majorEastAsia" w:cstheme="majorEastAsia"/>
          <w:color w:val="auto"/>
          <w:u w:val="single"/>
          <w:lang w:eastAsia="zh-CN"/>
        </w:rPr>
        <w:t xml:space="preserve">                                </w:t>
      </w:r>
      <w:r>
        <w:rPr>
          <w:rFonts w:hint="eastAsia" w:asciiTheme="majorEastAsia" w:hAnsiTheme="majorEastAsia" w:eastAsiaTheme="majorEastAsia" w:cstheme="majorEastAsia"/>
          <w:color w:val="auto"/>
          <w:lang w:eastAsia="zh-CN"/>
        </w:rPr>
        <w:t>（投标人名称）的法定代表人。</w:t>
      </w:r>
    </w:p>
    <w:p w14:paraId="34F713A5">
      <w:pPr>
        <w:spacing w:line="360" w:lineRule="auto"/>
        <w:ind w:firstLine="840" w:firstLineChars="4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特此证明。</w:t>
      </w:r>
    </w:p>
    <w:tbl>
      <w:tblPr>
        <w:tblStyle w:val="18"/>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B9D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720" w:type="dxa"/>
            <w:vAlign w:val="center"/>
          </w:tcPr>
          <w:p w14:paraId="05B96CB3">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法定代表人身份证复印件</w:t>
            </w:r>
          </w:p>
          <w:p w14:paraId="358BB4A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正面</w:t>
            </w:r>
          </w:p>
        </w:tc>
      </w:tr>
      <w:tr w14:paraId="355D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720" w:type="dxa"/>
            <w:vAlign w:val="center"/>
          </w:tcPr>
          <w:p w14:paraId="0185FB64">
            <w:pPr>
              <w:spacing w:line="360" w:lineRule="auto"/>
              <w:jc w:val="center"/>
              <w:rPr>
                <w:rFonts w:asciiTheme="majorEastAsia" w:hAnsiTheme="majorEastAsia" w:eastAsiaTheme="majorEastAsia" w:cstheme="majorEastAsia"/>
                <w:color w:val="auto"/>
                <w:sz w:val="24"/>
                <w:lang w:eastAsia="zh-CN"/>
              </w:rPr>
            </w:pPr>
          </w:p>
          <w:p w14:paraId="0C09DA9D">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法定代表人身份证复印件</w:t>
            </w:r>
          </w:p>
          <w:p w14:paraId="71145DC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反面</w:t>
            </w:r>
          </w:p>
        </w:tc>
      </w:tr>
    </w:tbl>
    <w:p w14:paraId="5D413687">
      <w:pPr>
        <w:spacing w:line="360" w:lineRule="auto"/>
        <w:rPr>
          <w:rFonts w:asciiTheme="majorEastAsia" w:hAnsiTheme="majorEastAsia" w:eastAsiaTheme="majorEastAsia" w:cstheme="majorEastAsia"/>
          <w:color w:val="auto"/>
        </w:rPr>
      </w:pPr>
    </w:p>
    <w:p w14:paraId="29D5C83D">
      <w:pPr>
        <w:spacing w:line="360" w:lineRule="auto"/>
        <w:jc w:val="righ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投标人：</w:t>
      </w:r>
      <w:r>
        <w:rPr>
          <w:rFonts w:hint="eastAsia" w:asciiTheme="majorEastAsia" w:hAnsiTheme="majorEastAsia" w:eastAsiaTheme="majorEastAsia" w:cstheme="majorEastAsia"/>
          <w:color w:val="auto"/>
          <w:sz w:val="22"/>
          <w:szCs w:val="22"/>
          <w:u w:val="single"/>
        </w:rPr>
        <w:t xml:space="preserve">                      </w:t>
      </w:r>
      <w:r>
        <w:rPr>
          <w:rFonts w:hint="eastAsia" w:asciiTheme="majorEastAsia" w:hAnsiTheme="majorEastAsia" w:eastAsiaTheme="majorEastAsia" w:cstheme="majorEastAsia"/>
          <w:color w:val="auto"/>
          <w:sz w:val="22"/>
          <w:szCs w:val="22"/>
        </w:rPr>
        <w:t>（盖单位章）</w:t>
      </w:r>
    </w:p>
    <w:p w14:paraId="096F94EB">
      <w:pPr>
        <w:spacing w:line="360" w:lineRule="auto"/>
        <w:ind w:firstLine="4730" w:firstLineChars="2150"/>
        <w:rPr>
          <w:rFonts w:asciiTheme="majorEastAsia" w:hAnsiTheme="majorEastAsia" w:eastAsiaTheme="majorEastAsia" w:cstheme="majorEastAsia"/>
          <w:color w:val="auto"/>
          <w:sz w:val="22"/>
          <w:szCs w:val="22"/>
          <w:u w:val="single"/>
        </w:rPr>
      </w:pPr>
    </w:p>
    <w:p w14:paraId="18B0BD29">
      <w:pPr>
        <w:spacing w:line="360" w:lineRule="auto"/>
        <w:ind w:firstLine="5170" w:firstLineChars="235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u w:val="single"/>
        </w:rPr>
        <w:t xml:space="preserve">        </w:t>
      </w:r>
      <w:r>
        <w:rPr>
          <w:rFonts w:hint="eastAsia" w:asciiTheme="majorEastAsia" w:hAnsiTheme="majorEastAsia" w:eastAsiaTheme="majorEastAsia" w:cstheme="majorEastAsia"/>
          <w:color w:val="auto"/>
          <w:sz w:val="22"/>
          <w:szCs w:val="22"/>
        </w:rPr>
        <w:t>年</w:t>
      </w:r>
      <w:r>
        <w:rPr>
          <w:rFonts w:hint="eastAsia" w:asciiTheme="majorEastAsia" w:hAnsiTheme="majorEastAsia" w:eastAsiaTheme="majorEastAsia" w:cstheme="majorEastAsia"/>
          <w:color w:val="auto"/>
          <w:sz w:val="22"/>
          <w:szCs w:val="22"/>
          <w:u w:val="single"/>
        </w:rPr>
        <w:t xml:space="preserve">    </w:t>
      </w:r>
      <w:r>
        <w:rPr>
          <w:rFonts w:hint="eastAsia" w:asciiTheme="majorEastAsia" w:hAnsiTheme="majorEastAsia" w:eastAsiaTheme="majorEastAsia" w:cstheme="majorEastAsia"/>
          <w:color w:val="auto"/>
          <w:sz w:val="22"/>
          <w:szCs w:val="22"/>
        </w:rPr>
        <w:t>月</w:t>
      </w:r>
      <w:r>
        <w:rPr>
          <w:rFonts w:hint="eastAsia" w:asciiTheme="majorEastAsia" w:hAnsiTheme="majorEastAsia" w:eastAsiaTheme="majorEastAsia" w:cstheme="majorEastAsia"/>
          <w:color w:val="auto"/>
          <w:sz w:val="22"/>
          <w:szCs w:val="22"/>
          <w:u w:val="single"/>
        </w:rPr>
        <w:t xml:space="preserve">     </w:t>
      </w:r>
      <w:r>
        <w:rPr>
          <w:rFonts w:hint="eastAsia" w:asciiTheme="majorEastAsia" w:hAnsiTheme="majorEastAsia" w:eastAsiaTheme="majorEastAsia" w:cstheme="majorEastAsia"/>
          <w:color w:val="auto"/>
          <w:sz w:val="22"/>
          <w:szCs w:val="22"/>
        </w:rPr>
        <w:t>日</w:t>
      </w:r>
      <w:bookmarkStart w:id="21" w:name="_Toc16028"/>
    </w:p>
    <w:p w14:paraId="4F5593CD">
      <w:pPr>
        <w:pStyle w:val="13"/>
        <w:rPr>
          <w:color w:val="auto"/>
          <w:lang w:eastAsia="zh-CN"/>
        </w:rPr>
      </w:pPr>
    </w:p>
    <w:p w14:paraId="21140B5F">
      <w:pPr>
        <w:pStyle w:val="4"/>
        <w:jc w:val="both"/>
        <w:rPr>
          <w:rFonts w:asciiTheme="majorEastAsia" w:hAnsiTheme="majorEastAsia" w:eastAsiaTheme="majorEastAsia" w:cstheme="majorEastAsia"/>
          <w:color w:val="auto"/>
          <w:sz w:val="28"/>
          <w:szCs w:val="36"/>
        </w:rPr>
      </w:pPr>
    </w:p>
    <w:p w14:paraId="19050492">
      <w:pPr>
        <w:pStyle w:val="4"/>
        <w:jc w:val="both"/>
        <w:rPr>
          <w:rFonts w:asciiTheme="majorEastAsia" w:hAnsiTheme="majorEastAsia" w:eastAsiaTheme="majorEastAsia" w:cstheme="majorEastAsia"/>
          <w:color w:val="auto"/>
          <w:sz w:val="28"/>
          <w:szCs w:val="36"/>
        </w:rPr>
      </w:pPr>
    </w:p>
    <w:p w14:paraId="708D0C55">
      <w:pPr>
        <w:pStyle w:val="4"/>
        <w:jc w:val="both"/>
        <w:rPr>
          <w:rFonts w:asciiTheme="majorEastAsia" w:hAnsiTheme="majorEastAsia" w:eastAsiaTheme="majorEastAsia" w:cstheme="majorEastAsia"/>
          <w:color w:val="auto"/>
          <w:sz w:val="28"/>
          <w:szCs w:val="36"/>
        </w:rPr>
      </w:pPr>
    </w:p>
    <w:p w14:paraId="6E1F1B07">
      <w:pPr>
        <w:pStyle w:val="4"/>
        <w:jc w:val="both"/>
        <w:rPr>
          <w:rFonts w:asciiTheme="majorEastAsia" w:hAnsiTheme="majorEastAsia" w:eastAsiaTheme="majorEastAsia" w:cstheme="majorEastAsia"/>
          <w:color w:val="auto"/>
          <w:sz w:val="28"/>
          <w:szCs w:val="36"/>
        </w:rPr>
      </w:pPr>
    </w:p>
    <w:p w14:paraId="3A5CC904">
      <w:pPr>
        <w:pStyle w:val="4"/>
        <w:jc w:val="both"/>
        <w:rPr>
          <w:rFonts w:asciiTheme="majorEastAsia" w:hAnsiTheme="majorEastAsia" w:eastAsiaTheme="majorEastAsia" w:cstheme="majorEastAsia"/>
          <w:color w:val="auto"/>
          <w:sz w:val="28"/>
          <w:szCs w:val="36"/>
          <w:lang w:val="en-US"/>
        </w:rPr>
      </w:pPr>
      <w:r>
        <w:rPr>
          <w:rFonts w:hint="eastAsia" w:asciiTheme="majorEastAsia" w:hAnsiTheme="majorEastAsia" w:eastAsiaTheme="majorEastAsia" w:cstheme="majorEastAsia"/>
          <w:color w:val="auto"/>
          <w:sz w:val="28"/>
          <w:szCs w:val="36"/>
        </w:rPr>
        <w:t>附件</w:t>
      </w:r>
      <w:r>
        <w:rPr>
          <w:rFonts w:hint="eastAsia" w:asciiTheme="majorEastAsia" w:hAnsiTheme="majorEastAsia" w:eastAsiaTheme="majorEastAsia" w:cstheme="majorEastAsia"/>
          <w:color w:val="auto"/>
          <w:sz w:val="28"/>
          <w:szCs w:val="36"/>
          <w:lang w:val="en-US"/>
        </w:rPr>
        <w:t>2：</w:t>
      </w:r>
      <w:bookmarkEnd w:id="21"/>
    </w:p>
    <w:p w14:paraId="14986078">
      <w:pPr>
        <w:pStyle w:val="4"/>
        <w:rPr>
          <w:rFonts w:asciiTheme="majorEastAsia" w:hAnsiTheme="majorEastAsia" w:eastAsiaTheme="majorEastAsia" w:cstheme="majorEastAsia"/>
          <w:color w:val="auto"/>
          <w:sz w:val="28"/>
          <w:szCs w:val="36"/>
        </w:rPr>
      </w:pPr>
      <w:r>
        <w:rPr>
          <w:rFonts w:hint="eastAsia" w:asciiTheme="majorEastAsia" w:hAnsiTheme="majorEastAsia" w:eastAsiaTheme="majorEastAsia" w:cstheme="majorEastAsia"/>
          <w:color w:val="auto"/>
          <w:sz w:val="28"/>
          <w:szCs w:val="36"/>
        </w:rPr>
        <w:t>法定代表人授权委托书</w:t>
      </w:r>
    </w:p>
    <w:p w14:paraId="34B9900B">
      <w:pPr>
        <w:rPr>
          <w:color w:val="auto"/>
          <w:lang w:eastAsia="zh-CN"/>
        </w:rPr>
      </w:pPr>
    </w:p>
    <w:p w14:paraId="4DD7D587">
      <w:pPr>
        <w:tabs>
          <w:tab w:val="left" w:pos="8820"/>
        </w:tabs>
        <w:spacing w:line="360" w:lineRule="auto"/>
        <w:ind w:firstLine="570"/>
        <w:rPr>
          <w:rFonts w:asciiTheme="majorEastAsia" w:hAnsiTheme="majorEastAsia" w:eastAsiaTheme="majorEastAsia" w:cstheme="majorEastAsia"/>
          <w:color w:val="auto"/>
          <w:sz w:val="24"/>
          <w:u w:val="single"/>
          <w:lang w:eastAsia="zh-CN"/>
        </w:rPr>
      </w:pPr>
      <w:r>
        <w:rPr>
          <w:rFonts w:hint="eastAsia" w:asciiTheme="majorEastAsia" w:hAnsiTheme="majorEastAsia" w:eastAsiaTheme="majorEastAsia" w:cstheme="majorEastAsia"/>
          <w:color w:val="auto"/>
          <w:sz w:val="24"/>
          <w:lang w:eastAsia="zh-CN"/>
        </w:rPr>
        <w:t>本授权委托书声明：我</w:t>
      </w:r>
      <w:r>
        <w:rPr>
          <w:rFonts w:hint="eastAsia" w:asciiTheme="majorEastAsia" w:hAnsiTheme="majorEastAsia" w:eastAsiaTheme="majorEastAsia" w:cstheme="majorEastAsia"/>
          <w:color w:val="auto"/>
          <w:sz w:val="24"/>
          <w:u w:val="single"/>
          <w:lang w:eastAsia="zh-CN"/>
        </w:rPr>
        <w:t>（法定代表人   姓名）</w:t>
      </w:r>
      <w:r>
        <w:rPr>
          <w:rFonts w:hint="eastAsia" w:asciiTheme="majorEastAsia" w:hAnsiTheme="majorEastAsia" w:eastAsiaTheme="majorEastAsia" w:cstheme="majorEastAsia"/>
          <w:color w:val="auto"/>
          <w:sz w:val="24"/>
          <w:lang w:eastAsia="zh-CN"/>
        </w:rPr>
        <w:t>系注册于</w:t>
      </w:r>
      <w:r>
        <w:rPr>
          <w:rFonts w:hint="eastAsia" w:asciiTheme="majorEastAsia" w:hAnsiTheme="majorEastAsia" w:eastAsiaTheme="majorEastAsia" w:cstheme="majorEastAsia"/>
          <w:color w:val="auto"/>
          <w:sz w:val="24"/>
          <w:u w:val="single"/>
          <w:lang w:eastAsia="zh-CN"/>
        </w:rPr>
        <w:t xml:space="preserve">  （供应商地址）   </w:t>
      </w:r>
      <w:r>
        <w:rPr>
          <w:rFonts w:hint="eastAsia" w:asciiTheme="majorEastAsia" w:hAnsiTheme="majorEastAsia" w:eastAsiaTheme="majorEastAsia" w:cstheme="majorEastAsia"/>
          <w:color w:val="auto"/>
          <w:sz w:val="24"/>
          <w:lang w:eastAsia="zh-CN"/>
        </w:rPr>
        <w:t>的</w:t>
      </w:r>
      <w:r>
        <w:rPr>
          <w:rFonts w:hint="eastAsia" w:asciiTheme="majorEastAsia" w:hAnsiTheme="majorEastAsia" w:eastAsiaTheme="majorEastAsia" w:cstheme="majorEastAsia"/>
          <w:color w:val="auto"/>
          <w:sz w:val="24"/>
          <w:u w:val="single"/>
          <w:lang w:eastAsia="zh-CN"/>
        </w:rPr>
        <w:t xml:space="preserve">（供应商名称）  </w:t>
      </w:r>
      <w:r>
        <w:rPr>
          <w:rFonts w:hint="eastAsia" w:asciiTheme="majorEastAsia" w:hAnsiTheme="majorEastAsia" w:eastAsiaTheme="majorEastAsia" w:cstheme="majorEastAsia"/>
          <w:color w:val="auto"/>
          <w:sz w:val="24"/>
          <w:lang w:eastAsia="zh-CN"/>
        </w:rPr>
        <w:t>的法定代表人，现代表我单位授权下面签字的</w:t>
      </w:r>
      <w:r>
        <w:rPr>
          <w:rFonts w:hint="eastAsia" w:asciiTheme="majorEastAsia" w:hAnsiTheme="majorEastAsia" w:eastAsiaTheme="majorEastAsia" w:cstheme="majorEastAsia"/>
          <w:color w:val="auto"/>
          <w:sz w:val="24"/>
          <w:u w:val="single"/>
          <w:lang w:eastAsia="zh-CN"/>
        </w:rPr>
        <w:t>（被授权人的姓名、职务）</w:t>
      </w:r>
      <w:r>
        <w:rPr>
          <w:rFonts w:hint="eastAsia" w:asciiTheme="majorEastAsia" w:hAnsiTheme="majorEastAsia" w:eastAsiaTheme="majorEastAsia" w:cstheme="majorEastAsia"/>
          <w:color w:val="auto"/>
          <w:sz w:val="24"/>
          <w:lang w:eastAsia="zh-CN"/>
        </w:rPr>
        <w:t>为我单位合法代理人，代表本单位参加</w:t>
      </w:r>
      <w:r>
        <w:rPr>
          <w:rFonts w:hint="eastAsia" w:asciiTheme="majorEastAsia" w:hAnsiTheme="majorEastAsia" w:eastAsiaTheme="majorEastAsia" w:cstheme="majorEastAsia"/>
          <w:color w:val="auto"/>
          <w:sz w:val="24"/>
          <w:u w:val="single"/>
          <w:lang w:eastAsia="zh-CN"/>
        </w:rPr>
        <w:t xml:space="preserve">  （采购项目名称） (采购项目编号)  </w:t>
      </w:r>
      <w:r>
        <w:rPr>
          <w:rFonts w:hint="eastAsia" w:asciiTheme="majorEastAsia" w:hAnsiTheme="majorEastAsia" w:eastAsiaTheme="majorEastAsia" w:cstheme="majorEastAsia"/>
          <w:color w:val="auto"/>
          <w:sz w:val="24"/>
          <w:lang w:eastAsia="zh-CN"/>
        </w:rPr>
        <w:t>的投标活动。代理人在本次投标中所签署的一切文件和处理的一切有关事物，我公司均予认可。</w:t>
      </w:r>
    </w:p>
    <w:p w14:paraId="6C278C95">
      <w:pPr>
        <w:spacing w:line="400" w:lineRule="atLeast"/>
        <w:ind w:firstLine="570"/>
        <w:rPr>
          <w:rFonts w:asciiTheme="majorEastAsia" w:hAnsiTheme="majorEastAsia" w:eastAsiaTheme="majorEastAsia" w:cstheme="majorEastAsia"/>
          <w:color w:val="auto"/>
          <w:sz w:val="24"/>
          <w:lang w:eastAsia="zh-CN"/>
        </w:rPr>
      </w:pPr>
    </w:p>
    <w:p w14:paraId="44492996">
      <w:pPr>
        <w:spacing w:line="400" w:lineRule="atLeast"/>
        <w:ind w:firstLine="480" w:firstLineChars="2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本授权书自开标之日起生效，有效期</w:t>
      </w:r>
      <w:r>
        <w:rPr>
          <w:rFonts w:hint="eastAsia" w:asciiTheme="majorEastAsia" w:hAnsiTheme="majorEastAsia" w:eastAsiaTheme="majorEastAsia" w:cstheme="majorEastAsia"/>
          <w:color w:val="auto"/>
          <w:sz w:val="24"/>
          <w:u w:val="single"/>
          <w:lang w:eastAsia="zh-CN"/>
        </w:rPr>
        <w:t xml:space="preserve"> 90 </w:t>
      </w:r>
      <w:r>
        <w:rPr>
          <w:rFonts w:hint="eastAsia" w:asciiTheme="majorEastAsia" w:hAnsiTheme="majorEastAsia" w:eastAsiaTheme="majorEastAsia" w:cstheme="majorEastAsia"/>
          <w:color w:val="auto"/>
          <w:sz w:val="24"/>
          <w:lang w:eastAsia="zh-CN"/>
        </w:rPr>
        <w:t>天，特此声明。</w:t>
      </w:r>
    </w:p>
    <w:p w14:paraId="45CD4A44">
      <w:pPr>
        <w:spacing w:line="400" w:lineRule="atLeast"/>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                              </w:t>
      </w:r>
    </w:p>
    <w:tbl>
      <w:tblPr>
        <w:tblStyle w:val="18"/>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0712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vAlign w:val="center"/>
          </w:tcPr>
          <w:p w14:paraId="6FA6E652">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法定代表人身份证复印件</w:t>
            </w:r>
          </w:p>
          <w:p w14:paraId="70DECCE6">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正面</w:t>
            </w:r>
          </w:p>
        </w:tc>
        <w:tc>
          <w:tcPr>
            <w:tcW w:w="4390" w:type="dxa"/>
            <w:vAlign w:val="center"/>
          </w:tcPr>
          <w:p w14:paraId="2E679029">
            <w:pPr>
              <w:rPr>
                <w:rFonts w:asciiTheme="majorEastAsia" w:hAnsiTheme="majorEastAsia" w:eastAsiaTheme="majorEastAsia" w:cstheme="majorEastAsia"/>
                <w:color w:val="auto"/>
                <w:sz w:val="24"/>
                <w:lang w:eastAsia="zh-CN"/>
              </w:rPr>
            </w:pPr>
          </w:p>
          <w:p w14:paraId="5612516E">
            <w:pPr>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被授权人身份证复印件</w:t>
            </w:r>
          </w:p>
          <w:p w14:paraId="17CACF51">
            <w:pPr>
              <w:jc w:val="center"/>
              <w:rPr>
                <w:rFonts w:asciiTheme="majorEastAsia" w:hAnsiTheme="majorEastAsia" w:eastAsiaTheme="majorEastAsia" w:cstheme="majorEastAsia"/>
                <w:color w:val="auto"/>
                <w:sz w:val="24"/>
                <w:lang w:eastAsia="zh-CN"/>
              </w:rPr>
            </w:pPr>
          </w:p>
          <w:p w14:paraId="5A800E8C">
            <w:pPr>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正面</w:t>
            </w:r>
          </w:p>
          <w:p w14:paraId="7DBAEC91">
            <w:pPr>
              <w:spacing w:line="360" w:lineRule="auto"/>
              <w:jc w:val="center"/>
              <w:rPr>
                <w:rFonts w:asciiTheme="majorEastAsia" w:hAnsiTheme="majorEastAsia" w:eastAsiaTheme="majorEastAsia" w:cstheme="majorEastAsia"/>
                <w:color w:val="auto"/>
                <w:sz w:val="24"/>
                <w:lang w:eastAsia="zh-CN"/>
              </w:rPr>
            </w:pPr>
          </w:p>
        </w:tc>
      </w:tr>
      <w:tr w14:paraId="688F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vAlign w:val="center"/>
          </w:tcPr>
          <w:p w14:paraId="6C4A51C2">
            <w:pPr>
              <w:spacing w:line="360" w:lineRule="auto"/>
              <w:jc w:val="center"/>
              <w:rPr>
                <w:rFonts w:asciiTheme="majorEastAsia" w:hAnsiTheme="majorEastAsia" w:eastAsiaTheme="majorEastAsia" w:cstheme="majorEastAsia"/>
                <w:color w:val="auto"/>
                <w:sz w:val="24"/>
                <w:lang w:eastAsia="zh-CN"/>
              </w:rPr>
            </w:pPr>
          </w:p>
          <w:p w14:paraId="7A2F5E08">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法定代表人身份证复印件</w:t>
            </w:r>
          </w:p>
          <w:p w14:paraId="0637621B">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反面</w:t>
            </w:r>
          </w:p>
        </w:tc>
        <w:tc>
          <w:tcPr>
            <w:tcW w:w="4390" w:type="dxa"/>
            <w:vAlign w:val="center"/>
          </w:tcPr>
          <w:p w14:paraId="15BB4967">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被授权人身份证复印件</w:t>
            </w:r>
          </w:p>
          <w:p w14:paraId="4CFBB29C">
            <w:pPr>
              <w:spacing w:line="360" w:lineRule="auto"/>
              <w:jc w:val="center"/>
              <w:rPr>
                <w:rFonts w:asciiTheme="majorEastAsia" w:hAnsiTheme="majorEastAsia" w:eastAsiaTheme="majorEastAsia" w:cstheme="majorEastAsia"/>
                <w:color w:val="auto"/>
                <w:sz w:val="24"/>
                <w:lang w:eastAsia="zh-CN"/>
              </w:rPr>
            </w:pPr>
          </w:p>
          <w:p w14:paraId="6EFFDB5E">
            <w:pPr>
              <w:spacing w:line="360" w:lineRule="auto"/>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反面</w:t>
            </w:r>
          </w:p>
        </w:tc>
      </w:tr>
    </w:tbl>
    <w:p w14:paraId="67A23811">
      <w:pPr>
        <w:rPr>
          <w:rFonts w:asciiTheme="majorEastAsia" w:hAnsiTheme="majorEastAsia" w:eastAsiaTheme="majorEastAsia" w:cstheme="majorEastAsia"/>
          <w:color w:val="auto"/>
          <w:lang w:eastAsia="zh-CN"/>
        </w:rPr>
      </w:pPr>
    </w:p>
    <w:p w14:paraId="554DD16C">
      <w:pPr>
        <w:pStyle w:val="16"/>
        <w:ind w:firstLine="210"/>
        <w:rPr>
          <w:rFonts w:asciiTheme="majorEastAsia" w:hAnsiTheme="majorEastAsia" w:eastAsiaTheme="majorEastAsia" w:cstheme="majorEastAsia"/>
          <w:color w:val="auto"/>
          <w:lang w:eastAsia="zh-CN"/>
        </w:rPr>
      </w:pPr>
    </w:p>
    <w:p w14:paraId="2567EFA2">
      <w:pPr>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注：此授权书的有效期应与投标文件有效期一致。</w:t>
      </w:r>
    </w:p>
    <w:p w14:paraId="1F60D3B3">
      <w:pPr>
        <w:rPr>
          <w:rFonts w:asciiTheme="majorEastAsia" w:hAnsiTheme="majorEastAsia" w:eastAsiaTheme="majorEastAsia" w:cstheme="majorEastAsia"/>
          <w:color w:val="auto"/>
          <w:sz w:val="24"/>
          <w:szCs w:val="24"/>
          <w:lang w:eastAsia="zh-CN"/>
        </w:rPr>
      </w:pPr>
    </w:p>
    <w:p w14:paraId="60A63631">
      <w:pPr>
        <w:spacing w:line="480" w:lineRule="auto"/>
        <w:ind w:firstLine="3600" w:firstLineChars="1500"/>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供应商名称：</w:t>
      </w:r>
      <w:r>
        <w:rPr>
          <w:rFonts w:hint="eastAsia" w:asciiTheme="majorEastAsia" w:hAnsiTheme="majorEastAsia" w:eastAsiaTheme="majorEastAsia" w:cstheme="majorEastAsia"/>
          <w:color w:val="auto"/>
          <w:sz w:val="24"/>
          <w:szCs w:val="24"/>
          <w:u w:val="single"/>
          <w:lang w:eastAsia="zh-CN"/>
        </w:rPr>
        <w:t xml:space="preserve">                       </w:t>
      </w:r>
      <w:r>
        <w:rPr>
          <w:rFonts w:hint="eastAsia" w:asciiTheme="majorEastAsia" w:hAnsiTheme="majorEastAsia" w:eastAsiaTheme="majorEastAsia" w:cstheme="majorEastAsia"/>
          <w:color w:val="auto"/>
          <w:sz w:val="24"/>
          <w:szCs w:val="24"/>
          <w:lang w:eastAsia="zh-CN"/>
        </w:rPr>
        <w:t>（公章）</w:t>
      </w:r>
    </w:p>
    <w:p w14:paraId="6379F088">
      <w:pPr>
        <w:spacing w:line="480" w:lineRule="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 xml:space="preserve">                              法定代表人：</w:t>
      </w:r>
      <w:r>
        <w:rPr>
          <w:rFonts w:hint="eastAsia" w:asciiTheme="majorEastAsia" w:hAnsiTheme="majorEastAsia" w:eastAsiaTheme="majorEastAsia" w:cstheme="majorEastAsia"/>
          <w:color w:val="auto"/>
          <w:sz w:val="24"/>
          <w:szCs w:val="24"/>
          <w:u w:val="single"/>
          <w:lang w:eastAsia="zh-CN"/>
        </w:rPr>
        <w:t xml:space="preserve">                </w:t>
      </w:r>
      <w:r>
        <w:rPr>
          <w:rFonts w:hint="eastAsia" w:asciiTheme="majorEastAsia" w:hAnsiTheme="majorEastAsia" w:eastAsiaTheme="majorEastAsia" w:cstheme="majorEastAsia"/>
          <w:color w:val="auto"/>
          <w:sz w:val="24"/>
          <w:szCs w:val="24"/>
          <w:lang w:eastAsia="zh-CN"/>
        </w:rPr>
        <w:t>（签字/或盖章）</w:t>
      </w:r>
    </w:p>
    <w:p w14:paraId="580D7F7A">
      <w:pPr>
        <w:spacing w:line="480" w:lineRule="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 xml:space="preserve">                              被授权人：</w:t>
      </w:r>
      <w:r>
        <w:rPr>
          <w:rFonts w:hint="eastAsia" w:asciiTheme="majorEastAsia" w:hAnsiTheme="majorEastAsia" w:eastAsiaTheme="majorEastAsia" w:cstheme="majorEastAsia"/>
          <w:color w:val="auto"/>
          <w:sz w:val="24"/>
          <w:szCs w:val="24"/>
          <w:u w:val="single"/>
          <w:lang w:eastAsia="zh-CN"/>
        </w:rPr>
        <w:t xml:space="preserve">                 </w:t>
      </w:r>
      <w:r>
        <w:rPr>
          <w:rFonts w:hint="eastAsia" w:asciiTheme="majorEastAsia" w:hAnsiTheme="majorEastAsia" w:eastAsiaTheme="majorEastAsia" w:cstheme="majorEastAsia"/>
          <w:color w:val="auto"/>
          <w:sz w:val="24"/>
          <w:szCs w:val="24"/>
          <w:lang w:eastAsia="zh-CN"/>
        </w:rPr>
        <w:t>（签字/或盖章）</w:t>
      </w:r>
    </w:p>
    <w:p w14:paraId="18E03EA5">
      <w:pPr>
        <w:spacing w:line="480" w:lineRule="auto"/>
        <w:rPr>
          <w:rFonts w:asciiTheme="majorEastAsia" w:hAnsiTheme="majorEastAsia" w:eastAsiaTheme="majorEastAsia" w:cstheme="majorEastAsia"/>
          <w:color w:val="auto"/>
          <w:sz w:val="24"/>
          <w:szCs w:val="24"/>
          <w:u w:val="single"/>
          <w:lang w:eastAsia="zh-CN"/>
        </w:rPr>
      </w:pPr>
      <w:r>
        <w:rPr>
          <w:rFonts w:hint="eastAsia" w:asciiTheme="majorEastAsia" w:hAnsiTheme="majorEastAsia" w:eastAsiaTheme="majorEastAsia" w:cstheme="majorEastAsia"/>
          <w:color w:val="auto"/>
          <w:sz w:val="24"/>
          <w:szCs w:val="24"/>
          <w:lang w:eastAsia="zh-CN"/>
        </w:rPr>
        <w:t xml:space="preserve">                              日 期：</w:t>
      </w:r>
      <w:r>
        <w:rPr>
          <w:rFonts w:hint="eastAsia" w:asciiTheme="majorEastAsia" w:hAnsiTheme="majorEastAsia" w:eastAsiaTheme="majorEastAsia" w:cstheme="majorEastAsia"/>
          <w:color w:val="auto"/>
          <w:sz w:val="24"/>
          <w:szCs w:val="24"/>
          <w:u w:val="single"/>
          <w:lang w:eastAsia="zh-CN"/>
        </w:rPr>
        <w:t xml:space="preserve">                                   </w:t>
      </w:r>
    </w:p>
    <w:p w14:paraId="6DCFF2D1">
      <w:pPr>
        <w:spacing w:line="360" w:lineRule="auto"/>
        <w:jc w:val="both"/>
        <w:rPr>
          <w:rFonts w:asciiTheme="majorEastAsia" w:hAnsiTheme="majorEastAsia" w:eastAsiaTheme="majorEastAsia" w:cstheme="majorEastAsia"/>
          <w:b/>
          <w:color w:val="auto"/>
          <w:sz w:val="36"/>
          <w:szCs w:val="36"/>
          <w:lang w:eastAsia="zh-CN"/>
        </w:rPr>
      </w:pPr>
    </w:p>
    <w:p w14:paraId="5DA32293">
      <w:pPr>
        <w:spacing w:line="360" w:lineRule="auto"/>
        <w:ind w:left="1"/>
        <w:jc w:val="both"/>
        <w:rPr>
          <w:rFonts w:asciiTheme="majorEastAsia" w:hAnsiTheme="majorEastAsia" w:eastAsiaTheme="majorEastAsia" w:cstheme="majorEastAsia"/>
          <w:b/>
          <w:color w:val="auto"/>
          <w:sz w:val="28"/>
          <w:szCs w:val="28"/>
          <w:lang w:eastAsia="zh-CN"/>
        </w:rPr>
      </w:pPr>
    </w:p>
    <w:p w14:paraId="56725BE9">
      <w:pPr>
        <w:rPr>
          <w:color w:val="auto"/>
          <w:lang w:eastAsia="zh-CN"/>
        </w:rPr>
      </w:pPr>
    </w:p>
    <w:p w14:paraId="7C3CD2CE">
      <w:pPr>
        <w:spacing w:line="360" w:lineRule="auto"/>
        <w:ind w:left="1"/>
        <w:jc w:val="both"/>
        <w:outlineLvl w:val="1"/>
        <w:rPr>
          <w:rFonts w:asciiTheme="majorEastAsia" w:hAnsiTheme="majorEastAsia" w:eastAsiaTheme="majorEastAsia" w:cstheme="majorEastAsia"/>
          <w:b/>
          <w:color w:val="auto"/>
          <w:sz w:val="28"/>
          <w:szCs w:val="28"/>
          <w:lang w:eastAsia="zh-CN"/>
        </w:rPr>
      </w:pPr>
      <w:bookmarkStart w:id="22" w:name="_Toc3556"/>
      <w:r>
        <w:rPr>
          <w:rFonts w:hint="eastAsia" w:asciiTheme="majorEastAsia" w:hAnsiTheme="majorEastAsia" w:eastAsiaTheme="majorEastAsia" w:cstheme="majorEastAsia"/>
          <w:b/>
          <w:color w:val="auto"/>
          <w:sz w:val="28"/>
          <w:szCs w:val="28"/>
          <w:lang w:eastAsia="zh-CN"/>
        </w:rPr>
        <w:t>附件3：</w:t>
      </w:r>
      <w:bookmarkEnd w:id="22"/>
    </w:p>
    <w:p w14:paraId="44702EE2">
      <w:pPr>
        <w:spacing w:line="360" w:lineRule="auto"/>
        <w:ind w:left="1"/>
        <w:jc w:val="center"/>
        <w:rPr>
          <w:rFonts w:asciiTheme="majorEastAsia" w:hAnsiTheme="majorEastAsia" w:eastAsiaTheme="majorEastAsia" w:cstheme="majorEastAsia"/>
          <w:b/>
          <w:color w:val="auto"/>
          <w:sz w:val="32"/>
          <w:szCs w:val="32"/>
          <w:lang w:eastAsia="zh-CN"/>
        </w:rPr>
      </w:pPr>
      <w:r>
        <w:rPr>
          <w:rFonts w:hint="eastAsia" w:asciiTheme="majorEastAsia" w:hAnsiTheme="majorEastAsia" w:eastAsiaTheme="majorEastAsia" w:cstheme="majorEastAsia"/>
          <w:b/>
          <w:color w:val="auto"/>
          <w:sz w:val="32"/>
          <w:szCs w:val="32"/>
          <w:lang w:eastAsia="zh-CN"/>
        </w:rPr>
        <w:t>供应商无重大违法记录的书面声明格式</w:t>
      </w:r>
    </w:p>
    <w:p w14:paraId="1EC36C4B">
      <w:pPr>
        <w:spacing w:line="360" w:lineRule="auto"/>
        <w:rPr>
          <w:rFonts w:asciiTheme="majorEastAsia" w:hAnsiTheme="majorEastAsia" w:eastAsiaTheme="majorEastAsia" w:cstheme="majorEastAsia"/>
          <w:b/>
          <w:color w:val="auto"/>
          <w:spacing w:val="4"/>
          <w:sz w:val="30"/>
          <w:szCs w:val="30"/>
          <w:u w:val="single"/>
          <w:lang w:eastAsia="zh-CN"/>
        </w:rPr>
      </w:pPr>
    </w:p>
    <w:p w14:paraId="4A1E4B11">
      <w:pPr>
        <w:spacing w:line="360" w:lineRule="auto"/>
        <w:rPr>
          <w:rFonts w:asciiTheme="majorEastAsia" w:hAnsiTheme="majorEastAsia" w:eastAsiaTheme="majorEastAsia" w:cstheme="majorEastAsia"/>
          <w:color w:val="auto"/>
          <w:spacing w:val="4"/>
          <w:sz w:val="24"/>
          <w:szCs w:val="24"/>
          <w:u w:val="single"/>
          <w:lang w:eastAsia="zh-CN"/>
        </w:rPr>
      </w:pPr>
      <w:r>
        <w:rPr>
          <w:rFonts w:hint="eastAsia" w:asciiTheme="majorEastAsia" w:hAnsiTheme="majorEastAsia" w:eastAsiaTheme="majorEastAsia" w:cstheme="majorEastAsia"/>
          <w:color w:val="auto"/>
          <w:spacing w:val="4"/>
          <w:sz w:val="24"/>
          <w:szCs w:val="24"/>
          <w:u w:val="single"/>
          <w:lang w:eastAsia="zh-CN"/>
        </w:rPr>
        <w:t>致：     （采购人名称）    ：</w:t>
      </w:r>
    </w:p>
    <w:p w14:paraId="0732B281">
      <w:pPr>
        <w:spacing w:before="240" w:beforeLines="100" w:after="120" w:afterLines="50" w:line="360" w:lineRule="auto"/>
        <w:ind w:firstLine="170"/>
        <w:rPr>
          <w:rFonts w:asciiTheme="majorEastAsia" w:hAnsiTheme="majorEastAsia" w:eastAsiaTheme="majorEastAsia" w:cstheme="majorEastAsia"/>
          <w:color w:val="auto"/>
          <w:spacing w:val="4"/>
          <w:sz w:val="24"/>
          <w:szCs w:val="24"/>
          <w:lang w:eastAsia="zh-CN"/>
        </w:rPr>
      </w:pPr>
      <w:r>
        <w:rPr>
          <w:rFonts w:hint="eastAsia" w:asciiTheme="majorEastAsia" w:hAnsiTheme="majorEastAsia" w:eastAsiaTheme="majorEastAsia" w:cstheme="majorEastAsia"/>
          <w:color w:val="auto"/>
          <w:spacing w:val="4"/>
          <w:sz w:val="24"/>
          <w:szCs w:val="24"/>
          <w:lang w:eastAsia="zh-CN"/>
        </w:rPr>
        <w:t xml:space="preserve"> （ </w:t>
      </w:r>
      <w:r>
        <w:rPr>
          <w:rFonts w:hint="eastAsia" w:asciiTheme="majorEastAsia" w:hAnsiTheme="majorEastAsia" w:eastAsiaTheme="majorEastAsia" w:cstheme="majorEastAsia"/>
          <w:color w:val="auto"/>
          <w:spacing w:val="4"/>
          <w:sz w:val="24"/>
          <w:szCs w:val="24"/>
          <w:u w:val="single"/>
          <w:lang w:eastAsia="zh-CN"/>
        </w:rPr>
        <w:t xml:space="preserve">         </w:t>
      </w:r>
      <w:r>
        <w:rPr>
          <w:rFonts w:hint="eastAsia" w:asciiTheme="majorEastAsia" w:hAnsiTheme="majorEastAsia" w:eastAsiaTheme="majorEastAsia" w:cstheme="majorEastAsia"/>
          <w:color w:val="auto"/>
          <w:spacing w:val="4"/>
          <w:sz w:val="24"/>
          <w:szCs w:val="24"/>
          <w:lang w:eastAsia="zh-CN"/>
        </w:rPr>
        <w:t>公司名称）为在中华人民共和国境内合法注册并经营的机构。在此郑重声明，我公司在参与本次政府采购活动前3年内在经营活动中没有重大违法记录。</w:t>
      </w:r>
    </w:p>
    <w:p w14:paraId="3EF6C4D9">
      <w:pPr>
        <w:spacing w:before="240" w:beforeLines="100" w:after="120" w:afterLines="50" w:line="360" w:lineRule="auto"/>
        <w:rPr>
          <w:rFonts w:asciiTheme="majorEastAsia" w:hAnsiTheme="majorEastAsia" w:eastAsiaTheme="majorEastAsia" w:cstheme="majorEastAsia"/>
          <w:color w:val="auto"/>
          <w:spacing w:val="4"/>
          <w:sz w:val="24"/>
          <w:szCs w:val="24"/>
          <w:lang w:eastAsia="zh-CN"/>
        </w:rPr>
      </w:pPr>
    </w:p>
    <w:p w14:paraId="1BEA8556">
      <w:pPr>
        <w:spacing w:before="240" w:beforeLines="100" w:after="120" w:afterLines="50" w:line="360" w:lineRule="auto"/>
        <w:ind w:firstLine="2480" w:firstLineChars="1000"/>
        <w:rPr>
          <w:rFonts w:asciiTheme="majorEastAsia" w:hAnsiTheme="majorEastAsia" w:eastAsiaTheme="majorEastAsia" w:cstheme="majorEastAsia"/>
          <w:color w:val="auto"/>
          <w:spacing w:val="14"/>
          <w:sz w:val="24"/>
          <w:lang w:eastAsia="zh-CN"/>
        </w:rPr>
      </w:pPr>
      <w:r>
        <w:rPr>
          <w:rFonts w:hint="eastAsia" w:asciiTheme="majorEastAsia" w:hAnsiTheme="majorEastAsia" w:eastAsiaTheme="majorEastAsia" w:cstheme="majorEastAsia"/>
          <w:color w:val="auto"/>
          <w:spacing w:val="4"/>
          <w:sz w:val="24"/>
          <w:szCs w:val="24"/>
          <w:lang w:eastAsia="zh-CN"/>
        </w:rPr>
        <w:t>供应商名称（盖章）：</w:t>
      </w:r>
      <w:r>
        <w:rPr>
          <w:rFonts w:hint="eastAsia" w:asciiTheme="majorEastAsia" w:hAnsiTheme="majorEastAsia" w:eastAsiaTheme="majorEastAsia" w:cstheme="majorEastAsia"/>
          <w:color w:val="auto"/>
          <w:spacing w:val="4"/>
          <w:sz w:val="24"/>
          <w:szCs w:val="24"/>
          <w:u w:val="single"/>
          <w:lang w:eastAsia="zh-CN"/>
        </w:rPr>
        <w:t xml:space="preserve">             </w:t>
      </w:r>
      <w:r>
        <w:rPr>
          <w:rFonts w:hint="eastAsia" w:asciiTheme="majorEastAsia" w:hAnsiTheme="majorEastAsia" w:eastAsiaTheme="majorEastAsia" w:cstheme="majorEastAsia"/>
          <w:color w:val="auto"/>
          <w:spacing w:val="14"/>
          <w:sz w:val="24"/>
          <w:u w:val="single"/>
          <w:lang w:eastAsia="zh-CN"/>
        </w:rPr>
        <w:t>（单位全称）</w:t>
      </w:r>
    </w:p>
    <w:p w14:paraId="0F09F92E">
      <w:pPr>
        <w:spacing w:before="240" w:beforeLines="100" w:after="120" w:afterLines="50" w:line="360" w:lineRule="auto"/>
        <w:ind w:firstLine="2604" w:firstLineChars="1050"/>
        <w:rPr>
          <w:rFonts w:asciiTheme="majorEastAsia" w:hAnsiTheme="majorEastAsia" w:eastAsiaTheme="majorEastAsia" w:cstheme="majorEastAsia"/>
          <w:color w:val="auto"/>
          <w:spacing w:val="4"/>
          <w:sz w:val="24"/>
          <w:szCs w:val="24"/>
          <w:lang w:eastAsia="zh-CN"/>
        </w:rPr>
      </w:pPr>
      <w:r>
        <w:rPr>
          <w:rFonts w:hint="eastAsia" w:asciiTheme="majorEastAsia" w:hAnsiTheme="majorEastAsia" w:eastAsiaTheme="majorEastAsia" w:cstheme="majorEastAsia"/>
          <w:color w:val="auto"/>
          <w:spacing w:val="4"/>
          <w:sz w:val="24"/>
          <w:szCs w:val="24"/>
          <w:lang w:eastAsia="zh-CN"/>
        </w:rPr>
        <w:t>法定代表人（签字或盖章） ：</w:t>
      </w:r>
      <w:r>
        <w:rPr>
          <w:rFonts w:hint="eastAsia" w:asciiTheme="majorEastAsia" w:hAnsiTheme="majorEastAsia" w:eastAsiaTheme="majorEastAsia" w:cstheme="majorEastAsia"/>
          <w:color w:val="auto"/>
          <w:spacing w:val="4"/>
          <w:sz w:val="24"/>
          <w:szCs w:val="24"/>
          <w:u w:val="single"/>
          <w:lang w:eastAsia="zh-CN"/>
        </w:rPr>
        <w:t xml:space="preserve">                </w:t>
      </w:r>
    </w:p>
    <w:p w14:paraId="0CA91163">
      <w:pPr>
        <w:spacing w:line="360" w:lineRule="auto"/>
        <w:ind w:left="1"/>
        <w:jc w:val="center"/>
        <w:rPr>
          <w:rFonts w:asciiTheme="majorEastAsia" w:hAnsiTheme="majorEastAsia" w:eastAsiaTheme="majorEastAsia" w:cstheme="majorEastAsia"/>
          <w:color w:val="auto"/>
          <w:spacing w:val="4"/>
          <w:sz w:val="24"/>
          <w:szCs w:val="24"/>
          <w:lang w:eastAsia="zh-CN"/>
        </w:rPr>
      </w:pPr>
      <w:r>
        <w:rPr>
          <w:rFonts w:hint="eastAsia" w:asciiTheme="majorEastAsia" w:hAnsiTheme="majorEastAsia" w:eastAsiaTheme="majorEastAsia" w:cstheme="majorEastAsia"/>
          <w:color w:val="auto"/>
          <w:spacing w:val="4"/>
          <w:sz w:val="24"/>
          <w:szCs w:val="24"/>
          <w:lang w:eastAsia="zh-CN"/>
        </w:rPr>
        <w:t xml:space="preserve">               </w:t>
      </w:r>
    </w:p>
    <w:p w14:paraId="4D0CB4DE">
      <w:pPr>
        <w:spacing w:line="360" w:lineRule="auto"/>
        <w:ind w:left="1"/>
        <w:jc w:val="center"/>
        <w:rPr>
          <w:rFonts w:asciiTheme="majorEastAsia" w:hAnsiTheme="majorEastAsia" w:eastAsiaTheme="majorEastAsia" w:cstheme="majorEastAsia"/>
          <w:color w:val="auto"/>
          <w:spacing w:val="4"/>
          <w:sz w:val="24"/>
          <w:szCs w:val="24"/>
          <w:lang w:eastAsia="zh-CN"/>
        </w:rPr>
      </w:pPr>
      <w:r>
        <w:rPr>
          <w:rFonts w:hint="eastAsia" w:asciiTheme="majorEastAsia" w:hAnsiTheme="majorEastAsia" w:eastAsiaTheme="majorEastAsia" w:cstheme="majorEastAsia"/>
          <w:color w:val="auto"/>
          <w:spacing w:val="4"/>
          <w:sz w:val="24"/>
          <w:szCs w:val="24"/>
          <w:lang w:eastAsia="zh-CN"/>
        </w:rPr>
        <w:t xml:space="preserve">                      </w:t>
      </w:r>
    </w:p>
    <w:p w14:paraId="7B83816F">
      <w:pPr>
        <w:spacing w:line="360" w:lineRule="auto"/>
        <w:ind w:left="1"/>
        <w:jc w:val="center"/>
        <w:rPr>
          <w:rFonts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spacing w:val="4"/>
          <w:sz w:val="24"/>
          <w:szCs w:val="24"/>
          <w:lang w:eastAsia="zh-CN"/>
        </w:rPr>
        <w:t xml:space="preserve">                                   日期：   年     月    日</w:t>
      </w:r>
    </w:p>
    <w:p w14:paraId="7F0988E4">
      <w:pPr>
        <w:pStyle w:val="3"/>
        <w:spacing w:line="416" w:lineRule="atLeast"/>
        <w:rPr>
          <w:rFonts w:asciiTheme="majorEastAsia" w:hAnsiTheme="majorEastAsia" w:eastAsiaTheme="majorEastAsia" w:cstheme="majorEastAsia"/>
          <w:color w:val="auto"/>
          <w:szCs w:val="22"/>
        </w:rPr>
      </w:pPr>
    </w:p>
    <w:p w14:paraId="2BD57F8D">
      <w:pPr>
        <w:rPr>
          <w:rFonts w:asciiTheme="majorEastAsia" w:hAnsiTheme="majorEastAsia" w:eastAsiaTheme="majorEastAsia" w:cstheme="majorEastAsia"/>
          <w:b/>
          <w:color w:val="auto"/>
          <w:szCs w:val="22"/>
          <w:lang w:eastAsia="zh-CN"/>
        </w:rPr>
      </w:pPr>
    </w:p>
    <w:p w14:paraId="388B0D47">
      <w:pPr>
        <w:pStyle w:val="3"/>
        <w:rPr>
          <w:rFonts w:asciiTheme="majorEastAsia" w:hAnsiTheme="majorEastAsia" w:eastAsiaTheme="majorEastAsia" w:cstheme="majorEastAsia"/>
          <w:color w:val="auto"/>
          <w:szCs w:val="22"/>
        </w:rPr>
      </w:pPr>
    </w:p>
    <w:p w14:paraId="49893A74">
      <w:pPr>
        <w:pStyle w:val="3"/>
        <w:jc w:val="both"/>
        <w:rPr>
          <w:rFonts w:asciiTheme="majorEastAsia" w:hAnsiTheme="majorEastAsia" w:eastAsiaTheme="majorEastAsia" w:cstheme="majorEastAsia"/>
          <w:color w:val="auto"/>
          <w:szCs w:val="22"/>
        </w:rPr>
      </w:pPr>
    </w:p>
    <w:p w14:paraId="30944FEE">
      <w:pPr>
        <w:rPr>
          <w:rFonts w:asciiTheme="majorEastAsia" w:hAnsiTheme="majorEastAsia" w:eastAsiaTheme="majorEastAsia" w:cstheme="majorEastAsia"/>
          <w:b/>
          <w:color w:val="auto"/>
          <w:szCs w:val="22"/>
          <w:lang w:eastAsia="zh-CN"/>
        </w:rPr>
      </w:pPr>
    </w:p>
    <w:p w14:paraId="44CB247E">
      <w:pPr>
        <w:rPr>
          <w:rFonts w:asciiTheme="majorEastAsia" w:hAnsiTheme="majorEastAsia" w:eastAsiaTheme="majorEastAsia" w:cstheme="majorEastAsia"/>
          <w:b/>
          <w:color w:val="auto"/>
          <w:szCs w:val="22"/>
          <w:lang w:eastAsia="zh-CN"/>
        </w:rPr>
      </w:pPr>
    </w:p>
    <w:p w14:paraId="4043D71B">
      <w:pPr>
        <w:rPr>
          <w:rFonts w:asciiTheme="majorEastAsia" w:hAnsiTheme="majorEastAsia" w:eastAsiaTheme="majorEastAsia" w:cstheme="majorEastAsia"/>
          <w:b/>
          <w:color w:val="auto"/>
          <w:szCs w:val="22"/>
          <w:lang w:eastAsia="zh-CN"/>
        </w:rPr>
      </w:pPr>
    </w:p>
    <w:p w14:paraId="059FFEC7">
      <w:pPr>
        <w:rPr>
          <w:rFonts w:asciiTheme="majorEastAsia" w:hAnsiTheme="majorEastAsia" w:eastAsiaTheme="majorEastAsia" w:cstheme="majorEastAsia"/>
          <w:b/>
          <w:color w:val="auto"/>
          <w:szCs w:val="22"/>
          <w:lang w:eastAsia="zh-CN"/>
        </w:rPr>
      </w:pPr>
    </w:p>
    <w:p w14:paraId="65FDD535">
      <w:pPr>
        <w:rPr>
          <w:rFonts w:asciiTheme="majorEastAsia" w:hAnsiTheme="majorEastAsia" w:eastAsiaTheme="majorEastAsia" w:cstheme="majorEastAsia"/>
          <w:b/>
          <w:color w:val="auto"/>
          <w:szCs w:val="22"/>
          <w:lang w:eastAsia="zh-CN"/>
        </w:rPr>
      </w:pPr>
    </w:p>
    <w:p w14:paraId="55E945F1">
      <w:pPr>
        <w:rPr>
          <w:rFonts w:asciiTheme="majorEastAsia" w:hAnsiTheme="majorEastAsia" w:eastAsiaTheme="majorEastAsia" w:cstheme="majorEastAsia"/>
          <w:b/>
          <w:color w:val="auto"/>
          <w:szCs w:val="22"/>
          <w:lang w:eastAsia="zh-CN"/>
        </w:rPr>
      </w:pPr>
    </w:p>
    <w:p w14:paraId="712D19C5">
      <w:pPr>
        <w:rPr>
          <w:rFonts w:asciiTheme="majorEastAsia" w:hAnsiTheme="majorEastAsia" w:eastAsiaTheme="majorEastAsia" w:cstheme="majorEastAsia"/>
          <w:b/>
          <w:color w:val="auto"/>
          <w:szCs w:val="22"/>
          <w:lang w:eastAsia="zh-CN"/>
        </w:rPr>
      </w:pPr>
    </w:p>
    <w:p w14:paraId="6A4297FE">
      <w:pPr>
        <w:pStyle w:val="3"/>
        <w:rPr>
          <w:rFonts w:asciiTheme="majorEastAsia" w:hAnsiTheme="majorEastAsia" w:eastAsiaTheme="majorEastAsia" w:cstheme="majorEastAsia"/>
          <w:color w:val="auto"/>
          <w:sz w:val="36"/>
          <w:szCs w:val="24"/>
        </w:rPr>
      </w:pPr>
    </w:p>
    <w:p w14:paraId="17CDEE2D">
      <w:pPr>
        <w:rPr>
          <w:rFonts w:asciiTheme="majorEastAsia" w:hAnsiTheme="majorEastAsia" w:eastAsiaTheme="majorEastAsia" w:cstheme="majorEastAsia"/>
          <w:b/>
          <w:color w:val="auto"/>
          <w:sz w:val="36"/>
          <w:szCs w:val="24"/>
          <w:lang w:eastAsia="zh-CN"/>
        </w:rPr>
      </w:pPr>
    </w:p>
    <w:p w14:paraId="5236F456">
      <w:pPr>
        <w:rPr>
          <w:rFonts w:asciiTheme="majorEastAsia" w:hAnsiTheme="majorEastAsia" w:eastAsiaTheme="majorEastAsia" w:cstheme="majorEastAsia"/>
          <w:b/>
          <w:color w:val="auto"/>
          <w:sz w:val="36"/>
          <w:szCs w:val="24"/>
          <w:lang w:eastAsia="zh-CN"/>
        </w:rPr>
      </w:pPr>
    </w:p>
    <w:p w14:paraId="214865BB">
      <w:pPr>
        <w:rPr>
          <w:rFonts w:asciiTheme="majorEastAsia" w:hAnsiTheme="majorEastAsia" w:eastAsiaTheme="majorEastAsia" w:cstheme="majorEastAsia"/>
          <w:b/>
          <w:color w:val="auto"/>
          <w:sz w:val="36"/>
          <w:szCs w:val="24"/>
          <w:lang w:eastAsia="zh-CN"/>
        </w:rPr>
      </w:pPr>
    </w:p>
    <w:p w14:paraId="71736C48">
      <w:pPr>
        <w:rPr>
          <w:rFonts w:asciiTheme="majorEastAsia" w:hAnsiTheme="majorEastAsia" w:eastAsiaTheme="majorEastAsia" w:cstheme="majorEastAsia"/>
          <w:b/>
          <w:color w:val="auto"/>
          <w:sz w:val="36"/>
          <w:szCs w:val="24"/>
          <w:lang w:eastAsia="zh-CN"/>
        </w:rPr>
      </w:pPr>
    </w:p>
    <w:p w14:paraId="740DEC95">
      <w:pPr>
        <w:pStyle w:val="3"/>
        <w:rPr>
          <w:rFonts w:asciiTheme="majorEastAsia" w:hAnsiTheme="majorEastAsia" w:eastAsiaTheme="majorEastAsia" w:cstheme="majorEastAsia"/>
          <w:color w:val="auto"/>
          <w:sz w:val="36"/>
          <w:szCs w:val="24"/>
        </w:rPr>
      </w:pPr>
    </w:p>
    <w:p w14:paraId="5539F5A8">
      <w:pPr>
        <w:rPr>
          <w:color w:val="auto"/>
          <w:lang w:eastAsia="zh-CN"/>
        </w:rPr>
      </w:pPr>
    </w:p>
    <w:p w14:paraId="2B920CAB">
      <w:pPr>
        <w:rPr>
          <w:rFonts w:asciiTheme="majorEastAsia" w:hAnsiTheme="majorEastAsia" w:eastAsiaTheme="majorEastAsia" w:cstheme="majorEastAsia"/>
          <w:b/>
          <w:color w:val="auto"/>
          <w:szCs w:val="22"/>
          <w:lang w:eastAsia="zh-CN"/>
        </w:rPr>
      </w:pPr>
      <w:r>
        <w:rPr>
          <w:rFonts w:hint="eastAsia" w:asciiTheme="majorEastAsia" w:hAnsiTheme="majorEastAsia" w:eastAsiaTheme="majorEastAsia" w:cstheme="majorEastAsia"/>
          <w:b/>
          <w:color w:val="auto"/>
          <w:sz w:val="22"/>
          <w:szCs w:val="24"/>
          <w:lang w:eastAsia="zh-CN"/>
        </w:rPr>
        <w:t xml:space="preserve">              </w:t>
      </w:r>
    </w:p>
    <w:p w14:paraId="1CFCBF69">
      <w:pPr>
        <w:wordWrap w:val="0"/>
        <w:ind w:left="843" w:hanging="843" w:hangingChars="300"/>
        <w:outlineLvl w:val="1"/>
        <w:rPr>
          <w:rFonts w:asciiTheme="majorEastAsia" w:hAnsiTheme="majorEastAsia" w:eastAsiaTheme="majorEastAsia" w:cstheme="majorEastAsia"/>
          <w:color w:val="auto"/>
          <w:sz w:val="28"/>
          <w:szCs w:val="28"/>
          <w:lang w:eastAsia="zh-CN" w:bidi="ar"/>
        </w:rPr>
      </w:pPr>
      <w:bookmarkStart w:id="23" w:name="_Toc566"/>
      <w:r>
        <w:rPr>
          <w:rFonts w:hint="eastAsia" w:asciiTheme="majorEastAsia" w:hAnsiTheme="majorEastAsia" w:eastAsiaTheme="majorEastAsia" w:cstheme="majorEastAsia"/>
          <w:b/>
          <w:bCs/>
          <w:color w:val="auto"/>
          <w:sz w:val="28"/>
          <w:szCs w:val="28"/>
          <w:lang w:eastAsia="zh-CN" w:bidi="ar"/>
        </w:rPr>
        <w:t>附件4：</w:t>
      </w:r>
      <w:bookmarkEnd w:id="23"/>
      <w:r>
        <w:rPr>
          <w:rFonts w:hint="eastAsia" w:asciiTheme="majorEastAsia" w:hAnsiTheme="majorEastAsia" w:eastAsiaTheme="majorEastAsia" w:cstheme="majorEastAsia"/>
          <w:color w:val="auto"/>
          <w:sz w:val="28"/>
          <w:szCs w:val="28"/>
          <w:lang w:eastAsia="zh-CN" w:bidi="ar"/>
        </w:rPr>
        <w:t xml:space="preserve">                     </w:t>
      </w:r>
    </w:p>
    <w:p w14:paraId="2747D6F8">
      <w:pPr>
        <w:wordWrap w:val="0"/>
        <w:ind w:left="843" w:hanging="843" w:hangingChars="300"/>
        <w:jc w:val="center"/>
        <w:rPr>
          <w:rFonts w:asciiTheme="majorEastAsia" w:hAnsiTheme="majorEastAsia" w:eastAsiaTheme="majorEastAsia" w:cstheme="majorEastAsia"/>
          <w:b/>
          <w:bCs/>
          <w:color w:val="auto"/>
          <w:sz w:val="28"/>
          <w:szCs w:val="28"/>
          <w:lang w:eastAsia="zh-CN" w:bidi="ar"/>
        </w:rPr>
      </w:pPr>
      <w:r>
        <w:rPr>
          <w:rFonts w:hint="eastAsia" w:asciiTheme="majorEastAsia" w:hAnsiTheme="majorEastAsia" w:eastAsiaTheme="majorEastAsia" w:cstheme="majorEastAsia"/>
          <w:b/>
          <w:bCs/>
          <w:color w:val="auto"/>
          <w:sz w:val="28"/>
          <w:szCs w:val="28"/>
          <w:lang w:eastAsia="zh-CN" w:bidi="ar"/>
        </w:rPr>
        <w:t>非联合体投标声明</w:t>
      </w:r>
    </w:p>
    <w:p w14:paraId="0A0EA7F0">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p>
    <w:p w14:paraId="6F4D4C5F">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本招标项目招标人及招标监管机构：</w:t>
      </w:r>
    </w:p>
    <w:p w14:paraId="0377BC78">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 xml:space="preserve">   本公司就参加投标工作，作出郑重声明：</w:t>
      </w:r>
    </w:p>
    <w:p w14:paraId="2386070F">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一、本公司保证投标报名材料及其后提供的一切材料都是真实的。</w:t>
      </w:r>
    </w:p>
    <w:p w14:paraId="67C99E84">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二、本公司保证在本项目投标中不与其他单位围标、串标，不出让投标资格，不向招标人或评标委员会成员行贿。</w:t>
      </w:r>
    </w:p>
    <w:p w14:paraId="3CD32683">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w:t>
      </w:r>
    </w:p>
    <w:p w14:paraId="0B795366">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四、本公司保证本项目并非联合体投标，本项目施工由本公司独立承担。本公司违反上述保证，或本声明陈述与事实不符，经查实，本公司愿意接受公开通报，承担由此带来的法律后果，并自愿停止参加招标投标活动三个月。</w:t>
      </w:r>
    </w:p>
    <w:p w14:paraId="4881216F">
      <w:pPr>
        <w:wordWrap w:val="0"/>
        <w:spacing w:line="360" w:lineRule="auto"/>
        <w:ind w:left="240" w:hanging="240" w:hangingChars="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 xml:space="preserve">   </w:t>
      </w:r>
    </w:p>
    <w:p w14:paraId="1CEC6DB4">
      <w:pPr>
        <w:wordWrap w:val="0"/>
        <w:spacing w:line="480" w:lineRule="auto"/>
        <w:ind w:left="5575" w:leftChars="255" w:hanging="5040" w:hangingChars="2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特此声明</w:t>
      </w:r>
    </w:p>
    <w:p w14:paraId="353945B8">
      <w:pPr>
        <w:wordWrap w:val="0"/>
        <w:spacing w:line="480" w:lineRule="auto"/>
        <w:ind w:left="5575" w:leftChars="255" w:hanging="5040" w:hangingChars="2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声明企业：(企业公章)</w:t>
      </w:r>
    </w:p>
    <w:p w14:paraId="71346794">
      <w:pPr>
        <w:wordWrap w:val="0"/>
        <w:spacing w:line="480" w:lineRule="auto"/>
        <w:ind w:left="5575" w:leftChars="255" w:hanging="5040" w:hangingChars="2100"/>
        <w:rPr>
          <w:rFonts w:asciiTheme="majorEastAsia" w:hAnsiTheme="majorEastAsia" w:eastAsiaTheme="majorEastAsia" w:cstheme="majorEastAsia"/>
          <w:color w:val="auto"/>
          <w:sz w:val="24"/>
          <w:szCs w:val="24"/>
          <w:lang w:eastAsia="zh-CN" w:bidi="ar"/>
        </w:rPr>
      </w:pPr>
    </w:p>
    <w:p w14:paraId="02767A67">
      <w:pPr>
        <w:wordWrap w:val="0"/>
        <w:spacing w:line="480" w:lineRule="auto"/>
        <w:ind w:left="5575" w:leftChars="255" w:hanging="5040" w:hangingChars="21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法定代表人签字：</w:t>
      </w:r>
    </w:p>
    <w:p w14:paraId="1642689C">
      <w:pPr>
        <w:wordWrap w:val="0"/>
        <w:spacing w:line="480" w:lineRule="auto"/>
        <w:ind w:left="5637" w:leftChars="170" w:hanging="5280" w:hangingChars="2200"/>
        <w:rPr>
          <w:rFonts w:asciiTheme="majorEastAsia" w:hAnsiTheme="majorEastAsia" w:eastAsiaTheme="majorEastAsia" w:cstheme="majorEastAsia"/>
          <w:color w:val="auto"/>
          <w:sz w:val="24"/>
          <w:szCs w:val="24"/>
          <w:lang w:eastAsia="zh-CN" w:bidi="ar"/>
        </w:rPr>
      </w:pPr>
      <w:r>
        <w:rPr>
          <w:rFonts w:hint="eastAsia" w:asciiTheme="majorEastAsia" w:hAnsiTheme="majorEastAsia" w:eastAsiaTheme="majorEastAsia" w:cstheme="majorEastAsia"/>
          <w:color w:val="auto"/>
          <w:sz w:val="24"/>
          <w:szCs w:val="24"/>
          <w:lang w:eastAsia="zh-CN" w:bidi="ar"/>
        </w:rPr>
        <w:t xml:space="preserve">                                                        年  月  日</w:t>
      </w:r>
    </w:p>
    <w:p w14:paraId="0CB3DC14">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B0EA69B">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2C1A831E">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024E4A7">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72648A78">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16211974">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0EDA345C">
      <w:pPr>
        <w:spacing w:before="117" w:line="223" w:lineRule="auto"/>
        <w:ind w:left="3274"/>
        <w:outlineLvl w:val="0"/>
        <w:rPr>
          <w:rFonts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pPr>
    </w:p>
    <w:p w14:paraId="64177042">
      <w:pPr>
        <w:spacing w:before="117" w:line="226" w:lineRule="auto"/>
        <w:ind w:left="3235"/>
        <w:outlineLvl w:val="0"/>
        <w:rPr>
          <w:rFonts w:ascii="宋体" w:hAnsi="宋体" w:eastAsia="宋体" w:cs="宋体"/>
          <w:color w:val="auto"/>
          <w:sz w:val="31"/>
          <w:szCs w:val="31"/>
          <w:lang w:eastAsia="zh-CN"/>
        </w:rPr>
      </w:pPr>
      <w:r>
        <w:rPr>
          <w:rFonts w:hint="eastAsia"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四</w:t>
      </w:r>
      <w:r>
        <w:rPr>
          <w:rFonts w:ascii="宋体" w:hAnsi="宋体" w:eastAsia="宋体" w:cs="宋体"/>
          <w:color w:val="auto"/>
          <w:spacing w:val="9"/>
          <w:sz w:val="31"/>
          <w:szCs w:val="31"/>
          <w14:textOutline w14:w="5791" w14:cap="sq" w14:cmpd="sng" w14:algn="ctr">
            <w14:solidFill>
              <w14:srgbClr w14:val="000000"/>
            </w14:solidFill>
            <w14:prstDash w14:val="solid"/>
            <w14:bevel/>
          </w14:textOutline>
        </w:rPr>
        <w:t>、</w:t>
      </w:r>
      <w:r>
        <w:rPr>
          <w:rFonts w:hint="eastAsia"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投标方案</w:t>
      </w:r>
    </w:p>
    <w:p w14:paraId="723A6EB6">
      <w:pPr>
        <w:pStyle w:val="9"/>
        <w:spacing w:line="291" w:lineRule="auto"/>
        <w:rPr>
          <w:color w:val="auto"/>
        </w:rPr>
      </w:pPr>
    </w:p>
    <w:p w14:paraId="46B63B0C">
      <w:pPr>
        <w:numPr>
          <w:ilvl w:val="0"/>
          <w:numId w:val="8"/>
        </w:numPr>
        <w:spacing w:line="360" w:lineRule="auto"/>
        <w:outlineLvl w:val="1"/>
        <w:rPr>
          <w:rFonts w:asciiTheme="majorEastAsia" w:hAnsiTheme="majorEastAsia" w:eastAsiaTheme="majorEastAsia" w:cstheme="majorEastAsia"/>
          <w:b/>
          <w:bCs/>
          <w:color w:val="auto"/>
          <w:kern w:val="2"/>
          <w:sz w:val="24"/>
          <w:szCs w:val="36"/>
          <w:lang w:eastAsia="zh-CN"/>
        </w:rPr>
      </w:pPr>
      <w:bookmarkStart w:id="24" w:name="_Toc11048"/>
      <w:r>
        <w:rPr>
          <w:rFonts w:hint="eastAsia" w:asciiTheme="majorEastAsia" w:hAnsiTheme="majorEastAsia" w:eastAsiaTheme="majorEastAsia" w:cstheme="majorEastAsia"/>
          <w:b/>
          <w:bCs/>
          <w:color w:val="auto"/>
          <w:kern w:val="2"/>
          <w:sz w:val="24"/>
          <w:szCs w:val="36"/>
          <w:lang w:eastAsia="zh-CN"/>
        </w:rPr>
        <w:t>商务响应</w:t>
      </w:r>
      <w:bookmarkEnd w:id="24"/>
    </w:p>
    <w:p w14:paraId="580409CF">
      <w:pPr>
        <w:numPr>
          <w:ilvl w:val="0"/>
          <w:numId w:val="8"/>
        </w:numPr>
        <w:spacing w:line="360" w:lineRule="auto"/>
        <w:outlineLvl w:val="1"/>
        <w:rPr>
          <w:rFonts w:asciiTheme="majorEastAsia" w:hAnsiTheme="majorEastAsia" w:eastAsiaTheme="majorEastAsia" w:cstheme="majorEastAsia"/>
          <w:b/>
          <w:bCs/>
          <w:color w:val="auto"/>
          <w:kern w:val="2"/>
          <w:sz w:val="24"/>
          <w:szCs w:val="36"/>
          <w:lang w:eastAsia="zh-CN"/>
        </w:rPr>
      </w:pPr>
      <w:r>
        <w:rPr>
          <w:rFonts w:hint="eastAsia" w:asciiTheme="majorEastAsia" w:hAnsiTheme="majorEastAsia" w:eastAsiaTheme="majorEastAsia" w:cstheme="majorEastAsia"/>
          <w:b/>
          <w:bCs/>
          <w:color w:val="auto"/>
          <w:kern w:val="2"/>
          <w:sz w:val="24"/>
          <w:szCs w:val="36"/>
          <w:lang w:eastAsia="zh-CN"/>
        </w:rPr>
        <w:t>投标方案</w:t>
      </w:r>
    </w:p>
    <w:p w14:paraId="352D1817">
      <w:pPr>
        <w:pStyle w:val="17"/>
        <w:ind w:left="0" w:leftChars="0" w:firstLine="0" w:firstLineChars="0"/>
        <w:rPr>
          <w:rFonts w:eastAsia="宋体"/>
          <w:color w:val="auto"/>
          <w:lang w:eastAsia="zh-CN"/>
        </w:rPr>
        <w:sectPr>
          <w:footerReference r:id="rId10" w:type="default"/>
          <w:pgSz w:w="11906" w:h="16839"/>
          <w:pgMar w:top="1431" w:right="1639" w:bottom="1167" w:left="1447" w:header="0" w:footer="987" w:gutter="0"/>
          <w:cols w:space="720" w:num="1"/>
        </w:sectPr>
      </w:pPr>
      <w:r>
        <w:rPr>
          <w:rFonts w:hint="eastAsia" w:ascii="宋体" w:hAnsi="宋体" w:eastAsia="宋体" w:cs="宋体"/>
          <w:color w:val="auto"/>
          <w:sz w:val="24"/>
          <w:szCs w:val="24"/>
          <w:lang w:eastAsia="zh-CN"/>
        </w:rPr>
        <w:t>各供应商根据评标办法内容进行投标方案制作，格式不限。</w:t>
      </w:r>
    </w:p>
    <w:p w14:paraId="4AEDF989">
      <w:pPr>
        <w:spacing w:line="480" w:lineRule="exact"/>
        <w:jc w:val="center"/>
        <w:rPr>
          <w:rFonts w:asciiTheme="majorEastAsia" w:hAnsiTheme="majorEastAsia" w:eastAsiaTheme="majorEastAsia" w:cstheme="majorEastAsia"/>
          <w:b/>
          <w:bCs/>
          <w:color w:val="auto"/>
          <w:sz w:val="32"/>
          <w:szCs w:val="32"/>
          <w:lang w:eastAsia="zh-CN"/>
        </w:rPr>
      </w:pPr>
      <w:bookmarkStart w:id="25" w:name="_Toc31026"/>
      <w:bookmarkStart w:id="26" w:name="_Toc8825_WPSOffice_Level1"/>
      <w:r>
        <w:rPr>
          <w:rFonts w:hint="eastAsia" w:asciiTheme="majorEastAsia" w:hAnsiTheme="majorEastAsia" w:eastAsiaTheme="majorEastAsia" w:cstheme="majorEastAsia"/>
          <w:b/>
          <w:bCs/>
          <w:color w:val="auto"/>
          <w:sz w:val="32"/>
          <w:szCs w:val="32"/>
          <w:lang w:eastAsia="zh-CN"/>
        </w:rPr>
        <w:t>五、投标人近三年类似项目业绩</w:t>
      </w:r>
    </w:p>
    <w:p w14:paraId="268ADEC7">
      <w:pPr>
        <w:pStyle w:val="3"/>
        <w:spacing w:line="415" w:lineRule="auto"/>
        <w:rPr>
          <w:rFonts w:asciiTheme="majorEastAsia" w:hAnsiTheme="majorEastAsia" w:eastAsiaTheme="majorEastAsia" w:cstheme="majorEastAsia"/>
          <w:color w:val="auto"/>
          <w:sz w:val="24"/>
          <w:szCs w:val="24"/>
        </w:rPr>
      </w:pPr>
    </w:p>
    <w:p w14:paraId="3891423F">
      <w:pPr>
        <w:topLinePunct/>
        <w:spacing w:line="440" w:lineRule="exact"/>
        <w:ind w:firstLine="480" w:firstLineChars="200"/>
        <w:jc w:val="both"/>
        <w:rPr>
          <w:rFonts w:asciiTheme="majorEastAsia" w:hAnsiTheme="majorEastAsia" w:eastAsiaTheme="majorEastAsia" w:cstheme="majorEastAsia"/>
          <w:color w:val="auto"/>
          <w:sz w:val="24"/>
          <w:szCs w:val="20"/>
          <w:lang w:eastAsia="zh-CN"/>
        </w:rPr>
      </w:pPr>
      <w:r>
        <w:rPr>
          <w:rFonts w:hint="eastAsia" w:asciiTheme="majorEastAsia" w:hAnsiTheme="majorEastAsia" w:eastAsiaTheme="majorEastAsia" w:cstheme="majorEastAsia"/>
          <w:color w:val="auto"/>
          <w:sz w:val="24"/>
          <w:szCs w:val="20"/>
          <w:lang w:eastAsia="zh-CN"/>
        </w:rPr>
        <w:t xml:space="preserve">         项目业绩须附中标通知书或合同协议书。</w:t>
      </w:r>
    </w:p>
    <w:p w14:paraId="37A74F71">
      <w:pPr>
        <w:jc w:val="center"/>
        <w:outlineLvl w:val="0"/>
        <w:rPr>
          <w:rFonts w:asciiTheme="majorEastAsia" w:hAnsiTheme="majorEastAsia" w:eastAsiaTheme="majorEastAsia" w:cstheme="majorEastAsia"/>
          <w:b/>
          <w:bCs/>
          <w:color w:val="auto"/>
          <w:sz w:val="32"/>
          <w:szCs w:val="32"/>
          <w:lang w:eastAsia="zh-CN"/>
        </w:rPr>
      </w:pPr>
    </w:p>
    <w:p w14:paraId="289F72C0">
      <w:pPr>
        <w:jc w:val="center"/>
        <w:outlineLvl w:val="0"/>
        <w:rPr>
          <w:rFonts w:asciiTheme="majorEastAsia" w:hAnsiTheme="majorEastAsia" w:eastAsiaTheme="majorEastAsia" w:cstheme="majorEastAsia"/>
          <w:b/>
          <w:bCs/>
          <w:color w:val="auto"/>
          <w:sz w:val="32"/>
          <w:szCs w:val="32"/>
          <w:lang w:eastAsia="zh-CN"/>
        </w:rPr>
      </w:pPr>
    </w:p>
    <w:p w14:paraId="0801FB48">
      <w:pPr>
        <w:jc w:val="center"/>
        <w:outlineLvl w:val="0"/>
        <w:rPr>
          <w:rFonts w:asciiTheme="majorEastAsia" w:hAnsiTheme="majorEastAsia" w:eastAsiaTheme="majorEastAsia" w:cstheme="majorEastAsia"/>
          <w:b/>
          <w:bCs/>
          <w:color w:val="auto"/>
          <w:sz w:val="32"/>
          <w:szCs w:val="32"/>
          <w:lang w:eastAsia="zh-CN"/>
        </w:rPr>
      </w:pPr>
    </w:p>
    <w:p w14:paraId="4F11B03A">
      <w:pPr>
        <w:jc w:val="center"/>
        <w:outlineLvl w:val="0"/>
        <w:rPr>
          <w:rFonts w:asciiTheme="majorEastAsia" w:hAnsiTheme="majorEastAsia" w:eastAsiaTheme="majorEastAsia" w:cstheme="majorEastAsia"/>
          <w:b/>
          <w:bCs/>
          <w:color w:val="auto"/>
          <w:sz w:val="32"/>
          <w:szCs w:val="32"/>
          <w:lang w:eastAsia="zh-CN"/>
        </w:rPr>
      </w:pPr>
    </w:p>
    <w:p w14:paraId="74A28E50">
      <w:pPr>
        <w:jc w:val="center"/>
        <w:outlineLvl w:val="0"/>
        <w:rPr>
          <w:rFonts w:asciiTheme="majorEastAsia" w:hAnsiTheme="majorEastAsia" w:eastAsiaTheme="majorEastAsia" w:cstheme="majorEastAsia"/>
          <w:b/>
          <w:bCs/>
          <w:color w:val="auto"/>
          <w:sz w:val="32"/>
          <w:szCs w:val="32"/>
          <w:lang w:eastAsia="zh-CN"/>
        </w:rPr>
      </w:pPr>
    </w:p>
    <w:p w14:paraId="1B3A8CD3">
      <w:pPr>
        <w:jc w:val="center"/>
        <w:outlineLvl w:val="0"/>
        <w:rPr>
          <w:rFonts w:asciiTheme="majorEastAsia" w:hAnsiTheme="majorEastAsia" w:eastAsiaTheme="majorEastAsia" w:cstheme="majorEastAsia"/>
          <w:b/>
          <w:bCs/>
          <w:color w:val="auto"/>
          <w:sz w:val="32"/>
          <w:szCs w:val="32"/>
          <w:lang w:eastAsia="zh-CN"/>
        </w:rPr>
      </w:pPr>
    </w:p>
    <w:p w14:paraId="30393493">
      <w:pPr>
        <w:jc w:val="center"/>
        <w:outlineLvl w:val="0"/>
        <w:rPr>
          <w:rFonts w:asciiTheme="majorEastAsia" w:hAnsiTheme="majorEastAsia" w:eastAsiaTheme="majorEastAsia" w:cstheme="majorEastAsia"/>
          <w:b/>
          <w:bCs/>
          <w:color w:val="auto"/>
          <w:sz w:val="32"/>
          <w:szCs w:val="32"/>
          <w:lang w:eastAsia="zh-CN"/>
        </w:rPr>
      </w:pPr>
    </w:p>
    <w:p w14:paraId="1DA2AE8A">
      <w:pPr>
        <w:pStyle w:val="17"/>
        <w:ind w:firstLine="643"/>
        <w:rPr>
          <w:rFonts w:asciiTheme="majorEastAsia" w:hAnsiTheme="majorEastAsia" w:eastAsiaTheme="majorEastAsia" w:cstheme="majorEastAsia"/>
          <w:b/>
          <w:bCs/>
          <w:color w:val="auto"/>
          <w:sz w:val="32"/>
          <w:szCs w:val="32"/>
          <w:lang w:eastAsia="zh-CN"/>
        </w:rPr>
      </w:pPr>
    </w:p>
    <w:p w14:paraId="050EB463">
      <w:pPr>
        <w:pStyle w:val="17"/>
        <w:ind w:firstLine="643"/>
        <w:rPr>
          <w:rFonts w:asciiTheme="majorEastAsia" w:hAnsiTheme="majorEastAsia" w:eastAsiaTheme="majorEastAsia" w:cstheme="majorEastAsia"/>
          <w:b/>
          <w:bCs/>
          <w:color w:val="auto"/>
          <w:sz w:val="32"/>
          <w:szCs w:val="32"/>
          <w:lang w:eastAsia="zh-CN"/>
        </w:rPr>
      </w:pPr>
    </w:p>
    <w:p w14:paraId="202ADBAF">
      <w:pPr>
        <w:pStyle w:val="17"/>
        <w:ind w:firstLine="643"/>
        <w:rPr>
          <w:rFonts w:asciiTheme="majorEastAsia" w:hAnsiTheme="majorEastAsia" w:eastAsiaTheme="majorEastAsia" w:cstheme="majorEastAsia"/>
          <w:b/>
          <w:bCs/>
          <w:color w:val="auto"/>
          <w:sz w:val="32"/>
          <w:szCs w:val="32"/>
          <w:lang w:eastAsia="zh-CN"/>
        </w:rPr>
      </w:pPr>
    </w:p>
    <w:p w14:paraId="273A9860">
      <w:pPr>
        <w:pStyle w:val="17"/>
        <w:ind w:firstLine="643"/>
        <w:rPr>
          <w:rFonts w:asciiTheme="majorEastAsia" w:hAnsiTheme="majorEastAsia" w:eastAsiaTheme="majorEastAsia" w:cstheme="majorEastAsia"/>
          <w:b/>
          <w:bCs/>
          <w:color w:val="auto"/>
          <w:sz w:val="32"/>
          <w:szCs w:val="32"/>
          <w:lang w:eastAsia="zh-CN"/>
        </w:rPr>
      </w:pPr>
    </w:p>
    <w:p w14:paraId="0DF45F83">
      <w:pPr>
        <w:pStyle w:val="17"/>
        <w:ind w:firstLine="643"/>
        <w:rPr>
          <w:rFonts w:asciiTheme="majorEastAsia" w:hAnsiTheme="majorEastAsia" w:eastAsiaTheme="majorEastAsia" w:cstheme="majorEastAsia"/>
          <w:b/>
          <w:bCs/>
          <w:color w:val="auto"/>
          <w:sz w:val="32"/>
          <w:szCs w:val="32"/>
          <w:lang w:eastAsia="zh-CN"/>
        </w:rPr>
      </w:pPr>
    </w:p>
    <w:p w14:paraId="7300E6C0">
      <w:pPr>
        <w:pStyle w:val="17"/>
        <w:ind w:firstLine="643"/>
        <w:rPr>
          <w:rFonts w:asciiTheme="majorEastAsia" w:hAnsiTheme="majorEastAsia" w:eastAsiaTheme="majorEastAsia" w:cstheme="majorEastAsia"/>
          <w:b/>
          <w:bCs/>
          <w:color w:val="auto"/>
          <w:sz w:val="32"/>
          <w:szCs w:val="32"/>
          <w:lang w:eastAsia="zh-CN"/>
        </w:rPr>
      </w:pPr>
    </w:p>
    <w:p w14:paraId="04A13C81">
      <w:pPr>
        <w:pStyle w:val="17"/>
        <w:ind w:firstLine="643"/>
        <w:rPr>
          <w:rFonts w:asciiTheme="majorEastAsia" w:hAnsiTheme="majorEastAsia" w:eastAsiaTheme="majorEastAsia" w:cstheme="majorEastAsia"/>
          <w:b/>
          <w:bCs/>
          <w:color w:val="auto"/>
          <w:sz w:val="32"/>
          <w:szCs w:val="32"/>
          <w:lang w:eastAsia="zh-CN"/>
        </w:rPr>
      </w:pPr>
    </w:p>
    <w:p w14:paraId="389AD1F1">
      <w:pPr>
        <w:pStyle w:val="17"/>
        <w:ind w:firstLine="643"/>
        <w:rPr>
          <w:rFonts w:asciiTheme="majorEastAsia" w:hAnsiTheme="majorEastAsia" w:eastAsiaTheme="majorEastAsia" w:cstheme="majorEastAsia"/>
          <w:b/>
          <w:bCs/>
          <w:color w:val="auto"/>
          <w:sz w:val="32"/>
          <w:szCs w:val="32"/>
          <w:lang w:eastAsia="zh-CN"/>
        </w:rPr>
      </w:pPr>
    </w:p>
    <w:p w14:paraId="2674E36B">
      <w:pPr>
        <w:pStyle w:val="17"/>
        <w:ind w:firstLine="643"/>
        <w:rPr>
          <w:rFonts w:asciiTheme="majorEastAsia" w:hAnsiTheme="majorEastAsia" w:eastAsiaTheme="majorEastAsia" w:cstheme="majorEastAsia"/>
          <w:b/>
          <w:bCs/>
          <w:color w:val="auto"/>
          <w:sz w:val="32"/>
          <w:szCs w:val="32"/>
          <w:lang w:eastAsia="zh-CN"/>
        </w:rPr>
      </w:pPr>
    </w:p>
    <w:p w14:paraId="6D4543AE">
      <w:pPr>
        <w:pStyle w:val="17"/>
        <w:ind w:firstLine="643"/>
        <w:rPr>
          <w:rFonts w:asciiTheme="majorEastAsia" w:hAnsiTheme="majorEastAsia" w:eastAsiaTheme="majorEastAsia" w:cstheme="majorEastAsia"/>
          <w:b/>
          <w:bCs/>
          <w:color w:val="auto"/>
          <w:sz w:val="32"/>
          <w:szCs w:val="32"/>
          <w:lang w:eastAsia="zh-CN"/>
        </w:rPr>
      </w:pPr>
    </w:p>
    <w:p w14:paraId="154252D0">
      <w:pPr>
        <w:pStyle w:val="17"/>
        <w:ind w:firstLine="643"/>
        <w:rPr>
          <w:rFonts w:asciiTheme="majorEastAsia" w:hAnsiTheme="majorEastAsia" w:eastAsiaTheme="majorEastAsia" w:cstheme="majorEastAsia"/>
          <w:b/>
          <w:bCs/>
          <w:color w:val="auto"/>
          <w:sz w:val="32"/>
          <w:szCs w:val="32"/>
          <w:lang w:eastAsia="zh-CN"/>
        </w:rPr>
      </w:pPr>
    </w:p>
    <w:p w14:paraId="2C6FBEEB">
      <w:pPr>
        <w:pStyle w:val="17"/>
        <w:ind w:firstLine="643"/>
        <w:rPr>
          <w:rFonts w:asciiTheme="majorEastAsia" w:hAnsiTheme="majorEastAsia" w:eastAsiaTheme="majorEastAsia" w:cstheme="majorEastAsia"/>
          <w:b/>
          <w:bCs/>
          <w:color w:val="auto"/>
          <w:sz w:val="32"/>
          <w:szCs w:val="32"/>
          <w:lang w:eastAsia="zh-CN"/>
        </w:rPr>
      </w:pPr>
    </w:p>
    <w:p w14:paraId="55FC108A">
      <w:pPr>
        <w:pStyle w:val="17"/>
        <w:ind w:firstLine="643"/>
        <w:rPr>
          <w:rFonts w:asciiTheme="majorEastAsia" w:hAnsiTheme="majorEastAsia" w:eastAsiaTheme="majorEastAsia" w:cstheme="majorEastAsia"/>
          <w:b/>
          <w:bCs/>
          <w:color w:val="auto"/>
          <w:sz w:val="32"/>
          <w:szCs w:val="32"/>
          <w:lang w:eastAsia="zh-CN"/>
        </w:rPr>
      </w:pPr>
    </w:p>
    <w:p w14:paraId="42136FCD">
      <w:pPr>
        <w:pStyle w:val="17"/>
        <w:ind w:firstLine="643"/>
        <w:rPr>
          <w:rFonts w:asciiTheme="majorEastAsia" w:hAnsiTheme="majorEastAsia" w:eastAsiaTheme="majorEastAsia" w:cstheme="majorEastAsia"/>
          <w:b/>
          <w:bCs/>
          <w:color w:val="auto"/>
          <w:sz w:val="32"/>
          <w:szCs w:val="32"/>
          <w:lang w:eastAsia="zh-CN"/>
        </w:rPr>
      </w:pPr>
    </w:p>
    <w:p w14:paraId="7EB4D400">
      <w:pPr>
        <w:pStyle w:val="17"/>
        <w:ind w:firstLine="643"/>
        <w:rPr>
          <w:rFonts w:asciiTheme="majorEastAsia" w:hAnsiTheme="majorEastAsia" w:eastAsiaTheme="majorEastAsia" w:cstheme="majorEastAsia"/>
          <w:b/>
          <w:bCs/>
          <w:color w:val="auto"/>
          <w:sz w:val="32"/>
          <w:szCs w:val="32"/>
          <w:lang w:eastAsia="zh-CN"/>
        </w:rPr>
      </w:pPr>
    </w:p>
    <w:p w14:paraId="7A35FD9B">
      <w:pPr>
        <w:jc w:val="center"/>
        <w:outlineLvl w:val="0"/>
        <w:rPr>
          <w:rFonts w:asciiTheme="majorEastAsia" w:hAnsiTheme="majorEastAsia" w:eastAsiaTheme="majorEastAsia" w:cstheme="majorEastAsia"/>
          <w:b/>
          <w:bCs/>
          <w:color w:val="auto"/>
          <w:sz w:val="32"/>
          <w:szCs w:val="32"/>
          <w:lang w:eastAsia="zh-CN"/>
        </w:rPr>
      </w:pPr>
    </w:p>
    <w:p w14:paraId="044F1C06">
      <w:pPr>
        <w:jc w:val="center"/>
        <w:outlineLvl w:val="0"/>
        <w:rPr>
          <w:rFonts w:asciiTheme="majorEastAsia" w:hAnsiTheme="majorEastAsia" w:eastAsiaTheme="majorEastAsia" w:cstheme="majorEastAsia"/>
          <w:b/>
          <w:bCs/>
          <w:color w:val="auto"/>
          <w:sz w:val="32"/>
          <w:szCs w:val="32"/>
          <w:lang w:eastAsia="zh-CN"/>
        </w:rPr>
      </w:pPr>
    </w:p>
    <w:p w14:paraId="69F2B744">
      <w:pPr>
        <w:jc w:val="center"/>
        <w:outlineLvl w:val="0"/>
        <w:rPr>
          <w:rFonts w:asciiTheme="majorEastAsia" w:hAnsiTheme="majorEastAsia" w:eastAsiaTheme="majorEastAsia" w:cstheme="majorEastAsia"/>
          <w:b/>
          <w:bCs/>
          <w:color w:val="auto"/>
          <w:sz w:val="32"/>
          <w:szCs w:val="32"/>
          <w:lang w:eastAsia="zh-CN"/>
        </w:rPr>
      </w:pPr>
    </w:p>
    <w:p w14:paraId="1F6DA889">
      <w:pPr>
        <w:jc w:val="center"/>
        <w:outlineLvl w:val="0"/>
        <w:rPr>
          <w:rFonts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六、政府采购投标人拒绝政府采购领域商业贿赂承诺书</w:t>
      </w:r>
      <w:bookmarkEnd w:id="25"/>
    </w:p>
    <w:p w14:paraId="4CE75AC6">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为响应党中央、国务院关于治理政府采购领域商业贿赂行为的号召，我单位在此庄严承诺： </w:t>
      </w:r>
    </w:p>
    <w:p w14:paraId="629230F3">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1、在参与政府采购活动中遵纪守法、诚信经营、公平竞标。 </w:t>
      </w:r>
    </w:p>
    <w:p w14:paraId="1D6CBE02">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2、不向政府采购人、采购代理机构和政府采购评审专家进行任何形式的商业贿赂以谋取交易机会。 </w:t>
      </w:r>
    </w:p>
    <w:p w14:paraId="6FC2237F">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3、不向政府采购代理机构和采购人提供虚假资质文件或采用虚假应标方式参与政府采购市场竞争并谋取中标、成交。 </w:t>
      </w:r>
    </w:p>
    <w:p w14:paraId="05D8B800">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4、不采取“围标、陪标”等商业欺诈手段获得政府采购定单。 </w:t>
      </w:r>
    </w:p>
    <w:p w14:paraId="66178B06">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5、不采取不正当手段诋毁、排挤其他投标人。 </w:t>
      </w:r>
    </w:p>
    <w:p w14:paraId="303D59C5">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6、不在提供商品和服务时“偷梁换柱、以次充好”损害采购人的合法权益。 </w:t>
      </w:r>
    </w:p>
    <w:p w14:paraId="3CA9A652">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7、不与采购人、采购代理机构政府采购评审专家或其它投标人恶意串通，进行质疑和投诉，维护政府采购市场秩序。 </w:t>
      </w:r>
    </w:p>
    <w:p w14:paraId="535E63C4">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8、尊重和接受政府采购监督管理部门的监督和政府采购代理机构招标采购要求，承担因违约行为给采购人造成的损失。 </w:t>
      </w:r>
    </w:p>
    <w:p w14:paraId="67263715">
      <w:pPr>
        <w:kinsoku/>
        <w:autoSpaceDE/>
        <w:autoSpaceDN/>
        <w:adjustRightInd/>
        <w:snapToGrid/>
        <w:spacing w:line="540" w:lineRule="exact"/>
        <w:ind w:firstLine="480" w:firstLineChars="200"/>
        <w:textAlignment w:val="auto"/>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　　9、不发生其他有悖于政府采购公开、公平、公正和诚信原则的行为。 </w:t>
      </w:r>
    </w:p>
    <w:p w14:paraId="401C1B83">
      <w:pPr>
        <w:pStyle w:val="9"/>
        <w:rPr>
          <w:rFonts w:asciiTheme="majorEastAsia" w:hAnsiTheme="majorEastAsia" w:eastAsiaTheme="majorEastAsia" w:cstheme="majorEastAsia"/>
          <w:color w:val="auto"/>
          <w:lang w:eastAsia="zh-CN"/>
        </w:rPr>
      </w:pPr>
    </w:p>
    <w:p w14:paraId="1158463C">
      <w:pPr>
        <w:spacing w:line="440" w:lineRule="exact"/>
        <w:ind w:firstLine="480" w:firstLineChars="2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承诺单位：</w:t>
      </w:r>
      <w:r>
        <w:rPr>
          <w:rFonts w:hint="eastAsia" w:asciiTheme="majorEastAsia" w:hAnsiTheme="majorEastAsia" w:eastAsiaTheme="majorEastAsia" w:cstheme="majorEastAsia"/>
          <w:color w:val="auto"/>
          <w:sz w:val="24"/>
          <w:u w:val="single"/>
          <w:lang w:eastAsia="zh-CN"/>
        </w:rPr>
        <w:t>　　                            　</w:t>
      </w:r>
      <w:r>
        <w:rPr>
          <w:rFonts w:hint="eastAsia" w:asciiTheme="majorEastAsia" w:hAnsiTheme="majorEastAsia" w:eastAsiaTheme="majorEastAsia" w:cstheme="majorEastAsia"/>
          <w:color w:val="auto"/>
          <w:sz w:val="24"/>
          <w:lang w:eastAsia="zh-CN"/>
        </w:rPr>
        <w:t xml:space="preserve">（盖章） </w:t>
      </w:r>
    </w:p>
    <w:p w14:paraId="028B36E1">
      <w:pPr>
        <w:spacing w:line="440" w:lineRule="exact"/>
        <w:ind w:firstLine="480" w:firstLineChars="2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全权代表：</w:t>
      </w:r>
      <w:r>
        <w:rPr>
          <w:rFonts w:hint="eastAsia" w:asciiTheme="majorEastAsia" w:hAnsiTheme="majorEastAsia" w:eastAsiaTheme="majorEastAsia" w:cstheme="majorEastAsia"/>
          <w:color w:val="auto"/>
          <w:sz w:val="24"/>
          <w:u w:val="single"/>
          <w:lang w:eastAsia="zh-CN"/>
        </w:rPr>
        <w:t>　　　　　     　　　           　</w:t>
      </w:r>
      <w:r>
        <w:rPr>
          <w:rFonts w:hint="eastAsia" w:asciiTheme="majorEastAsia" w:hAnsiTheme="majorEastAsia" w:eastAsiaTheme="majorEastAsia" w:cstheme="majorEastAsia"/>
          <w:color w:val="auto"/>
          <w:sz w:val="24"/>
          <w:lang w:eastAsia="zh-CN"/>
        </w:rPr>
        <w:t xml:space="preserve">（签字） </w:t>
      </w:r>
    </w:p>
    <w:p w14:paraId="31C5095D">
      <w:pPr>
        <w:spacing w:line="440" w:lineRule="exact"/>
        <w:ind w:firstLine="480" w:firstLineChars="2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地　　址：</w:t>
      </w:r>
      <w:r>
        <w:rPr>
          <w:rFonts w:hint="eastAsia" w:asciiTheme="majorEastAsia" w:hAnsiTheme="majorEastAsia" w:eastAsiaTheme="majorEastAsia" w:cstheme="majorEastAsia"/>
          <w:color w:val="auto"/>
          <w:sz w:val="24"/>
          <w:u w:val="single"/>
          <w:lang w:eastAsia="zh-CN"/>
        </w:rPr>
        <w:t xml:space="preserve">                                  </w:t>
      </w:r>
    </w:p>
    <w:p w14:paraId="6F051465">
      <w:pPr>
        <w:spacing w:line="440" w:lineRule="exact"/>
        <w:ind w:firstLine="1200" w:firstLineChars="500"/>
        <w:rPr>
          <w:rFonts w:asciiTheme="majorEastAsia" w:hAnsiTheme="majorEastAsia" w:eastAsiaTheme="majorEastAsia" w:cstheme="majorEastAsia"/>
          <w:color w:val="auto"/>
          <w:sz w:val="24"/>
          <w:u w:val="single"/>
          <w:lang w:eastAsia="zh-CN"/>
        </w:rPr>
      </w:pPr>
      <w:r>
        <w:rPr>
          <w:rFonts w:hint="eastAsia" w:asciiTheme="majorEastAsia" w:hAnsiTheme="majorEastAsia" w:eastAsiaTheme="majorEastAsia" w:cstheme="majorEastAsia"/>
          <w:color w:val="auto"/>
          <w:sz w:val="24"/>
          <w:lang w:eastAsia="zh-CN"/>
        </w:rPr>
        <w:t>邮    编：</w:t>
      </w:r>
      <w:r>
        <w:rPr>
          <w:rFonts w:hint="eastAsia" w:asciiTheme="majorEastAsia" w:hAnsiTheme="majorEastAsia" w:eastAsiaTheme="majorEastAsia" w:cstheme="majorEastAsia"/>
          <w:color w:val="auto"/>
          <w:sz w:val="24"/>
          <w:u w:val="single"/>
          <w:lang w:eastAsia="zh-CN"/>
        </w:rPr>
        <w:t xml:space="preserve">　　                         　　 </w:t>
      </w:r>
    </w:p>
    <w:p w14:paraId="30EC4ED8">
      <w:pPr>
        <w:spacing w:line="440" w:lineRule="exact"/>
        <w:ind w:firstLine="720" w:firstLineChars="300"/>
        <w:rPr>
          <w:rFonts w:asciiTheme="majorEastAsia" w:hAnsiTheme="majorEastAsia" w:eastAsiaTheme="majorEastAsia" w:cstheme="majorEastAsia"/>
          <w:color w:val="auto"/>
          <w:sz w:val="24"/>
          <w:u w:val="single"/>
          <w:lang w:eastAsia="zh-CN"/>
        </w:rPr>
      </w:pPr>
      <w:r>
        <w:rPr>
          <w:rFonts w:hint="eastAsia" w:asciiTheme="majorEastAsia" w:hAnsiTheme="majorEastAsia" w:eastAsiaTheme="majorEastAsia" w:cstheme="majorEastAsia"/>
          <w:color w:val="auto"/>
          <w:sz w:val="24"/>
          <w:lang w:eastAsia="zh-CN"/>
        </w:rPr>
        <w:t>  电　　话：</w:t>
      </w:r>
      <w:r>
        <w:rPr>
          <w:rFonts w:hint="eastAsia" w:asciiTheme="majorEastAsia" w:hAnsiTheme="majorEastAsia" w:eastAsiaTheme="majorEastAsia" w:cstheme="majorEastAsia"/>
          <w:color w:val="auto"/>
          <w:sz w:val="24"/>
          <w:u w:val="single"/>
          <w:lang w:eastAsia="zh-CN"/>
        </w:rPr>
        <w:t>　　　                　    　　　</w:t>
      </w:r>
    </w:p>
    <w:p w14:paraId="74997A86">
      <w:pPr>
        <w:spacing w:line="440" w:lineRule="exact"/>
        <w:ind w:firstLine="720" w:firstLineChars="300"/>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　　　　　　　　　　　　　　      </w:t>
      </w:r>
    </w:p>
    <w:p w14:paraId="3EFE6083">
      <w:pPr>
        <w:spacing w:after="312" w:afterLines="100" w:line="440" w:lineRule="exact"/>
        <w:jc w:val="center"/>
        <w:rPr>
          <w:rFonts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 xml:space="preserve">  </w:t>
      </w:r>
      <w:r>
        <w:rPr>
          <w:rFonts w:hint="eastAsia" w:asciiTheme="majorEastAsia" w:hAnsiTheme="majorEastAsia" w:eastAsiaTheme="majorEastAsia" w:cstheme="majorEastAsia"/>
          <w:color w:val="auto"/>
          <w:sz w:val="24"/>
        </w:rPr>
        <w:t>年 　 　月 　　 日</w:t>
      </w:r>
    </w:p>
    <w:p w14:paraId="3FC968EB">
      <w:pPr>
        <w:pStyle w:val="9"/>
        <w:rPr>
          <w:rFonts w:asciiTheme="majorEastAsia" w:hAnsiTheme="majorEastAsia" w:eastAsiaTheme="majorEastAsia" w:cstheme="majorEastAsia"/>
          <w:color w:val="auto"/>
          <w:lang w:eastAsia="zh-CN"/>
        </w:rPr>
      </w:pPr>
    </w:p>
    <w:p w14:paraId="2CCAC55B">
      <w:pPr>
        <w:spacing w:after="312" w:afterLines="100" w:line="440" w:lineRule="exact"/>
        <w:jc w:val="center"/>
        <w:rPr>
          <w:rFonts w:asciiTheme="majorEastAsia" w:hAnsiTheme="majorEastAsia" w:eastAsiaTheme="majorEastAsia" w:cstheme="majorEastAsia"/>
          <w:color w:val="auto"/>
          <w:sz w:val="28"/>
          <w:szCs w:val="28"/>
        </w:rPr>
      </w:pPr>
    </w:p>
    <w:p w14:paraId="7A02008F">
      <w:pPr>
        <w:spacing w:after="312" w:afterLines="100" w:line="440" w:lineRule="exact"/>
        <w:jc w:val="center"/>
        <w:rPr>
          <w:rFonts w:asciiTheme="majorEastAsia" w:hAnsiTheme="majorEastAsia" w:eastAsiaTheme="majorEastAsia" w:cstheme="majorEastAsia"/>
          <w:color w:val="auto"/>
          <w:sz w:val="28"/>
          <w:szCs w:val="28"/>
        </w:rPr>
      </w:pPr>
    </w:p>
    <w:bookmarkEnd w:id="26"/>
    <w:p w14:paraId="39DC593F">
      <w:pPr>
        <w:jc w:val="center"/>
        <w:outlineLvl w:val="0"/>
        <w:rPr>
          <w:rFonts w:asciiTheme="majorEastAsia" w:hAnsiTheme="majorEastAsia" w:eastAsiaTheme="majorEastAsia" w:cstheme="majorEastAsia"/>
          <w:b/>
          <w:bCs/>
          <w:color w:val="auto"/>
          <w:sz w:val="32"/>
          <w:szCs w:val="32"/>
          <w:lang w:eastAsia="zh-CN"/>
        </w:rPr>
      </w:pPr>
      <w:bookmarkStart w:id="27" w:name="_Toc17805"/>
      <w:r>
        <w:rPr>
          <w:rFonts w:hint="eastAsia" w:asciiTheme="majorEastAsia" w:hAnsiTheme="majorEastAsia" w:eastAsiaTheme="majorEastAsia" w:cstheme="majorEastAsia"/>
          <w:b/>
          <w:bCs/>
          <w:color w:val="auto"/>
          <w:sz w:val="32"/>
          <w:szCs w:val="32"/>
          <w:lang w:eastAsia="zh-CN"/>
        </w:rPr>
        <w:t>七、其他材料</w:t>
      </w:r>
      <w:bookmarkEnd w:id="27"/>
    </w:p>
    <w:p w14:paraId="5558A3EC">
      <w:pPr>
        <w:pStyle w:val="6"/>
        <w:ind w:firstLine="0" w:firstLineChars="0"/>
        <w:jc w:val="center"/>
        <w:outlineLvl w:val="0"/>
        <w:rPr>
          <w:rFonts w:asciiTheme="majorEastAsia" w:hAnsiTheme="majorEastAsia" w:eastAsiaTheme="majorEastAsia" w:cstheme="majorEastAsia"/>
          <w:b/>
          <w:color w:val="auto"/>
          <w:sz w:val="28"/>
          <w:szCs w:val="28"/>
          <w:lang w:eastAsia="zh-CN"/>
        </w:rPr>
      </w:pPr>
      <w:bookmarkStart w:id="28" w:name="_Toc29097"/>
    </w:p>
    <w:p w14:paraId="44956D00">
      <w:pPr>
        <w:pStyle w:val="6"/>
        <w:ind w:firstLine="0" w:firstLineChars="0"/>
        <w:jc w:val="center"/>
        <w:outlineLvl w:val="0"/>
        <w:rPr>
          <w:rFonts w:asciiTheme="majorEastAsia" w:hAnsiTheme="majorEastAsia" w:eastAsiaTheme="majorEastAsia" w:cstheme="majorEastAsia"/>
          <w:b/>
          <w:color w:val="auto"/>
          <w:sz w:val="28"/>
          <w:szCs w:val="28"/>
          <w:lang w:val="zh-CN" w:eastAsia="zh-CN"/>
        </w:rPr>
      </w:pPr>
      <w:r>
        <w:rPr>
          <w:rFonts w:hint="eastAsia" w:asciiTheme="majorEastAsia" w:hAnsiTheme="majorEastAsia" w:eastAsiaTheme="majorEastAsia" w:cstheme="majorEastAsia"/>
          <w:b/>
          <w:color w:val="auto"/>
          <w:sz w:val="28"/>
          <w:szCs w:val="28"/>
          <w:lang w:val="zh-CN" w:eastAsia="zh-CN"/>
        </w:rPr>
        <w:t>中小企业声明函</w:t>
      </w:r>
      <w:bookmarkEnd w:id="28"/>
    </w:p>
    <w:p w14:paraId="338371CB">
      <w:pPr>
        <w:pStyle w:val="6"/>
        <w:rPr>
          <w:color w:val="auto"/>
          <w:lang w:eastAsia="zh-CN"/>
        </w:rPr>
      </w:pPr>
    </w:p>
    <w:p w14:paraId="54B13596">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eastAsia="zh-CN"/>
        </w:rPr>
        <w:t>（单位名称）</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u w:val="single"/>
          <w:lang w:eastAsia="zh-CN"/>
        </w:rPr>
        <w:t>（项目名称）</w:t>
      </w:r>
      <w:r>
        <w:rPr>
          <w:rFonts w:hint="eastAsia" w:ascii="宋体" w:hAnsi="宋体" w:eastAsia="宋体" w:cs="宋体"/>
          <w:color w:val="auto"/>
          <w:sz w:val="24"/>
          <w:szCs w:val="24"/>
          <w:lang w:eastAsia="zh-CN"/>
        </w:rPr>
        <w:t>采购活动，提供的货物全部由符合政策要求的中小企业制造。相关企业（含联合体中的中小企业、签订分包意向协议的中小企业）的具体情况如下：</w:t>
      </w:r>
    </w:p>
    <w:p w14:paraId="2D61A837">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lang w:eastAsia="zh-CN"/>
        </w:rPr>
        <w:t xml:space="preserve"> （标的名称） </w:t>
      </w:r>
      <w:r>
        <w:rPr>
          <w:rFonts w:hint="eastAsia" w:ascii="宋体" w:hAnsi="宋体" w:eastAsia="宋体" w:cs="宋体"/>
          <w:color w:val="auto"/>
          <w:sz w:val="24"/>
          <w:szCs w:val="24"/>
          <w:lang w:eastAsia="zh-CN"/>
        </w:rPr>
        <w:t>，属于</w:t>
      </w:r>
      <w:r>
        <w:rPr>
          <w:rFonts w:hint="eastAsia" w:ascii="宋体" w:hAnsi="宋体" w:eastAsia="宋体" w:cs="宋体"/>
          <w:color w:val="auto"/>
          <w:sz w:val="24"/>
          <w:szCs w:val="24"/>
          <w:u w:val="single"/>
          <w:lang w:eastAsia="zh-CN"/>
        </w:rPr>
        <w:t xml:space="preserve"> （采购文件中明确的所属行业） </w:t>
      </w:r>
      <w:r>
        <w:rPr>
          <w:rFonts w:hint="eastAsia" w:ascii="宋体" w:hAnsi="宋体" w:eastAsia="宋体" w:cs="宋体"/>
          <w:color w:val="auto"/>
          <w:sz w:val="24"/>
          <w:szCs w:val="24"/>
          <w:lang w:eastAsia="zh-CN"/>
        </w:rPr>
        <w:t>行业；制造商为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万元</w:t>
      </w:r>
      <w:r>
        <w:rPr>
          <w:rFonts w:hint="eastAsia" w:ascii="宋体" w:hAnsi="宋体" w:eastAsia="宋体" w:cs="宋体"/>
          <w:color w:val="auto"/>
          <w:sz w:val="24"/>
          <w:szCs w:val="24"/>
          <w:vertAlign w:val="superscript"/>
          <w:lang w:eastAsia="zh-CN"/>
        </w:rPr>
        <w:t>1</w:t>
      </w:r>
      <w:r>
        <w:rPr>
          <w:rFonts w:hint="eastAsia" w:ascii="宋体" w:hAnsi="宋体" w:eastAsia="宋体" w:cs="宋体"/>
          <w:color w:val="auto"/>
          <w:sz w:val="24"/>
          <w:szCs w:val="24"/>
          <w:lang w:eastAsia="zh-CN"/>
        </w:rPr>
        <w:t>，属于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167F0EF7">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u w:val="single"/>
          <w:lang w:eastAsia="zh-CN"/>
        </w:rPr>
        <w:t xml:space="preserve"> （标的名称） </w:t>
      </w:r>
      <w:r>
        <w:rPr>
          <w:rFonts w:hint="eastAsia" w:ascii="宋体" w:hAnsi="宋体" w:eastAsia="宋体" w:cs="宋体"/>
          <w:color w:val="auto"/>
          <w:sz w:val="24"/>
          <w:szCs w:val="24"/>
          <w:lang w:eastAsia="zh-CN"/>
        </w:rPr>
        <w:t>，属于</w:t>
      </w:r>
      <w:r>
        <w:rPr>
          <w:rFonts w:hint="eastAsia" w:ascii="宋体" w:hAnsi="宋体" w:eastAsia="宋体" w:cs="宋体"/>
          <w:color w:val="auto"/>
          <w:sz w:val="24"/>
          <w:szCs w:val="24"/>
          <w:u w:val="single"/>
          <w:lang w:eastAsia="zh-CN"/>
        </w:rPr>
        <w:t xml:space="preserve"> （采购文件中明确的所属行业） </w:t>
      </w:r>
      <w:r>
        <w:rPr>
          <w:rFonts w:hint="eastAsia" w:ascii="宋体" w:hAnsi="宋体" w:eastAsia="宋体" w:cs="宋体"/>
          <w:color w:val="auto"/>
          <w:sz w:val="24"/>
          <w:szCs w:val="24"/>
          <w:lang w:eastAsia="zh-CN"/>
        </w:rPr>
        <w:t>行业；制造商为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万元，属于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236DCA10">
      <w:pPr>
        <w:widowControl w:val="0"/>
        <w:kinsoku/>
        <w:autoSpaceDE/>
        <w:autoSpaceDN/>
        <w:adjustRightInd/>
        <w:snapToGrid/>
        <w:spacing w:line="360" w:lineRule="auto"/>
        <w:ind w:firstLine="720" w:firstLineChars="3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14:paraId="45ED815B">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以上企业，不属于大企业的分支机构，不存在控股股东为大企业的情形，也不存在与大企业的负责人为同一人的情形。</w:t>
      </w:r>
    </w:p>
    <w:p w14:paraId="43886D14">
      <w:pPr>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本企业对上述声明内容的真实性负责。如有虚假，将依法承担相应责任。</w:t>
      </w:r>
    </w:p>
    <w:p w14:paraId="63CD7D1E">
      <w:pPr>
        <w:widowControl w:val="0"/>
        <w:ind w:firstLine="3960" w:firstLineChars="1650"/>
        <w:rPr>
          <w:rFonts w:ascii="宋体" w:hAnsi="宋体" w:eastAsia="宋体" w:cs="宋体"/>
          <w:color w:val="auto"/>
          <w:sz w:val="24"/>
          <w:szCs w:val="24"/>
          <w:lang w:eastAsia="zh-CN"/>
        </w:rPr>
      </w:pPr>
    </w:p>
    <w:p w14:paraId="5D45D478">
      <w:pPr>
        <w:widowControl w:val="0"/>
        <w:ind w:firstLine="3960" w:firstLineChars="1650"/>
        <w:rPr>
          <w:rFonts w:ascii="宋体" w:hAnsi="宋体" w:eastAsia="宋体" w:cs="宋体"/>
          <w:color w:val="auto"/>
          <w:sz w:val="24"/>
          <w:szCs w:val="24"/>
          <w:lang w:eastAsia="zh-CN"/>
        </w:rPr>
      </w:pPr>
    </w:p>
    <w:p w14:paraId="5AF4E100">
      <w:pPr>
        <w:widowControl w:val="0"/>
        <w:kinsoku/>
        <w:autoSpaceDE/>
        <w:autoSpaceDN/>
        <w:adjustRightInd/>
        <w:snapToGrid/>
        <w:spacing w:line="360" w:lineRule="auto"/>
        <w:ind w:firstLine="480" w:firstLineChars="200"/>
        <w:jc w:val="right"/>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p>
    <w:p w14:paraId="7F689BEE">
      <w:pPr>
        <w:widowControl w:val="0"/>
        <w:kinsoku/>
        <w:autoSpaceDE/>
        <w:autoSpaceDN/>
        <w:adjustRightInd/>
        <w:snapToGrid/>
        <w:spacing w:line="360" w:lineRule="auto"/>
        <w:ind w:firstLine="480" w:firstLineChars="200"/>
        <w:jc w:val="right"/>
        <w:textAlignment w:val="auto"/>
        <w:rPr>
          <w:rFonts w:ascii="宋体" w:hAnsi="宋体" w:eastAsia="宋体" w:cs="宋体"/>
          <w:color w:val="auto"/>
          <w:sz w:val="24"/>
          <w:szCs w:val="24"/>
          <w:lang w:eastAsia="zh-CN"/>
        </w:rPr>
      </w:pPr>
    </w:p>
    <w:p w14:paraId="6B32FEFB">
      <w:pPr>
        <w:widowControl w:val="0"/>
        <w:kinsoku/>
        <w:autoSpaceDE/>
        <w:autoSpaceDN/>
        <w:adjustRightInd/>
        <w:snapToGrid/>
        <w:spacing w:line="360" w:lineRule="auto"/>
        <w:ind w:firstLine="480" w:firstLineChars="200"/>
        <w:jc w:val="center"/>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日期：</w:t>
      </w:r>
    </w:p>
    <w:p w14:paraId="1E6CD766">
      <w:pPr>
        <w:pStyle w:val="9"/>
        <w:ind w:left="5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说明：</w:t>
      </w:r>
    </w:p>
    <w:p w14:paraId="50903367">
      <w:pPr>
        <w:pStyle w:val="22"/>
        <w:tabs>
          <w:tab w:val="left" w:pos="1421"/>
        </w:tabs>
        <w:spacing w:before="160" w:line="364" w:lineRule="auto"/>
        <w:ind w:right="1041" w:firstLine="726" w:firstLineChars="300"/>
        <w:jc w:val="both"/>
        <w:rPr>
          <w:rFonts w:ascii="宋体" w:hAnsi="宋体" w:eastAsia="宋体" w:cs="宋体"/>
          <w:b/>
          <w:color w:val="auto"/>
          <w:sz w:val="24"/>
          <w:szCs w:val="24"/>
          <w:lang w:eastAsia="zh-CN"/>
        </w:rPr>
      </w:pPr>
      <w:r>
        <w:rPr>
          <w:rFonts w:hint="eastAsia" w:cs="宋体"/>
          <w:color w:val="auto"/>
          <w:spacing w:val="1"/>
          <w:sz w:val="24"/>
          <w:szCs w:val="24"/>
          <w:lang w:eastAsia="zh-CN"/>
        </w:rPr>
        <w:t>1、</w:t>
      </w:r>
      <w:r>
        <w:rPr>
          <w:rFonts w:hint="eastAsia" w:ascii="宋体" w:hAnsi="宋体" w:eastAsia="宋体" w:cs="宋体"/>
          <w:color w:val="auto"/>
          <w:spacing w:val="1"/>
          <w:sz w:val="24"/>
          <w:szCs w:val="24"/>
          <w:lang w:eastAsia="zh-CN"/>
        </w:rPr>
        <w:t>填写前请认真阅读《工业和信息化部、国家统计局、国家发展和改革</w:t>
      </w:r>
      <w:r>
        <w:rPr>
          <w:rFonts w:hint="eastAsia" w:ascii="宋体" w:hAnsi="宋体" w:eastAsia="宋体" w:cs="宋体"/>
          <w:color w:val="auto"/>
          <w:spacing w:val="19"/>
          <w:sz w:val="24"/>
          <w:szCs w:val="24"/>
          <w:lang w:eastAsia="zh-CN"/>
        </w:rPr>
        <w:t>委员会、财政部关于印发中小企业划型标准规定的通知》</w:t>
      </w:r>
      <w:r>
        <w:rPr>
          <w:rFonts w:hint="eastAsia" w:ascii="宋体" w:hAnsi="宋体" w:eastAsia="宋体" w:cs="宋体"/>
          <w:color w:val="auto"/>
          <w:sz w:val="24"/>
          <w:szCs w:val="24"/>
          <w:lang w:eastAsia="zh-CN"/>
        </w:rPr>
        <w:t>（</w:t>
      </w:r>
      <w:r>
        <w:rPr>
          <w:rFonts w:hint="eastAsia" w:ascii="宋体" w:hAnsi="宋体" w:eastAsia="宋体" w:cs="宋体"/>
          <w:color w:val="auto"/>
          <w:spacing w:val="-1"/>
          <w:sz w:val="24"/>
          <w:szCs w:val="24"/>
          <w:lang w:eastAsia="zh-CN"/>
        </w:rPr>
        <w:t xml:space="preserve"> 工信部联企业</w:t>
      </w:r>
      <w:r>
        <w:rPr>
          <w:rFonts w:hint="eastAsia" w:ascii="宋体" w:hAnsi="宋体" w:eastAsia="宋体" w:cs="宋体"/>
          <w:color w:val="auto"/>
          <w:spacing w:val="4"/>
          <w:sz w:val="24"/>
          <w:szCs w:val="24"/>
          <w:lang w:eastAsia="zh-CN"/>
        </w:rPr>
        <w:t>[2011]300</w:t>
      </w:r>
      <w:r>
        <w:rPr>
          <w:rFonts w:hint="eastAsia" w:ascii="宋体" w:hAnsi="宋体" w:eastAsia="宋体" w:cs="宋体"/>
          <w:color w:val="auto"/>
          <w:spacing w:val="-14"/>
          <w:sz w:val="24"/>
          <w:szCs w:val="24"/>
          <w:lang w:eastAsia="zh-CN"/>
        </w:rPr>
        <w:t xml:space="preserve"> 号</w:t>
      </w: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和《政府采购促进中小企业发展管理办法》（财库﹝2020﹞46 号）</w:t>
      </w:r>
      <w:r>
        <w:rPr>
          <w:rFonts w:hint="eastAsia" w:ascii="宋体" w:hAnsi="宋体" w:eastAsia="宋体" w:cs="宋体"/>
          <w:color w:val="auto"/>
          <w:spacing w:val="-11"/>
          <w:sz w:val="24"/>
          <w:szCs w:val="24"/>
          <w:lang w:eastAsia="zh-CN"/>
        </w:rPr>
        <w:t>相关规定。</w:t>
      </w:r>
      <w:r>
        <w:rPr>
          <w:rFonts w:hint="eastAsia" w:ascii="宋体" w:hAnsi="宋体" w:eastAsia="宋体" w:cs="宋体"/>
          <w:b/>
          <w:color w:val="auto"/>
          <w:spacing w:val="-3"/>
          <w:sz w:val="24"/>
          <w:szCs w:val="24"/>
          <w:lang w:eastAsia="zh-CN"/>
        </w:rPr>
        <w:t>如实填写，不符合条</w:t>
      </w:r>
      <w:r>
        <w:rPr>
          <w:rFonts w:hint="eastAsia" w:ascii="宋体" w:hAnsi="宋体" w:eastAsia="宋体" w:cs="宋体"/>
          <w:b/>
          <w:color w:val="auto"/>
          <w:spacing w:val="-4"/>
          <w:sz w:val="24"/>
          <w:szCs w:val="24"/>
          <w:lang w:eastAsia="zh-CN"/>
        </w:rPr>
        <w:t>件的</w:t>
      </w:r>
      <w:r>
        <w:rPr>
          <w:rFonts w:hint="eastAsia" w:cs="宋体"/>
          <w:b/>
          <w:color w:val="auto"/>
          <w:spacing w:val="-4"/>
          <w:sz w:val="24"/>
          <w:szCs w:val="24"/>
          <w:lang w:eastAsia="zh-CN"/>
        </w:rPr>
        <w:t>供货商</w:t>
      </w:r>
      <w:r>
        <w:rPr>
          <w:rFonts w:hint="eastAsia" w:ascii="宋体" w:hAnsi="宋体" w:eastAsia="宋体" w:cs="宋体"/>
          <w:b/>
          <w:color w:val="auto"/>
          <w:spacing w:val="-4"/>
          <w:sz w:val="24"/>
          <w:szCs w:val="24"/>
          <w:lang w:eastAsia="zh-CN"/>
        </w:rPr>
        <w:t>无需填写。如果出现虚假应标，由此产生的后果由</w:t>
      </w:r>
      <w:r>
        <w:rPr>
          <w:rFonts w:hint="eastAsia" w:cs="宋体"/>
          <w:b/>
          <w:color w:val="auto"/>
          <w:spacing w:val="-4"/>
          <w:sz w:val="24"/>
          <w:szCs w:val="24"/>
          <w:lang w:eastAsia="zh-CN"/>
        </w:rPr>
        <w:t>供货商</w:t>
      </w:r>
      <w:r>
        <w:rPr>
          <w:rFonts w:hint="eastAsia" w:ascii="宋体" w:hAnsi="宋体" w:eastAsia="宋体" w:cs="宋体"/>
          <w:b/>
          <w:color w:val="auto"/>
          <w:spacing w:val="-4"/>
          <w:sz w:val="24"/>
          <w:szCs w:val="24"/>
          <w:lang w:eastAsia="zh-CN"/>
        </w:rPr>
        <w:t>自行负责。</w:t>
      </w:r>
    </w:p>
    <w:p w14:paraId="4710DDF8">
      <w:pPr>
        <w:pStyle w:val="16"/>
        <w:ind w:firstLine="720" w:firstLineChars="300"/>
        <w:rPr>
          <w:rFonts w:ascii="宋体" w:hAnsi="宋体" w:eastAsia="宋体" w:cs="宋体"/>
          <w:color w:val="auto"/>
          <w:lang w:eastAsia="zh-CN"/>
        </w:rPr>
      </w:pPr>
      <w:r>
        <w:rPr>
          <w:rFonts w:hint="eastAsia" w:cs="宋体"/>
          <w:color w:val="auto"/>
          <w:sz w:val="24"/>
          <w:szCs w:val="24"/>
          <w:lang w:eastAsia="zh-CN"/>
        </w:rPr>
        <w:t>2、</w:t>
      </w:r>
      <w:r>
        <w:rPr>
          <w:rFonts w:hint="eastAsia" w:ascii="宋体" w:hAnsi="宋体" w:eastAsia="宋体" w:cs="宋体"/>
          <w:color w:val="auto"/>
          <w:sz w:val="24"/>
          <w:szCs w:val="24"/>
          <w:lang w:eastAsia="zh-CN"/>
        </w:rPr>
        <w:t>未按上述要求提供、填写的，评审时不予以考虑。</w:t>
      </w:r>
    </w:p>
    <w:p w14:paraId="6D204DFB">
      <w:pPr>
        <w:pStyle w:val="2"/>
        <w:spacing w:before="135"/>
        <w:ind w:left="800" w:right="453"/>
        <w:jc w:val="center"/>
        <w:rPr>
          <w:color w:val="auto"/>
        </w:rPr>
      </w:pPr>
    </w:p>
    <w:p w14:paraId="0B5C7CB0">
      <w:pPr>
        <w:rPr>
          <w:rFonts w:asciiTheme="majorEastAsia" w:hAnsiTheme="majorEastAsia" w:eastAsiaTheme="majorEastAsia" w:cstheme="majorEastAsia"/>
          <w:color w:val="auto"/>
          <w:sz w:val="24"/>
          <w:szCs w:val="24"/>
          <w:lang w:eastAsia="zh-CN"/>
        </w:rPr>
      </w:pPr>
    </w:p>
    <w:p w14:paraId="762831FE">
      <w:pPr>
        <w:rPr>
          <w:color w:val="auto"/>
          <w:lang w:eastAsia="zh-CN"/>
        </w:rPr>
      </w:pPr>
    </w:p>
    <w:p w14:paraId="7F12D71A">
      <w:pPr>
        <w:rPr>
          <w:rFonts w:asciiTheme="majorEastAsia" w:hAnsiTheme="majorEastAsia" w:eastAsiaTheme="majorEastAsia" w:cstheme="majorEastAsia"/>
          <w:color w:val="auto"/>
          <w:lang w:eastAsia="zh-CN"/>
        </w:rPr>
      </w:pPr>
    </w:p>
    <w:p w14:paraId="10D30E23">
      <w:pPr>
        <w:spacing w:line="360" w:lineRule="auto"/>
        <w:jc w:val="center"/>
        <w:outlineLvl w:val="0"/>
        <w:rPr>
          <w:rFonts w:asciiTheme="majorEastAsia" w:hAnsiTheme="majorEastAsia" w:eastAsiaTheme="majorEastAsia" w:cstheme="majorEastAsia"/>
          <w:b/>
          <w:color w:val="auto"/>
          <w:sz w:val="28"/>
          <w:szCs w:val="28"/>
          <w:lang w:val="zh-CN" w:eastAsia="zh-CN"/>
        </w:rPr>
      </w:pPr>
      <w:bookmarkStart w:id="29" w:name="_Toc2364"/>
      <w:r>
        <w:rPr>
          <w:rFonts w:hint="eastAsia" w:asciiTheme="majorEastAsia" w:hAnsiTheme="majorEastAsia" w:eastAsiaTheme="majorEastAsia" w:cstheme="majorEastAsia"/>
          <w:b/>
          <w:color w:val="auto"/>
          <w:sz w:val="28"/>
          <w:szCs w:val="28"/>
          <w:lang w:val="zh-CN" w:eastAsia="zh-CN"/>
        </w:rPr>
        <w:t>残疾人福利性单位声明函</w:t>
      </w:r>
      <w:bookmarkEnd w:id="29"/>
    </w:p>
    <w:p w14:paraId="0BD21AC7">
      <w:pPr>
        <w:spacing w:line="360" w:lineRule="auto"/>
        <w:ind w:firstLine="560" w:firstLineChars="200"/>
        <w:rPr>
          <w:rFonts w:asciiTheme="majorEastAsia" w:hAnsiTheme="majorEastAsia" w:eastAsiaTheme="majorEastAsia" w:cstheme="majorEastAsia"/>
          <w:bCs/>
          <w:color w:val="auto"/>
          <w:sz w:val="28"/>
          <w:szCs w:val="28"/>
          <w:lang w:val="zh-CN" w:eastAsia="zh-CN"/>
        </w:rPr>
      </w:pPr>
    </w:p>
    <w:p w14:paraId="1659F167">
      <w:pPr>
        <w:widowControl w:val="0"/>
        <w:kinsoku/>
        <w:spacing w:line="480" w:lineRule="auto"/>
        <w:ind w:firstLine="480" w:firstLineChars="200"/>
        <w:textAlignment w:val="auto"/>
        <w:rPr>
          <w:rFonts w:asciiTheme="majorEastAsia" w:hAnsiTheme="majorEastAsia" w:eastAsiaTheme="majorEastAsia" w:cstheme="majorEastAsia"/>
          <w:bCs/>
          <w:color w:val="auto"/>
          <w:sz w:val="24"/>
          <w:szCs w:val="24"/>
          <w:lang w:val="zh-CN" w:eastAsia="zh-CN"/>
        </w:rPr>
      </w:pPr>
      <w:r>
        <w:rPr>
          <w:rFonts w:hint="eastAsia" w:asciiTheme="majorEastAsia" w:hAnsiTheme="majorEastAsia" w:eastAsiaTheme="majorEastAsia" w:cstheme="majorEastAsia"/>
          <w:bCs/>
          <w:color w:val="auto"/>
          <w:sz w:val="24"/>
          <w:szCs w:val="24"/>
          <w:lang w:val="zh-CN" w:eastAsia="zh-CN"/>
        </w:rPr>
        <w:t>本单位郑重声明，根据《财政部 民政部 中国残疾人联合会关于促进残疾人就业政府采购政策的通知》（财库〔2017〕 141号）的规定，本单位为符合条件的残疾人福利性单位，且本单位参加</w:t>
      </w:r>
      <w:r>
        <w:rPr>
          <w:rFonts w:hint="eastAsia" w:asciiTheme="majorEastAsia" w:hAnsiTheme="majorEastAsia" w:eastAsiaTheme="majorEastAsia" w:cstheme="majorEastAsia"/>
          <w:bCs/>
          <w:color w:val="auto"/>
          <w:sz w:val="24"/>
          <w:szCs w:val="24"/>
          <w:u w:val="single"/>
          <w:lang w:eastAsia="zh-CN"/>
        </w:rPr>
        <w:t xml:space="preserve">           </w:t>
      </w:r>
      <w:r>
        <w:rPr>
          <w:rFonts w:hint="eastAsia" w:asciiTheme="majorEastAsia" w:hAnsiTheme="majorEastAsia" w:eastAsiaTheme="majorEastAsia" w:cstheme="majorEastAsia"/>
          <w:bCs/>
          <w:color w:val="auto"/>
          <w:sz w:val="24"/>
          <w:szCs w:val="24"/>
          <w:lang w:val="zh-CN" w:eastAsia="zh-CN"/>
        </w:rPr>
        <w:t>单位的</w:t>
      </w:r>
      <w:r>
        <w:rPr>
          <w:rFonts w:hint="eastAsia" w:asciiTheme="majorEastAsia" w:hAnsiTheme="majorEastAsia" w:eastAsiaTheme="majorEastAsia" w:cstheme="majorEastAsia"/>
          <w:bCs/>
          <w:color w:val="auto"/>
          <w:sz w:val="24"/>
          <w:szCs w:val="24"/>
          <w:u w:val="single"/>
          <w:lang w:eastAsia="zh-CN"/>
        </w:rPr>
        <w:t xml:space="preserve">           </w:t>
      </w:r>
      <w:r>
        <w:rPr>
          <w:rFonts w:hint="eastAsia" w:asciiTheme="majorEastAsia" w:hAnsiTheme="majorEastAsia" w:eastAsiaTheme="majorEastAsia" w:cstheme="majorEastAsia"/>
          <w:bCs/>
          <w:color w:val="auto"/>
          <w:sz w:val="24"/>
          <w:szCs w:val="24"/>
          <w:lang w:val="zh-CN" w:eastAsia="zh-CN"/>
        </w:rPr>
        <w:t>项目采购活动提供本单位制造的货物（由本单位承担工程/提供服务），或者提供其他残疾人福利性单位制造的货物（不包括使用非残疾人福利性单位注册商标的货物）。</w:t>
      </w:r>
    </w:p>
    <w:p w14:paraId="138EBD3C">
      <w:pPr>
        <w:widowControl w:val="0"/>
        <w:kinsoku/>
        <w:spacing w:line="480" w:lineRule="auto"/>
        <w:ind w:firstLine="480" w:firstLineChars="200"/>
        <w:textAlignment w:val="auto"/>
        <w:rPr>
          <w:rFonts w:asciiTheme="majorEastAsia" w:hAnsiTheme="majorEastAsia" w:eastAsiaTheme="majorEastAsia" w:cstheme="majorEastAsia"/>
          <w:bCs/>
          <w:color w:val="auto"/>
          <w:sz w:val="24"/>
          <w:szCs w:val="24"/>
          <w:lang w:val="zh-CN" w:eastAsia="zh-CN"/>
        </w:rPr>
      </w:pPr>
      <w:r>
        <w:rPr>
          <w:rFonts w:hint="eastAsia" w:asciiTheme="majorEastAsia" w:hAnsiTheme="majorEastAsia" w:eastAsiaTheme="majorEastAsia" w:cstheme="majorEastAsia"/>
          <w:bCs/>
          <w:color w:val="auto"/>
          <w:sz w:val="24"/>
          <w:szCs w:val="24"/>
          <w:lang w:val="zh-CN" w:eastAsia="zh-CN"/>
        </w:rPr>
        <w:t>本单位对上述声明的真实性负责。如有虚假，将依法承担相应责任。</w:t>
      </w:r>
    </w:p>
    <w:p w14:paraId="65FE5ED7">
      <w:pPr>
        <w:widowControl w:val="0"/>
        <w:kinsoku/>
        <w:spacing w:line="480" w:lineRule="auto"/>
        <w:ind w:firstLine="480" w:firstLineChars="200"/>
        <w:textAlignment w:val="auto"/>
        <w:rPr>
          <w:rFonts w:asciiTheme="majorEastAsia" w:hAnsiTheme="majorEastAsia" w:eastAsiaTheme="majorEastAsia" w:cstheme="majorEastAsia"/>
          <w:bCs/>
          <w:color w:val="auto"/>
          <w:sz w:val="24"/>
          <w:szCs w:val="24"/>
          <w:lang w:val="zh-CN" w:eastAsia="zh-CN"/>
        </w:rPr>
      </w:pPr>
    </w:p>
    <w:p w14:paraId="6A895936">
      <w:pPr>
        <w:widowControl w:val="0"/>
        <w:kinsoku/>
        <w:spacing w:line="480" w:lineRule="auto"/>
        <w:ind w:firstLine="480" w:firstLineChars="200"/>
        <w:textAlignment w:val="auto"/>
        <w:rPr>
          <w:rFonts w:asciiTheme="majorEastAsia" w:hAnsiTheme="majorEastAsia" w:eastAsiaTheme="majorEastAsia" w:cstheme="majorEastAsia"/>
          <w:bCs/>
          <w:color w:val="auto"/>
          <w:sz w:val="24"/>
          <w:szCs w:val="24"/>
          <w:lang w:val="zh-CN" w:eastAsia="zh-CN"/>
        </w:rPr>
      </w:pPr>
    </w:p>
    <w:p w14:paraId="3230572B">
      <w:pPr>
        <w:widowControl w:val="0"/>
        <w:kinsoku/>
        <w:spacing w:line="480" w:lineRule="auto"/>
        <w:ind w:firstLine="3840" w:firstLineChars="1600"/>
        <w:textAlignment w:val="auto"/>
        <w:rPr>
          <w:rFonts w:asciiTheme="majorEastAsia" w:hAnsiTheme="majorEastAsia" w:eastAsiaTheme="majorEastAsia" w:cstheme="majorEastAsia"/>
          <w:bCs/>
          <w:color w:val="auto"/>
          <w:sz w:val="24"/>
          <w:szCs w:val="24"/>
          <w:lang w:val="zh-CN" w:eastAsia="zh-CN"/>
        </w:rPr>
      </w:pPr>
      <w:r>
        <w:rPr>
          <w:rFonts w:hint="eastAsia" w:asciiTheme="majorEastAsia" w:hAnsiTheme="majorEastAsia" w:eastAsiaTheme="majorEastAsia" w:cstheme="majorEastAsia"/>
          <w:bCs/>
          <w:color w:val="auto"/>
          <w:sz w:val="24"/>
          <w:szCs w:val="24"/>
          <w:lang w:val="zh-CN" w:eastAsia="zh-CN"/>
        </w:rPr>
        <w:t>单位名称（盖章）：</w:t>
      </w:r>
    </w:p>
    <w:p w14:paraId="038CCB57">
      <w:pPr>
        <w:widowControl w:val="0"/>
        <w:kinsoku/>
        <w:spacing w:line="480" w:lineRule="auto"/>
        <w:ind w:firstLine="3840" w:firstLineChars="1600"/>
        <w:textAlignment w:val="auto"/>
        <w:rPr>
          <w:rFonts w:asciiTheme="majorEastAsia" w:hAnsiTheme="majorEastAsia" w:eastAsiaTheme="majorEastAsia" w:cstheme="majorEastAsia"/>
          <w:bCs/>
          <w:color w:val="auto"/>
          <w:sz w:val="24"/>
          <w:szCs w:val="24"/>
          <w:lang w:val="zh-CN" w:eastAsia="zh-CN"/>
        </w:rPr>
      </w:pPr>
      <w:r>
        <w:rPr>
          <w:rFonts w:hint="eastAsia" w:asciiTheme="majorEastAsia" w:hAnsiTheme="majorEastAsia" w:eastAsiaTheme="majorEastAsia" w:cstheme="majorEastAsia"/>
          <w:bCs/>
          <w:color w:val="auto"/>
          <w:sz w:val="24"/>
          <w:szCs w:val="24"/>
          <w:lang w:val="zh-CN" w:eastAsia="zh-CN"/>
        </w:rPr>
        <w:t>日  期：</w:t>
      </w:r>
    </w:p>
    <w:p w14:paraId="4B617D5B">
      <w:pPr>
        <w:widowControl w:val="0"/>
        <w:kinsoku/>
        <w:spacing w:line="480" w:lineRule="auto"/>
        <w:textAlignment w:val="auto"/>
        <w:rPr>
          <w:rFonts w:asciiTheme="majorEastAsia" w:hAnsiTheme="majorEastAsia" w:eastAsiaTheme="majorEastAsia" w:cstheme="majorEastAsia"/>
          <w:color w:val="auto"/>
          <w:sz w:val="24"/>
          <w:szCs w:val="24"/>
          <w:lang w:eastAsia="zh-CN"/>
        </w:rPr>
      </w:pPr>
    </w:p>
    <w:p w14:paraId="7612E119">
      <w:pPr>
        <w:widowControl w:val="0"/>
        <w:tabs>
          <w:tab w:val="left" w:pos="1620"/>
          <w:tab w:val="left" w:pos="1800"/>
        </w:tabs>
        <w:kinsoku/>
        <w:spacing w:line="480" w:lineRule="auto"/>
        <w:ind w:right="540" w:rightChars="257"/>
        <w:textAlignment w:val="auto"/>
        <w:rPr>
          <w:rFonts w:asciiTheme="majorEastAsia" w:hAnsiTheme="majorEastAsia" w:eastAsiaTheme="majorEastAsia" w:cstheme="majorEastAsia"/>
          <w:color w:val="auto"/>
          <w:sz w:val="24"/>
          <w:szCs w:val="24"/>
          <w:lang w:eastAsia="zh-CN"/>
        </w:rPr>
      </w:pPr>
    </w:p>
    <w:p w14:paraId="4D528281">
      <w:pPr>
        <w:widowControl w:val="0"/>
        <w:kinsoku/>
        <w:spacing w:line="480" w:lineRule="auto"/>
        <w:ind w:firstLine="480" w:firstLineChars="200"/>
        <w:textAlignment w:val="auto"/>
        <w:rPr>
          <w:rFonts w:asciiTheme="majorEastAsia" w:hAnsiTheme="majorEastAsia" w:eastAsiaTheme="majorEastAsia" w:cstheme="majorEastAsia"/>
          <w:bCs/>
          <w:color w:val="auto"/>
          <w:sz w:val="24"/>
          <w:szCs w:val="24"/>
          <w:lang w:val="zh-CN" w:eastAsia="zh-CN"/>
        </w:rPr>
      </w:pPr>
    </w:p>
    <w:p w14:paraId="7165639B">
      <w:pPr>
        <w:widowControl w:val="0"/>
        <w:kinsoku/>
        <w:spacing w:line="480" w:lineRule="auto"/>
        <w:textAlignment w:val="auto"/>
        <w:rPr>
          <w:rFonts w:asciiTheme="majorEastAsia" w:hAnsiTheme="majorEastAsia" w:eastAsiaTheme="majorEastAsia" w:cstheme="majorEastAsia"/>
          <w:b/>
          <w:color w:val="auto"/>
          <w:sz w:val="24"/>
          <w:szCs w:val="24"/>
          <w:lang w:val="zh-CN" w:eastAsia="zh-CN"/>
        </w:rPr>
      </w:pPr>
      <w:r>
        <w:rPr>
          <w:rFonts w:hint="eastAsia" w:asciiTheme="majorEastAsia" w:hAnsiTheme="majorEastAsia" w:eastAsiaTheme="majorEastAsia" w:cstheme="majorEastAsia"/>
          <w:bCs/>
          <w:color w:val="auto"/>
          <w:sz w:val="24"/>
          <w:szCs w:val="24"/>
          <w:lang w:val="zh-CN" w:eastAsia="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Theme="majorEastAsia" w:hAnsiTheme="majorEastAsia" w:eastAsiaTheme="majorEastAsia" w:cstheme="majorEastAsia"/>
          <w:b/>
          <w:color w:val="auto"/>
          <w:sz w:val="24"/>
          <w:szCs w:val="24"/>
          <w:lang w:val="zh-CN" w:eastAsia="zh-CN"/>
        </w:rPr>
        <w:t>不符合条件的投标人无需填写，如果出现虚假应标，由此产生的后果由投标人自行负责。</w:t>
      </w:r>
    </w:p>
    <w:p w14:paraId="59AB1BDB">
      <w:pPr>
        <w:pStyle w:val="9"/>
        <w:widowControl w:val="0"/>
        <w:kinsoku/>
        <w:spacing w:line="480" w:lineRule="auto"/>
        <w:textAlignment w:val="auto"/>
        <w:rPr>
          <w:rFonts w:asciiTheme="majorEastAsia" w:hAnsiTheme="majorEastAsia" w:eastAsiaTheme="majorEastAsia" w:cstheme="majorEastAsia"/>
          <w:color w:val="auto"/>
          <w:sz w:val="24"/>
          <w:szCs w:val="24"/>
          <w:lang w:eastAsia="zh-CN"/>
        </w:rPr>
      </w:pPr>
    </w:p>
    <w:p w14:paraId="145885CA">
      <w:pPr>
        <w:rPr>
          <w:rFonts w:asciiTheme="majorEastAsia" w:hAnsiTheme="majorEastAsia" w:eastAsiaTheme="majorEastAsia" w:cstheme="majorEastAsia"/>
          <w:color w:val="auto"/>
          <w:lang w:eastAsia="zh-CN"/>
        </w:rPr>
      </w:pPr>
    </w:p>
    <w:p w14:paraId="23115912">
      <w:pPr>
        <w:rPr>
          <w:rFonts w:asciiTheme="majorEastAsia" w:hAnsiTheme="majorEastAsia" w:eastAsiaTheme="majorEastAsia" w:cstheme="majorEastAsia"/>
          <w:color w:val="auto"/>
          <w:sz w:val="28"/>
          <w:szCs w:val="28"/>
          <w:lang w:eastAsia="zh-CN"/>
        </w:rPr>
      </w:pPr>
    </w:p>
    <w:p w14:paraId="6B92D457">
      <w:pPr>
        <w:pStyle w:val="13"/>
        <w:rPr>
          <w:rFonts w:asciiTheme="majorEastAsia" w:hAnsiTheme="majorEastAsia" w:eastAsiaTheme="majorEastAsia" w:cstheme="majorEastAsia"/>
          <w:color w:val="auto"/>
          <w:sz w:val="28"/>
          <w:szCs w:val="28"/>
          <w:lang w:eastAsia="zh-CN"/>
        </w:rPr>
      </w:pPr>
    </w:p>
    <w:p w14:paraId="7AE8EE69">
      <w:pPr>
        <w:pStyle w:val="13"/>
        <w:rPr>
          <w:rFonts w:asciiTheme="majorEastAsia" w:hAnsiTheme="majorEastAsia" w:eastAsiaTheme="majorEastAsia" w:cstheme="majorEastAsia"/>
          <w:color w:val="auto"/>
          <w:sz w:val="28"/>
          <w:szCs w:val="28"/>
          <w:lang w:eastAsia="zh-CN"/>
        </w:rPr>
      </w:pPr>
    </w:p>
    <w:p w14:paraId="550F260F">
      <w:pPr>
        <w:pStyle w:val="9"/>
        <w:widowControl w:val="0"/>
        <w:kinsoku/>
        <w:autoSpaceDE/>
        <w:autoSpaceDN/>
        <w:spacing w:line="480" w:lineRule="auto"/>
        <w:jc w:val="center"/>
        <w:textAlignment w:val="auto"/>
        <w:outlineLvl w:val="0"/>
        <w:rPr>
          <w:rFonts w:asciiTheme="majorEastAsia" w:hAnsiTheme="majorEastAsia" w:eastAsiaTheme="majorEastAsia" w:cstheme="majorEastAsia"/>
          <w:b/>
          <w:bCs/>
          <w:color w:val="auto"/>
          <w:sz w:val="24"/>
          <w:szCs w:val="24"/>
          <w:lang w:eastAsia="zh-CN"/>
        </w:rPr>
      </w:pPr>
      <w:bookmarkStart w:id="30" w:name="_Toc16506"/>
      <w:r>
        <w:rPr>
          <w:rFonts w:hint="eastAsia" w:asciiTheme="majorEastAsia" w:hAnsiTheme="majorEastAsia" w:eastAsiaTheme="majorEastAsia" w:cstheme="majorEastAsia"/>
          <w:b/>
          <w:bCs/>
          <w:color w:val="auto"/>
          <w:sz w:val="24"/>
          <w:szCs w:val="24"/>
          <w:lang w:eastAsia="zh-CN"/>
        </w:rPr>
        <w:t>监狱企业证明文件</w:t>
      </w:r>
      <w:bookmarkEnd w:id="30"/>
    </w:p>
    <w:p w14:paraId="4133E74A">
      <w:pPr>
        <w:widowControl w:val="0"/>
        <w:kinsoku/>
        <w:autoSpaceDE/>
        <w:autoSpaceDN/>
        <w:spacing w:line="480" w:lineRule="auto"/>
        <w:ind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3CD38D">
      <w:pPr>
        <w:widowControl w:val="0"/>
        <w:kinsoku/>
        <w:autoSpaceDE/>
        <w:autoSpaceDN/>
        <w:spacing w:line="480" w:lineRule="auto"/>
        <w:ind w:firstLine="480" w:firstLineChars="200"/>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监狱企业参加政府采购活动时，应当提供由省级以上监狱管理局、戒毒管理局（含新疆生产建设兵团）出具的属于监狱企业的证明文件。</w:t>
      </w:r>
    </w:p>
    <w:p w14:paraId="5B8CC7F9">
      <w:pPr>
        <w:widowControl w:val="0"/>
        <w:kinsoku/>
        <w:autoSpaceDE/>
        <w:autoSpaceDN/>
        <w:spacing w:line="480" w:lineRule="auto"/>
        <w:textAlignment w:val="auto"/>
        <w:rPr>
          <w:rFonts w:asciiTheme="majorEastAsia" w:hAnsiTheme="majorEastAsia" w:eastAsiaTheme="majorEastAsia" w:cstheme="majorEastAsia"/>
          <w:b/>
          <w:color w:val="auto"/>
          <w:sz w:val="24"/>
          <w:szCs w:val="24"/>
          <w:lang w:eastAsia="zh-CN"/>
        </w:rPr>
      </w:pPr>
    </w:p>
    <w:p w14:paraId="42E0901F">
      <w:pPr>
        <w:widowControl w:val="0"/>
        <w:kinsoku/>
        <w:autoSpaceDE/>
        <w:autoSpaceDN/>
        <w:spacing w:line="480" w:lineRule="auto"/>
        <w:textAlignment w:val="auto"/>
        <w:rPr>
          <w:rFonts w:asciiTheme="majorEastAsia" w:hAnsiTheme="majorEastAsia" w:eastAsiaTheme="majorEastAsia" w:cstheme="majorEastAsia"/>
          <w:b/>
          <w:color w:val="auto"/>
          <w:sz w:val="24"/>
          <w:szCs w:val="24"/>
          <w:lang w:eastAsia="zh-CN"/>
        </w:rPr>
      </w:pPr>
    </w:p>
    <w:p w14:paraId="3C05C7FC">
      <w:pPr>
        <w:widowControl w:val="0"/>
        <w:kinsoku/>
        <w:autoSpaceDE/>
        <w:autoSpaceDN/>
        <w:spacing w:line="480" w:lineRule="auto"/>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说明：</w:t>
      </w:r>
    </w:p>
    <w:p w14:paraId="44D5D667">
      <w:pPr>
        <w:widowControl w:val="0"/>
        <w:kinsoku/>
        <w:autoSpaceDE/>
        <w:autoSpaceDN/>
        <w:spacing w:line="480" w:lineRule="auto"/>
        <w:ind w:firstLine="525"/>
        <w:textAlignment w:val="auto"/>
        <w:rPr>
          <w:rFonts w:asciiTheme="majorEastAsia" w:hAnsiTheme="majorEastAsia" w:eastAsiaTheme="majorEastAsia" w:cstheme="majorEastAsia"/>
          <w:bCs/>
          <w:color w:val="auto"/>
          <w:sz w:val="24"/>
          <w:szCs w:val="24"/>
          <w:lang w:eastAsia="zh-CN"/>
        </w:rPr>
      </w:pPr>
      <w:r>
        <w:rPr>
          <w:rFonts w:hint="eastAsia" w:asciiTheme="majorEastAsia" w:hAnsiTheme="majorEastAsia" w:eastAsiaTheme="majorEastAsia" w:cstheme="majorEastAsia"/>
          <w:bCs/>
          <w:color w:val="auto"/>
          <w:sz w:val="24"/>
          <w:szCs w:val="24"/>
          <w:lang w:eastAsia="zh-CN"/>
        </w:rPr>
        <w:t>1.无格式要求，由出具监狱企业证明的单位自行拟定；</w:t>
      </w:r>
    </w:p>
    <w:p w14:paraId="5A8F0EAC">
      <w:pPr>
        <w:widowControl w:val="0"/>
        <w:kinsoku/>
        <w:autoSpaceDE/>
        <w:autoSpaceDN/>
        <w:spacing w:line="480" w:lineRule="auto"/>
        <w:ind w:firstLine="525"/>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2.投标人未提供的，评审时不视为中小企业。</w:t>
      </w:r>
    </w:p>
    <w:p w14:paraId="3D32D3D8">
      <w:pPr>
        <w:widowControl w:val="0"/>
        <w:kinsoku/>
        <w:autoSpaceDE/>
        <w:autoSpaceDN/>
        <w:spacing w:line="480" w:lineRule="auto"/>
        <w:ind w:firstLine="525"/>
        <w:textAlignment w:val="auto"/>
        <w:rPr>
          <w:rFonts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3.</w:t>
      </w:r>
      <w:r>
        <w:rPr>
          <w:rFonts w:hint="eastAsia" w:asciiTheme="majorEastAsia" w:hAnsiTheme="majorEastAsia" w:eastAsiaTheme="majorEastAsia" w:cstheme="majorEastAsia"/>
          <w:b/>
          <w:bCs/>
          <w:color w:val="auto"/>
          <w:sz w:val="24"/>
          <w:szCs w:val="24"/>
          <w:lang w:eastAsia="zh-CN"/>
        </w:rPr>
        <w:t>如实填写，不符合条件的投标人无需填写。如果出现虚假应标，由此产生的后果由投标人自行负责。</w:t>
      </w:r>
    </w:p>
    <w:p w14:paraId="61F5ECDE">
      <w:pPr>
        <w:pStyle w:val="16"/>
        <w:widowControl w:val="0"/>
        <w:kinsoku/>
        <w:autoSpaceDE/>
        <w:autoSpaceDN/>
        <w:spacing w:line="480" w:lineRule="auto"/>
        <w:ind w:firstLine="240"/>
        <w:textAlignment w:val="auto"/>
        <w:rPr>
          <w:rFonts w:asciiTheme="majorEastAsia" w:hAnsiTheme="majorEastAsia" w:eastAsiaTheme="majorEastAsia" w:cstheme="majorEastAsia"/>
          <w:color w:val="auto"/>
          <w:sz w:val="24"/>
          <w:szCs w:val="24"/>
          <w:lang w:eastAsia="zh-CN"/>
        </w:rPr>
      </w:pPr>
    </w:p>
    <w:p w14:paraId="328CF3F7">
      <w:pPr>
        <w:pStyle w:val="16"/>
        <w:widowControl w:val="0"/>
        <w:kinsoku/>
        <w:autoSpaceDE/>
        <w:autoSpaceDN/>
        <w:spacing w:line="480" w:lineRule="auto"/>
        <w:ind w:firstLine="240"/>
        <w:textAlignment w:val="auto"/>
        <w:rPr>
          <w:rFonts w:asciiTheme="majorEastAsia" w:hAnsiTheme="majorEastAsia" w:eastAsiaTheme="majorEastAsia" w:cstheme="majorEastAsia"/>
          <w:color w:val="auto"/>
          <w:sz w:val="24"/>
          <w:szCs w:val="24"/>
          <w:lang w:eastAsia="zh-CN"/>
        </w:rPr>
      </w:pPr>
    </w:p>
    <w:p w14:paraId="6478131C">
      <w:pPr>
        <w:spacing w:before="180" w:line="219" w:lineRule="auto"/>
        <w:ind w:left="1002"/>
        <w:rPr>
          <w:rFonts w:ascii="宋体" w:hAnsi="宋体" w:eastAsia="宋体" w:cs="宋体"/>
          <w:color w:val="auto"/>
          <w:sz w:val="24"/>
          <w:szCs w:val="24"/>
          <w:lang w:eastAsia="zh-CN"/>
        </w:rPr>
      </w:pPr>
    </w:p>
    <w:sectPr>
      <w:headerReference r:id="rId11" w:type="default"/>
      <w:footerReference r:id="rId12" w:type="default"/>
      <w:pgSz w:w="11906" w:h="16838"/>
      <w:pgMar w:top="1440" w:right="1080" w:bottom="1440" w:left="1080"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7F91E19A-7B84-4AD5-AEAE-B06FB227977D}"/>
  </w:font>
  <w:font w:name="微软雅黑">
    <w:panose1 w:val="020B0503020204020204"/>
    <w:charset w:val="86"/>
    <w:family w:val="swiss"/>
    <w:pitch w:val="default"/>
    <w:sig w:usb0="80000287" w:usb1="280F3C52" w:usb2="00000016" w:usb3="00000000" w:csb0="0004001F" w:csb1="00000000"/>
    <w:embedRegular r:id="rId2" w:fontKey="{9161298B-6250-42DA-8E10-75EE3E50119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DF2C">
    <w:pPr>
      <w:spacing w:line="173" w:lineRule="auto"/>
      <w:ind w:left="4837"/>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4EC8">
    <w:pPr>
      <w:spacing w:line="176" w:lineRule="auto"/>
      <w:ind w:left="461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C6F5">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1F7C6F5">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C013">
    <w:pPr>
      <w:spacing w:line="173" w:lineRule="auto"/>
      <w:ind w:left="4742"/>
      <w:rPr>
        <w:rFonts w:ascii="宋体" w:hAnsi="宋体" w:eastAsia="宋体" w:cs="宋体"/>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9B6CF">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A9B6CF">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EEA3">
    <w:pPr>
      <w:spacing w:line="173" w:lineRule="auto"/>
      <w:ind w:left="4052"/>
      <w:rPr>
        <w:rFonts w:ascii="宋体" w:hAnsi="宋体" w:eastAsia="宋体" w:cs="宋体"/>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E48BC">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AE48BC">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8E79">
    <w:pPr>
      <w:spacing w:line="173" w:lineRule="auto"/>
      <w:ind w:left="4748"/>
      <w:rPr>
        <w:rFonts w:ascii="宋体" w:hAnsi="宋体" w:eastAsia="宋体" w:cs="宋体"/>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C63E0">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4C63E0">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A0D2">
    <w:pPr>
      <w:spacing w:line="173" w:lineRule="auto"/>
      <w:ind w:left="4574"/>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80C0E">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E80C0E">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9B73">
    <w:pPr>
      <w:spacing w:line="173" w:lineRule="auto"/>
      <w:ind w:left="4748"/>
      <w:rPr>
        <w:rFonts w:ascii="宋体" w:hAnsi="宋体" w:eastAsia="宋体" w:cs="宋体"/>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3C8BD">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13C8BD">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AEA3">
    <w:pPr>
      <w:spacing w:line="173" w:lineRule="auto"/>
      <w:ind w:left="4390"/>
      <w:rPr>
        <w:rFonts w:ascii="宋体" w:hAnsi="宋体" w:eastAsia="宋体" w:cs="宋体"/>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D808D">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91D808D">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1986">
    <w:pPr>
      <w:pStyle w:val="11"/>
      <w:tabs>
        <w:tab w:val="right" w:pos="9180"/>
        <w:tab w:val="clear" w:pos="8306"/>
      </w:tabs>
      <w:ind w:left="-359" w:leftChars="-171" w:right="-288" w:rightChars="-137"/>
      <w:rPr>
        <w:kern w:val="0"/>
        <w:szCs w:val="21"/>
        <w:u w:val="single"/>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BE786">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13BE786">
                    <w:pPr>
                      <w:pStyle w:val="11"/>
                    </w:pPr>
                    <w:r>
                      <w:fldChar w:fldCharType="begin"/>
                    </w:r>
                    <w:r>
                      <w:instrText xml:space="preserve"> PAGE  \* MERGEFORMAT </w:instrText>
                    </w:r>
                    <w:r>
                      <w:fldChar w:fldCharType="separate"/>
                    </w:r>
                    <w:r>
                      <w:t>57</w:t>
                    </w:r>
                    <w:r>
                      <w:fldChar w:fldCharType="end"/>
                    </w:r>
                  </w:p>
                </w:txbxContent>
              </v:textbox>
            </v:shape>
          </w:pict>
        </mc:Fallback>
      </mc:AlternateContent>
    </w:r>
  </w:p>
  <w:p w14:paraId="7265D9C8">
    <w:pPr>
      <w:pStyle w:val="11"/>
      <w:tabs>
        <w:tab w:val="right" w:pos="9360"/>
        <w:tab w:val="clear" w:pos="8306"/>
      </w:tabs>
      <w:ind w:left="-1" w:leftChars="-171" w:right="-288" w:rightChars="-137" w:hanging="358" w:hangingChars="198"/>
      <w:rPr>
        <w:kern w:val="0"/>
        <w:szCs w:val="21"/>
      </w:rPr>
    </w:pPr>
    <w:r>
      <w:rPr>
        <w:rFonts w:hint="eastAsia" w:ascii="宋体" w:hAnsi="宋体"/>
        <w:b/>
        <w:i/>
        <w:kern w:val="0"/>
        <w:szCs w:val="21"/>
      </w:rPr>
      <w:t xml:space="preserve">                                         </w:t>
    </w:r>
  </w:p>
  <w:p w14:paraId="4860BF06">
    <w:pPr>
      <w:pStyle w:val="11"/>
      <w:ind w:firstLine="452" w:firstLineChars="250"/>
      <w:jc w:val="both"/>
      <w:rPr>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D322">
    <w:pPr>
      <w:spacing w:line="440" w:lineRule="exact"/>
      <w:ind w:firstLine="420" w:firstLineChars="200"/>
      <w:jc w:val="center"/>
      <w:rPr>
        <w:rFonts w:ascii="宋体" w:hAnsi="宋体" w:eastAsia="宋体"/>
        <w:b/>
        <w:i/>
        <w:iCs/>
        <w:sz w:val="18"/>
        <w:szCs w:val="18"/>
        <w:lang w:eastAsia="zh-CN"/>
      </w:rPr>
    </w:pPr>
    <w:r>
      <w:rPr>
        <w:rFonts w:hint="eastAsia" w:ascii="宋体" w:hAnsi="宋体"/>
        <w:b/>
      </w:rPr>
      <w:t xml:space="preserve">           </w:t>
    </w:r>
    <w:r>
      <w:rPr>
        <w:rFonts w:hint="eastAsia" w:ascii="宋体" w:hAnsi="宋体"/>
        <w:b/>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DCBD"/>
    <w:multiLevelType w:val="singleLevel"/>
    <w:tmpl w:val="8F32DCBD"/>
    <w:lvl w:ilvl="0" w:tentative="0">
      <w:start w:val="1"/>
      <w:numFmt w:val="decimal"/>
      <w:suff w:val="space"/>
      <w:lvlText w:val="%1)"/>
      <w:lvlJc w:val="left"/>
    </w:lvl>
  </w:abstractNum>
  <w:abstractNum w:abstractNumId="1">
    <w:nsid w:val="A1DD56BC"/>
    <w:multiLevelType w:val="singleLevel"/>
    <w:tmpl w:val="A1DD56BC"/>
    <w:lvl w:ilvl="0" w:tentative="0">
      <w:start w:val="4"/>
      <w:numFmt w:val="chineseCounting"/>
      <w:suff w:val="space"/>
      <w:lvlText w:val="第%1章"/>
      <w:lvlJc w:val="left"/>
      <w:rPr>
        <w:rFonts w:hint="eastAsia"/>
      </w:rPr>
    </w:lvl>
  </w:abstractNum>
  <w:abstractNum w:abstractNumId="2">
    <w:nsid w:val="A372FCBD"/>
    <w:multiLevelType w:val="singleLevel"/>
    <w:tmpl w:val="A372FCBD"/>
    <w:lvl w:ilvl="0" w:tentative="0">
      <w:start w:val="1"/>
      <w:numFmt w:val="decimal"/>
      <w:suff w:val="space"/>
      <w:lvlText w:val="%1)"/>
      <w:lvlJc w:val="left"/>
    </w:lvl>
  </w:abstractNum>
  <w:abstractNum w:abstractNumId="3">
    <w:nsid w:val="F824703C"/>
    <w:multiLevelType w:val="singleLevel"/>
    <w:tmpl w:val="F824703C"/>
    <w:lvl w:ilvl="0" w:tentative="0">
      <w:start w:val="1"/>
      <w:numFmt w:val="decimal"/>
      <w:suff w:val="space"/>
      <w:lvlText w:val="%1)"/>
      <w:lvlJc w:val="left"/>
    </w:lvl>
  </w:abstractNum>
  <w:abstractNum w:abstractNumId="4">
    <w:nsid w:val="363870C5"/>
    <w:multiLevelType w:val="singleLevel"/>
    <w:tmpl w:val="363870C5"/>
    <w:lvl w:ilvl="0" w:tentative="0">
      <w:start w:val="1"/>
      <w:numFmt w:val="decimal"/>
      <w:suff w:val="space"/>
      <w:lvlText w:val="%1)"/>
      <w:lvlJc w:val="left"/>
    </w:lvl>
  </w:abstractNum>
  <w:abstractNum w:abstractNumId="5">
    <w:nsid w:val="49C209CD"/>
    <w:multiLevelType w:val="singleLevel"/>
    <w:tmpl w:val="49C209CD"/>
    <w:lvl w:ilvl="0" w:tentative="0">
      <w:start w:val="1"/>
      <w:numFmt w:val="chineseCounting"/>
      <w:suff w:val="nothing"/>
      <w:lvlText w:val="%1、"/>
      <w:lvlJc w:val="left"/>
      <w:rPr>
        <w:rFonts w:hint="eastAsia"/>
      </w:rPr>
    </w:lvl>
  </w:abstractNum>
  <w:abstractNum w:abstractNumId="6">
    <w:nsid w:val="5B437DB8"/>
    <w:multiLevelType w:val="singleLevel"/>
    <w:tmpl w:val="5B437DB8"/>
    <w:lvl w:ilvl="0" w:tentative="0">
      <w:start w:val="1"/>
      <w:numFmt w:val="decimal"/>
      <w:suff w:val="space"/>
      <w:lvlText w:val="%1)"/>
      <w:lvlJc w:val="left"/>
    </w:lvl>
  </w:abstractNum>
  <w:abstractNum w:abstractNumId="7">
    <w:nsid w:val="66A8A53B"/>
    <w:multiLevelType w:val="singleLevel"/>
    <w:tmpl w:val="66A8A53B"/>
    <w:lvl w:ilvl="0" w:tentative="0">
      <w:start w:val="1"/>
      <w:numFmt w:val="decimal"/>
      <w:suff w:val="space"/>
      <w:lvlText w:val="%1)"/>
      <w:lvlJc w:val="left"/>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NGQwNGI1M2U4ZjQ1OTk5ZjMyZGQ2MDlmM2RhNTYifQ=="/>
  </w:docVars>
  <w:rsids>
    <w:rsidRoot w:val="006557A6"/>
    <w:rsid w:val="00193940"/>
    <w:rsid w:val="00314EF8"/>
    <w:rsid w:val="00334B67"/>
    <w:rsid w:val="003A0430"/>
    <w:rsid w:val="00502E71"/>
    <w:rsid w:val="006557A6"/>
    <w:rsid w:val="00715764"/>
    <w:rsid w:val="007A6B81"/>
    <w:rsid w:val="007B0C0F"/>
    <w:rsid w:val="007B31AC"/>
    <w:rsid w:val="007F0FB0"/>
    <w:rsid w:val="00800D55"/>
    <w:rsid w:val="00944A77"/>
    <w:rsid w:val="009F18B0"/>
    <w:rsid w:val="00A32001"/>
    <w:rsid w:val="00BA1495"/>
    <w:rsid w:val="118E2EDA"/>
    <w:rsid w:val="172A4379"/>
    <w:rsid w:val="20481E51"/>
    <w:rsid w:val="249929CE"/>
    <w:rsid w:val="28305FD5"/>
    <w:rsid w:val="2B1368D2"/>
    <w:rsid w:val="2BFF522B"/>
    <w:rsid w:val="2E6827C8"/>
    <w:rsid w:val="2F57653D"/>
    <w:rsid w:val="2FB120F1"/>
    <w:rsid w:val="3C94137E"/>
    <w:rsid w:val="421E50DA"/>
    <w:rsid w:val="45BE4ECB"/>
    <w:rsid w:val="4A0B1FA6"/>
    <w:rsid w:val="51976F30"/>
    <w:rsid w:val="53AC4165"/>
    <w:rsid w:val="54035CF7"/>
    <w:rsid w:val="56142777"/>
    <w:rsid w:val="57DF41DE"/>
    <w:rsid w:val="584B5F2A"/>
    <w:rsid w:val="5A2A344D"/>
    <w:rsid w:val="5AA81C04"/>
    <w:rsid w:val="5C7F71C2"/>
    <w:rsid w:val="5CD31049"/>
    <w:rsid w:val="5DCE5BE8"/>
    <w:rsid w:val="64D1422B"/>
    <w:rsid w:val="675924E5"/>
    <w:rsid w:val="683C5329"/>
    <w:rsid w:val="68D440DB"/>
    <w:rsid w:val="6C6D1543"/>
    <w:rsid w:val="72245168"/>
    <w:rsid w:val="78D718EB"/>
    <w:rsid w:val="79FA7C1C"/>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qFormat/>
    <w:uiPriority w:val="0"/>
    <w:pPr>
      <w:keepNext/>
      <w:keepLines/>
      <w:tabs>
        <w:tab w:val="left" w:pos="720"/>
      </w:tabs>
      <w:jc w:val="center"/>
      <w:outlineLvl w:val="1"/>
    </w:pPr>
    <w:rPr>
      <w:rFonts w:ascii="宋体" w:hAnsi="宋体" w:eastAsia="宋体"/>
      <w:b/>
      <w:sz w:val="30"/>
      <w:szCs w:val="30"/>
      <w:lang w:eastAsia="zh-CN"/>
    </w:rPr>
  </w:style>
  <w:style w:type="paragraph" w:styleId="4">
    <w:name w:val="heading 3"/>
    <w:basedOn w:val="1"/>
    <w:next w:val="1"/>
    <w:autoRedefine/>
    <w:qFormat/>
    <w:uiPriority w:val="1"/>
    <w:pPr>
      <w:spacing w:before="55"/>
      <w:ind w:left="77"/>
      <w:jc w:val="center"/>
      <w:outlineLvl w:val="2"/>
    </w:pPr>
    <w:rPr>
      <w:rFonts w:ascii="宋体" w:hAnsi="宋体" w:eastAsia="宋体" w:cs="宋体"/>
      <w:b/>
      <w:bCs/>
      <w:sz w:val="32"/>
      <w:szCs w:val="32"/>
      <w:lang w:val="zh-CN" w:eastAsia="zh-CN" w:bidi="zh-CN"/>
    </w:rPr>
  </w:style>
  <w:style w:type="paragraph" w:styleId="2">
    <w:name w:val="heading 4"/>
    <w:basedOn w:val="1"/>
    <w:next w:val="1"/>
    <w:autoRedefine/>
    <w:qFormat/>
    <w:uiPriority w:val="1"/>
    <w:pPr>
      <w:ind w:left="804"/>
      <w:outlineLvl w:val="3"/>
    </w:pPr>
    <w:rPr>
      <w:rFonts w:ascii="宋体" w:hAnsi="宋体" w:eastAsia="宋体" w:cs="宋体"/>
      <w:b/>
      <w:bCs/>
      <w:sz w:val="30"/>
      <w:szCs w:val="30"/>
      <w:lang w:val="zh-CN" w:eastAsia="zh-CN" w:bidi="zh-CN"/>
    </w:rPr>
  </w:style>
  <w:style w:type="paragraph" w:styleId="5">
    <w:name w:val="heading 6"/>
    <w:basedOn w:val="1"/>
    <w:next w:val="1"/>
    <w:autoRedefine/>
    <w:qFormat/>
    <w:uiPriority w:val="1"/>
    <w:pPr>
      <w:ind w:left="240"/>
      <w:outlineLvl w:val="5"/>
    </w:pPr>
    <w:rPr>
      <w:rFonts w:ascii="宋体" w:hAnsi="宋体" w:eastAsia="宋体" w:cs="宋体"/>
      <w:b/>
      <w:bCs/>
      <w:sz w:val="24"/>
      <w:szCs w:val="24"/>
      <w:lang w:val="zh-CN" w:eastAsia="zh-CN" w:bidi="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spacing w:line="300" w:lineRule="auto"/>
      <w:ind w:firstLine="420" w:firstLineChars="200"/>
    </w:pPr>
    <w:rPr>
      <w:rFonts w:ascii="Times New Roman"/>
      <w:kern w:val="2"/>
      <w:szCs w:val="24"/>
    </w:rPr>
  </w:style>
  <w:style w:type="paragraph" w:styleId="7">
    <w:name w:val="toc 4"/>
    <w:basedOn w:val="1"/>
    <w:next w:val="1"/>
    <w:unhideWhenUsed/>
    <w:qFormat/>
    <w:uiPriority w:val="39"/>
    <w:pPr>
      <w:ind w:left="1260" w:leftChars="600"/>
    </w:pPr>
  </w:style>
  <w:style w:type="paragraph" w:styleId="8">
    <w:name w:val="toa heading"/>
    <w:basedOn w:val="1"/>
    <w:next w:val="1"/>
    <w:autoRedefine/>
    <w:qFormat/>
    <w:uiPriority w:val="0"/>
    <w:rPr>
      <w:rFonts w:hint="eastAsia" w:eastAsia="宋体" w:cs="Times New Roman"/>
      <w:sz w:val="24"/>
      <w:szCs w:val="24"/>
      <w:lang w:eastAsia="zh-CN"/>
    </w:rPr>
  </w:style>
  <w:style w:type="paragraph" w:styleId="9">
    <w:name w:val="Body Text"/>
    <w:basedOn w:val="1"/>
    <w:next w:val="1"/>
    <w:autoRedefine/>
    <w:semiHidden/>
    <w:qFormat/>
    <w:uiPriority w:val="0"/>
  </w:style>
  <w:style w:type="paragraph" w:styleId="10">
    <w:name w:val="Body Text Indent"/>
    <w:basedOn w:val="1"/>
    <w:semiHidden/>
    <w:unhideWhenUsed/>
    <w:qFormat/>
    <w:uiPriority w:val="99"/>
    <w:pPr>
      <w:spacing w:after="120"/>
      <w:ind w:left="420" w:leftChars="200"/>
    </w:pPr>
  </w:style>
  <w:style w:type="paragraph" w:styleId="11">
    <w:name w:val="footer"/>
    <w:basedOn w:val="1"/>
    <w:autoRedefine/>
    <w:qFormat/>
    <w:uiPriority w:val="0"/>
    <w:pPr>
      <w:tabs>
        <w:tab w:val="center" w:pos="4153"/>
        <w:tab w:val="right" w:pos="8306"/>
      </w:tabs>
    </w:pPr>
    <w:rPr>
      <w:rFonts w:eastAsia="宋体"/>
      <w:kern w:val="2"/>
      <w:sz w:val="18"/>
      <w:szCs w:val="18"/>
      <w:lang w:eastAsia="zh-CN"/>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footnote text"/>
    <w:basedOn w:val="1"/>
    <w:autoRedefine/>
    <w:qFormat/>
    <w:uiPriority w:val="0"/>
    <w:rPr>
      <w:sz w:val="18"/>
      <w:szCs w:val="20"/>
    </w:rPr>
  </w:style>
  <w:style w:type="paragraph" w:styleId="14">
    <w:name w:val="Message Header"/>
    <w:basedOn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5">
    <w:name w:val="Normal (Web)"/>
    <w:basedOn w:val="1"/>
    <w:autoRedefine/>
    <w:qFormat/>
    <w:uiPriority w:val="0"/>
    <w:pPr>
      <w:spacing w:before="100" w:beforeAutospacing="1" w:after="100" w:afterAutospacing="1"/>
    </w:pPr>
    <w:rPr>
      <w:rFonts w:ascii="宋体" w:hAnsi="宋体"/>
      <w:sz w:val="24"/>
    </w:rPr>
  </w:style>
  <w:style w:type="paragraph" w:styleId="16">
    <w:name w:val="Body Text First Indent"/>
    <w:basedOn w:val="9"/>
    <w:autoRedefine/>
    <w:qFormat/>
    <w:uiPriority w:val="0"/>
    <w:pPr>
      <w:ind w:firstLine="420" w:firstLineChars="100"/>
    </w:pPr>
  </w:style>
  <w:style w:type="paragraph" w:styleId="17">
    <w:name w:val="Body Text First Indent 2"/>
    <w:basedOn w:val="10"/>
    <w:unhideWhenUsed/>
    <w:qFormat/>
    <w:uiPriority w:val="99"/>
    <w:pPr>
      <w:ind w:firstLine="420" w:firstLineChars="20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rPr>
  </w:style>
  <w:style w:type="paragraph" w:styleId="22">
    <w:name w:val="List Paragraph"/>
    <w:basedOn w:val="1"/>
    <w:autoRedefine/>
    <w:qFormat/>
    <w:uiPriority w:val="99"/>
    <w:pPr>
      <w:ind w:firstLine="420" w:firstLineChars="200"/>
    </w:pPr>
  </w:style>
  <w:style w:type="paragraph" w:customStyle="1" w:styleId="23">
    <w:name w:val="Table Paragraph"/>
    <w:basedOn w:val="1"/>
    <w:autoRedefine/>
    <w:qFormat/>
    <w:uiPriority w:val="1"/>
    <w:rPr>
      <w:rFonts w:ascii="宋体" w:hAnsi="宋体" w:eastAsia="宋体" w:cs="宋体"/>
      <w:lang w:val="zh-CN" w:eastAsia="zh-CN" w:bidi="zh-CN"/>
    </w:rPr>
  </w:style>
  <w:style w:type="paragraph" w:customStyle="1" w:styleId="24">
    <w:name w:val="列出段落1"/>
    <w:basedOn w:val="1"/>
    <w:autoRedefine/>
    <w:qFormat/>
    <w:uiPriority w:val="0"/>
    <w:pPr>
      <w:widowControl w:val="0"/>
      <w:ind w:firstLine="420" w:firstLineChars="200"/>
      <w:jc w:val="both"/>
    </w:pPr>
    <w:rPr>
      <w:rFonts w:ascii="Times New Roman" w:hAnsi="Times New Roman" w:cs="Times New Roman"/>
      <w:kern w:val="2"/>
      <w:lang w:eastAsia="zh-CN"/>
    </w:rPr>
  </w:style>
  <w:style w:type="paragraph" w:customStyle="1" w:styleId="25">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szCs w:val="20"/>
    </w:rPr>
  </w:style>
  <w:style w:type="paragraph" w:customStyle="1" w:styleId="26">
    <w:name w:val="一级标题"/>
    <w:basedOn w:val="1"/>
    <w:autoRedefine/>
    <w:qFormat/>
    <w:uiPriority w:val="0"/>
    <w:pPr>
      <w:spacing w:beforeLines="50" w:afterLines="50"/>
    </w:pPr>
    <w:rPr>
      <w:rFonts w:ascii="Times New Roman" w:hAnsi="Times New Roman" w:eastAsia="宋体"/>
      <w:b/>
      <w:sz w:val="28"/>
    </w:rPr>
  </w:style>
  <w:style w:type="paragraph" w:customStyle="1" w:styleId="27">
    <w:name w:val="正文 样式"/>
    <w:basedOn w:val="1"/>
    <w:autoRedefine/>
    <w:qFormat/>
    <w:uiPriority w:val="0"/>
    <w:pPr>
      <w:spacing w:line="360" w:lineRule="auto"/>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8648</Words>
  <Characters>9707</Characters>
  <Lines>270</Lines>
  <Paragraphs>76</Paragraphs>
  <TotalTime>18</TotalTime>
  <ScaleCrop>false</ScaleCrop>
  <LinksUpToDate>false</LinksUpToDate>
  <CharactersWithSpaces>10084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2024-11-08T00:23:00Z</dcterms:created>
  <dc:creator>唐丹丹</dc:creator>
  <cp:lastModifiedBy>蒋零壹</cp:lastModifiedBy>
  <cp:lastPrinted>2024-11-21T00:51:00Z</cp:lastPrinted>
  <dcterms:modified xsi:type="dcterms:W3CDTF">2024-11-22T03:06:29Z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2024-02-22T17:07:38Z</vt:filetime>
  </property>
  <property fmtid="{D5CDD505-2E9C-101B-9397-08002B2CF9AE}" pid="4" name="KSOProductBuildVer">
    <vt:lpwstr>2052-12.1.0.18912</vt:lpwstr>
  </property>
  <property fmtid="{D5CDD505-2E9C-101B-9397-08002B2CF9AE}" pid="5" name="ICV">
    <vt:lpwstr>797FB1B0B23A44B0A583E2D118EB4E83_13</vt:lpwstr>
  </property>
</Properties>
</file>