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5E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420" w:lineRule="exact"/>
        <w:ind w:left="0" w:right="0" w:firstLine="0"/>
        <w:jc w:val="center"/>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bdr w:val="none" w:color="auto" w:sz="0" w:space="0"/>
          <w:lang w:val="en-US" w:eastAsia="zh-CN" w:bidi="ar"/>
        </w:rPr>
        <w:t>2024年五里镇重点区域垃圾治理项目招标公告</w:t>
      </w:r>
    </w:p>
    <w:p w14:paraId="76E05B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项目概况</w:t>
      </w:r>
    </w:p>
    <w:p w14:paraId="689E0AE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2024年五里镇重点区域垃圾治理项目</w:t>
      </w:r>
      <w:r>
        <w:rPr>
          <w:rFonts w:hint="eastAsia" w:ascii="仿宋" w:hAnsi="仿宋" w:eastAsia="仿宋" w:cs="仿宋"/>
          <w:i w:val="0"/>
          <w:iCs w:val="0"/>
          <w:caps w:val="0"/>
          <w:color w:val="333333"/>
          <w:spacing w:val="0"/>
          <w:sz w:val="28"/>
          <w:szCs w:val="28"/>
          <w:bdr w:val="none" w:color="auto" w:sz="0" w:space="0"/>
        </w:rPr>
        <w:t>招标项目的潜在投标人应在全国公共资源交易中心平台（陕西省.安康市）获取招标文件，并于 2024年09月09日 09时00分 （北京时间）前递交投标文件。</w:t>
      </w:r>
    </w:p>
    <w:p w14:paraId="78ABB8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一、项目基本情况</w:t>
      </w:r>
    </w:p>
    <w:p w14:paraId="47D9EC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项目编号：ZHZB-AK-2024-14</w:t>
      </w:r>
    </w:p>
    <w:p w14:paraId="5BB871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项目名称：2024年五里镇重点区域垃圾治理项目</w:t>
      </w:r>
    </w:p>
    <w:p w14:paraId="386901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采购方式：公开招标</w:t>
      </w:r>
    </w:p>
    <w:p w14:paraId="49F769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预算金额：2,330,320.00元</w:t>
      </w:r>
    </w:p>
    <w:p w14:paraId="2B1FA0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采购需求：</w:t>
      </w:r>
    </w:p>
    <w:p w14:paraId="7D8EB0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合同包1(2024年五里镇重点区域垃圾治理项目):</w:t>
      </w:r>
    </w:p>
    <w:p w14:paraId="7CBBC3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合同包预算金额：2,330,320.00元</w:t>
      </w:r>
    </w:p>
    <w:p w14:paraId="26A27A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合同包最高限价：2,330,320.00元</w:t>
      </w:r>
    </w:p>
    <w:tbl>
      <w:tblPr>
        <w:tblW w:w="10633" w:type="dxa"/>
        <w:tblInd w:w="-108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9"/>
        <w:gridCol w:w="781"/>
        <w:gridCol w:w="3600"/>
        <w:gridCol w:w="1050"/>
        <w:gridCol w:w="1434"/>
        <w:gridCol w:w="1511"/>
        <w:gridCol w:w="1588"/>
      </w:tblGrid>
      <w:tr w14:paraId="5F1BF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6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F128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品目号</w:t>
            </w:r>
          </w:p>
        </w:tc>
        <w:tc>
          <w:tcPr>
            <w:tcW w:w="7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561A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品目名称</w:t>
            </w:r>
          </w:p>
        </w:tc>
        <w:tc>
          <w:tcPr>
            <w:tcW w:w="3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D70B2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B9852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kern w:val="0"/>
                <w:sz w:val="21"/>
                <w:szCs w:val="21"/>
                <w:bdr w:val="none" w:color="auto" w:sz="0" w:space="0"/>
                <w:lang w:val="en-US" w:eastAsia="zh-CN" w:bidi="ar"/>
              </w:rPr>
            </w:pPr>
            <w:r>
              <w:rPr>
                <w:rFonts w:hint="eastAsia" w:ascii="仿宋" w:hAnsi="仿宋" w:eastAsia="仿宋" w:cs="仿宋"/>
                <w:b/>
                <w:bCs/>
                <w:kern w:val="0"/>
                <w:sz w:val="21"/>
                <w:szCs w:val="21"/>
                <w:bdr w:val="none" w:color="auto" w:sz="0" w:space="0"/>
                <w:lang w:val="en-US" w:eastAsia="zh-CN" w:bidi="ar"/>
              </w:rPr>
              <w:t>数量</w:t>
            </w:r>
          </w:p>
          <w:p w14:paraId="317497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（单位）</w:t>
            </w:r>
          </w:p>
        </w:tc>
        <w:tc>
          <w:tcPr>
            <w:tcW w:w="14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9ECEA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技术规格、参数及要求</w:t>
            </w:r>
          </w:p>
        </w:tc>
        <w:tc>
          <w:tcPr>
            <w:tcW w:w="15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F5CD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品目预算(元)</w:t>
            </w:r>
          </w:p>
        </w:tc>
        <w:tc>
          <w:tcPr>
            <w:tcW w:w="15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9CC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b/>
                <w:bCs/>
                <w:sz w:val="21"/>
                <w:szCs w:val="21"/>
              </w:rPr>
            </w:pPr>
            <w:r>
              <w:rPr>
                <w:rFonts w:hint="eastAsia" w:ascii="仿宋" w:hAnsi="仿宋" w:eastAsia="仿宋" w:cs="仿宋"/>
                <w:b/>
                <w:bCs/>
                <w:kern w:val="0"/>
                <w:sz w:val="21"/>
                <w:szCs w:val="21"/>
                <w:bdr w:val="none" w:color="auto" w:sz="0" w:space="0"/>
                <w:lang w:val="en-US" w:eastAsia="zh-CN" w:bidi="ar"/>
              </w:rPr>
              <w:t>最高限价(元)</w:t>
            </w:r>
          </w:p>
        </w:tc>
      </w:tr>
      <w:tr w14:paraId="01F81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66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6C91D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1-1</w:t>
            </w:r>
          </w:p>
        </w:tc>
        <w:tc>
          <w:tcPr>
            <w:tcW w:w="78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E65BF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其他农业服务</w:t>
            </w:r>
          </w:p>
        </w:tc>
        <w:tc>
          <w:tcPr>
            <w:tcW w:w="3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7F6B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确保垃圾及时清运、无露天堆放现象，提升人居环境和群众生活质量。实施垃圾治理、外运处理1.2万余吨。</w:t>
            </w:r>
          </w:p>
        </w:tc>
        <w:tc>
          <w:tcPr>
            <w:tcW w:w="1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13860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1(项)</w:t>
            </w:r>
          </w:p>
        </w:tc>
        <w:tc>
          <w:tcPr>
            <w:tcW w:w="14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47F9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20" w:lineRule="exact"/>
              <w:ind w:left="0" w:right="0"/>
              <w:jc w:val="center"/>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详见采购文件</w:t>
            </w:r>
          </w:p>
        </w:tc>
        <w:tc>
          <w:tcPr>
            <w:tcW w:w="151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13F256">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right="0"/>
              <w:jc w:val="right"/>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2,330,320.00</w:t>
            </w:r>
          </w:p>
        </w:tc>
        <w:tc>
          <w:tcPr>
            <w:tcW w:w="158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6CB07D">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right="0"/>
              <w:jc w:val="right"/>
              <w:textAlignment w:val="auto"/>
              <w:rPr>
                <w:rFonts w:hint="eastAsia" w:ascii="仿宋" w:hAnsi="仿宋" w:eastAsia="仿宋" w:cs="仿宋"/>
                <w:sz w:val="21"/>
                <w:szCs w:val="21"/>
              </w:rPr>
            </w:pPr>
            <w:r>
              <w:rPr>
                <w:rFonts w:hint="eastAsia" w:ascii="仿宋" w:hAnsi="仿宋" w:eastAsia="仿宋" w:cs="仿宋"/>
                <w:kern w:val="0"/>
                <w:sz w:val="21"/>
                <w:szCs w:val="21"/>
                <w:bdr w:val="none" w:color="auto" w:sz="0" w:space="0"/>
                <w:lang w:val="en-US" w:eastAsia="zh-CN" w:bidi="ar"/>
              </w:rPr>
              <w:t>2,330,320.00</w:t>
            </w:r>
          </w:p>
        </w:tc>
      </w:tr>
    </w:tbl>
    <w:p w14:paraId="17543E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本合同包不接受联合体投标</w:t>
      </w:r>
    </w:p>
    <w:p w14:paraId="4DD1AD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630"/>
        <w:jc w:val="both"/>
        <w:textAlignment w:val="auto"/>
        <w:rPr>
          <w:rFonts w:hint="default" w:ascii="仿宋" w:hAnsi="仿宋" w:eastAsia="仿宋" w:cs="仿宋"/>
          <w:sz w:val="28"/>
          <w:szCs w:val="28"/>
          <w:lang w:val="en-US" w:eastAsia="zh-CN"/>
        </w:rPr>
      </w:pPr>
      <w:r>
        <w:rPr>
          <w:rFonts w:hint="eastAsia" w:ascii="仿宋" w:hAnsi="仿宋" w:eastAsia="仿宋" w:cs="仿宋"/>
          <w:i w:val="0"/>
          <w:iCs w:val="0"/>
          <w:caps w:val="0"/>
          <w:color w:val="333333"/>
          <w:spacing w:val="0"/>
          <w:sz w:val="28"/>
          <w:szCs w:val="28"/>
          <w:bdr w:val="none" w:color="auto" w:sz="0" w:space="0"/>
        </w:rPr>
        <w:t>合同履行期限：</w:t>
      </w:r>
      <w:r>
        <w:rPr>
          <w:rFonts w:hint="eastAsia" w:ascii="仿宋" w:hAnsi="仿宋" w:eastAsia="仿宋" w:cs="仿宋"/>
          <w:i w:val="0"/>
          <w:iCs w:val="0"/>
          <w:caps w:val="0"/>
          <w:color w:val="333333"/>
          <w:spacing w:val="0"/>
          <w:sz w:val="28"/>
          <w:szCs w:val="28"/>
          <w:bdr w:val="none" w:color="auto" w:sz="0" w:space="0"/>
          <w:lang w:val="en-US" w:eastAsia="zh-CN"/>
        </w:rPr>
        <w:t>90日历日</w:t>
      </w:r>
    </w:p>
    <w:p w14:paraId="417B2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二、申请人的资格要求：</w:t>
      </w:r>
    </w:p>
    <w:p w14:paraId="5743C8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1.满足《中华人民共和国政府采购法》第二十二条规定;</w:t>
      </w:r>
    </w:p>
    <w:p w14:paraId="64FB0F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2.落实政府采购政策需满足的资格要求：</w:t>
      </w:r>
    </w:p>
    <w:p w14:paraId="316FAF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合同包1(2024年五里镇重点区域垃圾治理项目)落实政府采购政策需满足的资格要求如下:</w:t>
      </w:r>
    </w:p>
    <w:p w14:paraId="0FF16D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关于在政府采购活动中查询及使用信用记录有关问题的通知》（财库〔2016〕125号）、《政府采购促进中小企业发展办法》（财库〔2020〕46号）、《关于进一步加大政府采购支持中小企业力度的通知》（财库〔2022〕19号）、《关于政府采购支持监狱 企业发展有关问题的通知》（财库〔2014〕68号）以及《关于促进残疾人就业政府采购政策的通知》（财库〔2017〕141 号）；</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(2)国务院办公厅《关于建立政府强制采购节能产品制度的通知》（国办发〔2007〕51 号）、财政部</w:t>
      </w:r>
      <w:r>
        <w:rPr>
          <w:rFonts w:hint="eastAsia" w:ascii="仿宋" w:hAnsi="仿宋" w:eastAsia="仿宋" w:cs="仿宋"/>
          <w:i w:val="0"/>
          <w:iCs w:val="0"/>
          <w:caps w:val="0"/>
          <w:color w:val="333333"/>
          <w:spacing w:val="0"/>
          <w:sz w:val="28"/>
          <w:szCs w:val="28"/>
          <w:bdr w:val="none" w:color="auto" w:sz="0" w:space="0"/>
          <w:lang w:val="en-US" w:eastAsia="zh-CN"/>
        </w:rPr>
        <w:t xml:space="preserve"> </w:t>
      </w:r>
      <w:r>
        <w:rPr>
          <w:rFonts w:hint="eastAsia" w:ascii="仿宋" w:hAnsi="仿宋" w:eastAsia="仿宋" w:cs="仿宋"/>
          <w:i w:val="0"/>
          <w:iCs w:val="0"/>
          <w:caps w:val="0"/>
          <w:color w:val="333333"/>
          <w:spacing w:val="0"/>
          <w:sz w:val="28"/>
          <w:szCs w:val="28"/>
          <w:bdr w:val="none" w:color="auto" w:sz="0" w:space="0"/>
        </w:rPr>
        <w:t>发展改革委</w:t>
      </w:r>
      <w:r>
        <w:rPr>
          <w:rFonts w:hint="eastAsia" w:ascii="仿宋" w:hAnsi="仿宋" w:eastAsia="仿宋" w:cs="仿宋"/>
          <w:i w:val="0"/>
          <w:iCs w:val="0"/>
          <w:caps w:val="0"/>
          <w:color w:val="333333"/>
          <w:spacing w:val="0"/>
          <w:sz w:val="28"/>
          <w:szCs w:val="28"/>
          <w:bdr w:val="none" w:color="auto" w:sz="0" w:space="0"/>
          <w:lang w:val="en-US" w:eastAsia="zh-CN"/>
        </w:rPr>
        <w:t xml:space="preserve"> </w:t>
      </w:r>
      <w:r>
        <w:rPr>
          <w:rFonts w:hint="eastAsia" w:ascii="仿宋" w:hAnsi="仿宋" w:eastAsia="仿宋" w:cs="仿宋"/>
          <w:i w:val="0"/>
          <w:iCs w:val="0"/>
          <w:caps w:val="0"/>
          <w:color w:val="333333"/>
          <w:spacing w:val="0"/>
          <w:sz w:val="28"/>
          <w:szCs w:val="28"/>
          <w:bdr w:val="none" w:color="auto" w:sz="0" w:space="0"/>
        </w:rPr>
        <w:t>生态环境部 市场监管总局联合印发《关于调整优化节能产品、环境标志产品政府采购执行机制的通知》（财库〔2019〕9号）、财政部 生态环境部《关于印发环境标志产品政府采购品目清单的通知》（财库〔2019〕18号）、财政部 发展改革委《关于印发节能产品政府采购品目清单的通知》（财库〔2019〕19号）；</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(3)《陕西省财政厅关于加快推进我省中小企业政府采购信用融资工作的通知》（陕财办采〔2020〕15号）、陕西省财政厅关于印发《陕西省中小企业政府采购信用融资办法》（陕财办采〔2018〕23号），有融资意向的投标企业请自行登录陕西省政府采购信用融资平台完善相关信息，http://www.ccgpshaanxi.gov.cn/zcdservice/zcd/shanxi/。</w:t>
      </w:r>
    </w:p>
    <w:p w14:paraId="47CA0A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3.本项目的特定资格要求：</w:t>
      </w:r>
    </w:p>
    <w:p w14:paraId="311F38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合同包1(2024年五里镇重点区域垃圾治理项目)特定资格要求如下:</w:t>
      </w:r>
    </w:p>
    <w:p w14:paraId="5F696D29">
      <w:pPr>
        <w:spacing w:before="35" w:line="466" w:lineRule="auto"/>
        <w:ind w:left="37" w:right="130" w:firstLine="491"/>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（1）有效的主体资格证明：供应商具有独立承担民事责任的能力（提供有效的营业执照、组织机构代码证、税务登记证或统一社会信用代码的营业执照，其他组织的有效证明文件，自然人的身份证明）；</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（2）法定代表人直接参加投标的，须出具法人身份证；法定代表人授权代表参加投标的， 须出具法定代表人授权书及授权代表身份证；</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（3）财务状况报告：提供2022年度或2023年度经审计的财务审计报告（成立时间至提交投标文件截止时间不足1年的可提供成立后任意时段的资产负债表）或其基本存款账户开户银行出具的资信证明；</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（4）税收缴纳证明：提供2022年至今已缴纳的至少三个月的纳税证明或完税证明，依法免税的单位应提供相关证明材料；</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（5）社会保障资金缴纳证明：提供2022年至今至少三个月的已缴存的社会保障资金缴存单据或社保机构开具的社会保险参保缴费情况证明，依法不需要缴纳社会保障资金的单位应提供相关证明材料；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（6）</w:t>
      </w:r>
      <w:r>
        <w:rPr>
          <w:rFonts w:hint="eastAsia" w:ascii="仿宋" w:hAnsi="仿宋" w:eastAsia="仿宋" w:cs="仿宋"/>
          <w:i w:val="0"/>
          <w:iCs w:val="0"/>
          <w:caps w:val="0"/>
          <w:color w:val="333333"/>
          <w:spacing w:val="0"/>
          <w:sz w:val="28"/>
          <w:szCs w:val="28"/>
          <w:bdr w:val="none" w:color="auto" w:sz="0" w:space="0"/>
          <w:lang w:val="en-US" w:eastAsia="zh-CN"/>
        </w:rPr>
        <w:t>书面声明：</w:t>
      </w:r>
      <w:r>
        <w:rPr>
          <w:rFonts w:hint="eastAsia" w:ascii="仿宋" w:hAnsi="仿宋" w:eastAsia="仿宋" w:cs="仿宋"/>
          <w:i w:val="0"/>
          <w:iCs w:val="0"/>
          <w:caps w:val="0"/>
          <w:color w:val="333333"/>
          <w:spacing w:val="0"/>
          <w:sz w:val="28"/>
          <w:szCs w:val="28"/>
          <w:bdr w:val="none" w:color="auto" w:sz="0" w:space="0"/>
        </w:rPr>
        <w:t>参加本次政府采购活动前 3 年内在经营活动中没有重大违法纪录以及未被列入失信被执行人、重大税收违法案件当事人名单、政府采购严重违法失信行为记录名单</w:t>
      </w:r>
      <w:r>
        <w:rPr>
          <w:rFonts w:hint="eastAsia" w:ascii="仿宋" w:hAnsi="仿宋" w:eastAsia="仿宋" w:cs="仿宋"/>
          <w:i w:val="0"/>
          <w:iCs w:val="0"/>
          <w:caps w:val="0"/>
          <w:color w:val="333333"/>
          <w:spacing w:val="0"/>
          <w:sz w:val="28"/>
          <w:szCs w:val="28"/>
          <w:bdr w:val="none" w:color="auto" w:sz="0" w:space="0"/>
          <w:lang w:eastAsia="zh-CN"/>
        </w:rPr>
        <w:t>（最终结果</w:t>
      </w:r>
      <w:bookmarkStart w:id="0" w:name="_GoBack"/>
      <w:bookmarkEnd w:id="0"/>
      <w:r>
        <w:rPr>
          <w:rFonts w:hint="eastAsia" w:ascii="仿宋" w:hAnsi="仿宋" w:eastAsia="仿宋" w:cs="仿宋"/>
          <w:i w:val="0"/>
          <w:iCs w:val="0"/>
          <w:caps w:val="0"/>
          <w:color w:val="333333"/>
          <w:spacing w:val="0"/>
          <w:sz w:val="28"/>
          <w:szCs w:val="28"/>
          <w:bdr w:val="none" w:color="auto" w:sz="0" w:space="0"/>
          <w:lang w:eastAsia="zh-CN"/>
        </w:rPr>
        <w:t>以开标现场在“信用中国”网站（www.creditchina.gov.cn）</w:t>
      </w:r>
      <w:r>
        <w:rPr>
          <w:rFonts w:hint="eastAsia" w:ascii="仿宋" w:hAnsi="仿宋" w:eastAsia="仿宋" w:cs="仿宋"/>
          <w:i w:val="0"/>
          <w:iCs w:val="0"/>
          <w:caps w:val="0"/>
          <w:color w:val="333333"/>
          <w:spacing w:val="0"/>
          <w:sz w:val="28"/>
          <w:szCs w:val="28"/>
          <w:bdr w:val="none" w:color="auto" w:sz="0" w:space="0"/>
          <w:lang w:val="en-US" w:eastAsia="zh-CN"/>
        </w:rPr>
        <w:t>和“</w:t>
      </w:r>
      <w:r>
        <w:rPr>
          <w:rFonts w:hint="eastAsia" w:ascii="仿宋" w:hAnsi="仿宋" w:eastAsia="仿宋" w:cs="仿宋"/>
          <w:i w:val="0"/>
          <w:iCs w:val="0"/>
          <w:caps w:val="0"/>
          <w:color w:val="333333"/>
          <w:spacing w:val="0"/>
          <w:sz w:val="28"/>
          <w:szCs w:val="28"/>
          <w:lang w:eastAsia="zh-CN"/>
        </w:rPr>
        <w:t>中国政府采购网”（www.ccgp.gov.cn）查询公示结果为准）</w:t>
      </w:r>
      <w:r>
        <w:rPr>
          <w:rFonts w:hint="eastAsia" w:ascii="仿宋" w:hAnsi="仿宋" w:eastAsia="仿宋" w:cs="仿宋"/>
          <w:i w:val="0"/>
          <w:iCs w:val="0"/>
          <w:caps w:val="0"/>
          <w:color w:val="333333"/>
          <w:spacing w:val="0"/>
          <w:sz w:val="28"/>
          <w:szCs w:val="28"/>
          <w:bdr w:val="none" w:color="auto" w:sz="0" w:space="0"/>
        </w:rPr>
        <w:t>；</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7）本项目专门面向中小企业采购，供应商应为中型、小型、微型企业或监狱企业或残疾人福利性单位。提供服务的供应商为中型、小型、微型企业的，提供《中小企业声明函》；提供服务的供应商为监狱企业的，提供监狱企业的证明文件；提供服务的单位为残疾人福利性单位的，提供《残疾人福利性单位声明函》；</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（8）本项目不接受联合体投标。</w:t>
      </w:r>
    </w:p>
    <w:p w14:paraId="0867BD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三、获取招标文件</w:t>
      </w:r>
    </w:p>
    <w:p w14:paraId="0C7F0B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时间： 2024年08月19日 至 2024年08月23日 ，每天上午 08:00:00 至 12:00:00 ，下午 12:00:00 至 18:00:00 （北京时间）</w:t>
      </w:r>
    </w:p>
    <w:p w14:paraId="518B6E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途径：全国公共资源交易中心平台（陕西省.安康市）</w:t>
      </w:r>
    </w:p>
    <w:p w14:paraId="6CD4E8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方式：在线获取</w:t>
      </w:r>
    </w:p>
    <w:p w14:paraId="5B840F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售价： 0元</w:t>
      </w:r>
    </w:p>
    <w:p w14:paraId="1B0C8A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四、提交投标文件截止时间、开标时间和地点</w:t>
      </w:r>
    </w:p>
    <w:p w14:paraId="077038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时间： 2024年09月09日 09时00分00秒 （北京时间）</w:t>
      </w:r>
    </w:p>
    <w:p w14:paraId="150391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提交投标文件地点：全国公共资源交易中心平台（陕西省·安康市）</w:t>
      </w:r>
    </w:p>
    <w:p w14:paraId="76325A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开标地点：安康市公共资源交易中心（安康市香溪路 8 号）</w:t>
      </w:r>
    </w:p>
    <w:p w14:paraId="1D09F2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五、公告期限</w:t>
      </w:r>
    </w:p>
    <w:p w14:paraId="21C5AD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自本公告发布之日起5个工作日。</w:t>
      </w:r>
    </w:p>
    <w:p w14:paraId="48A3D1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六、其他补充事宜</w:t>
      </w:r>
    </w:p>
    <w:p w14:paraId="1B91FC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1.投标供应商使用捆绑陕西省公共资源交易平台的CA锁登录安康市公共资源交易中心（http://ak.sxggzyjy.cn/），选择“电子交易平台—陕西政府采购交易系统—企业端”进行登录，登录后选择“交易乙方”身份进入供应商界面，选择有意向的项目点击“我要投标”，完善相关投标信息。</w:t>
      </w:r>
    </w:p>
    <w:p w14:paraId="355680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2.下载文件：在招标文件获取时间内，投标人登录安康市公共资源交易中心（http://ak.sxggzyjy.cn/ ）， 投标供应商可在〖我的项目〗中点击“项目流程&gt;交易文件下载”免费下载电子招标文件。</w:t>
      </w:r>
    </w:p>
    <w:p w14:paraId="7DF18D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3.未完成网上投标成功的或未在规定时间内在交易系统下载招标文件的，无法完成后续流程。</w:t>
      </w:r>
    </w:p>
    <w:p w14:paraId="37C619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4.本项目采用电子化投标开标方式，相关操作流程详见全国公共资源交易平台（陕西省）网站[服务指南-下载专区]中的《陕西省公共资源交易中心政府采购项目投标指南》。</w:t>
      </w:r>
    </w:p>
    <w:p w14:paraId="3F54A3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5.电子招标文件需要使用专用软件打开、浏览。投标人登录全国公共资源交易平台（陕西省）（http://www.sxggzyjy.cn/）〖服务指南·〉下载专区〗免费下载《陕西省公共资源交易平台政府采购电子标书制作工具》，并升级至最新版本，使用该客户端可以打开电子招标文件。软件操作手册详见全国公共资源交易平台（陕西省）网站〖服务指南·〉下载专区〗中的《陕西省公共资源交易（政府采购类）投标文件制作软件操作手册》。</w:t>
      </w:r>
    </w:p>
    <w:p w14:paraId="6261D7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6.电子招标文件技术支持：4009280095、4009980000。</w:t>
      </w:r>
    </w:p>
    <w:p w14:paraId="3E7E47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rPr>
        <w:t>7.根据《陕西省财政厅关于政府采购供应商注册登记有关事项的通知》（http://www.ccgp-shaanxi.gov.cn/freecms/site/shaanxi/ggxx/info/oldweb/8a85be3567ed23460167ed36804d0009.html）要求，中标供应商应通过陕西省政府采购网（http://www.ccgp-shaanxi.gov.cn/）注册登记加入陕西省政府采购供应商库。如果中标供应商未注册登记入库，致使采购结果无法公告的情形由中标供应商承担责任。</w:t>
      </w:r>
    </w:p>
    <w:p w14:paraId="1C635F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Style w:val="8"/>
          <w:rFonts w:hint="eastAsia" w:ascii="仿宋" w:hAnsi="仿宋" w:eastAsia="仿宋" w:cs="仿宋"/>
          <w:b/>
          <w:bCs/>
          <w:i w:val="0"/>
          <w:iCs w:val="0"/>
          <w:caps w:val="0"/>
          <w:color w:val="333333"/>
          <w:spacing w:val="0"/>
          <w:sz w:val="28"/>
          <w:szCs w:val="28"/>
          <w:bdr w:val="none" w:color="auto" w:sz="0" w:space="0"/>
        </w:rPr>
        <w:t>七、对本次招标提出询问，请按以下方式联系。</w:t>
      </w:r>
    </w:p>
    <w:p w14:paraId="6B263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rPr>
        <w:t>1.采购人信息</w:t>
      </w:r>
    </w:p>
    <w:p w14:paraId="3CC9FD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名称：汉滨区五里镇人民政府</w:t>
      </w:r>
    </w:p>
    <w:p w14:paraId="342821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地址：陕西省安康市汉滨区五里镇五里社区104号</w:t>
      </w:r>
    </w:p>
    <w:p w14:paraId="6AD0A5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联系方式：18592014051</w:t>
      </w:r>
    </w:p>
    <w:p w14:paraId="7505AF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rPr>
        <w:t>2.采购代理机构信息</w:t>
      </w:r>
    </w:p>
    <w:p w14:paraId="6254F8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名称：众合国际项目管理有限公司</w:t>
      </w:r>
    </w:p>
    <w:p w14:paraId="59F00F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地址：陕西省西安市莲湖区丰登南路3号1幢306室</w:t>
      </w:r>
    </w:p>
    <w:p w14:paraId="5A2E6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联系方式：18091579903</w:t>
      </w:r>
    </w:p>
    <w:p w14:paraId="0F3B50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jc w:val="left"/>
        <w:textAlignment w:val="auto"/>
        <w:rPr>
          <w:rFonts w:hint="eastAsia" w:ascii="仿宋" w:hAnsi="仿宋" w:eastAsia="仿宋" w:cs="仿宋"/>
          <w:b w:val="0"/>
          <w:bCs w:val="0"/>
          <w:sz w:val="28"/>
          <w:szCs w:val="28"/>
        </w:rPr>
      </w:pPr>
      <w:r>
        <w:rPr>
          <w:rFonts w:hint="eastAsia" w:ascii="仿宋" w:hAnsi="仿宋" w:eastAsia="仿宋" w:cs="仿宋"/>
          <w:b w:val="0"/>
          <w:bCs w:val="0"/>
          <w:i w:val="0"/>
          <w:iCs w:val="0"/>
          <w:caps w:val="0"/>
          <w:color w:val="333333"/>
          <w:spacing w:val="0"/>
          <w:sz w:val="28"/>
          <w:szCs w:val="28"/>
          <w:bdr w:val="none" w:color="auto" w:sz="0" w:space="0"/>
        </w:rPr>
        <w:t>3.项目联系方式</w:t>
      </w:r>
    </w:p>
    <w:p w14:paraId="028662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项目联系人：杨女士</w:t>
      </w:r>
    </w:p>
    <w:p w14:paraId="75E604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rPr>
        <w:t>电话：18091579903</w:t>
      </w:r>
    </w:p>
    <w:p w14:paraId="7E1D71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eastAsia" w:ascii="仿宋" w:hAnsi="仿宋" w:eastAsia="仿宋" w:cs="仿宋"/>
          <w:i w:val="0"/>
          <w:iCs w:val="0"/>
          <w:caps w:val="0"/>
          <w:color w:val="333333"/>
          <w:spacing w:val="0"/>
          <w:sz w:val="28"/>
          <w:szCs w:val="28"/>
          <w:bdr w:val="none" w:color="auto" w:sz="0" w:space="0"/>
        </w:rPr>
      </w:pPr>
      <w:r>
        <w:rPr>
          <w:rFonts w:hint="eastAsia" w:ascii="仿宋" w:hAnsi="仿宋" w:eastAsia="仿宋" w:cs="仿宋"/>
          <w:i w:val="0"/>
          <w:iCs w:val="0"/>
          <w:caps w:val="0"/>
          <w:color w:val="333333"/>
          <w:spacing w:val="0"/>
          <w:sz w:val="28"/>
          <w:szCs w:val="28"/>
          <w:bdr w:val="none" w:color="auto" w:sz="0" w:space="0"/>
        </w:rPr>
        <w:t>众合国际项目管理有限公司</w:t>
      </w:r>
    </w:p>
    <w:p w14:paraId="2AF813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right"/>
        <w:textAlignment w:val="auto"/>
        <w:rPr>
          <w:rFonts w:hint="default" w:ascii="仿宋" w:hAnsi="仿宋" w:eastAsia="仿宋" w:cs="仿宋"/>
          <w:i w:val="0"/>
          <w:iCs w:val="0"/>
          <w:caps w:val="0"/>
          <w:color w:val="333333"/>
          <w:spacing w:val="0"/>
          <w:sz w:val="28"/>
          <w:szCs w:val="28"/>
          <w:bdr w:val="none" w:color="auto" w:sz="0" w:space="0"/>
          <w:lang w:val="en-US" w:eastAsia="zh-CN"/>
        </w:rPr>
      </w:pPr>
      <w:r>
        <w:rPr>
          <w:rFonts w:hint="eastAsia" w:ascii="仿宋" w:hAnsi="仿宋" w:eastAsia="仿宋" w:cs="仿宋"/>
          <w:i w:val="0"/>
          <w:iCs w:val="0"/>
          <w:caps w:val="0"/>
          <w:color w:val="333333"/>
          <w:spacing w:val="0"/>
          <w:sz w:val="28"/>
          <w:szCs w:val="28"/>
          <w:bdr w:val="none" w:color="auto" w:sz="0" w:space="0"/>
          <w:lang w:val="en-US" w:eastAsia="zh-CN"/>
        </w:rPr>
        <w:t>2024年8月16日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DQ0OWZkMjNkYTFkYjIyYjg1ZGU0NjA2YjMzMTgifQ=="/>
  </w:docVars>
  <w:rsids>
    <w:rsidRoot w:val="4B0E35C6"/>
    <w:rsid w:val="120C7C36"/>
    <w:rsid w:val="4B0E35C6"/>
    <w:rsid w:val="639257BA"/>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eastAsia="仿宋_GB2312"/>
      <w:sz w:val="30"/>
      <w:szCs w:val="3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2024-08-16T08:28:00Z</dcterms:created>
  <dc:creator>@浪屿</dc:creator>
  <cp:lastModifiedBy>@浪屿</cp:lastModifiedBy>
  <cp:lastPrinted>2024-08-16T08:34:54Z</cp:lastPrinted>
  <dcterms:modified xsi:type="dcterms:W3CDTF">2024-08-16T09:27:38Z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CB3FD97EA1F54424AEFE0BF97A7B8293_11</vt:lpwstr>
  </property>
</Properties>
</file>