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91490">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ascii="黑体" w:hAnsi="黑体" w:eastAsia="黑体" w:cs="黑体"/>
          <w:spacing w:val="10"/>
          <w:sz w:val="36"/>
          <w:szCs w:val="36"/>
          <w:lang w:val="en-US" w:eastAsia="zh-CN"/>
          <w14:textOutline w14:w="6537" w14:cap="sq" w14:cmpd="sng">
            <w14:solidFill>
              <w14:srgbClr w14:val="000000"/>
            </w14:solidFill>
            <w14:prstDash w14:val="solid"/>
            <w14:bevel/>
          </w14:textOutline>
        </w:rPr>
      </w:pPr>
      <w:r>
        <w:rPr>
          <w:rFonts w:hint="eastAsia" w:ascii="黑体" w:hAnsi="黑体" w:eastAsia="黑体" w:cs="黑体"/>
          <w:spacing w:val="10"/>
          <w:sz w:val="36"/>
          <w:szCs w:val="36"/>
          <w:lang w:val="en-US" w:eastAsia="zh-CN"/>
          <w14:textOutline w14:w="6537" w14:cap="sq" w14:cmpd="sng">
            <w14:solidFill>
              <w14:srgbClr w14:val="000000"/>
            </w14:solidFill>
            <w14:prstDash w14:val="solid"/>
            <w14:bevel/>
          </w14:textOutline>
        </w:rPr>
        <w:t>府谷县盛海煤业洗选车间东侧边坡(二期)治理工程</w:t>
      </w:r>
    </w:p>
    <w:p w14:paraId="1473C302">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hint="eastAsia" w:ascii="黑体" w:hAnsi="黑体" w:eastAsia="黑体" w:cs="黑体"/>
          <w:sz w:val="36"/>
          <w:szCs w:val="36"/>
          <w:lang w:eastAsia="zh-CN"/>
        </w:rPr>
      </w:pPr>
      <w:r>
        <w:rPr>
          <w:rFonts w:hint="eastAsia" w:ascii="黑体" w:hAnsi="黑体" w:eastAsia="黑体" w:cs="黑体"/>
          <w:spacing w:val="10"/>
          <w:sz w:val="36"/>
          <w:szCs w:val="36"/>
          <w:lang w:val="en-US" w:eastAsia="zh-CN"/>
          <w14:textOutline w14:w="6537" w14:cap="sq" w14:cmpd="sng">
            <w14:solidFill>
              <w14:srgbClr w14:val="000000"/>
            </w14:solidFill>
            <w14:prstDash w14:val="solid"/>
            <w14:bevel/>
          </w14:textOutline>
        </w:rPr>
        <w:t>采购</w:t>
      </w:r>
      <w:r>
        <w:rPr>
          <w:rFonts w:hint="eastAsia" w:ascii="黑体" w:hAnsi="黑体" w:eastAsia="黑体" w:cs="黑体"/>
          <w:spacing w:val="10"/>
          <w:sz w:val="36"/>
          <w:szCs w:val="36"/>
          <w14:textOutline w14:w="6537" w14:cap="sq" w14:cmpd="sng">
            <w14:solidFill>
              <w14:srgbClr w14:val="000000"/>
            </w14:solidFill>
            <w14:prstDash w14:val="solid"/>
            <w14:bevel/>
          </w14:textOutline>
        </w:rPr>
        <w:t>需求</w:t>
      </w:r>
      <w:r>
        <w:rPr>
          <w:rFonts w:hint="eastAsia" w:ascii="黑体" w:hAnsi="黑体" w:eastAsia="黑体" w:cs="黑体"/>
          <w:spacing w:val="10"/>
          <w:sz w:val="36"/>
          <w:szCs w:val="36"/>
          <w:lang w:eastAsia="zh-CN"/>
          <w14:textOutline w14:w="6537" w14:cap="sq" w14:cmpd="sng">
            <w14:solidFill>
              <w14:srgbClr w14:val="000000"/>
            </w14:solidFill>
            <w14:prstDash w14:val="solid"/>
            <w14:bevel/>
          </w14:textOutline>
        </w:rPr>
        <w:t>书</w:t>
      </w:r>
    </w:p>
    <w:p w14:paraId="16F77920">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rPr>
          <w:rFonts w:hint="eastAsia" w:ascii="黑体" w:hAnsi="黑体" w:eastAsia="黑体" w:cs="黑体"/>
        </w:rPr>
      </w:pPr>
      <w:r>
        <w:rPr>
          <w:rFonts w:hint="eastAsia" w:ascii="黑体" w:hAnsi="黑体" w:eastAsia="黑体" w:cs="黑体"/>
          <w14:textOutline w14:w="5103" w14:cap="sq" w14:cmpd="sng">
            <w14:solidFill>
              <w14:srgbClr w14:val="000000"/>
            </w14:solidFill>
            <w14:prstDash w14:val="solid"/>
            <w14:bevel/>
          </w14:textOutline>
        </w:rPr>
        <w:t>采购项目名称：</w:t>
      </w:r>
      <w:r>
        <w:rPr>
          <w:rFonts w:hint="eastAsia" w:ascii="黑体" w:hAnsi="黑体" w:eastAsia="黑体" w:cs="黑体"/>
          <w:lang w:val="en-US" w:eastAsia="zh-CN"/>
        </w:rPr>
        <w:t>府谷县盛海煤业洗选车间东侧边坡(二期)治理 工程</w:t>
      </w:r>
    </w:p>
    <w:p w14:paraId="05B6497F">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right="0"/>
        <w:jc w:val="both"/>
        <w:textAlignment w:val="baseline"/>
        <w:rPr>
          <w:rFonts w:hint="eastAsia" w:ascii="黑体" w:hAnsi="黑体" w:eastAsia="黑体" w:cs="黑体"/>
        </w:rPr>
      </w:pPr>
      <w:r>
        <w:rPr>
          <w:rFonts w:hint="eastAsia" w:ascii="黑体" w:hAnsi="黑体" w:eastAsia="黑体" w:cs="黑体"/>
          <w14:textOutline w14:w="5103" w14:cap="sq" w14:cmpd="sng">
            <w14:solidFill>
              <w14:srgbClr w14:val="000000"/>
            </w14:solidFill>
            <w14:prstDash w14:val="solid"/>
            <w14:bevel/>
          </w14:textOutline>
        </w:rPr>
        <w:t>采购项目预算、资金构成和采购方式：</w:t>
      </w:r>
    </w:p>
    <w:p w14:paraId="0A9D165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ascii="黑体" w:hAnsi="黑体" w:eastAsia="黑体" w:cs="黑体"/>
          <w:spacing w:val="-24"/>
          <w:lang w:val="en-US" w:eastAsia="zh-CN"/>
        </w:rPr>
      </w:pPr>
      <w:r>
        <w:rPr>
          <w:rFonts w:hint="eastAsia" w:ascii="黑体" w:hAnsi="黑体" w:eastAsia="黑体" w:cs="黑体"/>
          <w:spacing w:val="-24"/>
          <w:lang w:val="en-US" w:eastAsia="zh-CN"/>
        </w:rPr>
        <w:t>1 、采购项目预算：</w:t>
      </w:r>
      <w:r>
        <w:rPr>
          <w:rFonts w:hint="eastAsia" w:ascii="黑体" w:hAnsi="黑体" w:eastAsia="黑体" w:cs="黑体"/>
          <w:spacing w:val="-1"/>
          <w:lang w:val="en-US" w:eastAsia="zh-CN"/>
        </w:rPr>
        <w:t>1021700.00元</w:t>
      </w:r>
    </w:p>
    <w:p w14:paraId="1AE3ECF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ascii="黑体" w:hAnsi="黑体" w:eastAsia="黑体" w:cs="黑体"/>
          <w:spacing w:val="-24"/>
          <w:lang w:val="en-US" w:eastAsia="zh-CN"/>
        </w:rPr>
      </w:pPr>
      <w:r>
        <w:rPr>
          <w:rFonts w:hint="eastAsia" w:ascii="黑体" w:hAnsi="黑体" w:eastAsia="黑体" w:cs="黑体"/>
          <w:spacing w:val="-24"/>
          <w:lang w:val="en-US" w:eastAsia="zh-CN"/>
        </w:rPr>
        <w:t>2 、资金来源：自筹资金</w:t>
      </w:r>
    </w:p>
    <w:p w14:paraId="18D80CA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rPr>
          <w:rFonts w:hint="eastAsia" w:ascii="黑体" w:hAnsi="黑体" w:eastAsia="黑体" w:cs="黑体"/>
          <w:highlight w:val="yellow"/>
          <w:lang w:eastAsia="zh-CN"/>
        </w:rPr>
      </w:pPr>
      <w:r>
        <w:rPr>
          <w:rFonts w:hint="eastAsia" w:ascii="黑体" w:hAnsi="黑体" w:eastAsia="黑体" w:cs="黑体"/>
          <w:spacing w:val="-24"/>
          <w:lang w:val="en-US" w:eastAsia="zh-CN"/>
        </w:rPr>
        <w:t>3</w:t>
      </w:r>
      <w:r>
        <w:rPr>
          <w:rFonts w:hint="eastAsia" w:ascii="黑体" w:hAnsi="黑体" w:eastAsia="黑体" w:cs="黑体"/>
          <w:spacing w:val="-24"/>
        </w:rPr>
        <w:t xml:space="preserve"> </w:t>
      </w:r>
      <w:r>
        <w:rPr>
          <w:rFonts w:hint="eastAsia" w:ascii="黑体" w:hAnsi="黑体" w:eastAsia="黑体" w:cs="黑体"/>
          <w:spacing w:val="-4"/>
        </w:rPr>
        <w:t>、采购方式：</w:t>
      </w:r>
      <w:r>
        <w:rPr>
          <w:rFonts w:hint="eastAsia" w:ascii="黑体" w:hAnsi="黑体" w:eastAsia="黑体" w:cs="黑体"/>
          <w:spacing w:val="-4"/>
          <w:highlight w:val="none"/>
        </w:rPr>
        <w:t>竞争性</w:t>
      </w:r>
      <w:r>
        <w:rPr>
          <w:rFonts w:hint="eastAsia" w:ascii="黑体" w:hAnsi="黑体" w:eastAsia="黑体" w:cs="黑体"/>
          <w:spacing w:val="-4"/>
          <w:highlight w:val="none"/>
          <w:lang w:val="en-US" w:eastAsia="zh-CN"/>
        </w:rPr>
        <w:t>谈判</w:t>
      </w:r>
    </w:p>
    <w:p w14:paraId="221D9FA6">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黑体" w:hAnsi="黑体" w:eastAsia="黑体" w:cs="黑体"/>
        </w:rPr>
      </w:pPr>
      <w:r>
        <w:rPr>
          <w:rFonts w:hint="eastAsia" w:ascii="黑体" w:hAnsi="黑体" w:eastAsia="黑体" w:cs="黑体"/>
          <w14:textOutline w14:w="5103" w14:cap="sq" w14:cmpd="sng">
            <w14:solidFill>
              <w14:srgbClr w14:val="000000"/>
            </w14:solidFill>
            <w14:prstDash w14:val="solid"/>
            <w14:bevel/>
          </w14:textOutline>
        </w:rPr>
        <w:t>三、项目实施时间、地点、工程概况、履行期限及方式</w:t>
      </w:r>
    </w:p>
    <w:p w14:paraId="1AB3D53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ascii="黑体" w:hAnsi="黑体" w:eastAsia="黑体" w:cs="黑体"/>
          <w:spacing w:val="-1"/>
          <w:lang w:eastAsia="zh-CN"/>
        </w:rPr>
      </w:pPr>
      <w:r>
        <w:rPr>
          <w:rFonts w:hint="eastAsia" w:ascii="黑体" w:hAnsi="黑体" w:eastAsia="黑体" w:cs="黑体"/>
          <w:spacing w:val="-1"/>
          <w14:textOutline w14:w="5103" w14:cap="sq" w14:cmpd="sng">
            <w14:solidFill>
              <w14:srgbClr w14:val="000000"/>
            </w14:solidFill>
            <w14:prstDash w14:val="solid"/>
            <w14:bevel/>
          </w14:textOutline>
        </w:rPr>
        <w:t>（一）项目实</w:t>
      </w:r>
      <w:r>
        <w:rPr>
          <w:rFonts w:hint="eastAsia" w:ascii="黑体" w:hAnsi="黑体" w:eastAsia="黑体" w:cs="黑体"/>
          <w:spacing w:val="-1"/>
          <w:highlight w:val="none"/>
          <w14:textOutline w14:w="5103" w14:cap="sq" w14:cmpd="sng">
            <w14:solidFill>
              <w14:srgbClr w14:val="000000"/>
            </w14:solidFill>
            <w14:prstDash w14:val="solid"/>
            <w14:bevel/>
          </w14:textOutline>
        </w:rPr>
        <w:t>施时间：</w:t>
      </w:r>
      <w:r>
        <w:rPr>
          <w:rFonts w:hint="eastAsia" w:ascii="黑体" w:hAnsi="黑体" w:eastAsia="黑体" w:cs="黑体"/>
          <w:spacing w:val="-1"/>
          <w:highlight w:val="none"/>
          <w:lang w:eastAsia="zh-CN"/>
        </w:rPr>
        <w:t>202</w:t>
      </w:r>
      <w:r>
        <w:rPr>
          <w:rFonts w:hint="eastAsia" w:ascii="黑体" w:hAnsi="黑体" w:eastAsia="黑体" w:cs="黑体"/>
          <w:spacing w:val="-1"/>
          <w:highlight w:val="none"/>
          <w:lang w:val="en-US" w:eastAsia="zh-CN"/>
        </w:rPr>
        <w:t>4</w:t>
      </w:r>
      <w:r>
        <w:rPr>
          <w:rFonts w:hint="eastAsia" w:ascii="黑体" w:hAnsi="黑体" w:eastAsia="黑体" w:cs="黑体"/>
          <w:spacing w:val="-1"/>
          <w:highlight w:val="none"/>
          <w:lang w:eastAsia="zh-CN"/>
        </w:rPr>
        <w:t>年</w:t>
      </w:r>
      <w:r>
        <w:rPr>
          <w:rFonts w:hint="eastAsia" w:ascii="黑体" w:hAnsi="黑体" w:eastAsia="黑体" w:cs="黑体"/>
          <w:spacing w:val="-1"/>
          <w:highlight w:val="none"/>
          <w:lang w:val="en-US" w:eastAsia="zh-CN"/>
        </w:rPr>
        <w:t>10</w:t>
      </w:r>
      <w:r>
        <w:rPr>
          <w:rFonts w:hint="eastAsia" w:ascii="黑体" w:hAnsi="黑体" w:eastAsia="黑体" w:cs="黑体"/>
          <w:spacing w:val="-1"/>
          <w:highlight w:val="none"/>
          <w:lang w:eastAsia="zh-CN"/>
        </w:rPr>
        <w:t>月；</w:t>
      </w:r>
    </w:p>
    <w:p w14:paraId="6F20F85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ascii="黑体" w:hAnsi="黑体" w:eastAsia="黑体" w:cs="黑体"/>
          <w:spacing w:val="-1"/>
          <w:highlight w:val="none"/>
          <w:lang w:val="en-US" w:eastAsia="zh-CN"/>
        </w:rPr>
      </w:pPr>
      <w:r>
        <w:rPr>
          <w:rFonts w:hint="eastAsia" w:ascii="黑体" w:hAnsi="黑体" w:eastAsia="黑体" w:cs="黑体"/>
          <w:spacing w:val="-1"/>
          <w14:textOutline w14:w="5103" w14:cap="sq" w14:cmpd="sng">
            <w14:solidFill>
              <w14:srgbClr w14:val="000000"/>
            </w14:solidFill>
            <w14:prstDash w14:val="solid"/>
            <w14:bevel/>
          </w14:textOutline>
        </w:rPr>
        <w:t>（二）项目实施地点：</w:t>
      </w:r>
      <w:r>
        <w:rPr>
          <w:rFonts w:hint="eastAsia" w:ascii="黑体" w:hAnsi="黑体" w:eastAsia="黑体" w:cs="黑体"/>
          <w:spacing w:val="-5"/>
          <w:highlight w:val="none"/>
          <w:lang w:val="en-US" w:eastAsia="zh-CN"/>
        </w:rPr>
        <w:t>府谷县盛海煤矿厂区内</w:t>
      </w:r>
    </w:p>
    <w:p w14:paraId="138CD0F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ascii="黑体" w:hAnsi="黑体" w:eastAsia="黑体" w:cs="黑体"/>
        </w:rPr>
      </w:pPr>
      <w:r>
        <w:rPr>
          <w:rFonts w:hint="eastAsia" w:ascii="黑体" w:hAnsi="黑体" w:eastAsia="黑体" w:cs="黑体"/>
          <w:spacing w:val="-1"/>
          <w14:textOutline w14:w="5103" w14:cap="sq" w14:cmpd="sng">
            <w14:solidFill>
              <w14:srgbClr w14:val="000000"/>
            </w14:solidFill>
            <w14:prstDash w14:val="solid"/>
            <w14:bevel/>
          </w14:textOutline>
        </w:rPr>
        <w:t>（三）项目采购预算明细：</w:t>
      </w:r>
      <w:r>
        <w:rPr>
          <w:rFonts w:hint="eastAsia" w:ascii="黑体" w:hAnsi="黑体" w:eastAsia="黑体" w:cs="黑体"/>
          <w:spacing w:val="-1"/>
        </w:rPr>
        <w:t>见上传审批附件清单</w:t>
      </w:r>
    </w:p>
    <w:p w14:paraId="404E35D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4" w:firstLineChars="200"/>
        <w:jc w:val="both"/>
        <w:textAlignment w:val="baseline"/>
        <w:rPr>
          <w:rFonts w:hint="eastAsia" w:ascii="黑体" w:hAnsi="黑体" w:eastAsia="黑体" w:cs="黑体"/>
        </w:rPr>
      </w:pPr>
      <w:r>
        <w:rPr>
          <w:rFonts w:hint="eastAsia" w:ascii="黑体" w:hAnsi="黑体" w:eastAsia="黑体" w:cs="黑体"/>
          <w:spacing w:val="-4"/>
          <w:position w:val="26"/>
          <w14:textOutline w14:w="5103" w14:cap="sq" w14:cmpd="sng">
            <w14:solidFill>
              <w14:srgbClr w14:val="000000"/>
            </w14:solidFill>
            <w14:prstDash w14:val="solid"/>
            <w14:bevel/>
          </w14:textOutline>
        </w:rPr>
        <w:t>（四）履行期限及方式：</w:t>
      </w:r>
      <w:r>
        <w:rPr>
          <w:rFonts w:hint="eastAsia" w:ascii="黑体" w:hAnsi="黑体" w:eastAsia="黑体" w:cs="黑体"/>
          <w:spacing w:val="-4"/>
          <w:position w:val="26"/>
        </w:rPr>
        <w:t>严格执行政府采购程序，审批结束后开</w:t>
      </w:r>
      <w:r>
        <w:rPr>
          <w:rFonts w:hint="eastAsia" w:ascii="黑体" w:hAnsi="黑体" w:eastAsia="黑体" w:cs="黑体"/>
          <w:spacing w:val="-6"/>
        </w:rPr>
        <w:t>始实施。</w:t>
      </w:r>
    </w:p>
    <w:p w14:paraId="5B3581D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8" w:firstLineChars="200"/>
        <w:jc w:val="both"/>
        <w:textAlignment w:val="baseline"/>
        <w:rPr>
          <w:rFonts w:hint="eastAsia" w:ascii="黑体" w:hAnsi="黑体" w:eastAsia="黑体" w:cs="黑体"/>
        </w:rPr>
      </w:pPr>
      <w:r>
        <w:rPr>
          <w:rFonts w:hint="eastAsia" w:ascii="黑体" w:hAnsi="黑体" w:eastAsia="黑体" w:cs="黑体"/>
          <w:spacing w:val="-3"/>
          <w14:textOutline w14:w="5103" w14:cap="sq" w14:cmpd="sng">
            <w14:solidFill>
              <w14:srgbClr w14:val="000000"/>
            </w14:solidFill>
            <w14:prstDash w14:val="solid"/>
            <w14:bevel/>
          </w14:textOutline>
        </w:rPr>
        <w:t>四、履约验收标准和方法</w:t>
      </w:r>
    </w:p>
    <w:p w14:paraId="34354B3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color w:val="000000" w:themeColor="text1"/>
          <w:spacing w:val="-5"/>
          <w:lang w:val="en-US" w:eastAsia="zh-CN"/>
          <w14:textFill>
            <w14:solidFill>
              <w14:schemeClr w14:val="tx1"/>
            </w14:solidFill>
          </w14:textFill>
        </w:rPr>
        <w:t>1、履约验收</w:t>
      </w:r>
      <w:r>
        <w:rPr>
          <w:rFonts w:hint="eastAsia" w:ascii="黑体" w:hAnsi="黑体" w:eastAsia="黑体" w:cs="黑体"/>
          <w:color w:val="000000" w:themeColor="text1"/>
          <w:spacing w:val="-5"/>
          <w:highlight w:val="yellow"/>
          <w:lang w:val="en-US" w:eastAsia="zh-CN"/>
          <w14:textFill>
            <w14:solidFill>
              <w14:schemeClr w14:val="tx1"/>
            </w14:solidFill>
          </w14:textFill>
        </w:rPr>
        <w:t>时间：2025</w:t>
      </w:r>
      <w:bookmarkStart w:id="0" w:name="_GoBack"/>
      <w:bookmarkEnd w:id="0"/>
      <w:r>
        <w:rPr>
          <w:rFonts w:hint="eastAsia" w:ascii="黑体" w:hAnsi="黑体" w:eastAsia="黑体" w:cs="黑体"/>
          <w:color w:val="000000" w:themeColor="text1"/>
          <w:spacing w:val="-5"/>
          <w:highlight w:val="yellow"/>
          <w:lang w:val="en-US" w:eastAsia="zh-CN"/>
          <w14:textFill>
            <w14:solidFill>
              <w14:schemeClr w14:val="tx1"/>
            </w14:solidFill>
          </w14:textFill>
        </w:rPr>
        <w:t>年1月底（实际</w:t>
      </w:r>
      <w:r>
        <w:rPr>
          <w:rFonts w:hint="eastAsia" w:ascii="黑体" w:hAnsi="黑体" w:eastAsia="黑体" w:cs="黑体"/>
          <w:color w:val="000000" w:themeColor="text1"/>
          <w:spacing w:val="-5"/>
          <w:highlight w:val="none"/>
          <w:lang w:val="en-US" w:eastAsia="zh-CN"/>
          <w14:textFill>
            <w14:solidFill>
              <w14:schemeClr w14:val="tx1"/>
            </w14:solidFill>
          </w14:textFill>
        </w:rPr>
        <w:t>时间以施</w:t>
      </w:r>
      <w:r>
        <w:rPr>
          <w:rFonts w:hint="eastAsia" w:ascii="黑体" w:hAnsi="黑体" w:eastAsia="黑体" w:cs="黑体"/>
          <w:spacing w:val="-5"/>
          <w:highlight w:val="none"/>
          <w:lang w:val="en-US" w:eastAsia="zh-CN"/>
        </w:rPr>
        <w:t>工合同为准）</w:t>
      </w:r>
    </w:p>
    <w:p w14:paraId="55A4E5D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color w:val="auto"/>
          <w:sz w:val="28"/>
          <w:szCs w:val="28"/>
          <w:lang w:val="en-US" w:eastAsia="zh-CN"/>
        </w:rPr>
      </w:pPr>
      <w:r>
        <w:rPr>
          <w:rFonts w:hint="eastAsia" w:ascii="黑体" w:hAnsi="黑体" w:eastAsia="黑体" w:cs="黑体"/>
          <w:spacing w:val="-5"/>
          <w:highlight w:val="none"/>
          <w:lang w:val="en-US" w:eastAsia="zh-CN"/>
        </w:rPr>
        <w:t>2、履约验收主体及内容：</w:t>
      </w:r>
      <w:r>
        <w:rPr>
          <w:rFonts w:hint="eastAsia" w:ascii="黑体" w:hAnsi="黑体" w:eastAsia="黑体" w:cs="黑体"/>
          <w:color w:val="auto"/>
          <w:sz w:val="28"/>
          <w:szCs w:val="28"/>
          <w:lang w:val="en-US" w:eastAsia="zh-CN"/>
        </w:rPr>
        <w:t>由采购人根据合同要求，对府谷县盛海煤业洗选车间东侧边坡(二期)治理工程进行验收。</w:t>
      </w:r>
    </w:p>
    <w:p w14:paraId="06AFC2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lang w:val="en-US" w:eastAsia="zh-CN"/>
        </w:rPr>
      </w:pPr>
      <w:r>
        <w:rPr>
          <w:rFonts w:hint="eastAsia" w:ascii="黑体" w:hAnsi="黑体" w:eastAsia="黑体" w:cs="黑体"/>
          <w:spacing w:val="-5"/>
          <w:lang w:val="en-US" w:eastAsia="zh-CN"/>
        </w:rPr>
        <w:t>3、履约验收地点：府谷县盛海煤矿厂区内</w:t>
      </w:r>
    </w:p>
    <w:p w14:paraId="4CE26EC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lang w:val="en-US" w:eastAsia="zh-CN"/>
        </w:rPr>
      </w:pPr>
      <w:r>
        <w:rPr>
          <w:rFonts w:hint="eastAsia" w:ascii="黑体" w:hAnsi="黑体" w:eastAsia="黑体" w:cs="黑体"/>
          <w:spacing w:val="-5"/>
          <w:lang w:val="en-US" w:eastAsia="zh-CN"/>
        </w:rPr>
        <w:t>4、验收程序：供应商应当严格按合同约定的内容提供工程方案。对供应商所提供的工程施工组织相关人员进行验收，并对相关资料进行认真整理，做好验收准备。验收开始之前，由成交供应商项目负责 人介绍项目实施进度、工作重点、完成情况等。在供应商履约结束后， 验收工作小组按照职责分工对照政府采购合同中验收有关事项和标准核对每项验收事项，并按照验收方案应及时组织验收。</w:t>
      </w:r>
    </w:p>
    <w:p w14:paraId="4927004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lang w:val="en-US" w:eastAsia="zh-CN"/>
        </w:rPr>
      </w:pPr>
      <w:r>
        <w:rPr>
          <w:rFonts w:hint="eastAsia" w:ascii="黑体" w:hAnsi="黑体" w:eastAsia="黑体" w:cs="黑体"/>
          <w:spacing w:val="-5"/>
          <w:lang w:val="en-US" w:eastAsia="zh-CN"/>
        </w:rPr>
        <w:t>5、履约验收标准：符合国家相关施工验收规范，并达到合格标准。</w:t>
      </w:r>
    </w:p>
    <w:p w14:paraId="18355A4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lang w:val="en-US" w:eastAsia="zh-CN"/>
        </w:rPr>
      </w:pPr>
      <w:r>
        <w:rPr>
          <w:rFonts w:hint="eastAsia" w:ascii="黑体" w:hAnsi="黑体" w:eastAsia="黑体" w:cs="黑体"/>
          <w:spacing w:val="-5"/>
          <w:lang w:val="en-US" w:eastAsia="zh-CN"/>
        </w:rPr>
        <w:t>6、验收方式：由采购单位组织有关专业人员按相关的国家标准、质量标准和采购文件所列的各项要求进行验收。</w:t>
      </w:r>
    </w:p>
    <w:p w14:paraId="1453CFC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ascii="黑体" w:hAnsi="黑体" w:eastAsia="黑体" w:cs="黑体"/>
          <w:spacing w:val="-1"/>
          <w:lang w:eastAsia="zh-CN"/>
          <w14:textOutline w14:w="5103" w14:cap="sq" w14:cmpd="sng">
            <w14:solidFill>
              <w14:srgbClr w14:val="000000"/>
            </w14:solidFill>
            <w14:prstDash w14:val="solid"/>
            <w14:bevel/>
          </w14:textOutline>
        </w:rPr>
      </w:pPr>
      <w:r>
        <w:rPr>
          <w:rFonts w:hint="eastAsia" w:ascii="黑体" w:hAnsi="黑体" w:eastAsia="黑体" w:cs="黑体"/>
          <w:spacing w:val="-1"/>
          <w:lang w:eastAsia="zh-CN"/>
          <w14:textOutline w14:w="5103" w14:cap="sq" w14:cmpd="sng">
            <w14:solidFill>
              <w14:srgbClr w14:val="000000"/>
            </w14:solidFill>
            <w14:prstDash w14:val="solid"/>
            <w14:bevel/>
          </w14:textOutline>
        </w:rPr>
        <w:t>五、对供应商的要求</w:t>
      </w:r>
    </w:p>
    <w:p w14:paraId="37E5C94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1、在中华人民共和国境内注册的，具有独立法人资格的供应商；</w:t>
      </w:r>
    </w:p>
    <w:p w14:paraId="5D9D33D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2、具有良好的商业信誉和健全的财务会计制度；</w:t>
      </w:r>
    </w:p>
    <w:p w14:paraId="468A7FD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3、具有履行合同所必须的设备和专业技术能力；</w:t>
      </w:r>
    </w:p>
    <w:p w14:paraId="64F86F9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4、有依法缴纳税收和社会保障资金的良好记录；</w:t>
      </w:r>
    </w:p>
    <w:p w14:paraId="3EFFAC5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0" w:firstLineChars="200"/>
        <w:jc w:val="both"/>
        <w:textAlignment w:val="baseline"/>
        <w:rPr>
          <w:rFonts w:hint="eastAsia" w:ascii="黑体" w:hAnsi="黑体" w:eastAsia="黑体" w:cs="黑体"/>
          <w:spacing w:val="-5"/>
          <w:highlight w:val="none"/>
          <w:lang w:eastAsia="zh-CN"/>
        </w:rPr>
      </w:pPr>
      <w:r>
        <w:rPr>
          <w:rFonts w:hint="eastAsia" w:ascii="黑体" w:hAnsi="黑体" w:eastAsia="黑体" w:cs="黑体"/>
          <w:spacing w:val="-5"/>
          <w:highlight w:val="none"/>
          <w:lang w:val="en-US" w:eastAsia="zh-CN"/>
        </w:rPr>
        <w:t>5、参加本项政府采购活动前三年内，在经营活动中没有重大违法记录。</w:t>
      </w:r>
    </w:p>
    <w:p w14:paraId="11470D4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both"/>
        <w:textAlignment w:val="baseline"/>
        <w:rPr>
          <w:rFonts w:hint="eastAsia" w:ascii="黑体" w:hAnsi="黑体" w:eastAsia="黑体" w:cs="黑体"/>
        </w:rPr>
      </w:pPr>
      <w:r>
        <w:rPr>
          <w:rFonts w:hint="eastAsia" w:ascii="黑体" w:hAnsi="黑体" w:eastAsia="黑体" w:cs="黑体"/>
          <w:spacing w:val="-1"/>
          <w14:textOutline w14:w="5103" w14:cap="sq" w14:cmpd="sng">
            <w14:solidFill>
              <w14:srgbClr w14:val="000000"/>
            </w14:solidFill>
            <w14:prstDash w14:val="solid"/>
            <w14:bevel/>
          </w14:textOutline>
        </w:rPr>
        <w:t>六、合同模板：</w:t>
      </w:r>
    </w:p>
    <w:p w14:paraId="0E85EA5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14:paraId="0038A21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14:paraId="73B9AC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14:paraId="6E88CD6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14:paraId="0965901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14:paraId="522243D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14:paraId="21EFAC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14:paraId="2C27D1A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14:paraId="01E80CC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14:paraId="6C65042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14:paraId="7F1B173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14:paraId="2DE2B69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14:paraId="20CC094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2" w:firstLineChars="200"/>
        <w:jc w:val="center"/>
        <w:textAlignment w:val="baseline"/>
        <w:rPr>
          <w:rFonts w:hint="eastAsia" w:ascii="黑体" w:hAnsi="黑体" w:eastAsia="黑体" w:cs="黑体"/>
          <w:spacing w:val="-2"/>
          <w:lang w:val="en-US" w:eastAsia="zh-CN"/>
          <w14:textOutline w14:w="5103" w14:cap="sq" w14:cmpd="sng">
            <w14:solidFill>
              <w14:srgbClr w14:val="000000"/>
            </w14:solidFill>
            <w14:prstDash w14:val="solid"/>
            <w14:bevel/>
          </w14:textOutline>
        </w:rPr>
      </w:pPr>
    </w:p>
    <w:p w14:paraId="6A3B3370">
      <w:pPr>
        <w:numPr>
          <w:ilvl w:val="0"/>
          <w:numId w:val="0"/>
        </w:numPr>
        <w:jc w:val="center"/>
        <w:rPr>
          <w:rFonts w:hint="eastAsia" w:ascii="黑体" w:hAnsi="黑体" w:eastAsia="黑体" w:cs="黑体"/>
          <w:color w:val="auto"/>
          <w:sz w:val="36"/>
          <w:szCs w:val="36"/>
        </w:rPr>
      </w:pPr>
      <w:r>
        <w:rPr>
          <w:rFonts w:hint="eastAsia" w:ascii="黑体" w:hAnsi="黑体" w:eastAsia="黑体" w:cs="黑体"/>
          <w:b/>
          <w:bCs/>
          <w:color w:val="auto"/>
          <w:sz w:val="36"/>
          <w:szCs w:val="36"/>
          <w:lang w:val="en-US" w:eastAsia="zh-CN"/>
        </w:rPr>
        <w:t>府谷县盛海煤业洗选车间东侧边坡(二期)治理工程采购</w:t>
      </w:r>
      <w:r>
        <w:rPr>
          <w:rFonts w:hint="eastAsia" w:ascii="黑体" w:hAnsi="黑体" w:eastAsia="黑体" w:cs="黑体"/>
          <w:b/>
          <w:bCs/>
          <w:color w:val="auto"/>
          <w:sz w:val="36"/>
          <w:szCs w:val="36"/>
        </w:rPr>
        <w:t>合同</w:t>
      </w:r>
    </w:p>
    <w:p w14:paraId="5BAA7D62">
      <w:pPr>
        <w:autoSpaceDN w:val="0"/>
        <w:adjustRightInd w:val="0"/>
        <w:snapToGrid w:val="0"/>
        <w:spacing w:line="360" w:lineRule="auto"/>
        <w:ind w:firstLine="560" w:firstLineChars="200"/>
        <w:jc w:val="left"/>
        <w:rPr>
          <w:rFonts w:hint="eastAsia" w:ascii="黑体" w:hAnsi="黑体" w:eastAsia="黑体" w:cs="黑体"/>
          <w:snapToGrid w:val="0"/>
          <w:color w:val="auto"/>
          <w:kern w:val="0"/>
          <w:sz w:val="28"/>
          <w:szCs w:val="28"/>
          <w:lang w:eastAsia="zh-Hans"/>
        </w:rPr>
      </w:pPr>
      <w:r>
        <w:rPr>
          <w:rFonts w:hint="eastAsia" w:ascii="黑体" w:hAnsi="黑体" w:eastAsia="黑体" w:cs="黑体"/>
          <w:snapToGrid w:val="0"/>
          <w:color w:val="auto"/>
          <w:kern w:val="0"/>
          <w:sz w:val="28"/>
          <w:szCs w:val="28"/>
          <w:lang w:eastAsia="zh-Hans"/>
        </w:rPr>
        <w:t>甲方（</w:t>
      </w:r>
      <w:r>
        <w:rPr>
          <w:rFonts w:hint="eastAsia" w:ascii="黑体" w:hAnsi="黑体" w:eastAsia="黑体" w:cs="黑体"/>
          <w:snapToGrid w:val="0"/>
          <w:color w:val="auto"/>
          <w:kern w:val="0"/>
          <w:sz w:val="28"/>
          <w:szCs w:val="28"/>
        </w:rPr>
        <w:t>采购人</w:t>
      </w:r>
      <w:r>
        <w:rPr>
          <w:rFonts w:hint="eastAsia" w:ascii="黑体" w:hAnsi="黑体" w:eastAsia="黑体" w:cs="黑体"/>
          <w:snapToGrid w:val="0"/>
          <w:color w:val="auto"/>
          <w:kern w:val="0"/>
          <w:sz w:val="28"/>
          <w:szCs w:val="28"/>
          <w:lang w:eastAsia="zh-Hans"/>
        </w:rPr>
        <w:t>）：</w:t>
      </w:r>
      <w:r>
        <w:rPr>
          <w:rFonts w:hint="eastAsia" w:ascii="黑体" w:hAnsi="黑体" w:eastAsia="黑体" w:cs="黑体"/>
          <w:snapToGrid w:val="0"/>
          <w:color w:val="auto"/>
          <w:kern w:val="0"/>
          <w:sz w:val="28"/>
          <w:szCs w:val="28"/>
        </w:rPr>
        <w:t xml:space="preserve">                                      </w:t>
      </w:r>
    </w:p>
    <w:p w14:paraId="33FBBF16">
      <w:pPr>
        <w:autoSpaceDN w:val="0"/>
        <w:adjustRightInd w:val="0"/>
        <w:snapToGrid w:val="0"/>
        <w:spacing w:line="360" w:lineRule="auto"/>
        <w:ind w:firstLine="560" w:firstLineChars="200"/>
        <w:jc w:val="left"/>
        <w:rPr>
          <w:rFonts w:hint="eastAsia" w:ascii="黑体" w:hAnsi="黑体" w:eastAsia="黑体" w:cs="黑体"/>
          <w:snapToGrid w:val="0"/>
          <w:color w:val="auto"/>
          <w:kern w:val="0"/>
          <w:sz w:val="28"/>
          <w:szCs w:val="28"/>
          <w:lang w:eastAsia="zh-Hans"/>
        </w:rPr>
      </w:pPr>
      <w:r>
        <w:rPr>
          <w:rFonts w:hint="eastAsia" w:ascii="黑体" w:hAnsi="黑体" w:eastAsia="黑体" w:cs="黑体"/>
          <w:snapToGrid w:val="0"/>
          <w:color w:val="auto"/>
          <w:kern w:val="0"/>
          <w:sz w:val="28"/>
          <w:szCs w:val="28"/>
          <w:lang w:eastAsia="zh-Hans"/>
        </w:rPr>
        <w:t>乙方（</w:t>
      </w:r>
      <w:r>
        <w:rPr>
          <w:rFonts w:hint="eastAsia" w:ascii="黑体" w:hAnsi="黑体" w:eastAsia="黑体" w:cs="黑体"/>
          <w:snapToGrid w:val="0"/>
          <w:color w:val="auto"/>
          <w:kern w:val="0"/>
          <w:sz w:val="28"/>
          <w:szCs w:val="28"/>
        </w:rPr>
        <w:t>中标人</w:t>
      </w:r>
      <w:r>
        <w:rPr>
          <w:rFonts w:hint="eastAsia" w:ascii="黑体" w:hAnsi="黑体" w:eastAsia="黑体" w:cs="黑体"/>
          <w:snapToGrid w:val="0"/>
          <w:color w:val="auto"/>
          <w:kern w:val="0"/>
          <w:sz w:val="28"/>
          <w:szCs w:val="28"/>
          <w:lang w:eastAsia="zh-Hans"/>
        </w:rPr>
        <w:t>）：</w:t>
      </w:r>
      <w:r>
        <w:rPr>
          <w:rFonts w:hint="eastAsia" w:ascii="黑体" w:hAnsi="黑体" w:eastAsia="黑体" w:cs="黑体"/>
          <w:snapToGrid w:val="0"/>
          <w:color w:val="auto"/>
          <w:kern w:val="0"/>
          <w:sz w:val="28"/>
          <w:szCs w:val="28"/>
        </w:rPr>
        <w:t xml:space="preserve"> </w:t>
      </w:r>
      <w:r>
        <w:rPr>
          <w:rFonts w:hint="eastAsia" w:ascii="黑体" w:hAnsi="黑体" w:eastAsia="黑体" w:cs="黑体"/>
          <w:snapToGrid w:val="0"/>
          <w:color w:val="auto"/>
          <w:kern w:val="0"/>
          <w:sz w:val="28"/>
          <w:szCs w:val="28"/>
          <w:lang w:eastAsia="zh-Hans"/>
        </w:rPr>
        <w:t xml:space="preserve">             </w:t>
      </w:r>
      <w:r>
        <w:rPr>
          <w:rFonts w:hint="eastAsia" w:ascii="黑体" w:hAnsi="黑体" w:eastAsia="黑体" w:cs="黑体"/>
          <w:snapToGrid w:val="0"/>
          <w:color w:val="auto"/>
          <w:kern w:val="0"/>
          <w:sz w:val="28"/>
          <w:szCs w:val="28"/>
        </w:rPr>
        <w:t xml:space="preserve">                        </w:t>
      </w:r>
    </w:p>
    <w:p w14:paraId="2C025809">
      <w:pPr>
        <w:numPr>
          <w:ilvl w:val="0"/>
          <w:numId w:val="0"/>
        </w:numPr>
        <w:spacing w:line="360" w:lineRule="auto"/>
        <w:ind w:firstLine="560" w:firstLineChars="200"/>
        <w:rPr>
          <w:rFonts w:hint="eastAsia" w:ascii="黑体" w:hAnsi="黑体" w:eastAsia="黑体" w:cs="黑体"/>
          <w:b/>
          <w:snapToGrid w:val="0"/>
          <w:color w:val="auto"/>
          <w:kern w:val="0"/>
          <w:sz w:val="28"/>
          <w:szCs w:val="28"/>
        </w:rPr>
      </w:pPr>
      <w:r>
        <w:rPr>
          <w:rFonts w:hint="eastAsia" w:ascii="黑体" w:hAnsi="黑体" w:eastAsia="黑体" w:cs="黑体"/>
          <w:snapToGrid w:val="0"/>
          <w:color w:val="auto"/>
          <w:kern w:val="0"/>
          <w:sz w:val="28"/>
          <w:szCs w:val="28"/>
        </w:rPr>
        <w:t>根据《中华人民共和国政府采购法》、《中华人民共和国合同法》等相关法律，甲、乙双方经平等协商一致，就“</w:t>
      </w:r>
      <w:r>
        <w:rPr>
          <w:rFonts w:hint="eastAsia" w:ascii="黑体" w:hAnsi="黑体" w:eastAsia="黑体" w:cs="黑体"/>
          <w:snapToGrid w:val="0"/>
          <w:color w:val="auto"/>
          <w:kern w:val="0"/>
          <w:sz w:val="28"/>
          <w:szCs w:val="28"/>
          <w:lang w:eastAsia="zh-CN"/>
        </w:rPr>
        <w:t>府谷县盛海煤业洗选车间东侧边坡(二期)治理工程</w:t>
      </w:r>
      <w:r>
        <w:rPr>
          <w:rFonts w:hint="eastAsia" w:ascii="黑体" w:hAnsi="黑体" w:eastAsia="黑体" w:cs="黑体"/>
          <w:snapToGrid w:val="0"/>
          <w:color w:val="auto"/>
          <w:kern w:val="0"/>
          <w:sz w:val="28"/>
          <w:szCs w:val="28"/>
        </w:rPr>
        <w:t xml:space="preserve">”承办达成合同如下：                       </w:t>
      </w:r>
    </w:p>
    <w:p w14:paraId="6FADA6B6">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一、合同文件</w:t>
      </w:r>
    </w:p>
    <w:p w14:paraId="7010DEC9">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本合同所附下列文件是构成本合同不可分割的部分，组成合同的各项文件应互相解释，互为说明，解释合同文件的优先顺序如下：</w:t>
      </w:r>
    </w:p>
    <w:p w14:paraId="7111F910">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1. 合同条款</w:t>
      </w:r>
    </w:p>
    <w:p w14:paraId="54565BD5">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2. 中标通知书</w:t>
      </w:r>
    </w:p>
    <w:p w14:paraId="7E36F682">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3. 中标人在评标过程中做出的有关澄清、说明、承诺或者补正文件</w:t>
      </w:r>
    </w:p>
    <w:p w14:paraId="4268B372">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4. 招标文件</w:t>
      </w:r>
    </w:p>
    <w:p w14:paraId="024C8C32">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5. 中标人的投标文件</w:t>
      </w:r>
    </w:p>
    <w:p w14:paraId="5D15EC3D">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6. 本合同附件</w:t>
      </w:r>
    </w:p>
    <w:p w14:paraId="4518DB61">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同一层次的合同文件规定有矛盾的以较后时间制定的为准。</w:t>
      </w:r>
    </w:p>
    <w:p w14:paraId="4DA78CCA">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二、合同的范围和条件</w:t>
      </w:r>
    </w:p>
    <w:p w14:paraId="6DA99B8F">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本合同的范围和条件应与上述合同文件的规定相一致。</w:t>
      </w:r>
    </w:p>
    <w:p w14:paraId="02FF4175">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三、</w:t>
      </w:r>
      <w:r>
        <w:rPr>
          <w:rFonts w:hint="eastAsia" w:ascii="黑体" w:hAnsi="黑体" w:eastAsia="黑体" w:cs="黑体"/>
          <w:b/>
          <w:color w:val="auto"/>
          <w:sz w:val="28"/>
          <w:szCs w:val="28"/>
          <w:lang w:val="en-US" w:eastAsia="zh-CN"/>
        </w:rPr>
        <w:t>工程</w:t>
      </w:r>
      <w:r>
        <w:rPr>
          <w:rFonts w:hint="eastAsia" w:ascii="黑体" w:hAnsi="黑体" w:eastAsia="黑体" w:cs="黑体"/>
          <w:b/>
          <w:color w:val="auto"/>
          <w:sz w:val="28"/>
          <w:szCs w:val="28"/>
        </w:rPr>
        <w:t>项目</w:t>
      </w:r>
    </w:p>
    <w:p w14:paraId="71E51BF2">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本合同所提供的服务项目内容：（与报价文件中</w:t>
      </w:r>
      <w:r>
        <w:rPr>
          <w:rFonts w:hint="eastAsia" w:ascii="黑体" w:hAnsi="黑体" w:eastAsia="黑体" w:cs="黑体"/>
          <w:color w:val="auto"/>
          <w:sz w:val="28"/>
          <w:szCs w:val="28"/>
          <w:lang w:val="en-US" w:eastAsia="zh-CN"/>
        </w:rPr>
        <w:t>项目</w:t>
      </w:r>
      <w:r>
        <w:rPr>
          <w:rFonts w:hint="eastAsia" w:ascii="黑体" w:hAnsi="黑体" w:eastAsia="黑体" w:cs="黑体"/>
          <w:color w:val="auto"/>
          <w:sz w:val="28"/>
          <w:szCs w:val="28"/>
        </w:rPr>
        <w:t>明细表一致）。</w:t>
      </w:r>
    </w:p>
    <w:p w14:paraId="54C6C8E9">
      <w:pPr>
        <w:adjustRightInd w:val="0"/>
        <w:snapToGrid w:val="0"/>
        <w:spacing w:line="36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 xml:space="preserve">                                                        </w:t>
      </w:r>
    </w:p>
    <w:p w14:paraId="45A6B71B">
      <w:pPr>
        <w:adjustRightInd w:val="0"/>
        <w:snapToGrid w:val="0"/>
        <w:spacing w:line="360" w:lineRule="auto"/>
        <w:ind w:firstLine="560" w:firstLineChars="200"/>
        <w:rPr>
          <w:rFonts w:hint="eastAsia" w:ascii="黑体" w:hAnsi="黑体" w:eastAsia="黑体" w:cs="黑体"/>
          <w:color w:val="auto"/>
          <w:sz w:val="28"/>
          <w:szCs w:val="28"/>
          <w:u w:val="single"/>
        </w:rPr>
      </w:pPr>
      <w:r>
        <w:rPr>
          <w:rFonts w:hint="eastAsia" w:ascii="黑体" w:hAnsi="黑体" w:eastAsia="黑体" w:cs="黑体"/>
          <w:color w:val="auto"/>
          <w:sz w:val="28"/>
          <w:szCs w:val="28"/>
          <w:u w:val="single"/>
        </w:rPr>
        <w:t xml:space="preserve">                                                        </w:t>
      </w:r>
    </w:p>
    <w:p w14:paraId="6F1E0FE3">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四、合同金额</w:t>
      </w:r>
    </w:p>
    <w:p w14:paraId="53BD9483">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合同金额为人民币大写</w:t>
      </w: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元，(￥</w:t>
      </w: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w:t>
      </w:r>
    </w:p>
    <w:p w14:paraId="5EBC62A8">
      <w:pPr>
        <w:adjustRightInd w:val="0"/>
        <w:snapToGrid w:val="0"/>
        <w:spacing w:line="360" w:lineRule="auto"/>
        <w:ind w:firstLine="562" w:firstLineChars="200"/>
        <w:rPr>
          <w:rFonts w:hint="eastAsia" w:ascii="黑体" w:hAnsi="黑体" w:eastAsia="黑体" w:cs="黑体"/>
          <w:color w:val="auto"/>
          <w:sz w:val="28"/>
          <w:szCs w:val="28"/>
        </w:rPr>
      </w:pPr>
      <w:r>
        <w:rPr>
          <w:rFonts w:hint="eastAsia" w:ascii="黑体" w:hAnsi="黑体" w:eastAsia="黑体" w:cs="黑体"/>
          <w:b/>
          <w:color w:val="auto"/>
          <w:sz w:val="28"/>
          <w:szCs w:val="28"/>
        </w:rPr>
        <w:t>五、付款途径</w:t>
      </w:r>
      <w:r>
        <w:rPr>
          <w:rFonts w:hint="eastAsia" w:ascii="黑体" w:hAnsi="黑体" w:eastAsia="黑体" w:cs="黑体"/>
          <w:color w:val="auto"/>
          <w:sz w:val="28"/>
          <w:szCs w:val="28"/>
        </w:rPr>
        <w:t>：</w:t>
      </w:r>
      <w:r>
        <w:rPr>
          <w:rFonts w:hint="eastAsia" w:ascii="黑体" w:hAnsi="黑体" w:eastAsia="黑体" w:cs="黑体"/>
          <w:color w:val="auto"/>
          <w:sz w:val="28"/>
          <w:szCs w:val="28"/>
          <w:u w:val="single"/>
        </w:rPr>
        <w:t xml:space="preserve">                  </w:t>
      </w:r>
      <w:r>
        <w:rPr>
          <w:rFonts w:hint="eastAsia" w:ascii="黑体" w:hAnsi="黑体" w:eastAsia="黑体" w:cs="黑体"/>
          <w:color w:val="auto"/>
          <w:sz w:val="28"/>
          <w:szCs w:val="28"/>
        </w:rPr>
        <w:t>。</w:t>
      </w:r>
    </w:p>
    <w:p w14:paraId="2A4522D8">
      <w:pPr>
        <w:adjustRightInd w:val="0"/>
        <w:snapToGrid w:val="0"/>
        <w:spacing w:line="360" w:lineRule="auto"/>
        <w:ind w:firstLine="562" w:firstLineChars="200"/>
        <w:rPr>
          <w:rFonts w:hint="eastAsia" w:ascii="黑体" w:hAnsi="黑体" w:eastAsia="黑体" w:cs="黑体"/>
          <w:color w:val="auto"/>
          <w:sz w:val="28"/>
          <w:szCs w:val="28"/>
          <w:u w:val="single"/>
          <w:lang w:val="en-US" w:eastAsia="zh-CN"/>
        </w:rPr>
      </w:pPr>
      <w:r>
        <w:rPr>
          <w:rFonts w:hint="eastAsia" w:ascii="黑体" w:hAnsi="黑体" w:eastAsia="黑体" w:cs="黑体"/>
          <w:b/>
          <w:color w:val="auto"/>
          <w:sz w:val="28"/>
          <w:szCs w:val="28"/>
        </w:rPr>
        <w:t>六、付款方式：</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u w:val="single"/>
          <w:lang w:val="en-US" w:eastAsia="zh-CN"/>
        </w:rPr>
        <w:t>甲方按照乙方完成的实际工程量进行决算，根据工程进度给予拨付工程款，待工程竣工验收合格后拨付至总工程量的80%，审计完成后拨付剩余工程款。</w:t>
      </w:r>
    </w:p>
    <w:p w14:paraId="50DE843F">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七、知识产权</w:t>
      </w:r>
    </w:p>
    <w:p w14:paraId="65459031">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乙方应保证甲方所使用的服务成果免受第三方提出的侵犯其知识产权的诉讼。</w:t>
      </w:r>
    </w:p>
    <w:p w14:paraId="26C1E627">
      <w:pPr>
        <w:adjustRightInd w:val="0"/>
        <w:snapToGrid w:val="0"/>
        <w:spacing w:line="360" w:lineRule="auto"/>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rPr>
        <w:t>八、违约条款</w:t>
      </w:r>
    </w:p>
    <w:p w14:paraId="3D42F7C8">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1. 一方不按期履行合同，并经另一方提示</w:t>
      </w:r>
      <w:r>
        <w:rPr>
          <w:rFonts w:hint="eastAsia" w:ascii="黑体" w:hAnsi="黑体" w:eastAsia="黑体" w:cs="黑体"/>
          <w:color w:val="000000" w:themeColor="text1"/>
          <w:sz w:val="28"/>
          <w:szCs w:val="28"/>
          <w14:textFill>
            <w14:solidFill>
              <w14:schemeClr w14:val="tx1"/>
            </w14:solidFill>
          </w14:textFill>
        </w:rPr>
        <w:t>后</w:t>
      </w:r>
      <w:r>
        <w:rPr>
          <w:rFonts w:hint="eastAsia" w:ascii="黑体" w:hAnsi="黑体" w:eastAsia="黑体" w:cs="黑体"/>
          <w:color w:val="000000" w:themeColor="text1"/>
          <w:sz w:val="28"/>
          <w:szCs w:val="28"/>
          <w:u w:val="single"/>
          <w14:textFill>
            <w14:solidFill>
              <w14:schemeClr w14:val="tx1"/>
            </w14:solidFill>
          </w14:textFill>
        </w:rPr>
        <w:t xml:space="preserve"> </w:t>
      </w:r>
      <w:r>
        <w:rPr>
          <w:rFonts w:hint="eastAsia" w:ascii="黑体" w:hAnsi="黑体" w:eastAsia="黑体" w:cs="黑体"/>
          <w:color w:val="000000" w:themeColor="text1"/>
          <w:sz w:val="28"/>
          <w:szCs w:val="28"/>
          <w:u w:val="single"/>
          <w:lang w:val="en-US" w:eastAsia="zh-CN"/>
          <w14:textFill>
            <w14:solidFill>
              <w14:schemeClr w14:val="tx1"/>
            </w14:solidFill>
          </w14:textFill>
        </w:rPr>
        <w:t>3</w:t>
      </w:r>
      <w:r>
        <w:rPr>
          <w:rFonts w:hint="eastAsia" w:ascii="黑体" w:hAnsi="黑体" w:eastAsia="黑体" w:cs="黑体"/>
          <w:color w:val="000000" w:themeColor="text1"/>
          <w:sz w:val="28"/>
          <w:szCs w:val="28"/>
          <w:u w:val="single"/>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日内</w:t>
      </w:r>
      <w:r>
        <w:rPr>
          <w:rFonts w:hint="eastAsia" w:ascii="黑体" w:hAnsi="黑体" w:eastAsia="黑体" w:cs="黑体"/>
          <w:color w:val="auto"/>
          <w:sz w:val="28"/>
          <w:szCs w:val="28"/>
        </w:rPr>
        <w:t>仍不履行合同的，守约方有权解除合同，违约方要承担相应的法律责任。</w:t>
      </w:r>
    </w:p>
    <w:p w14:paraId="4DFA9988">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2. 如因一方违约，双方未能就赔偿损失达成协议，引起诉讼或仲裁时，违约方除应赔偿对方经济损失外，还应承担因诉讼或仲裁所支付的律师代理费等相关费用。</w:t>
      </w:r>
    </w:p>
    <w:p w14:paraId="1419D35A">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3. 其它应承担的违约责任，以《中华人民共和国合同法》和其它有关法律、法规规定为准，无相关规定的，双方协商解决。</w:t>
      </w:r>
    </w:p>
    <w:p w14:paraId="1B876EF1">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4. 按照本合同规定应该偿付的违约金、赔偿金等，应当在明确责任后 7 日内，按银行规定或双方商定的结算办法付清，否则按逾期付款处理。</w:t>
      </w:r>
    </w:p>
    <w:p w14:paraId="3D36B9E1">
      <w:pPr>
        <w:pStyle w:val="2"/>
        <w:spacing w:line="500" w:lineRule="exact"/>
        <w:ind w:left="0" w:leftChars="0" w:firstLine="562" w:firstLineChars="200"/>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九、履约验收标准和方式</w:t>
      </w:r>
    </w:p>
    <w:p w14:paraId="707A83D5">
      <w:pPr>
        <w:adjustRightInd w:val="0"/>
        <w:snapToGrid w:val="0"/>
        <w:spacing w:line="360" w:lineRule="auto"/>
        <w:ind w:firstLine="560" w:firstLineChars="200"/>
        <w:rPr>
          <w:rFonts w:hint="eastAsia" w:ascii="黑体" w:hAnsi="黑体" w:eastAsia="黑体" w:cs="黑体"/>
          <w:color w:val="auto"/>
          <w:sz w:val="28"/>
          <w:szCs w:val="28"/>
          <w:u w:val="single"/>
          <w:lang w:val="en-US" w:eastAsia="zh-CN"/>
        </w:rPr>
      </w:pPr>
      <w:r>
        <w:rPr>
          <w:rFonts w:hint="eastAsia" w:ascii="黑体" w:hAnsi="黑体" w:eastAsia="黑体" w:cs="黑体"/>
          <w:color w:val="auto"/>
          <w:sz w:val="28"/>
          <w:szCs w:val="28"/>
          <w:lang w:val="en-US" w:eastAsia="zh-CN"/>
        </w:rPr>
        <w:t>1.履约验收时间：</w:t>
      </w:r>
      <w:r>
        <w:rPr>
          <w:rFonts w:hint="eastAsia" w:ascii="黑体" w:hAnsi="黑体" w:eastAsia="黑体" w:cs="黑体"/>
          <w:color w:val="auto"/>
          <w:sz w:val="28"/>
          <w:szCs w:val="28"/>
          <w:u w:val="single"/>
          <w:lang w:val="en-US" w:eastAsia="zh-CN"/>
        </w:rPr>
        <w:t>甲方指定时间</w:t>
      </w:r>
    </w:p>
    <w:p w14:paraId="0F68C0F2">
      <w:pPr>
        <w:adjustRightInd w:val="0"/>
        <w:snapToGrid w:val="0"/>
        <w:spacing w:line="360" w:lineRule="auto"/>
        <w:ind w:firstLine="560" w:firstLineChars="200"/>
        <w:rPr>
          <w:rFonts w:hint="eastAsia" w:ascii="黑体" w:hAnsi="黑体" w:eastAsia="黑体" w:cs="黑体"/>
          <w:color w:val="auto"/>
          <w:sz w:val="28"/>
          <w:szCs w:val="28"/>
          <w:u w:val="single"/>
          <w:lang w:val="en-US" w:eastAsia="zh-CN"/>
        </w:rPr>
      </w:pPr>
      <w:r>
        <w:rPr>
          <w:rFonts w:hint="eastAsia" w:ascii="黑体" w:hAnsi="黑体" w:eastAsia="黑体" w:cs="黑体"/>
          <w:color w:val="auto"/>
          <w:sz w:val="28"/>
          <w:szCs w:val="28"/>
          <w:lang w:val="en-US" w:eastAsia="zh-CN"/>
        </w:rPr>
        <w:t>2.履约验收主体及内容：</w:t>
      </w:r>
      <w:r>
        <w:rPr>
          <w:rFonts w:hint="eastAsia" w:ascii="黑体" w:hAnsi="黑体" w:eastAsia="黑体" w:cs="黑体"/>
          <w:color w:val="auto"/>
          <w:sz w:val="28"/>
          <w:szCs w:val="28"/>
          <w:u w:val="single"/>
          <w:lang w:val="en-US" w:eastAsia="zh-CN"/>
        </w:rPr>
        <w:t>由采购人根据合同要求，进行验收。</w:t>
      </w:r>
    </w:p>
    <w:p w14:paraId="2716A25A">
      <w:pPr>
        <w:adjustRightInd w:val="0"/>
        <w:snapToGrid w:val="0"/>
        <w:spacing w:line="360" w:lineRule="auto"/>
        <w:ind w:firstLine="560" w:firstLineChars="200"/>
        <w:rPr>
          <w:rFonts w:hint="eastAsia" w:ascii="黑体" w:hAnsi="黑体" w:eastAsia="黑体" w:cs="黑体"/>
          <w:color w:val="auto"/>
          <w:sz w:val="28"/>
          <w:szCs w:val="28"/>
          <w:u w:val="single"/>
          <w:lang w:val="en-US" w:eastAsia="zh-CN"/>
        </w:rPr>
      </w:pPr>
      <w:r>
        <w:rPr>
          <w:rFonts w:hint="eastAsia" w:ascii="黑体" w:hAnsi="黑体" w:eastAsia="黑体" w:cs="黑体"/>
          <w:color w:val="auto"/>
          <w:sz w:val="28"/>
          <w:szCs w:val="28"/>
          <w:lang w:val="en-US" w:eastAsia="zh-CN"/>
        </w:rPr>
        <w:t>3.验收标准：</w:t>
      </w:r>
      <w:r>
        <w:rPr>
          <w:rFonts w:hint="eastAsia" w:ascii="黑体" w:hAnsi="黑体" w:eastAsia="黑体" w:cs="黑体"/>
          <w:color w:val="auto"/>
          <w:sz w:val="28"/>
          <w:szCs w:val="28"/>
          <w:u w:val="single"/>
          <w:lang w:val="en-US" w:eastAsia="zh-CN"/>
        </w:rPr>
        <w:t xml:space="preserve">  符合国家相关施工验收规范；并达到合格标准。 </w:t>
      </w:r>
    </w:p>
    <w:p w14:paraId="2C7672C5">
      <w:pPr>
        <w:adjustRightInd w:val="0"/>
        <w:snapToGrid w:val="0"/>
        <w:spacing w:line="360" w:lineRule="auto"/>
        <w:ind w:firstLine="560" w:firstLineChars="200"/>
        <w:rPr>
          <w:rFonts w:hint="eastAsia" w:ascii="黑体" w:hAnsi="黑体" w:eastAsia="黑体" w:cs="黑体"/>
          <w:color w:val="auto"/>
          <w:sz w:val="28"/>
          <w:szCs w:val="28"/>
          <w:u w:val="single"/>
          <w:lang w:val="en-US" w:eastAsia="zh-CN"/>
        </w:rPr>
      </w:pPr>
      <w:r>
        <w:rPr>
          <w:rFonts w:hint="eastAsia" w:ascii="黑体" w:hAnsi="黑体" w:eastAsia="黑体" w:cs="黑体"/>
          <w:color w:val="auto"/>
          <w:sz w:val="28"/>
          <w:szCs w:val="28"/>
          <w:lang w:val="en-US" w:eastAsia="zh-CN"/>
        </w:rPr>
        <w:t>4.验收方式：</w:t>
      </w:r>
      <w:r>
        <w:rPr>
          <w:rFonts w:hint="eastAsia" w:ascii="黑体" w:hAnsi="黑体" w:eastAsia="黑体" w:cs="黑体"/>
          <w:color w:val="auto"/>
          <w:sz w:val="28"/>
          <w:szCs w:val="28"/>
          <w:u w:val="single"/>
          <w:lang w:val="en-US" w:eastAsia="zh-CN"/>
        </w:rPr>
        <w:t>由采购单位技术人员按照相关验收标准进行验收。</w:t>
      </w:r>
    </w:p>
    <w:p w14:paraId="1D6E7FB2">
      <w:pPr>
        <w:adjustRightInd w:val="0"/>
        <w:snapToGrid w:val="0"/>
        <w:spacing w:line="360" w:lineRule="auto"/>
        <w:ind w:firstLine="560" w:firstLineChars="200"/>
        <w:rPr>
          <w:rFonts w:hint="eastAsia" w:ascii="黑体" w:hAnsi="黑体" w:eastAsia="黑体" w:cs="黑体"/>
          <w:sz w:val="28"/>
          <w:szCs w:val="28"/>
          <w:lang w:val="en-US"/>
        </w:rPr>
      </w:pPr>
      <w:r>
        <w:rPr>
          <w:rFonts w:hint="eastAsia" w:ascii="黑体" w:hAnsi="黑体" w:eastAsia="黑体" w:cs="黑体"/>
          <w:color w:val="auto"/>
          <w:sz w:val="28"/>
          <w:szCs w:val="28"/>
          <w:lang w:val="en-US" w:eastAsia="zh-CN"/>
        </w:rPr>
        <w:t>5.验收依据：</w:t>
      </w:r>
      <w:r>
        <w:rPr>
          <w:rFonts w:hint="eastAsia" w:ascii="黑体" w:hAnsi="黑体" w:eastAsia="黑体" w:cs="黑体"/>
          <w:color w:val="auto"/>
          <w:sz w:val="28"/>
          <w:szCs w:val="28"/>
          <w:u w:val="single"/>
          <w:lang w:val="en-US" w:eastAsia="zh-CN"/>
        </w:rPr>
        <w:t xml:space="preserve">  符合国家相关施工标准   </w:t>
      </w:r>
    </w:p>
    <w:p w14:paraId="29D98402">
      <w:pPr>
        <w:adjustRightInd w:val="0"/>
        <w:snapToGrid w:val="0"/>
        <w:spacing w:line="360" w:lineRule="auto"/>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lang w:eastAsia="zh-CN"/>
        </w:rPr>
        <w:t>十</w:t>
      </w:r>
      <w:r>
        <w:rPr>
          <w:rFonts w:hint="eastAsia" w:ascii="黑体" w:hAnsi="黑体" w:eastAsia="黑体" w:cs="黑体"/>
          <w:b/>
          <w:bCs/>
          <w:color w:val="auto"/>
          <w:sz w:val="28"/>
          <w:szCs w:val="28"/>
        </w:rPr>
        <w:t>、不可抗力条款</w:t>
      </w:r>
    </w:p>
    <w:p w14:paraId="006AD67A">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0B3B7622">
      <w:pPr>
        <w:adjustRightInd w:val="0"/>
        <w:snapToGrid w:val="0"/>
        <w:spacing w:line="360" w:lineRule="auto"/>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rPr>
        <w:t>十</w:t>
      </w:r>
      <w:r>
        <w:rPr>
          <w:rFonts w:hint="eastAsia" w:ascii="黑体" w:hAnsi="黑体" w:eastAsia="黑体" w:cs="黑体"/>
          <w:b/>
          <w:bCs/>
          <w:color w:val="auto"/>
          <w:sz w:val="28"/>
          <w:szCs w:val="28"/>
          <w:lang w:eastAsia="zh-CN"/>
        </w:rPr>
        <w:t>一</w:t>
      </w:r>
      <w:r>
        <w:rPr>
          <w:rFonts w:hint="eastAsia" w:ascii="黑体" w:hAnsi="黑体" w:eastAsia="黑体" w:cs="黑体"/>
          <w:b/>
          <w:bCs/>
          <w:color w:val="auto"/>
          <w:sz w:val="28"/>
          <w:szCs w:val="28"/>
        </w:rPr>
        <w:t>、争议的解决方式</w:t>
      </w:r>
    </w:p>
    <w:p w14:paraId="44E66704">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本合同执行过程中如发生争议，应本着友好的原则协商解决。协商不成产生的诉讼，由甲方所在地人民法院管辖</w:t>
      </w:r>
    </w:p>
    <w:p w14:paraId="3916F98F">
      <w:pPr>
        <w:adjustRightInd w:val="0"/>
        <w:snapToGrid w:val="0"/>
        <w:spacing w:line="360" w:lineRule="auto"/>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rPr>
        <w:t>十</w:t>
      </w:r>
      <w:r>
        <w:rPr>
          <w:rFonts w:hint="eastAsia" w:ascii="黑体" w:hAnsi="黑体" w:eastAsia="黑体" w:cs="黑体"/>
          <w:b/>
          <w:bCs/>
          <w:color w:val="auto"/>
          <w:sz w:val="28"/>
          <w:szCs w:val="28"/>
          <w:lang w:eastAsia="zh-CN"/>
        </w:rPr>
        <w:t>二</w:t>
      </w:r>
      <w:r>
        <w:rPr>
          <w:rFonts w:hint="eastAsia" w:ascii="黑体" w:hAnsi="黑体" w:eastAsia="黑体" w:cs="黑体"/>
          <w:b/>
          <w:bCs/>
          <w:color w:val="auto"/>
          <w:sz w:val="28"/>
          <w:szCs w:val="28"/>
        </w:rPr>
        <w:t>、补充协议</w:t>
      </w:r>
    </w:p>
    <w:p w14:paraId="08C87DC3">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合同未尽事宜，经双方协商可签订补充协议，所签订的补充协议与本合同具有同等的法律效力，补充协议的生效应符合本合同的有关规定。</w:t>
      </w:r>
    </w:p>
    <w:p w14:paraId="6CA8A98E">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rPr>
        <w:t>十</w:t>
      </w:r>
      <w:r>
        <w:rPr>
          <w:rFonts w:hint="eastAsia" w:ascii="黑体" w:hAnsi="黑体" w:eastAsia="黑体" w:cs="黑体"/>
          <w:b/>
          <w:color w:val="auto"/>
          <w:sz w:val="28"/>
          <w:szCs w:val="28"/>
          <w:lang w:eastAsia="zh-CN"/>
        </w:rPr>
        <w:t>三</w:t>
      </w:r>
      <w:r>
        <w:rPr>
          <w:rFonts w:hint="eastAsia" w:ascii="黑体" w:hAnsi="黑体" w:eastAsia="黑体" w:cs="黑体"/>
          <w:b/>
          <w:color w:val="auto"/>
          <w:sz w:val="28"/>
          <w:szCs w:val="28"/>
        </w:rPr>
        <w:t>、合同生效</w:t>
      </w:r>
    </w:p>
    <w:p w14:paraId="4B6FA30E">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1. 合同双方签订后生效。</w:t>
      </w:r>
    </w:p>
    <w:p w14:paraId="03C06BFB">
      <w:pPr>
        <w:adjustRightInd w:val="0"/>
        <w:snapToGri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2. 本合同一式六份，甲、乙双方各执两份，采购代理机构、监管机构各一份。</w:t>
      </w:r>
    </w:p>
    <w:p w14:paraId="7093D093">
      <w:pPr>
        <w:adjustRightInd w:val="0"/>
        <w:snapToGrid w:val="0"/>
        <w:spacing w:line="360" w:lineRule="auto"/>
        <w:ind w:firstLine="562" w:firstLineChars="200"/>
        <w:rPr>
          <w:rFonts w:hint="eastAsia" w:ascii="黑体" w:hAnsi="黑体" w:eastAsia="黑体" w:cs="黑体"/>
          <w:b/>
          <w:color w:val="auto"/>
          <w:sz w:val="28"/>
          <w:szCs w:val="28"/>
        </w:rPr>
      </w:pPr>
      <w:r>
        <w:rPr>
          <w:rFonts w:hint="eastAsia" w:ascii="黑体" w:hAnsi="黑体" w:eastAsia="黑体" w:cs="黑体"/>
          <w:b/>
          <w:color w:val="auto"/>
          <w:sz w:val="28"/>
          <w:szCs w:val="28"/>
          <w:lang w:eastAsia="zh-CN"/>
        </w:rPr>
        <w:t>十四</w:t>
      </w:r>
      <w:r>
        <w:rPr>
          <w:rFonts w:hint="eastAsia" w:ascii="黑体" w:hAnsi="黑体" w:eastAsia="黑体" w:cs="黑体"/>
          <w:b/>
          <w:color w:val="auto"/>
          <w:sz w:val="28"/>
          <w:szCs w:val="28"/>
        </w:rPr>
        <w:t>、采购单位、采购单位地址、项目联系人及联系电话</w:t>
      </w:r>
    </w:p>
    <w:p w14:paraId="3E70497F">
      <w:pPr>
        <w:adjustRightInd w:val="0"/>
        <w:snapToGrid w:val="0"/>
        <w:spacing w:line="360" w:lineRule="auto"/>
        <w:ind w:firstLine="560" w:firstLineChars="200"/>
        <w:rPr>
          <w:rFonts w:hint="eastAsia" w:ascii="黑体" w:hAnsi="黑体" w:eastAsia="黑体" w:cs="黑体"/>
          <w:color w:val="auto"/>
          <w:sz w:val="28"/>
          <w:szCs w:val="28"/>
          <w:lang w:val="en-US"/>
        </w:rPr>
      </w:pPr>
      <w:r>
        <w:rPr>
          <w:rFonts w:hint="eastAsia" w:ascii="黑体" w:hAnsi="黑体" w:eastAsia="黑体" w:cs="黑体"/>
          <w:color w:val="auto"/>
          <w:sz w:val="28"/>
          <w:szCs w:val="28"/>
        </w:rPr>
        <w:t>1、采购单位：</w:t>
      </w:r>
      <w:r>
        <w:rPr>
          <w:rFonts w:hint="eastAsia" w:ascii="黑体" w:hAnsi="黑体" w:eastAsia="黑体" w:cs="黑体"/>
          <w:color w:val="auto"/>
          <w:sz w:val="28"/>
          <w:szCs w:val="28"/>
          <w:lang w:eastAsia="zh-CN"/>
        </w:rPr>
        <w:t>府谷能源投资集团有限公司</w:t>
      </w:r>
    </w:p>
    <w:p w14:paraId="130D5490">
      <w:pPr>
        <w:adjustRightInd w:val="0"/>
        <w:snapToGrid w:val="0"/>
        <w:spacing w:line="360" w:lineRule="auto"/>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2、采购单位地址：</w:t>
      </w:r>
      <w:r>
        <w:rPr>
          <w:rFonts w:hint="eastAsia" w:ascii="黑体" w:hAnsi="黑体" w:eastAsia="黑体" w:cs="黑体"/>
          <w:color w:val="auto"/>
          <w:sz w:val="28"/>
          <w:szCs w:val="28"/>
          <w:lang w:val="en-US" w:eastAsia="zh-CN"/>
        </w:rPr>
        <w:t>府谷县新区</w:t>
      </w:r>
    </w:p>
    <w:p w14:paraId="022C316D">
      <w:pPr>
        <w:adjustRightInd w:val="0"/>
        <w:snapToGrid w:val="0"/>
        <w:spacing w:line="360" w:lineRule="auto"/>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3、项目联系人：</w:t>
      </w:r>
      <w:r>
        <w:rPr>
          <w:rFonts w:hint="eastAsia" w:ascii="黑体" w:hAnsi="黑体" w:eastAsia="黑体" w:cs="黑体"/>
          <w:color w:val="auto"/>
          <w:sz w:val="28"/>
          <w:szCs w:val="28"/>
          <w:lang w:val="en-US" w:eastAsia="zh-CN"/>
        </w:rPr>
        <w:t>王先生      联系电话：0912-3708109</w:t>
      </w:r>
    </w:p>
    <w:p w14:paraId="02E20C10">
      <w:pPr>
        <w:pStyle w:val="10"/>
        <w:rPr>
          <w:rFonts w:hint="eastAsia" w:ascii="黑体" w:hAnsi="黑体" w:eastAsia="黑体" w:cs="黑体"/>
          <w:color w:val="auto"/>
          <w:sz w:val="28"/>
          <w:szCs w:val="28"/>
        </w:rPr>
      </w:pPr>
    </w:p>
    <w:p w14:paraId="12C300E7">
      <w:pPr>
        <w:pStyle w:val="10"/>
        <w:rPr>
          <w:rFonts w:hint="eastAsia" w:ascii="黑体" w:hAnsi="黑体" w:eastAsia="黑体" w:cs="黑体"/>
          <w:color w:val="auto"/>
          <w:sz w:val="28"/>
          <w:szCs w:val="28"/>
        </w:rPr>
      </w:pPr>
    </w:p>
    <w:p w14:paraId="622A8D5A">
      <w:pPr>
        <w:adjustRightInd w:val="0"/>
        <w:snapToGrid w:val="0"/>
        <w:spacing w:line="360" w:lineRule="auto"/>
        <w:ind w:firstLine="560" w:firstLineChars="200"/>
        <w:rPr>
          <w:rFonts w:hint="eastAsia" w:ascii="黑体" w:hAnsi="黑体" w:eastAsia="黑体" w:cs="黑体"/>
          <w:color w:val="auto"/>
          <w:sz w:val="28"/>
          <w:szCs w:val="28"/>
          <w:lang w:val="en-US"/>
        </w:rPr>
      </w:pP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府谷能源投资集团有限公司</w:t>
      </w:r>
    </w:p>
    <w:p w14:paraId="56A455C5">
      <w:pPr>
        <w:tabs>
          <w:tab w:val="left" w:pos="756"/>
        </w:tabs>
        <w:jc w:val="right"/>
        <w:rPr>
          <w:rFonts w:hint="eastAsia" w:ascii="黑体" w:hAnsi="黑体" w:eastAsia="黑体" w:cs="黑体"/>
          <w:position w:val="-297"/>
          <w:highlight w:val="none"/>
          <w:lang w:val="en-US"/>
        </w:rPr>
      </w:pPr>
      <w:r>
        <w:rPr>
          <w:rFonts w:hint="eastAsia" w:ascii="黑体" w:hAnsi="黑体" w:eastAsia="黑体" w:cs="黑体"/>
          <w:color w:val="auto"/>
          <w:sz w:val="28"/>
          <w:szCs w:val="28"/>
        </w:rPr>
        <w:t>202</w:t>
      </w:r>
      <w:r>
        <w:rPr>
          <w:rFonts w:hint="eastAsia" w:ascii="黑体" w:hAnsi="黑体" w:eastAsia="黑体" w:cs="黑体"/>
          <w:color w:val="auto"/>
          <w:sz w:val="28"/>
          <w:szCs w:val="28"/>
          <w:lang w:val="en-US" w:eastAsia="zh-CN"/>
        </w:rPr>
        <w:t>4</w:t>
      </w:r>
      <w:r>
        <w:rPr>
          <w:rFonts w:hint="eastAsia" w:ascii="黑体" w:hAnsi="黑体" w:eastAsia="黑体" w:cs="黑体"/>
          <w:color w:val="auto"/>
          <w:sz w:val="28"/>
          <w:szCs w:val="28"/>
        </w:rPr>
        <w:t>年</w:t>
      </w:r>
      <w:r>
        <w:rPr>
          <w:rFonts w:hint="eastAsia" w:ascii="黑体" w:hAnsi="黑体" w:eastAsia="黑体" w:cs="黑体"/>
          <w:color w:val="auto"/>
          <w:sz w:val="28"/>
          <w:szCs w:val="28"/>
          <w:lang w:val="en-US" w:eastAsia="zh-CN"/>
        </w:rPr>
        <w:t>9</w:t>
      </w:r>
      <w:r>
        <w:rPr>
          <w:rFonts w:hint="eastAsia" w:ascii="黑体" w:hAnsi="黑体" w:eastAsia="黑体" w:cs="黑体"/>
          <w:color w:val="auto"/>
          <w:sz w:val="28"/>
          <w:szCs w:val="28"/>
        </w:rPr>
        <w:t>月</w:t>
      </w:r>
      <w:r>
        <w:rPr>
          <w:rFonts w:hint="eastAsia" w:ascii="黑体" w:hAnsi="黑体" w:eastAsia="黑体" w:cs="黑体"/>
          <w:color w:val="auto"/>
          <w:sz w:val="28"/>
          <w:szCs w:val="28"/>
          <w:lang w:val="en-US" w:eastAsia="zh-CN"/>
        </w:rPr>
        <w:t>25日</w:t>
      </w:r>
    </w:p>
    <w:sectPr>
      <w:footerReference r:id="rId5" w:type="default"/>
      <w:pgSz w:w="11906" w:h="16839"/>
      <w:pgMar w:top="1440" w:right="1706"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AEDD">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5F144"/>
    <w:multiLevelType w:val="singleLevel"/>
    <w:tmpl w:val="0465F1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YyZTE1ZWM1OWNiNjQ2NWMzYjEwNjc2NjhhZDMyM2MifQ=="/>
  </w:docVars>
  <w:rsids>
    <w:rsidRoot w:val="00000000"/>
    <w:rsid w:val="001C7BAF"/>
    <w:rsid w:val="015C2A92"/>
    <w:rsid w:val="0B4B40F9"/>
    <w:rsid w:val="19FE4E91"/>
    <w:rsid w:val="20DF18A3"/>
    <w:rsid w:val="2C48691B"/>
    <w:rsid w:val="2D553998"/>
    <w:rsid w:val="3430772F"/>
    <w:rsid w:val="3C950F0C"/>
    <w:rsid w:val="3F960BB7"/>
    <w:rsid w:val="479357EC"/>
    <w:rsid w:val="488E5178"/>
    <w:rsid w:val="4A9C4DD7"/>
    <w:rsid w:val="4CBA69CA"/>
    <w:rsid w:val="4EE35A51"/>
    <w:rsid w:val="52CB32A1"/>
    <w:rsid w:val="55830DA0"/>
    <w:rsid w:val="5A505C1D"/>
    <w:rsid w:val="5E671E49"/>
    <w:rsid w:val="750E0BAB"/>
    <w:rsid w:val="782467BC"/>
    <w:rsid w:val="7EE80D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qFormat/>
    <w:uiPriority w:val="9"/>
    <w:pPr>
      <w:keepNext/>
      <w:keepLines/>
      <w:spacing w:line="240" w:lineRule="auto"/>
      <w:outlineLvl w:val="1"/>
    </w:pPr>
    <w:rPr>
      <w:rFonts w:ascii="Calibri" w:hAnsi="Calibri"/>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rPr>
  </w:style>
  <w:style w:type="paragraph" w:styleId="4">
    <w:name w:val="Body Text"/>
    <w:basedOn w:val="1"/>
    <w:qFormat/>
    <w:uiPriority w:val="0"/>
    <w:rPr>
      <w:rFonts w:ascii="宋体" w:hAnsi="宋体" w:eastAsia="宋体" w:cs="宋体"/>
      <w:sz w:val="28"/>
      <w:szCs w:val="28"/>
      <w:lang w:val="en-US" w:eastAsia="en-US" w:bidi="ar-SA"/>
    </w:rPr>
  </w:style>
  <w:style w:type="paragraph" w:styleId="5">
    <w:name w:val="footer"/>
    <w:basedOn w:val="1"/>
    <w:next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1961</Words>
  <Characters>2012</Characters>
  <TotalTime>246</TotalTime>
  <ScaleCrop>false</ScaleCrop>
  <LinksUpToDate>false</LinksUpToDate>
  <CharactersWithSpaces>2326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2023-09-21T13:04:00Z</dcterms:created>
  <dc:creator>Administrator</dc:creator>
  <cp:lastModifiedBy>WPS_1641563650</cp:lastModifiedBy>
  <dcterms:modified xsi:type="dcterms:W3CDTF">2024-09-29T07:52:17Z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2023-10-11T17:40:13Z</vt:filetime>
  </property>
  <property fmtid="{D5CDD505-2E9C-101B-9397-08002B2CF9AE}" pid="4" name="KSOProductBuildVer">
    <vt:lpwstr>2052-12.1.0.18276</vt:lpwstr>
  </property>
  <property fmtid="{D5CDD505-2E9C-101B-9397-08002B2CF9AE}" pid="5" name="ICV">
    <vt:lpwstr>EA22BC00A23747AF9876064154C0D87A_12</vt:lpwstr>
  </property>
</Properties>
</file>