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68DE6">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古城镇养老服务中心护坡及门前广场硬化工程</w:t>
      </w:r>
    </w:p>
    <w:p w14:paraId="01639AEC">
      <w:pPr>
        <w:jc w:val="center"/>
        <w:rPr>
          <w:rFonts w:hint="eastAsia" w:ascii="宋体" w:hAnsi="宋体" w:eastAsia="宋体" w:cs="宋体"/>
          <w:color w:val="auto"/>
          <w:sz w:val="36"/>
          <w:szCs w:val="36"/>
          <w:lang w:val="en-US" w:eastAsia="zh-CN"/>
        </w:rPr>
      </w:pPr>
      <w:bookmarkStart w:id="6" w:name="_GoBack"/>
      <w:bookmarkEnd w:id="6"/>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需求</w:t>
      </w:r>
      <w:r>
        <w:rPr>
          <w:rFonts w:hint="eastAsia" w:ascii="宋体" w:hAnsi="宋体" w:eastAsia="宋体" w:cs="宋体"/>
          <w:b/>
          <w:bCs/>
          <w:color w:val="auto"/>
          <w:sz w:val="36"/>
          <w:szCs w:val="36"/>
          <w:lang w:eastAsia="zh-CN"/>
        </w:rPr>
        <w:t>书</w:t>
      </w:r>
    </w:p>
    <w:p w14:paraId="1AA5B45D">
      <w:pPr>
        <w:rPr>
          <w:rFonts w:hint="eastAsia" w:ascii="宋体" w:hAnsi="宋体" w:eastAsia="宋体" w:cs="宋体"/>
          <w:b/>
          <w:bCs/>
          <w:color w:val="auto"/>
          <w:sz w:val="28"/>
          <w:szCs w:val="28"/>
        </w:rPr>
      </w:pPr>
    </w:p>
    <w:p w14:paraId="4C3C7BF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right="0"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一、采购项目名称：</w:t>
      </w:r>
      <w:r>
        <w:rPr>
          <w:rFonts w:hint="eastAsia" w:ascii="宋体" w:hAnsi="宋体" w:eastAsia="宋体" w:cs="宋体"/>
          <w:color w:val="auto"/>
          <w:sz w:val="28"/>
          <w:szCs w:val="28"/>
          <w:lang w:val="en-US" w:eastAsia="zh-CN"/>
        </w:rPr>
        <w:t>古城镇养老服务中心护坡及门前广场硬化工程</w:t>
      </w:r>
    </w:p>
    <w:p w14:paraId="368945FB">
      <w:pPr>
        <w:keepNext w:val="0"/>
        <w:keepLines w:val="0"/>
        <w:pageBreakBefore w:val="0"/>
        <w:widowControl w:val="0"/>
        <w:kinsoku/>
        <w:wordWrap/>
        <w:overflowPunct/>
        <w:topLinePunct w:val="0"/>
        <w:autoSpaceDE/>
        <w:autoSpaceDN/>
        <w:bidi w:val="0"/>
        <w:adjustRightInd/>
        <w:spacing w:line="408"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二、采购项目预算、资金构成和采购方式：</w:t>
      </w:r>
    </w:p>
    <w:p w14:paraId="7C1447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1、采购项目预算：1413874.13元</w:t>
      </w:r>
    </w:p>
    <w:p w14:paraId="15CCFE9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2、最高限价：1413874.13元</w:t>
      </w:r>
    </w:p>
    <w:p w14:paraId="57D191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3、资金来源：财政资金</w:t>
      </w:r>
    </w:p>
    <w:p w14:paraId="1E8AE5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4、采购方式：竞争性磋商</w:t>
      </w:r>
    </w:p>
    <w:p w14:paraId="4C6ACDDB">
      <w:pPr>
        <w:pStyle w:val="18"/>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三、</w:t>
      </w:r>
      <w:r>
        <w:rPr>
          <w:rFonts w:hint="eastAsia" w:ascii="宋体" w:hAnsi="宋体" w:eastAsia="宋体" w:cs="宋体"/>
          <w:b/>
          <w:bCs/>
          <w:sz w:val="28"/>
          <w:szCs w:val="28"/>
          <w:lang w:val="en-US" w:eastAsia="zh-CN"/>
        </w:rPr>
        <w:t>项目实施时间、地点、工程概况、履行期限及方式</w:t>
      </w:r>
    </w:p>
    <w:p w14:paraId="11E3E436">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1、项目实施时间：2024年10月-2024年11月</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 xml:space="preserve"> </w:t>
      </w:r>
    </w:p>
    <w:p w14:paraId="1D1FDA0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宋体" w:hAnsi="宋体" w:eastAsia="宋体" w:cs="宋体"/>
          <w:b w:val="0"/>
          <w:bCs w:val="0"/>
          <w:sz w:val="28"/>
          <w:szCs w:val="28"/>
          <w:highlight w:val="yellow"/>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府谷县古城镇</w:t>
      </w:r>
    </w:p>
    <w:p w14:paraId="0002FC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3、项目概况：</w:t>
      </w:r>
    </w:p>
    <w:p w14:paraId="044E27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主要内容包括：</w:t>
      </w:r>
      <w:r>
        <w:rPr>
          <w:rFonts w:hint="eastAsia" w:ascii="宋体" w:hAnsi="宋体" w:eastAsia="宋体" w:cs="宋体"/>
          <w:color w:val="auto"/>
          <w:sz w:val="28"/>
          <w:szCs w:val="28"/>
          <w:lang w:val="en-US" w:eastAsia="zh-CN"/>
        </w:rPr>
        <w:t>硬化及铺装工程、挡土墙工程、后院花池工程、雨污水工程等</w:t>
      </w:r>
      <w:r>
        <w:rPr>
          <w:rFonts w:hint="eastAsia" w:ascii="宋体" w:hAnsi="宋体" w:eastAsia="宋体" w:cs="宋体"/>
          <w:b w:val="0"/>
          <w:bCs w:val="0"/>
          <w:sz w:val="28"/>
          <w:szCs w:val="28"/>
          <w:lang w:val="en-US" w:eastAsia="zh-CN"/>
        </w:rPr>
        <w:t>。</w:t>
      </w:r>
    </w:p>
    <w:p w14:paraId="5A4123E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z w:val="28"/>
          <w:szCs w:val="28"/>
          <w:highlight w:val="none"/>
          <w:lang w:val="en-US" w:eastAsia="zh-CN"/>
        </w:rPr>
      </w:pPr>
      <w:r>
        <w:rPr>
          <w:rFonts w:hint="eastAsia" w:ascii="宋体" w:hAnsi="宋体" w:cs="宋体"/>
          <w:b/>
          <w:bCs/>
          <w:sz w:val="28"/>
          <w:szCs w:val="28"/>
          <w:lang w:val="en-US" w:eastAsia="zh-CN"/>
        </w:rPr>
        <w:t>本项目工</w:t>
      </w:r>
      <w:r>
        <w:rPr>
          <w:rFonts w:hint="eastAsia" w:ascii="宋体" w:hAnsi="宋体" w:cs="宋体"/>
          <w:b/>
          <w:bCs/>
          <w:sz w:val="28"/>
          <w:szCs w:val="28"/>
          <w:highlight w:val="none"/>
          <w:lang w:val="en-US" w:eastAsia="zh-CN"/>
        </w:rPr>
        <w:t>期为：30日历天。</w:t>
      </w:r>
    </w:p>
    <w:p w14:paraId="5F11F36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highlight w:val="none"/>
          <w:lang w:val="en-US" w:eastAsia="zh-CN"/>
        </w:rPr>
      </w:pPr>
      <w:r>
        <w:rPr>
          <w:rFonts w:hint="eastAsia" w:ascii="宋体" w:hAnsi="宋体" w:cs="宋体"/>
          <w:b/>
          <w:bCs/>
          <w:sz w:val="28"/>
          <w:szCs w:val="28"/>
          <w:highlight w:val="none"/>
          <w:lang w:val="en-US" w:eastAsia="zh-CN"/>
        </w:rPr>
        <w:t>4、履行期限及方式：</w:t>
      </w:r>
      <w:r>
        <w:rPr>
          <w:rFonts w:hint="eastAsia" w:ascii="宋体" w:hAnsi="宋体" w:cs="宋体"/>
          <w:sz w:val="28"/>
          <w:szCs w:val="28"/>
          <w:highlight w:val="none"/>
          <w:lang w:val="en-US" w:eastAsia="zh-CN"/>
        </w:rPr>
        <w:t>严格执行政府采购程序，审批结束后开始实施，计划10月10日前完成采购任务。</w:t>
      </w:r>
    </w:p>
    <w:p w14:paraId="5336E3FE">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1A6ABE5D">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6BA3FF47">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2、履约验收主体及内容：由采购人根据合同要求，古城镇养老服务中心护坡及门前广场硬化工程进行验收。</w:t>
      </w:r>
    </w:p>
    <w:p w14:paraId="32CD3E13">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32669FBA">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14:paraId="1AB5A655">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2C977B04">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52052F48">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7A15061A">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5DAD8DB9">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（3）具有履行合同所必需的产品和专业技术能力；</w:t>
      </w:r>
    </w:p>
    <w:p w14:paraId="48BF24BE">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14:paraId="3B6F0CA0">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（5）参加政府采购活动前三年内，在经营活动中没有重大违法记录；</w:t>
      </w:r>
    </w:p>
    <w:p w14:paraId="66C0D67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14:paraId="3CBB33B1">
      <w:pPr>
        <w:numPr>
          <w:ilvl w:val="0"/>
          <w:numId w:val="0"/>
        </w:numPr>
        <w:ind w:firstLine="560" w:firstLineChars="200"/>
        <w:rPr>
          <w:rFonts w:hint="eastAsia" w:ascii="宋体" w:hAnsi="宋体" w:eastAsia="宋体" w:cs="宋体"/>
          <w:sz w:val="28"/>
          <w:szCs w:val="28"/>
          <w:lang w:val="en-US" w:eastAsia="zh-CN"/>
        </w:rPr>
      </w:pPr>
    </w:p>
    <w:p w14:paraId="44B438AE">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4F9984D8">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、合同模板：</w:t>
      </w:r>
    </w:p>
    <w:p w14:paraId="5488DBFF">
      <w:pPr>
        <w:spacing w:line="360" w:lineRule="auto"/>
        <w:jc w:val="both"/>
        <w:rPr>
          <w:rFonts w:hint="eastAsia" w:ascii="宋体" w:hAnsi="宋体" w:eastAsia="宋体" w:cs="宋体"/>
          <w:b/>
          <w:bCs/>
          <w:color w:val="auto"/>
          <w:sz w:val="28"/>
          <w:szCs w:val="28"/>
          <w:lang w:val="en-US" w:eastAsia="zh-CN"/>
        </w:rPr>
      </w:pPr>
    </w:p>
    <w:p w14:paraId="301CE17B">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古城镇养老服务中心护坡及门前广场硬化工程采购</w:t>
      </w:r>
      <w:r>
        <w:rPr>
          <w:rFonts w:hint="eastAsia" w:ascii="宋体" w:hAnsi="宋体" w:eastAsia="宋体" w:cs="宋体"/>
          <w:b/>
          <w:bCs/>
          <w:color w:val="auto"/>
          <w:sz w:val="28"/>
          <w:szCs w:val="28"/>
        </w:rPr>
        <w:t>合同</w:t>
      </w:r>
    </w:p>
    <w:p w14:paraId="629561B2">
      <w:pPr>
        <w:pStyle w:val="18"/>
        <w:spacing w:line="360" w:lineRule="auto"/>
        <w:ind w:firstLine="0" w:firstLineChars="0"/>
        <w:rPr>
          <w:rFonts w:hint="eastAsia" w:ascii="宋体" w:hAnsi="宋体" w:eastAsia="宋体" w:cs="宋体"/>
          <w:color w:val="auto"/>
          <w:sz w:val="28"/>
          <w:szCs w:val="28"/>
        </w:rPr>
      </w:pPr>
    </w:p>
    <w:p w14:paraId="2800F2B2">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360DFAB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6CE66271">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eastAsia="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eastAsia="宋体" w:cs="宋体"/>
          <w:snapToGrid w:val="0"/>
          <w:color w:val="auto"/>
          <w:kern w:val="0"/>
          <w:sz w:val="28"/>
          <w:szCs w:val="28"/>
          <w:lang w:val="en-US" w:eastAsia="zh-CN"/>
        </w:rPr>
        <w:t>古城镇养老服务中心护坡及门前广场硬化工程</w:t>
      </w:r>
      <w:r>
        <w:rPr>
          <w:rFonts w:hint="eastAsia" w:ascii="宋体" w:hAnsi="宋体" w:eastAsia="宋体" w:cs="宋体"/>
          <w:snapToGrid w:val="0"/>
          <w:color w:val="auto"/>
          <w:kern w:val="0"/>
          <w:sz w:val="28"/>
          <w:szCs w:val="28"/>
        </w:rPr>
        <w:t>”承办达成合同如下：</w:t>
      </w:r>
    </w:p>
    <w:p w14:paraId="19E9D9F5">
      <w:pPr>
        <w:adjustRightInd w:val="0"/>
        <w:snapToGrid w:val="0"/>
        <w:spacing w:line="360" w:lineRule="auto"/>
        <w:ind w:firstLine="562" w:firstLineChars="200"/>
        <w:rPr>
          <w:rFonts w:hint="eastAsia" w:ascii="宋体" w:hAnsi="宋体" w:eastAsia="宋体" w:cs="宋体"/>
          <w:b/>
          <w:color w:val="auto"/>
          <w:sz w:val="28"/>
          <w:szCs w:val="28"/>
        </w:rPr>
      </w:pPr>
    </w:p>
    <w:p w14:paraId="6FE0200A">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65AEA7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1723FF0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15BB642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14:paraId="747F9CB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14:paraId="01BCD87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14:paraId="5232BF7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14:paraId="5FA197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6200D85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21C1AB3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4B146BC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23ABB4E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三、服务项目</w:t>
      </w:r>
    </w:p>
    <w:p w14:paraId="6E9E815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本合同所提供的服务项目内容：（与报价文件中服务明细表一致）。</w:t>
      </w:r>
    </w:p>
    <w:p w14:paraId="7E005AAE">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2826A56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6F2A051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0AD0014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74DF9F90">
      <w:pPr>
        <w:adjustRightInd w:val="0"/>
        <w:snapToGrid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rPr>
        <w:t>五、付</w:t>
      </w:r>
      <w:r>
        <w:rPr>
          <w:rFonts w:hint="eastAsia" w:ascii="宋体" w:hAnsi="宋体" w:eastAsia="宋体" w:cs="宋体"/>
          <w:b/>
          <w:color w:val="auto"/>
          <w:sz w:val="28"/>
          <w:szCs w:val="28"/>
          <w:highlight w:val="none"/>
        </w:rPr>
        <w:t>款途径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CD5F26D">
      <w:pPr>
        <w:adjustRightInd w:val="0"/>
        <w:snapToGrid w:val="0"/>
        <w:spacing w:line="360" w:lineRule="auto"/>
        <w:ind w:firstLine="562" w:firstLineChars="200"/>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color w:val="auto"/>
          <w:sz w:val="28"/>
          <w:szCs w:val="28"/>
          <w:highlight w:val="none"/>
        </w:rPr>
        <w:t>六、付款方式</w:t>
      </w:r>
      <w:r>
        <w:rPr>
          <w:rFonts w:hint="eastAsia" w:ascii="宋体" w:hAnsi="宋体" w:eastAsia="宋体" w:cs="宋体"/>
          <w:color w:val="auto"/>
          <w:sz w:val="28"/>
          <w:szCs w:val="28"/>
          <w:highlight w:val="none"/>
        </w:rPr>
        <w:t>：由采购人负责结算。</w:t>
      </w:r>
      <w:r>
        <w:rPr>
          <w:rFonts w:hint="eastAsia" w:ascii="宋体" w:hAnsi="宋体" w:eastAsia="宋体" w:cs="宋体"/>
          <w:color w:val="auto"/>
          <w:sz w:val="28"/>
          <w:szCs w:val="28"/>
          <w:highlight w:val="none"/>
          <w:lang w:val="en-US" w:eastAsia="zh-CN"/>
        </w:rPr>
        <w:t>签订合同</w:t>
      </w:r>
      <w:r>
        <w:rPr>
          <w:rFonts w:hint="eastAsia" w:ascii="宋体" w:hAnsi="宋体" w:eastAsia="宋体" w:cs="宋体"/>
          <w:color w:val="auto"/>
          <w:sz w:val="28"/>
          <w:szCs w:val="28"/>
          <w:highlight w:val="none"/>
        </w:rPr>
        <w:t>开工前预付40%，工程竣工后付40%，审计后付20%</w:t>
      </w:r>
      <w:r>
        <w:rPr>
          <w:rFonts w:hint="eastAsia" w:ascii="宋体" w:hAnsi="宋体" w:eastAsia="宋体" w:cs="宋体"/>
          <w:color w:val="auto"/>
          <w:sz w:val="28"/>
          <w:szCs w:val="28"/>
          <w:highlight w:val="none"/>
          <w:lang w:eastAsia="zh-CN"/>
        </w:rPr>
        <w:t>。</w:t>
      </w:r>
    </w:p>
    <w:p w14:paraId="7EAD366A">
      <w:pPr>
        <w:adjustRightInd w:val="0"/>
        <w:snapToGrid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七、知识产权</w:t>
      </w:r>
    </w:p>
    <w:p w14:paraId="2543F7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CE25899">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7CEBE3A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014FB06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40D9BFE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w:t>
      </w:r>
      <w:r>
        <w:rPr>
          <w:rFonts w:hint="eastAsia" w:ascii="宋体" w:hAnsi="宋体" w:eastAsia="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2F11AB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1B02C47E">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1B95845D">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39BFB644">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1F44D63A">
      <w:pPr>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3.验收标准：</w:t>
      </w:r>
      <w:r>
        <w:rPr>
          <w:rFonts w:hint="eastAsia" w:ascii="宋体" w:hAnsi="宋体" w:eastAsia="宋体" w:cs="宋体"/>
          <w:color w:val="auto"/>
          <w:sz w:val="28"/>
          <w:szCs w:val="28"/>
          <w:highlight w:val="none"/>
          <w:u w:val="single"/>
          <w:lang w:val="en-US" w:eastAsia="zh-CN"/>
        </w:rPr>
        <w:t>符合国家相关施工验收规范；并达到合格标准。</w:t>
      </w:r>
    </w:p>
    <w:p w14:paraId="0BEF7376">
      <w:pPr>
        <w:adjustRightInd w:val="0"/>
        <w:snapToGrid w:val="0"/>
        <w:spacing w:line="360" w:lineRule="auto"/>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4.验收方式：</w:t>
      </w:r>
      <w:r>
        <w:rPr>
          <w:rFonts w:hint="eastAsia" w:ascii="宋体" w:hAnsi="宋体" w:eastAsia="宋体" w:cs="宋体"/>
          <w:color w:val="auto"/>
          <w:sz w:val="28"/>
          <w:szCs w:val="28"/>
          <w:highlight w:val="none"/>
          <w:u w:val="single"/>
          <w:lang w:val="en-US" w:eastAsia="zh-CN"/>
        </w:rPr>
        <w:t>由采购单位技术人员按照相关验收标准进行验收。</w:t>
      </w:r>
    </w:p>
    <w:p w14:paraId="3A618CA4">
      <w:pPr>
        <w:pStyle w:val="18"/>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5.验收依据：</w:t>
      </w:r>
      <w:r>
        <w:rPr>
          <w:rFonts w:hint="eastAsia" w:ascii="宋体" w:hAnsi="宋体" w:eastAsia="宋体" w:cs="宋体"/>
          <w:color w:val="auto"/>
          <w:sz w:val="28"/>
          <w:szCs w:val="28"/>
          <w:highlight w:val="none"/>
          <w:u w:val="single"/>
          <w:lang w:val="en-US" w:eastAsia="zh-CN"/>
        </w:rPr>
        <w:t xml:space="preserve">符合国家相关施工标准。 </w:t>
      </w:r>
    </w:p>
    <w:p w14:paraId="0194E117">
      <w:pPr>
        <w:pStyle w:val="9"/>
        <w:rPr>
          <w:rFonts w:hint="eastAsia" w:ascii="宋体" w:hAnsi="宋体" w:eastAsia="宋体" w:cs="宋体"/>
          <w:sz w:val="28"/>
          <w:szCs w:val="28"/>
          <w:lang w:val="en-US"/>
        </w:rPr>
      </w:pPr>
    </w:p>
    <w:p w14:paraId="0091B4BD">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294E135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10D171D">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27228F55">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eastAsia="宋体" w:cs="宋体"/>
          <w:color w:val="auto"/>
          <w:sz w:val="28"/>
          <w:szCs w:val="28"/>
          <w:lang w:eastAsia="zh-CN"/>
        </w:rPr>
        <w:t>。</w:t>
      </w:r>
    </w:p>
    <w:p w14:paraId="0A67D3C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638A16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F02FC6E">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09245AF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06DA622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0F175202">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566E8D5B">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1、采购单位：府谷县古城镇人民政府</w:t>
      </w:r>
    </w:p>
    <w:p w14:paraId="7414F03F">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2、采购单位地址：府谷县古城镇</w:t>
      </w:r>
    </w:p>
    <w:p w14:paraId="628FB54A">
      <w:pPr>
        <w:adjustRightInd w:val="0"/>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3、项目联系人：贾慧波       联系电话：0912-8853001</w:t>
      </w:r>
    </w:p>
    <w:p w14:paraId="6E80607D">
      <w:pPr>
        <w:adjustRightInd w:val="0"/>
        <w:snapToGrid w:val="0"/>
        <w:spacing w:line="360" w:lineRule="auto"/>
        <w:jc w:val="both"/>
        <w:rPr>
          <w:rFonts w:hint="eastAsia" w:ascii="宋体" w:hAnsi="宋体" w:eastAsia="宋体" w:cs="宋体"/>
          <w:color w:val="auto"/>
          <w:sz w:val="28"/>
          <w:szCs w:val="28"/>
          <w:lang w:val="en-US" w:eastAsia="zh-CN"/>
        </w:rPr>
      </w:pPr>
    </w:p>
    <w:p w14:paraId="4F80D06C">
      <w:pPr>
        <w:adjustRightInd w:val="0"/>
        <w:snapToGrid w:val="0"/>
        <w:spacing w:line="360" w:lineRule="auto"/>
        <w:ind w:firstLine="560" w:firstLineChars="200"/>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府谷县古城镇人民政府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0BA62149"/>
    <w:rsid w:val="0089072F"/>
    <w:rsid w:val="02DA6C58"/>
    <w:rsid w:val="08CE1B86"/>
    <w:rsid w:val="08F22630"/>
    <w:rsid w:val="0AFB4D73"/>
    <w:rsid w:val="0BA62149"/>
    <w:rsid w:val="0DD95C10"/>
    <w:rsid w:val="0EA577C7"/>
    <w:rsid w:val="109A2CC5"/>
    <w:rsid w:val="118F4601"/>
    <w:rsid w:val="12AF3DC1"/>
    <w:rsid w:val="14C56109"/>
    <w:rsid w:val="1BDC345D"/>
    <w:rsid w:val="1C3746D8"/>
    <w:rsid w:val="1E741A32"/>
    <w:rsid w:val="21277E60"/>
    <w:rsid w:val="215C1C4A"/>
    <w:rsid w:val="21ED36E1"/>
    <w:rsid w:val="2425369A"/>
    <w:rsid w:val="298A18F0"/>
    <w:rsid w:val="2D4D565F"/>
    <w:rsid w:val="2F7470EF"/>
    <w:rsid w:val="309520D2"/>
    <w:rsid w:val="32352BCE"/>
    <w:rsid w:val="32736B57"/>
    <w:rsid w:val="343F2506"/>
    <w:rsid w:val="34D06D46"/>
    <w:rsid w:val="363500D6"/>
    <w:rsid w:val="370F3F68"/>
    <w:rsid w:val="37EE1AD6"/>
    <w:rsid w:val="3A87368A"/>
    <w:rsid w:val="3B715517"/>
    <w:rsid w:val="3D9B0810"/>
    <w:rsid w:val="3DCB3446"/>
    <w:rsid w:val="3E2D2DE6"/>
    <w:rsid w:val="3E67796F"/>
    <w:rsid w:val="3EAB1CA9"/>
    <w:rsid w:val="3FD137DE"/>
    <w:rsid w:val="46300370"/>
    <w:rsid w:val="4733090F"/>
    <w:rsid w:val="487A2378"/>
    <w:rsid w:val="495674B8"/>
    <w:rsid w:val="4CD77AA3"/>
    <w:rsid w:val="4DB00BF4"/>
    <w:rsid w:val="4DD94C43"/>
    <w:rsid w:val="4EC61873"/>
    <w:rsid w:val="5074639C"/>
    <w:rsid w:val="50990CF8"/>
    <w:rsid w:val="58557B6D"/>
    <w:rsid w:val="59F60964"/>
    <w:rsid w:val="5A1A4936"/>
    <w:rsid w:val="5AF15B05"/>
    <w:rsid w:val="5D28444B"/>
    <w:rsid w:val="5D8B7388"/>
    <w:rsid w:val="637A1FC2"/>
    <w:rsid w:val="63CE320B"/>
    <w:rsid w:val="65367B69"/>
    <w:rsid w:val="6A881455"/>
    <w:rsid w:val="6C7F6931"/>
    <w:rsid w:val="6D090D00"/>
    <w:rsid w:val="738203BA"/>
    <w:rsid w:val="75FB0083"/>
    <w:rsid w:val="76080DD3"/>
    <w:rsid w:val="784F3F91"/>
    <w:rsid w:val="78F461CB"/>
    <w:rsid w:val="7D214206"/>
    <w:rsid w:val="7E276FBD"/>
    <w:rsid w:val="7FC0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autoRedefine/>
    <w:qFormat/>
    <w:uiPriority w:val="0"/>
    <w:pPr>
      <w:keepNext/>
      <w:keepLines/>
      <w:spacing w:line="576" w:lineRule="auto"/>
      <w:outlineLvl w:val="0"/>
    </w:pPr>
    <w:rPr>
      <w:b/>
      <w:bCs/>
      <w:kern w:val="44"/>
      <w:sz w:val="44"/>
      <w:szCs w:val="44"/>
    </w:rPr>
  </w:style>
  <w:style w:type="paragraph" w:styleId="3">
    <w:name w:val="heading 2"/>
    <w:basedOn w:val="1"/>
    <w:next w:val="4"/>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Body Text"/>
    <w:basedOn w:val="1"/>
    <w:next w:val="1"/>
    <w:autoRedefine/>
    <w:qFormat/>
    <w:uiPriority w:val="0"/>
    <w:pPr>
      <w:spacing w:afterLines="50" w:line="360" w:lineRule="auto"/>
    </w:pPr>
    <w:rPr>
      <w:rFonts w:ascii="宋体" w:hAnsi="宋体"/>
      <w:color w:val="000000"/>
      <w:sz w:val="24"/>
    </w:rPr>
  </w:style>
  <w:style w:type="paragraph" w:styleId="7">
    <w:name w:val="Body Text Indent"/>
    <w:basedOn w:val="1"/>
    <w:autoRedefine/>
    <w:qFormat/>
    <w:uiPriority w:val="0"/>
    <w:pPr>
      <w:ind w:left="1083" w:leftChars="30" w:hanging="1020" w:hangingChars="425"/>
    </w:pPr>
    <w:rPr>
      <w:rFonts w:ascii="宋体" w:hAnsi="宋体"/>
      <w:sz w:val="24"/>
    </w:rPr>
  </w:style>
  <w:style w:type="paragraph" w:styleId="8">
    <w:name w:val="Body Text Indent 2"/>
    <w:basedOn w:val="1"/>
    <w:autoRedefine/>
    <w:qFormat/>
    <w:uiPriority w:val="0"/>
    <w:pPr>
      <w:spacing w:after="120" w:line="480" w:lineRule="auto"/>
      <w:ind w:left="200" w:leftChars="200"/>
    </w:pPr>
  </w:style>
  <w:style w:type="paragraph" w:styleId="9">
    <w:name w:val="footer"/>
    <w:basedOn w:val="1"/>
    <w:next w:val="1"/>
    <w:autoRedefine/>
    <w:qFormat/>
    <w:uiPriority w:val="99"/>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rPr>
  </w:style>
  <w:style w:type="paragraph" w:styleId="11">
    <w:name w:val="Normal (Web)"/>
    <w:basedOn w:val="1"/>
    <w:next w:val="10"/>
    <w:autoRedefine/>
    <w:qFormat/>
    <w:uiPriority w:val="0"/>
    <w:pPr>
      <w:widowControl/>
      <w:spacing w:beforeAutospacing="1" w:afterAutospacing="1"/>
      <w:jc w:val="left"/>
    </w:pPr>
    <w:rPr>
      <w:rFonts w:ascii="宋体" w:hAnsi="宋体"/>
      <w:sz w:val="24"/>
    </w:rPr>
  </w:style>
  <w:style w:type="paragraph" w:styleId="12">
    <w:name w:val="Body Text First Indent"/>
    <w:basedOn w:val="6"/>
    <w:autoRedefine/>
    <w:qFormat/>
    <w:uiPriority w:val="0"/>
    <w:pPr>
      <w:adjustRightInd w:val="0"/>
      <w:ind w:firstLine="420"/>
      <w:jc w:val="left"/>
      <w:textAlignment w:val="baseline"/>
    </w:pPr>
    <w:rPr>
      <w:kern w:val="0"/>
      <w:sz w:val="21"/>
    </w:rPr>
  </w:style>
  <w:style w:type="paragraph" w:styleId="13">
    <w:name w:val="Body Text First Indent 2"/>
    <w:basedOn w:val="7"/>
    <w:next w:val="12"/>
    <w:autoRedefine/>
    <w:unhideWhenUsed/>
    <w:qFormat/>
    <w:uiPriority w:val="99"/>
    <w:pPr>
      <w:ind w:firstLine="420" w:firstLineChars="200"/>
    </w:pPr>
  </w:style>
  <w:style w:type="table" w:styleId="15">
    <w:name w:val="Table Grid"/>
    <w:basedOn w:val="1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paragraph" w:customStyle="1" w:styleId="18">
    <w:name w:val="正文缩进1"/>
    <w:basedOn w:val="1"/>
    <w:autoRedefine/>
    <w:qFormat/>
    <w:uiPriority w:val="0"/>
    <w:pPr>
      <w:ind w:firstLine="420" w:firstLineChars="200"/>
    </w:pPr>
  </w:style>
  <w:style w:type="character" w:customStyle="1" w:styleId="19">
    <w:name w:val="NormalCharacter"/>
    <w:autoRedefine/>
    <w:semiHidden/>
    <w:qFormat/>
    <w:uiPriority w:val="0"/>
  </w:style>
  <w:style w:type="character" w:customStyle="1" w:styleId="20">
    <w:name w:val="标题 1 Char"/>
    <w:link w:val="2"/>
    <w:autoRedefine/>
    <w:qFormat/>
    <w:uiPriority w:val="0"/>
    <w:rPr>
      <w:b/>
      <w:bCs/>
      <w:kern w:val="44"/>
      <w:sz w:val="44"/>
      <w:szCs w:val="44"/>
    </w:rPr>
  </w:style>
  <w:style w:type="paragraph" w:customStyle="1" w:styleId="2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1991</Characters>
  <Lines>0</Lines>
  <Paragraphs>0</Paragraphs>
  <TotalTime>14</TotalTime>
  <ScaleCrop>false</ScaleCrop>
  <LinksUpToDate>false</LinksUpToDate>
  <CharactersWithSpaces>2239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2022-08-01T01:46:00Z</dcterms:created>
  <dc:creator>暖暖</dc:creator>
  <cp:lastModifiedBy>小</cp:lastModifiedBy>
  <dcterms:modified xsi:type="dcterms:W3CDTF">2024-09-20T07:25:16Z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F91512EA6C9843ED9A31D3CA8EF5666E_13</vt:lpwstr>
  </property>
</Properties>
</file>