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cs="仿宋"/>
          <w:b/>
          <w:bCs/>
          <w:i w:val="0"/>
          <w:iCs w:val="0"/>
          <w:color w:val="auto"/>
          <w:sz w:val="30"/>
          <w:szCs w:val="30"/>
          <w:highlight w:val="none"/>
          <w:lang w:val="zh-CN"/>
        </w:rPr>
      </w:pPr>
      <w:r>
        <w:rPr>
          <w:rFonts w:hint="eastAsia" w:ascii="仿宋" w:hAnsi="仿宋" w:eastAsia="仿宋" w:cs="仿宋"/>
          <w:b/>
          <w:bCs/>
          <w:i w:val="0"/>
          <w:iCs w:val="0"/>
          <w:color w:val="auto"/>
          <w:sz w:val="30"/>
          <w:szCs w:val="30"/>
          <w:highlight w:val="none"/>
          <w:lang w:val="zh-CN"/>
        </w:rPr>
        <w:t>政府采购项目</w:t>
      </w:r>
    </w:p>
    <w:p>
      <w:pPr>
        <w:autoSpaceDE w:val="0"/>
        <w:autoSpaceDN w:val="0"/>
        <w:adjustRightInd w:val="0"/>
        <w:snapToGrid w:val="0"/>
        <w:spacing w:line="360" w:lineRule="auto"/>
        <w:jc w:val="left"/>
        <w:rPr>
          <w:rFonts w:hint="eastAsia" w:ascii="仿宋" w:hAnsi="仿宋" w:eastAsia="仿宋" w:cs="仿宋"/>
          <w:b/>
          <w:bCs/>
          <w:i w:val="0"/>
          <w:iCs w:val="0"/>
          <w:color w:val="auto"/>
          <w:sz w:val="30"/>
          <w:szCs w:val="30"/>
          <w:highlight w:val="none"/>
          <w:lang w:val="zh-CN" w:eastAsia="zh-CN"/>
        </w:rPr>
      </w:pPr>
      <w:r>
        <w:rPr>
          <w:rFonts w:hint="eastAsia" w:ascii="仿宋" w:hAnsi="仿宋" w:eastAsia="仿宋" w:cs="仿宋"/>
          <w:b/>
          <w:bCs/>
          <w:i w:val="0"/>
          <w:iCs w:val="0"/>
          <w:color w:val="auto"/>
          <w:sz w:val="30"/>
          <w:szCs w:val="30"/>
          <w:highlight w:val="none"/>
          <w:lang w:val="zh-CN"/>
        </w:rPr>
        <w:t>采购项目编号：SCZK2024-JT-0041/10</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t xml:space="preserve"> </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p>
    <w:p>
      <w:pPr>
        <w:tabs>
          <w:tab w:val="left" w:pos="5670"/>
        </w:tabs>
        <w:autoSpaceDE w:val="0"/>
        <w:autoSpaceDN w:val="0"/>
        <w:adjustRightInd w:val="0"/>
        <w:snapToGrid w:val="0"/>
        <w:spacing w:line="360" w:lineRule="auto"/>
        <w:ind w:firstLine="420" w:firstLineChars="0"/>
        <w:jc w:val="center"/>
        <w:rPr>
          <w:rFonts w:hint="eastAsia" w:ascii="仿宋" w:hAnsi="仿宋" w:eastAsia="仿宋" w:cs="仿宋"/>
          <w:b/>
          <w:bCs/>
          <w:i w:val="0"/>
          <w:iCs w:val="0"/>
          <w:color w:val="auto"/>
          <w:sz w:val="36"/>
          <w:szCs w:val="36"/>
          <w:highlight w:val="none"/>
          <w:lang w:val="zh-CN" w:eastAsia="zh-CN"/>
        </w:rPr>
      </w:pPr>
      <w:r>
        <w:rPr>
          <w:rFonts w:hint="eastAsia" w:ascii="仿宋" w:hAnsi="仿宋" w:eastAsia="仿宋" w:cs="仿宋"/>
          <w:b/>
          <w:bCs/>
          <w:i w:val="0"/>
          <w:iCs w:val="0"/>
          <w:color w:val="auto"/>
          <w:sz w:val="44"/>
          <w:szCs w:val="44"/>
          <w:highlight w:val="none"/>
          <w:lang w:eastAsia="zh-CN"/>
        </w:rPr>
        <w:t>神木市医院血液透析机、血液滤过机采购项目</w:t>
      </w:r>
    </w:p>
    <w:p>
      <w:pPr>
        <w:tabs>
          <w:tab w:val="left" w:pos="5670"/>
        </w:tabs>
        <w:autoSpaceDE w:val="0"/>
        <w:autoSpaceDN w:val="0"/>
        <w:adjustRightInd w:val="0"/>
        <w:snapToGrid w:val="0"/>
        <w:spacing w:line="360" w:lineRule="auto"/>
        <w:ind w:firstLine="420" w:firstLineChars="0"/>
        <w:jc w:val="center"/>
        <w:rPr>
          <w:rFonts w:hint="eastAsia" w:ascii="仿宋" w:hAnsi="仿宋" w:eastAsia="仿宋" w:cs="仿宋"/>
          <w:b/>
          <w:bCs/>
          <w:i w:val="0"/>
          <w:iCs w:val="0"/>
          <w:color w:val="auto"/>
          <w:sz w:val="52"/>
          <w:szCs w:val="52"/>
          <w:highlight w:val="none"/>
          <w:lang w:val="zh-CN"/>
        </w:rPr>
      </w:pPr>
    </w:p>
    <w:p>
      <w:pPr>
        <w:tabs>
          <w:tab w:val="left" w:pos="5670"/>
        </w:tabs>
        <w:autoSpaceDE w:val="0"/>
        <w:autoSpaceDN w:val="0"/>
        <w:adjustRightInd w:val="0"/>
        <w:snapToGrid w:val="0"/>
        <w:spacing w:line="360" w:lineRule="auto"/>
        <w:ind w:firstLine="420" w:firstLineChars="0"/>
        <w:jc w:val="center"/>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竞争性谈判文件</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lang w:val="zh-CN"/>
        </w:rPr>
        <w:t xml:space="preserve"> 陕西省采购招标有限责任公司</w:t>
      </w:r>
      <w:r>
        <w:rPr>
          <w:rFonts w:hint="eastAsia" w:ascii="仿宋" w:hAnsi="仿宋" w:eastAsia="仿宋" w:cs="仿宋"/>
          <w:b/>
          <w:bCs/>
          <w:i w:val="0"/>
          <w:iCs w:val="0"/>
          <w:color w:val="auto"/>
          <w:sz w:val="30"/>
          <w:szCs w:val="30"/>
          <w:highlight w:val="none"/>
        </w:rPr>
        <w:t xml:space="preserve"> </w:t>
      </w:r>
    </w:p>
    <w:p>
      <w:pPr>
        <w:tabs>
          <w:tab w:val="left" w:pos="546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lang w:val="zh-CN"/>
        </w:rPr>
      </w:pPr>
      <w:r>
        <w:rPr>
          <w:rFonts w:hint="eastAsia" w:ascii="仿宋" w:hAnsi="仿宋" w:eastAsia="仿宋" w:cs="仿宋"/>
          <w:b/>
          <w:bCs/>
          <w:i w:val="0"/>
          <w:iCs w:val="0"/>
          <w:color w:val="auto"/>
          <w:sz w:val="30"/>
          <w:szCs w:val="30"/>
          <w:highlight w:val="none"/>
          <w:lang w:val="zh-CN"/>
        </w:rPr>
        <w:t>二〇二</w:t>
      </w:r>
      <w:r>
        <w:rPr>
          <w:rFonts w:hint="eastAsia" w:ascii="仿宋" w:hAnsi="仿宋" w:eastAsia="仿宋" w:cs="仿宋"/>
          <w:b/>
          <w:bCs/>
          <w:i w:val="0"/>
          <w:iCs w:val="0"/>
          <w:color w:val="auto"/>
          <w:sz w:val="30"/>
          <w:szCs w:val="30"/>
          <w:highlight w:val="none"/>
          <w:lang w:val="en-US" w:eastAsia="zh-CN"/>
        </w:rPr>
        <w:t>四</w:t>
      </w:r>
      <w:r>
        <w:rPr>
          <w:rFonts w:hint="eastAsia" w:ascii="仿宋" w:hAnsi="仿宋" w:eastAsia="仿宋" w:cs="仿宋"/>
          <w:b/>
          <w:bCs/>
          <w:i w:val="0"/>
          <w:iCs w:val="0"/>
          <w:color w:val="auto"/>
          <w:sz w:val="30"/>
          <w:szCs w:val="30"/>
          <w:highlight w:val="none"/>
          <w:lang w:val="zh-CN"/>
        </w:rPr>
        <w:t>年</w:t>
      </w:r>
      <w:r>
        <w:rPr>
          <w:rFonts w:hint="eastAsia" w:ascii="仿宋" w:hAnsi="仿宋" w:eastAsia="仿宋" w:cs="仿宋"/>
          <w:b/>
          <w:bCs/>
          <w:i w:val="0"/>
          <w:iCs w:val="0"/>
          <w:color w:val="auto"/>
          <w:sz w:val="30"/>
          <w:szCs w:val="30"/>
          <w:highlight w:val="none"/>
          <w:lang w:val="en-US" w:eastAsia="zh-CN"/>
        </w:rPr>
        <w:t>四</w:t>
      </w:r>
      <w:r>
        <w:rPr>
          <w:rFonts w:hint="eastAsia" w:ascii="仿宋" w:hAnsi="仿宋" w:eastAsia="仿宋" w:cs="仿宋"/>
          <w:b/>
          <w:bCs/>
          <w:i w:val="0"/>
          <w:iCs w:val="0"/>
          <w:color w:val="auto"/>
          <w:sz w:val="30"/>
          <w:szCs w:val="30"/>
          <w:highlight w:val="none"/>
          <w:lang w:val="zh-CN"/>
        </w:rPr>
        <w:t>月</w:t>
      </w:r>
    </w:p>
    <w:p>
      <w:pPr>
        <w:tabs>
          <w:tab w:val="left" w:pos="3739"/>
        </w:tabs>
        <w:jc w:val="left"/>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tab/>
      </w:r>
    </w:p>
    <w:p>
      <w:pPr>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br w:type="page"/>
      </w:r>
    </w:p>
    <w:p>
      <w:pPr>
        <w:pStyle w:val="22"/>
        <w:rPr>
          <w:rFonts w:hint="eastAsia" w:ascii="仿宋" w:hAnsi="仿宋" w:eastAsia="仿宋" w:cs="仿宋"/>
          <w:i w:val="0"/>
          <w:iCs w:val="0"/>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p>
    <w:p>
      <w:pPr>
        <w:pStyle w:val="5"/>
        <w:ind w:firstLine="0" w:firstLineChars="0"/>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目  录</w:t>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sz w:val="20"/>
          <w:highlight w:val="none"/>
        </w:rPr>
        <w:fldChar w:fldCharType="begin"/>
      </w:r>
      <w:r>
        <w:rPr>
          <w:rFonts w:hint="eastAsia" w:ascii="仿宋" w:hAnsi="仿宋" w:eastAsia="仿宋" w:cs="仿宋"/>
          <w:i w:val="0"/>
          <w:iCs w:val="0"/>
          <w:color w:val="auto"/>
          <w:sz w:val="20"/>
          <w:highlight w:val="none"/>
        </w:rPr>
        <w:instrText xml:space="preserve"> TOC \o "1-2" \h \z \u </w:instrText>
      </w:r>
      <w:r>
        <w:rPr>
          <w:rFonts w:hint="eastAsia" w:ascii="仿宋" w:hAnsi="仿宋" w:eastAsia="仿宋" w:cs="仿宋"/>
          <w:i w:val="0"/>
          <w:iCs w:val="0"/>
          <w:color w:val="auto"/>
          <w:sz w:val="20"/>
          <w:highlight w:val="none"/>
        </w:rPr>
        <w:fldChar w:fldCharType="separate"/>
      </w: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"_Toc58504659"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第一章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谈判公告</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_Toc58504659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2</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"_Toc58504660"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第二章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供应商须知</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_Toc58504660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7</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"_Toc58504668"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第三章</w:t>
      </w:r>
      <w:r>
        <w:rPr>
          <w:rFonts w:hint="eastAsia" w:ascii="仿宋" w:hAnsi="仿宋" w:eastAsia="仿宋" w:cs="仿宋"/>
          <w:b w:val="0"/>
          <w:bCs w:val="0"/>
          <w:i w:val="0"/>
          <w:iCs w:val="0"/>
          <w:caps w:val="0"/>
          <w:color w:val="auto"/>
          <w:szCs w:val="24"/>
          <w:highlight w:val="none"/>
        </w:rPr>
        <w:tab/>
      </w:r>
      <w:r>
        <w:rPr>
          <w:rFonts w:hint="eastAsia" w:ascii="仿宋" w:hAnsi="仿宋" w:eastAsia="仿宋" w:cs="仿宋"/>
          <w:b w:val="0"/>
          <w:bCs w:val="0"/>
          <w:i w:val="0"/>
          <w:iCs w:val="0"/>
          <w:caps w:val="0"/>
          <w:color w:val="auto"/>
          <w:szCs w:val="24"/>
          <w:highlight w:val="none"/>
        </w:rPr>
        <w:t>拟签订的合同文本</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_Toc58504668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30</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"_Toc58504669"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第四章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采购内容及要求</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_Toc58504669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35</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i w:val="0"/>
          <w:iC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"_Toc58504670"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第五章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谈判响应文件格式</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_Toc58504670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39</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rPr>
          <w:rFonts w:hint="eastAsia" w:ascii="仿宋" w:hAnsi="仿宋" w:eastAsia="仿宋" w:cs="仿宋"/>
          <w:i w:val="0"/>
          <w:iCs w:val="0"/>
          <w:color w:val="auto"/>
          <w:sz w:val="24"/>
          <w:highlight w:val="none"/>
        </w:rPr>
      </w:pPr>
    </w:p>
    <w:p>
      <w:pPr>
        <w:pStyle w:val="22"/>
        <w:rPr>
          <w:rFonts w:hint="eastAsia" w:ascii="仿宋" w:hAnsi="仿宋" w:eastAsia="仿宋" w:cs="仿宋"/>
          <w:i w:val="0"/>
          <w:iCs w:val="0"/>
          <w:color w:val="auto"/>
          <w:sz w:val="24"/>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69"/>
        <w:adjustRightInd w:val="0"/>
        <w:spacing w:before="240" w:beforeLines="100" w:line="360" w:lineRule="auto"/>
        <w:ind w:right="-22" w:firstLine="0" w:firstLineChars="0"/>
        <w:jc w:val="center"/>
        <w:textAlignment w:val="baseline"/>
        <w:outlineLvl w:val="0"/>
        <w:rPr>
          <w:rFonts w:hint="eastAsia" w:ascii="仿宋" w:hAnsi="仿宋" w:eastAsia="仿宋" w:cs="仿宋"/>
          <w:i w:val="0"/>
          <w:iCs w:val="0"/>
          <w:color w:val="auto"/>
          <w:szCs w:val="20"/>
          <w:highlight w:val="none"/>
        </w:rPr>
        <w:sectPr>
          <w:pgSz w:w="12100" w:h="16860"/>
          <w:pgMar w:top="1433" w:right="1759" w:bottom="0" w:left="1815" w:header="0" w:footer="0" w:gutter="0"/>
          <w:cols w:equalWidth="0" w:num="1">
            <w:col w:w="8526"/>
          </w:cols>
        </w:sectPr>
      </w:pPr>
    </w:p>
    <w:p>
      <w:pPr>
        <w:pStyle w:val="69"/>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lang w:val="en-US" w:eastAsia="zh-CN" w:bidi="ar-SA"/>
        </w:rPr>
      </w:pPr>
      <w:r>
        <w:rPr>
          <w:rFonts w:hint="eastAsia" w:ascii="仿宋" w:hAnsi="仿宋" w:eastAsia="仿宋" w:cs="仿宋"/>
          <w:i w:val="0"/>
          <w:iCs w:val="0"/>
          <w:color w:val="auto"/>
          <w:szCs w:val="20"/>
          <w:highlight w:val="none"/>
        </w:rPr>
        <w:fldChar w:fldCharType="end"/>
      </w:r>
      <w:bookmarkStart w:id="0" w:name="_Toc415499894"/>
      <w:bookmarkStart w:id="1" w:name="_Toc21755"/>
      <w:bookmarkStart w:id="2" w:name="_Toc58504659"/>
      <w:bookmarkStart w:id="3" w:name="_Toc58504445"/>
      <w:bookmarkStart w:id="4" w:name="_Toc177817333"/>
      <w:bookmarkStart w:id="5" w:name="_Toc177995472"/>
      <w:bookmarkStart w:id="6" w:name="_Toc499711882"/>
      <w:bookmarkStart w:id="7" w:name="_Toc500747060"/>
      <w:bookmarkStart w:id="8" w:name="_Toc70687138"/>
      <w:bookmarkStart w:id="9" w:name="_Toc500747187"/>
      <w:bookmarkStart w:id="10" w:name="_Toc176882541"/>
      <w:bookmarkStart w:id="11" w:name="_Toc500746964"/>
      <w:bookmarkStart w:id="12" w:name="_Toc503063420"/>
      <w:bookmarkStart w:id="13" w:name="_Toc53722839"/>
      <w:bookmarkStart w:id="14" w:name="_Toc499711041"/>
      <w:bookmarkStart w:id="15" w:name="_Toc496324577"/>
      <w:bookmarkStart w:id="16" w:name="_Toc177189234"/>
      <w:bookmarkStart w:id="17" w:name="_Toc492955413"/>
      <w:bookmarkStart w:id="18" w:name="_Toc385992325"/>
      <w:bookmarkStart w:id="19" w:name="_Toc385992324"/>
      <w:r>
        <w:rPr>
          <w:rFonts w:hint="eastAsia" w:ascii="仿宋" w:hAnsi="仿宋" w:eastAsia="仿宋" w:cs="仿宋"/>
          <w:b/>
          <w:i w:val="0"/>
          <w:iCs w:val="0"/>
          <w:color w:val="auto"/>
          <w:kern w:val="0"/>
          <w:sz w:val="32"/>
          <w:szCs w:val="32"/>
          <w:highlight w:val="none"/>
          <w:lang w:val="en-US" w:eastAsia="zh-CN" w:bidi="ar-SA"/>
        </w:rPr>
        <w:t>第一章  谈判</w:t>
      </w:r>
      <w:r>
        <w:rPr>
          <w:rFonts w:hint="eastAsia" w:ascii="仿宋" w:hAnsi="仿宋" w:eastAsia="仿宋" w:cs="仿宋"/>
          <w:b/>
          <w:i w:val="0"/>
          <w:iCs w:val="0"/>
          <w:color w:val="auto"/>
          <w:kern w:val="0"/>
          <w:sz w:val="32"/>
          <w:szCs w:val="32"/>
          <w:highlight w:val="none"/>
          <w:lang w:val="en-US" w:eastAsia="zh-CN"/>
        </w:rPr>
        <w:t>公告</w:t>
      </w:r>
      <w:bookmarkEnd w:id="0"/>
      <w:bookmarkEnd w:id="1"/>
      <w:bookmarkEnd w:id="2"/>
      <w:bookmarkEnd w:id="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120" w:afterAutospacing="0" w:line="360" w:lineRule="auto"/>
        <w:ind w:left="0" w:leftChars="0" w:right="0" w:firstLine="0" w:firstLineChars="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项目概况</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12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shd w:val="clear" w:color="auto" w:fill="FFFFFF"/>
          <w:lang w:eastAsia="zh-CN"/>
        </w:rPr>
        <w:t>神木市医院血液透</w:t>
      </w:r>
      <w:r>
        <w:rPr>
          <w:rFonts w:hint="eastAsia" w:ascii="仿宋" w:hAnsi="仿宋" w:eastAsia="仿宋" w:cs="仿宋"/>
          <w:i w:val="0"/>
          <w:iCs w:val="0"/>
          <w:caps w:val="0"/>
          <w:color w:val="auto"/>
          <w:spacing w:val="0"/>
          <w:sz w:val="24"/>
          <w:szCs w:val="24"/>
          <w:highlight w:val="none"/>
          <w:shd w:val="clear" w:color="auto" w:fill="FFFFFF"/>
          <w:lang w:eastAsia="zh-CN"/>
        </w:rPr>
        <w:t>析机、血液滤过机采购项目</w:t>
      </w:r>
      <w:r>
        <w:rPr>
          <w:rFonts w:hint="eastAsia" w:ascii="仿宋" w:hAnsi="仿宋" w:eastAsia="仿宋" w:cs="仿宋"/>
          <w:i w:val="0"/>
          <w:iCs w:val="0"/>
          <w:caps w:val="0"/>
          <w:color w:val="auto"/>
          <w:spacing w:val="0"/>
          <w:sz w:val="24"/>
          <w:szCs w:val="24"/>
          <w:highlight w:val="none"/>
          <w:shd w:val="clear" w:color="auto" w:fill="FFFFFF"/>
        </w:rPr>
        <w:t>的潜在供应商应在全国公共资源交易中心平台（陕西省）（http://www.sxggzyjy.cn/）获取采购文件，并于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4月30日09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 （北京时间）前提交响应文件。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53"/>
          <w:rFonts w:hint="eastAsia" w:ascii="仿宋" w:hAnsi="仿宋" w:eastAsia="仿宋" w:cs="仿宋"/>
          <w:b/>
          <w:bCs/>
          <w:i w:val="0"/>
          <w:iCs w:val="0"/>
          <w:caps w:val="0"/>
          <w:color w:val="auto"/>
          <w:spacing w:val="0"/>
          <w:sz w:val="24"/>
          <w:szCs w:val="24"/>
          <w:highlight w:val="none"/>
          <w:shd w:val="clear" w:color="auto" w:fill="FFFFFF"/>
        </w:rPr>
        <w:t>一、项目基本情况</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SCZK2024-JT-0041/10</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eastAsia="zh-CN"/>
        </w:rPr>
        <w:t>神木市医院血液透析机、血液滤过机采购项目</w:t>
      </w:r>
      <w:bookmarkStart w:id="511" w:name="_GoBack"/>
      <w:bookmarkEnd w:id="511"/>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采购方式：竞争性谈判</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1270000.00</w:t>
      </w:r>
      <w:r>
        <w:rPr>
          <w:rFonts w:hint="eastAsia" w:ascii="仿宋" w:hAnsi="仿宋" w:eastAsia="仿宋" w:cs="仿宋"/>
          <w:i w:val="0"/>
          <w:iCs w:val="0"/>
          <w:caps w:val="0"/>
          <w:color w:val="auto"/>
          <w:spacing w:val="0"/>
          <w:sz w:val="24"/>
          <w:szCs w:val="24"/>
          <w:highlight w:val="none"/>
          <w:shd w:val="clear" w:color="auto" w:fill="FFFFFF"/>
        </w:rPr>
        <w:t>元</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采购需求：</w:t>
      </w:r>
      <w:r>
        <w:rPr>
          <w:rFonts w:hint="eastAsia" w:ascii="仿宋" w:hAnsi="仿宋" w:eastAsia="仿宋" w:cs="仿宋"/>
          <w:color w:val="auto"/>
          <w:sz w:val="24"/>
          <w:szCs w:val="24"/>
          <w:highlight w:val="none"/>
          <w:lang w:val="en-US" w:eastAsia="zh-CN"/>
        </w:rPr>
        <w:t>详见采购文件。</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神木市医院血液透析机、血液滤过机采购项目</w:t>
      </w:r>
      <w:r>
        <w:rPr>
          <w:rFonts w:hint="eastAsia" w:ascii="仿宋" w:hAnsi="仿宋" w:eastAsia="仿宋" w:cs="仿宋"/>
          <w:i w:val="0"/>
          <w:iCs w:val="0"/>
          <w:caps w:val="0"/>
          <w:color w:val="auto"/>
          <w:spacing w:val="0"/>
          <w:sz w:val="24"/>
          <w:szCs w:val="24"/>
          <w:highlight w:val="none"/>
          <w:shd w:val="clear" w:color="auto" w:fill="FFFFFF"/>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1270000.00</w:t>
      </w:r>
      <w:r>
        <w:rPr>
          <w:rFonts w:hint="eastAsia" w:ascii="仿宋" w:hAnsi="仿宋" w:eastAsia="仿宋" w:cs="仿宋"/>
          <w:i w:val="0"/>
          <w:iCs w:val="0"/>
          <w:caps w:val="0"/>
          <w:color w:val="auto"/>
          <w:spacing w:val="0"/>
          <w:sz w:val="24"/>
          <w:szCs w:val="24"/>
          <w:highlight w:val="none"/>
          <w:shd w:val="clear" w:color="auto" w:fill="FFFFFF"/>
        </w:rPr>
        <w:t>元</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shd w:val="clear" w:color="auto" w:fill="FFFFFF"/>
          <w:lang w:val="en-US" w:eastAsia="zh-CN"/>
        </w:rPr>
        <w:t>1270000.00</w:t>
      </w:r>
      <w:r>
        <w:rPr>
          <w:rFonts w:hint="eastAsia" w:ascii="仿宋" w:hAnsi="仿宋" w:eastAsia="仿宋" w:cs="仿宋"/>
          <w:i w:val="0"/>
          <w:iCs w:val="0"/>
          <w:caps w:val="0"/>
          <w:color w:val="auto"/>
          <w:spacing w:val="0"/>
          <w:sz w:val="24"/>
          <w:szCs w:val="24"/>
          <w:highlight w:val="none"/>
          <w:shd w:val="clear" w:color="auto" w:fill="FFFFFF"/>
        </w:rPr>
        <w:t>元</w:t>
      </w:r>
    </w:p>
    <w:tbl>
      <w:tblPr>
        <w:tblStyle w:val="50"/>
        <w:tblW w:w="944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228"/>
        <w:gridCol w:w="2267"/>
        <w:gridCol w:w="960"/>
        <w:gridCol w:w="1538"/>
        <w:gridCol w:w="1412"/>
        <w:gridCol w:w="1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3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24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97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60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4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02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3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体外循环设备</w:t>
            </w:r>
          </w:p>
        </w:tc>
        <w:tc>
          <w:tcPr>
            <w:tcW w:w="24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血液透析机、血液滤过机</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val="en-US" w:eastAsia="zh-CN"/>
              </w:rPr>
              <w:t>1270000.00</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1270000.00</w:t>
            </w:r>
          </w:p>
        </w:tc>
      </w:tr>
    </w:tbl>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shd w:val="clear" w:color="auto" w:fill="FFFFFF"/>
        </w:rPr>
        <w:t>本合同包</w:t>
      </w:r>
      <w:r>
        <w:rPr>
          <w:rFonts w:hint="eastAsia" w:ascii="仿宋" w:hAnsi="仿宋" w:eastAsia="仿宋" w:cs="仿宋"/>
          <w:i w:val="0"/>
          <w:iCs w:val="0"/>
          <w:caps w:val="0"/>
          <w:color w:val="auto"/>
          <w:spacing w:val="0"/>
          <w:sz w:val="24"/>
          <w:szCs w:val="24"/>
          <w:shd w:val="clear" w:color="auto" w:fill="FFFFFF"/>
          <w:lang w:eastAsia="zh-CN"/>
        </w:rPr>
        <w:t>不</w:t>
      </w:r>
      <w:r>
        <w:rPr>
          <w:rFonts w:hint="eastAsia" w:ascii="仿宋" w:hAnsi="仿宋" w:eastAsia="仿宋" w:cs="仿宋"/>
          <w:i w:val="0"/>
          <w:iCs w:val="0"/>
          <w:caps w:val="0"/>
          <w:color w:val="auto"/>
          <w:spacing w:val="0"/>
          <w:sz w:val="24"/>
          <w:szCs w:val="24"/>
          <w:highlight w:val="none"/>
          <w:shd w:val="clear" w:color="auto" w:fill="FFFFFF"/>
        </w:rPr>
        <w:t>接受联合体投标</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eastAsia="zh-CN"/>
        </w:rPr>
        <w:t>合同签订后90日内完成供货。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53"/>
          <w:rFonts w:hint="eastAsia" w:ascii="仿宋" w:hAnsi="仿宋" w:eastAsia="仿宋" w:cs="仿宋"/>
          <w:b/>
          <w:bCs/>
          <w:i w:val="0"/>
          <w:iCs w:val="0"/>
          <w:caps w:val="0"/>
          <w:color w:val="auto"/>
          <w:spacing w:val="0"/>
          <w:sz w:val="24"/>
          <w:szCs w:val="24"/>
          <w:highlight w:val="none"/>
          <w:shd w:val="clear" w:color="auto" w:fill="FFFFFF"/>
        </w:rPr>
        <w:t>二、申请人的资格要求：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2.落实政府采购政策需满足的资格要求：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神木市医院血液透析机、血液滤过机采购项目</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r>
        <w:rPr>
          <w:rFonts w:hint="eastAsia" w:ascii="仿宋" w:hAnsi="仿宋" w:eastAsia="仿宋" w:cs="仿宋"/>
          <w:i w:val="0"/>
          <w:iCs w:val="0"/>
          <w:caps w:val="0"/>
          <w:color w:val="auto"/>
          <w:spacing w:val="0"/>
          <w:sz w:val="24"/>
          <w:szCs w:val="24"/>
          <w:highlight w:val="none"/>
          <w:shd w:val="clear" w:color="auto" w:fill="FFFFFF"/>
          <w:lang w:val="en-US" w:eastAsia="zh-CN"/>
        </w:rPr>
        <w:t>无，</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本项目为</w:t>
      </w:r>
      <w:r>
        <w:rPr>
          <w:rFonts w:hint="eastAsia" w:ascii="仿宋" w:hAnsi="仿宋" w:eastAsia="仿宋" w:cs="仿宋"/>
          <w:i w:val="0"/>
          <w:iCs w:val="0"/>
          <w:caps w:val="0"/>
          <w:color w:val="auto"/>
          <w:spacing w:val="0"/>
          <w:sz w:val="24"/>
          <w:szCs w:val="24"/>
          <w:highlight w:val="none"/>
          <w:shd w:val="clear" w:color="auto" w:fill="FFFFFF"/>
          <w:lang w:eastAsia="zh-CN"/>
        </w:rPr>
        <w:t>非</w:t>
      </w:r>
      <w:r>
        <w:rPr>
          <w:rFonts w:hint="eastAsia" w:ascii="仿宋" w:hAnsi="仿宋" w:eastAsia="仿宋" w:cs="仿宋"/>
          <w:i w:val="0"/>
          <w:iCs w:val="0"/>
          <w:caps w:val="0"/>
          <w:color w:val="auto"/>
          <w:spacing w:val="0"/>
          <w:sz w:val="24"/>
          <w:szCs w:val="24"/>
          <w:highlight w:val="none"/>
          <w:shd w:val="clear" w:color="auto" w:fill="FFFFFF"/>
        </w:rPr>
        <w:t>专门面向中小企业的项目</w:t>
      </w:r>
      <w:r>
        <w:rPr>
          <w:rFonts w:hint="eastAsia" w:ascii="仿宋" w:hAnsi="仿宋" w:eastAsia="仿宋" w:cs="仿宋"/>
          <w:i w:val="0"/>
          <w:iCs w:val="0"/>
          <w:caps w:val="0"/>
          <w:color w:val="auto"/>
          <w:spacing w:val="0"/>
          <w:sz w:val="24"/>
          <w:szCs w:val="24"/>
          <w:highlight w:val="none"/>
          <w:shd w:val="clear" w:color="auto" w:fill="FFFFFF"/>
          <w:lang w:eastAsia="zh-CN"/>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神木市医院血液透析机、血液滤过机采购项目</w:t>
      </w:r>
      <w:r>
        <w:rPr>
          <w:rFonts w:hint="eastAsia" w:ascii="仿宋" w:hAnsi="仿宋" w:eastAsia="仿宋" w:cs="仿宋"/>
          <w:i w:val="0"/>
          <w:iCs w:val="0"/>
          <w:caps w:val="0"/>
          <w:color w:val="auto"/>
          <w:spacing w:val="0"/>
          <w:sz w:val="24"/>
          <w:szCs w:val="24"/>
          <w:shd w:val="clear" w:color="auto" w:fill="FFFFFF"/>
        </w:rPr>
        <w:t>)特定资格要求如下:</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3.1具有独立承担民事责任的能力（提供有效的营业执照或自然人的身份证明）；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3.2具有良好的商业信誉和健全的财务会计制度（提供投标供应商近一年</w:t>
      </w:r>
      <w:r>
        <w:rPr>
          <w:rFonts w:hint="eastAsia" w:ascii="仿宋" w:hAnsi="仿宋" w:eastAsia="仿宋" w:cs="仿宋"/>
          <w:color w:val="auto"/>
          <w:sz w:val="24"/>
          <w:szCs w:val="24"/>
          <w:lang w:val="en-US" w:eastAsia="zh-CN"/>
        </w:rPr>
        <w:t>2022或2023</w:t>
      </w:r>
      <w:r>
        <w:rPr>
          <w:rFonts w:hint="eastAsia" w:ascii="仿宋" w:hAnsi="仿宋" w:eastAsia="仿宋" w:cs="仿宋"/>
          <w:color w:val="auto"/>
          <w:sz w:val="24"/>
          <w:szCs w:val="24"/>
        </w:rPr>
        <w:t>经审计的财务报表或开标截止时间前任意三个月公司的财务报表复印件（包括资产负债表、现金流量表、利润表），或本年度基本开户银行出具的资信证明）；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3.3具有履行合同所必需的设备和专业技术能力（提供书面申明）；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3.4有依法缴纳税收和社会保障资金的良好记录；</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shd w:val="clear" w:color="auto" w:fill="FFFFFF"/>
        </w:rPr>
        <w:t>投标供应商应提供近六个月中任何一个月的依法缴纳税收凭证（银行出具的缴税凭证或税务机关出具的证明的复印件，并加盖本单位公章）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依法免税的投标人，应提供相应文件证明其依法免税。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2）供应商应提供近六个月中至少一个月的社会缴纳社会保险的凭据（专用收据或社会保险缴纳清单），并加盖本单位公章，不需要缴纳社会保障资金的供应商，应提供相应文件证明其不需要缴纳社会保障资金；</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3.5参加政府采购活动前三年内，在经营活动中没有重大违法记录（提供书面申明）；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3.6投标供应商在“信用中国”网站（www.creditchina.gov.cn）和中国政府采购网（www.ccgp.gov.cn）上未被列入失信被执行人、重大税收违法失信主体、政府采购严重违法失信行为记录名单（提供网站截图）；</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3.7供应商不得存在下列情形之一：</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（1）单位负责人为同一人或者存在直接控股、管理关系的不同供应商，不得参加本次采购活动；</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（2）为本项目提供整体设计、规范编制或者项目管理、监理、检测等服务的供应商，不得再参加本项目的采购活动</w:t>
      </w:r>
      <w:r>
        <w:rPr>
          <w:rFonts w:hint="eastAsia" w:ascii="仿宋" w:hAnsi="仿宋" w:eastAsia="仿宋" w:cs="仿宋"/>
          <w:color w:val="auto"/>
          <w:sz w:val="24"/>
          <w:szCs w:val="24"/>
          <w:lang w:eastAsia="zh-CN"/>
        </w:rPr>
        <w:t>；</w:t>
      </w:r>
    </w:p>
    <w:p>
      <w:pPr>
        <w:pStyle w:val="44"/>
        <w:wordWrap w:val="0"/>
        <w:spacing w:before="0" w:beforeAutospacing="0" w:after="0" w:afterAutospacing="0" w:line="360" w:lineRule="auto"/>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3.8</w:t>
      </w:r>
      <w:r>
        <w:rPr>
          <w:rFonts w:hint="eastAsia" w:ascii="仿宋" w:hAnsi="仿宋" w:eastAsia="仿宋" w:cs="仿宋"/>
          <w:shd w:val="clear" w:color="auto" w:fill="FFFFFF"/>
          <w:lang w:val="en-US" w:eastAsia="zh-CN"/>
        </w:rPr>
        <w:t>所投</w:t>
      </w:r>
      <w:r>
        <w:rPr>
          <w:rFonts w:hint="eastAsia" w:ascii="仿宋" w:hAnsi="仿宋" w:eastAsia="仿宋" w:cs="仿宋"/>
          <w:shd w:val="clear" w:color="auto" w:fill="FFFFFF"/>
        </w:rPr>
        <w:t>产品属于医疗器械的须提供医疗器械注册证；产品为进口产品需提供制造商授权书或区域代理商授权书；</w:t>
      </w:r>
    </w:p>
    <w:p>
      <w:pPr>
        <w:pStyle w:val="44"/>
        <w:wordWrap w:val="0"/>
        <w:spacing w:before="0" w:beforeAutospacing="0" w:after="0" w:afterAutospacing="0" w:line="360" w:lineRule="auto"/>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3.9</w:t>
      </w:r>
      <w:r>
        <w:rPr>
          <w:rFonts w:hint="eastAsia" w:ascii="仿宋" w:hAnsi="仿宋" w:eastAsia="仿宋" w:cs="仿宋"/>
          <w:shd w:val="clear" w:color="auto" w:fill="FFFFFF"/>
          <w:lang w:val="en-US" w:eastAsia="zh-CN"/>
        </w:rPr>
        <w:t>投标供应商</w:t>
      </w:r>
      <w:r>
        <w:rPr>
          <w:rFonts w:hint="eastAsia" w:ascii="仿宋" w:hAnsi="仿宋" w:eastAsia="仿宋" w:cs="仿宋"/>
          <w:shd w:val="clear" w:color="auto" w:fill="FFFFFF"/>
        </w:rPr>
        <w:t>为生产厂家的，须提供医疗器械生产许可证；</w:t>
      </w:r>
      <w:r>
        <w:rPr>
          <w:rFonts w:hint="eastAsia" w:ascii="仿宋" w:hAnsi="仿宋" w:eastAsia="仿宋" w:cs="仿宋"/>
          <w:shd w:val="clear" w:color="auto" w:fill="FFFFFF"/>
          <w:lang w:val="en-US" w:eastAsia="zh-CN"/>
        </w:rPr>
        <w:t>投标供应商</w:t>
      </w:r>
      <w:r>
        <w:rPr>
          <w:rFonts w:hint="eastAsia" w:ascii="仿宋" w:hAnsi="仿宋" w:eastAsia="仿宋" w:cs="仿宋"/>
          <w:shd w:val="clear" w:color="auto" w:fill="FFFFFF"/>
        </w:rPr>
        <w:t>为经销商的，须提供医疗器械经营许可证（投标产品须在其经营范围内）；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53"/>
          <w:rFonts w:hint="eastAsia" w:ascii="仿宋" w:hAnsi="仿宋" w:eastAsia="仿宋" w:cs="仿宋"/>
          <w:b/>
          <w:bCs/>
          <w:i w:val="0"/>
          <w:iCs w:val="0"/>
          <w:caps w:val="0"/>
          <w:color w:val="auto"/>
          <w:spacing w:val="0"/>
          <w:sz w:val="24"/>
          <w:szCs w:val="24"/>
          <w:shd w:val="clear" w:color="auto" w:fill="FFFFFF"/>
        </w:rPr>
        <w:t>三</w:t>
      </w:r>
      <w:r>
        <w:rPr>
          <w:rStyle w:val="53"/>
          <w:rFonts w:hint="eastAsia" w:ascii="仿宋" w:hAnsi="仿宋" w:eastAsia="仿宋" w:cs="仿宋"/>
          <w:b/>
          <w:bCs/>
          <w:i w:val="0"/>
          <w:iCs w:val="0"/>
          <w:caps w:val="0"/>
          <w:color w:val="auto"/>
          <w:spacing w:val="0"/>
          <w:sz w:val="24"/>
          <w:szCs w:val="24"/>
          <w:highlight w:val="none"/>
          <w:shd w:val="clear" w:color="auto" w:fill="FFFFFF"/>
        </w:rPr>
        <w:t>、获取采购文件</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w:t>
      </w:r>
      <w:r>
        <w:rPr>
          <w:rFonts w:hint="eastAsia" w:ascii="仿宋" w:hAnsi="仿宋" w:eastAsia="仿宋" w:cs="仿宋"/>
          <w:i w:val="0"/>
          <w:iCs w:val="0"/>
          <w:caps w:val="0"/>
          <w:color w:val="auto"/>
          <w:spacing w:val="0"/>
          <w:sz w:val="24"/>
          <w:szCs w:val="24"/>
          <w:highlight w:val="none"/>
          <w:shd w:val="clear" w:color="auto" w:fill="FFFFFF"/>
          <w:lang w:val="en-US" w:eastAsia="zh-CN"/>
        </w:rPr>
        <w:t>24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24</w:t>
      </w:r>
      <w:r>
        <w:rPr>
          <w:rFonts w:hint="eastAsia" w:ascii="仿宋" w:hAnsi="仿宋" w:eastAsia="仿宋" w:cs="仿宋"/>
          <w:i w:val="0"/>
          <w:iCs w:val="0"/>
          <w:caps w:val="0"/>
          <w:color w:val="auto"/>
          <w:spacing w:val="0"/>
          <w:sz w:val="24"/>
          <w:szCs w:val="24"/>
          <w:highlight w:val="none"/>
          <w:shd w:val="clear" w:color="auto" w:fill="FFFFFF"/>
        </w:rPr>
        <w:t>日 至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26</w:t>
      </w:r>
      <w:r>
        <w:rPr>
          <w:rFonts w:hint="eastAsia" w:ascii="仿宋" w:hAnsi="仿宋" w:eastAsia="仿宋" w:cs="仿宋"/>
          <w:i w:val="0"/>
          <w:iCs w:val="0"/>
          <w:caps w:val="0"/>
          <w:color w:val="auto"/>
          <w:spacing w:val="0"/>
          <w:sz w:val="24"/>
          <w:szCs w:val="24"/>
          <w:highlight w:val="none"/>
          <w:shd w:val="clear" w:color="auto" w:fill="FFFFFF"/>
        </w:rPr>
        <w:t>日 ，每天上午 00:00:00 至 12:00:00 ，下午 12:00:00 至 23:59:00 （北京时间,法定节假日除外）</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途径</w:t>
      </w:r>
      <w:r>
        <w:rPr>
          <w:rFonts w:hint="eastAsia" w:ascii="仿宋" w:hAnsi="仿宋" w:eastAsia="仿宋" w:cs="仿宋"/>
          <w:i w:val="0"/>
          <w:iCs w:val="0"/>
          <w:caps w:val="0"/>
          <w:color w:val="auto"/>
          <w:spacing w:val="0"/>
          <w:sz w:val="24"/>
          <w:szCs w:val="24"/>
          <w:shd w:val="clear" w:color="auto" w:fill="FFFFFF"/>
        </w:rPr>
        <w:t>：全国公共资源交易中心平台（陕西省）（http://www.sxggzyjy.cn/）</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售价： 免费获取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四、响应文件提交</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截止时间：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04月30日09</w:t>
      </w:r>
      <w:r>
        <w:rPr>
          <w:rFonts w:hint="eastAsia" w:ascii="仿宋" w:hAnsi="仿宋" w:eastAsia="仿宋" w:cs="仿宋"/>
          <w:i w:val="0"/>
          <w:iCs w:val="0"/>
          <w:caps w:val="0"/>
          <w:color w:val="auto"/>
          <w:spacing w:val="0"/>
          <w:sz w:val="24"/>
          <w:szCs w:val="24"/>
          <w:highlight w:val="none"/>
          <w:shd w:val="clear" w:color="auto" w:fill="FFFFFF"/>
        </w:rPr>
        <w:t>时30分00秒 （北京时间）</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sz w:val="24"/>
          <w:szCs w:val="24"/>
          <w:highlight w:val="none"/>
          <w:lang w:eastAsia="zh-CN"/>
        </w:rPr>
        <w:t>线上递交投标文件、线上开标。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53"/>
          <w:rFonts w:hint="eastAsia" w:ascii="仿宋" w:hAnsi="仿宋" w:eastAsia="仿宋" w:cs="仿宋"/>
          <w:b/>
          <w:bCs/>
          <w:i w:val="0"/>
          <w:iCs w:val="0"/>
          <w:caps w:val="0"/>
          <w:color w:val="auto"/>
          <w:spacing w:val="0"/>
          <w:sz w:val="24"/>
          <w:szCs w:val="24"/>
          <w:highlight w:val="none"/>
          <w:shd w:val="clear" w:color="auto" w:fill="FFFFFF"/>
        </w:rPr>
        <w:t>五、开启</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lang w:eastAsia="zh-CN"/>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lang w:eastAsia="zh-CN"/>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时30分00秒 （北京时间）</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sz w:val="24"/>
          <w:szCs w:val="24"/>
          <w:highlight w:val="none"/>
          <w:lang w:eastAsia="zh-CN"/>
        </w:rPr>
        <w:t>线上递交投标文件、线上开标。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53"/>
          <w:rFonts w:hint="eastAsia" w:ascii="仿宋" w:hAnsi="仿宋" w:eastAsia="仿宋" w:cs="仿宋"/>
          <w:b/>
          <w:bCs/>
          <w:i w:val="0"/>
          <w:iCs w:val="0"/>
          <w:caps w:val="0"/>
          <w:color w:val="auto"/>
          <w:spacing w:val="0"/>
          <w:sz w:val="24"/>
          <w:szCs w:val="24"/>
          <w:highlight w:val="none"/>
          <w:shd w:val="clear" w:color="auto" w:fill="FFFFFF"/>
        </w:rPr>
        <w:t>六、公告期限</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53"/>
          <w:rFonts w:hint="eastAsia" w:ascii="仿宋" w:hAnsi="仿宋" w:eastAsia="仿宋" w:cs="仿宋"/>
          <w:b/>
          <w:bCs/>
          <w:i w:val="0"/>
          <w:iCs w:val="0"/>
          <w:caps w:val="0"/>
          <w:color w:val="auto"/>
          <w:spacing w:val="0"/>
          <w:sz w:val="24"/>
          <w:szCs w:val="24"/>
          <w:highlight w:val="none"/>
          <w:shd w:val="clear" w:color="auto" w:fill="FFFFFF"/>
        </w:rPr>
        <w:t>七、其他补充事宜</w:t>
      </w:r>
    </w:p>
    <w:p>
      <w:pPr>
        <w:widowControl/>
        <w:snapToGrid w:val="0"/>
        <w:spacing w:line="500" w:lineRule="exact"/>
        <w:ind w:right="-197" w:rightChars="-94" w:firstLine="480" w:firstLineChars="200"/>
        <w:jc w:val="left"/>
        <w:rPr>
          <w:rFonts w:hint="eastAsia" w:ascii="仿宋" w:hAnsi="仿宋" w:eastAsia="仿宋" w:cs="仿宋"/>
          <w:sz w:val="24"/>
        </w:rPr>
      </w:pPr>
      <w:r>
        <w:rPr>
          <w:rFonts w:hint="eastAsia" w:ascii="仿宋" w:hAnsi="仿宋" w:eastAsia="仿宋" w:cs="仿宋"/>
          <w:sz w:val="24"/>
        </w:rPr>
        <w:t>1、落实政府采购政策：</w:t>
      </w:r>
    </w:p>
    <w:p>
      <w:pPr>
        <w:pStyle w:val="44"/>
        <w:spacing w:before="0" w:beforeAutospacing="0" w:after="0" w:afterAutospacing="0" w:line="480" w:lineRule="atLeas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44"/>
        <w:spacing w:before="0" w:beforeAutospacing="0" w:after="0" w:afterAutospacing="0" w:line="480" w:lineRule="atLeas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4"/>
        <w:spacing w:before="0" w:beforeAutospacing="0" w:after="0" w:afterAutospacing="0" w:line="480" w:lineRule="atLeas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44"/>
        <w:spacing w:before="0" w:beforeAutospacing="0" w:after="0" w:afterAutospacing="0" w:line="480" w:lineRule="atLeas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1.4《财政部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p>
    <w:p>
      <w:pPr>
        <w:pStyle w:val="44"/>
        <w:spacing w:before="0" w:beforeAutospacing="0" w:after="0" w:afterAutospacing="0" w:line="480" w:lineRule="atLeas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1.5《陕西省财政厅关于加快推进我省中小企业政府采购信用融资工作的通知》（陕财办采〔2020〕15 号）、陕西省财政厅关于印发《陕西省中小企业政府采购信用融资办法》（陕财办采〔2018〕23 号）。</w:t>
      </w:r>
    </w:p>
    <w:p>
      <w:pPr>
        <w:pStyle w:val="44"/>
        <w:spacing w:before="0" w:beforeAutospacing="0" w:after="0" w:afterAutospacing="0" w:line="480" w:lineRule="atLeast"/>
        <w:ind w:firstLine="480"/>
        <w:jc w:val="both"/>
        <w:rPr>
          <w:rFonts w:hint="eastAsia" w:ascii="仿宋" w:hAnsi="仿宋" w:eastAsia="仿宋" w:cs="仿宋"/>
          <w:sz w:val="24"/>
          <w:lang w:val="en-US" w:eastAsia="zh-CN"/>
        </w:rPr>
      </w:pPr>
      <w:r>
        <w:rPr>
          <w:rFonts w:hint="eastAsia" w:ascii="仿宋" w:hAnsi="仿宋" w:eastAsia="仿宋" w:cs="仿宋"/>
          <w:shd w:val="clear" w:color="auto" w:fill="FFFFFF"/>
        </w:rPr>
        <w:t>1.</w:t>
      </w:r>
      <w:r>
        <w:rPr>
          <w:rFonts w:hint="eastAsia" w:ascii="仿宋" w:hAnsi="仿宋" w:eastAsia="仿宋" w:cs="仿宋"/>
          <w:shd w:val="clear" w:color="auto" w:fill="FFFFFF"/>
          <w:lang w:val="en-US" w:eastAsia="zh-CN"/>
        </w:rPr>
        <w:t>6</w:t>
      </w:r>
      <w:r>
        <w:rPr>
          <w:rFonts w:hint="eastAsia" w:ascii="仿宋" w:hAnsi="仿宋" w:eastAsia="仿宋" w:cs="仿宋"/>
          <w:shd w:val="clear" w:color="auto" w:fill="FFFFFF"/>
        </w:rPr>
        <w:t>《榆林市财政局关于进一步加大政府采购支持中小企业力度的通知》（榆政财采发〔2022〕10号）。</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若享受以上政策优惠的企业，提供相应声明函或品目清单范围内产品的有效认证证书。</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highlight w:val="none"/>
          <w:lang w:eastAsia="zh-CN"/>
        </w:rPr>
        <w:t>谈判文件</w:t>
      </w:r>
      <w:r>
        <w:rPr>
          <w:rFonts w:hint="eastAsia" w:ascii="仿宋" w:hAnsi="仿宋" w:eastAsia="仿宋" w:cs="仿宋"/>
          <w:sz w:val="24"/>
          <w:highlight w:val="none"/>
        </w:rPr>
        <w:t>获取</w:t>
      </w:r>
      <w:r>
        <w:rPr>
          <w:rFonts w:hint="eastAsia" w:ascii="仿宋" w:hAnsi="仿宋" w:eastAsia="仿宋" w:cs="仿宋"/>
          <w:sz w:val="24"/>
        </w:rPr>
        <w:t>方式：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3、投标人初次使用交易平台，须先完成诚信入库登记、CA锁认证及企业信息绑定。相关操作流程详见全国公共资源交易平台（陕西省）网站【首页、服务指南、下载专区】中的《陕西省公共资源交易中心政府采购项目投标指南》。特别提醒：本项目采用电子化招投标的方式</w:t>
      </w:r>
      <w:r>
        <w:rPr>
          <w:rFonts w:hint="eastAsia" w:ascii="仿宋" w:hAnsi="仿宋" w:eastAsia="仿宋" w:cs="仿宋"/>
          <w:sz w:val="24"/>
          <w:highlight w:val="none"/>
        </w:rPr>
        <w:t>，投标人使用CA锁对报价文件进行制作、签封、加密、递交、解密等相关招投标事宜，投标人开标现场需携带CA锁。电子</w:t>
      </w:r>
      <w:r>
        <w:rPr>
          <w:rFonts w:hint="eastAsia" w:ascii="仿宋" w:hAnsi="仿宋" w:eastAsia="仿宋" w:cs="仿宋"/>
          <w:sz w:val="24"/>
        </w:rPr>
        <w:t>投标文件制作软件技术支持热线：400-998-0000CA锁购买：榆林市市民大厦四楼窗口,电话：0912-3515031。</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4、请投标人按照陕西省财政厅关于政府采购投标人注册登记有关事项的通知中的要求，通过陕西省政府采购网（http://www.ccgp-shaanxi.gov.cn/）注册登记加入陕西省政府采购投标人库。</w:t>
      </w:r>
    </w:p>
    <w:p>
      <w:pPr>
        <w:spacing w:line="52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sz w:val="24"/>
          <w:lang w:val="en-US" w:eastAsia="zh-CN"/>
        </w:rPr>
        <w:t>5、</w:t>
      </w:r>
      <w:r>
        <w:rPr>
          <w:rFonts w:hint="eastAsia" w:ascii="仿宋" w:hAnsi="仿宋" w:eastAsia="仿宋" w:cs="仿宋"/>
          <w:sz w:val="24"/>
        </w:rPr>
        <w:t>本项目采用电子化不见面开标方式，</w:t>
      </w:r>
      <w:r>
        <w:rPr>
          <w:rFonts w:hint="eastAsia" w:ascii="仿宋" w:hAnsi="仿宋" w:eastAsia="仿宋" w:cs="仿宋"/>
          <w:sz w:val="24"/>
          <w:lang w:eastAsia="zh-CN"/>
        </w:rPr>
        <w:t>投标供应商</w:t>
      </w:r>
      <w:r>
        <w:rPr>
          <w:rFonts w:hint="eastAsia" w:ascii="仿宋" w:hAnsi="仿宋" w:eastAsia="仿宋" w:cs="仿宋"/>
          <w:sz w:val="24"/>
        </w:rPr>
        <w:t>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w:t>
      </w:r>
      <w:r>
        <w:rPr>
          <w:rFonts w:hint="eastAsia" w:ascii="仿宋" w:hAnsi="仿宋" w:eastAsia="仿宋" w:cs="仿宋"/>
          <w:sz w:val="24"/>
          <w:lang w:eastAsia="zh-CN"/>
        </w:rPr>
        <w:t>投标供应商</w:t>
      </w:r>
      <w:r>
        <w:rPr>
          <w:rFonts w:hint="eastAsia" w:ascii="仿宋" w:hAnsi="仿宋" w:eastAsia="仿宋" w:cs="仿宋"/>
          <w:sz w:val="24"/>
        </w:rPr>
        <w:t>仔细阅读操作手册，了解操作流程，熟练掌握不见面开标、不见面询标操作相关事宜，若无法正常投标，</w:t>
      </w:r>
      <w:r>
        <w:rPr>
          <w:rFonts w:hint="eastAsia" w:ascii="仿宋" w:hAnsi="仿宋" w:eastAsia="仿宋" w:cs="仿宋"/>
          <w:sz w:val="24"/>
          <w:lang w:eastAsia="zh-CN"/>
        </w:rPr>
        <w:t>投标供应商</w:t>
      </w:r>
      <w:r>
        <w:rPr>
          <w:rFonts w:hint="eastAsia" w:ascii="仿宋" w:hAnsi="仿宋" w:eastAsia="仿宋" w:cs="仿宋"/>
          <w:sz w:val="24"/>
        </w:rPr>
        <w:t>自行承担责任。电子投标文件制作软件技术支持热线：400-998-0000；CA锁购买：榆林市市民大厦四楼窗口,联系电话：0912-3515031。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八、凡对本次采购提出询问，请按以下方式联系。</w:t>
      </w:r>
    </w:p>
    <w:p>
      <w:pPr>
        <w:spacing w:line="520" w:lineRule="exact"/>
        <w:outlineLvl w:val="1"/>
        <w:rPr>
          <w:rFonts w:hint="eastAsia" w:ascii="仿宋" w:hAnsi="仿宋" w:eastAsia="仿宋" w:cs="仿宋"/>
          <w:sz w:val="24"/>
        </w:rPr>
      </w:pPr>
      <w:r>
        <w:rPr>
          <w:rFonts w:hint="eastAsia" w:ascii="仿宋" w:hAnsi="仿宋" w:eastAsia="仿宋" w:cs="仿宋"/>
          <w:sz w:val="24"/>
        </w:rPr>
        <w:t>1、采购人信息</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神木市医院</w:t>
      </w:r>
      <w:r>
        <w:rPr>
          <w:rFonts w:hint="eastAsia" w:ascii="仿宋" w:hAnsi="仿宋" w:eastAsia="仿宋" w:cs="仿宋"/>
          <w:sz w:val="24"/>
        </w:rPr>
        <w:t xml:space="preserve"> </w:t>
      </w:r>
    </w:p>
    <w:p>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陕西省榆林市神木市光明路中段</w:t>
      </w:r>
    </w:p>
    <w:p>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联系方式：18628669325</w:t>
      </w:r>
    </w:p>
    <w:p>
      <w:pPr>
        <w:spacing w:line="520" w:lineRule="exact"/>
        <w:outlineLvl w:val="1"/>
        <w:rPr>
          <w:rFonts w:hint="eastAsia" w:ascii="仿宋" w:hAnsi="仿宋" w:eastAsia="仿宋" w:cs="仿宋"/>
          <w:sz w:val="24"/>
        </w:rPr>
      </w:pPr>
      <w:r>
        <w:rPr>
          <w:rFonts w:hint="eastAsia" w:ascii="仿宋" w:hAnsi="仿宋" w:eastAsia="仿宋" w:cs="仿宋"/>
          <w:sz w:val="24"/>
        </w:rPr>
        <w:t>2、采购代理机构信息</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名称：陕西省采购招标有限责任公司</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地址：西安市高新二路2号山西证券大厦21楼</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联系方式：0912-3683703</w:t>
      </w:r>
    </w:p>
    <w:p>
      <w:pPr>
        <w:spacing w:line="520" w:lineRule="exact"/>
        <w:outlineLvl w:val="1"/>
        <w:rPr>
          <w:rFonts w:hint="eastAsia" w:ascii="仿宋" w:hAnsi="仿宋" w:eastAsia="仿宋" w:cs="仿宋"/>
          <w:sz w:val="24"/>
        </w:rPr>
      </w:pPr>
      <w:r>
        <w:rPr>
          <w:rFonts w:hint="eastAsia" w:ascii="仿宋" w:hAnsi="仿宋" w:eastAsia="仿宋" w:cs="仿宋"/>
          <w:sz w:val="24"/>
        </w:rPr>
        <w:t>3、项目联系方式</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 xml:space="preserve">项目联系人：田同林      </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电 话：13309228551</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69"/>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rPr>
      </w:pPr>
      <w:bookmarkStart w:id="20" w:name="_Toc249515389"/>
      <w:bookmarkStart w:id="21" w:name="_Toc230013631"/>
      <w:bookmarkStart w:id="22" w:name="_Toc230099796"/>
      <w:bookmarkStart w:id="23" w:name="_Toc232176271"/>
      <w:bookmarkStart w:id="24" w:name="_Toc230583540"/>
      <w:bookmarkStart w:id="25" w:name="_Toc249515277"/>
      <w:bookmarkStart w:id="26" w:name="_Toc58504446"/>
      <w:bookmarkStart w:id="27" w:name="_Toc184043011"/>
      <w:bookmarkStart w:id="28" w:name="_Toc415499895"/>
      <w:bookmarkStart w:id="29" w:name="_Toc256342142"/>
      <w:bookmarkStart w:id="30" w:name="_Toc58504660"/>
      <w:bookmarkStart w:id="31" w:name="_Toc249525158"/>
      <w:bookmarkStart w:id="32" w:name="_Toc21126"/>
      <w:bookmarkStart w:id="33" w:name="_Toc232395211"/>
      <w:bookmarkStart w:id="34" w:name="_Toc249515390"/>
      <w:bookmarkStart w:id="35" w:name="_Toc249525159"/>
      <w:bookmarkStart w:id="36" w:name="_Toc177995473"/>
      <w:bookmarkStart w:id="37" w:name="_Toc230013632"/>
      <w:bookmarkStart w:id="38" w:name="_Toc232395212"/>
      <w:bookmarkStart w:id="39" w:name="_Toc500747188"/>
      <w:bookmarkStart w:id="40" w:name="_Toc232176272"/>
      <w:bookmarkStart w:id="41" w:name="_Toc70687139"/>
      <w:bookmarkStart w:id="42" w:name="_Toc499711883"/>
      <w:bookmarkStart w:id="43" w:name="_Toc500747061"/>
      <w:bookmarkStart w:id="44" w:name="_Toc256342143"/>
      <w:bookmarkStart w:id="45" w:name="_Toc503063421"/>
      <w:bookmarkStart w:id="46" w:name="_Toc499711042"/>
      <w:bookmarkStart w:id="47" w:name="_Toc230099797"/>
      <w:bookmarkStart w:id="48" w:name="_Toc184043012"/>
      <w:bookmarkStart w:id="49" w:name="_Toc177817334"/>
      <w:bookmarkStart w:id="50" w:name="_Toc496324578"/>
      <w:bookmarkStart w:id="51" w:name="_Toc249515278"/>
      <w:bookmarkStart w:id="52" w:name="_Toc176882542"/>
      <w:bookmarkStart w:id="53" w:name="_Toc492955414"/>
      <w:bookmarkStart w:id="54" w:name="_Toc230583541"/>
      <w:bookmarkStart w:id="55" w:name="_Toc177189235"/>
      <w:bookmarkStart w:id="56" w:name="_Toc500746965"/>
      <w:bookmarkStart w:id="57" w:name="_Toc53722840"/>
      <w:r>
        <w:rPr>
          <w:rFonts w:hint="eastAsia" w:ascii="仿宋" w:hAnsi="仿宋" w:eastAsia="仿宋" w:cs="仿宋"/>
          <w:b/>
          <w:i w:val="0"/>
          <w:iCs w:val="0"/>
          <w:color w:val="auto"/>
          <w:kern w:val="0"/>
          <w:sz w:val="32"/>
          <w:szCs w:val="32"/>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58" w:name="_Toc58504661"/>
      <w:r>
        <w:rPr>
          <w:rFonts w:hint="eastAsia" w:ascii="仿宋" w:hAnsi="仿宋" w:eastAsia="仿宋" w:cs="仿宋"/>
          <w:b/>
          <w:i w:val="0"/>
          <w:iCs w:val="0"/>
          <w:color w:val="auto"/>
          <w:kern w:val="0"/>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本表是对供应商须知的具体补充和修改，如有矛盾，均以本表为准。</w:t>
      </w:r>
    </w:p>
    <w:p>
      <w:pPr>
        <w:ind w:left="720" w:hanging="720" w:hangingChars="343"/>
        <w:rPr>
          <w:rFonts w:hint="eastAsia" w:ascii="仿宋" w:hAnsi="仿宋" w:eastAsia="仿宋" w:cs="仿宋"/>
          <w:b/>
          <w:i w:val="0"/>
          <w:iCs w:val="0"/>
          <w:color w:val="auto"/>
          <w:sz w:val="20"/>
          <w:szCs w:val="20"/>
          <w:highlight w:val="none"/>
        </w:rPr>
      </w:pPr>
      <w:r>
        <w:rPr>
          <w:rFonts w:hint="eastAsia" w:ascii="仿宋" w:hAnsi="仿宋" w:eastAsia="仿宋" w:cs="仿宋"/>
          <w:i w:val="0"/>
          <w:iCs w:val="0"/>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360" w:lineRule="auto"/>
              <w:jc w:val="center"/>
              <w:rPr>
                <w:rFonts w:hint="eastAsia" w:ascii="仿宋" w:hAnsi="仿宋" w:eastAsia="仿宋" w:cs="仿宋"/>
                <w:b/>
                <w:i w:val="0"/>
                <w:iCs w:val="0"/>
                <w:color w:val="auto"/>
                <w:sz w:val="24"/>
                <w:szCs w:val="24"/>
                <w:highlight w:val="none"/>
              </w:rPr>
            </w:pPr>
            <w:bookmarkStart w:id="59" w:name="_Hlt14560610"/>
            <w:bookmarkEnd w:id="59"/>
            <w:bookmarkStart w:id="60" w:name="_Toc499711885"/>
            <w:bookmarkStart w:id="61" w:name="_Toc500747190"/>
            <w:bookmarkStart w:id="62" w:name="_Toc500747063"/>
            <w:bookmarkStart w:id="63" w:name="_Toc503063423"/>
            <w:bookmarkStart w:id="64" w:name="_Toc385992326"/>
            <w:bookmarkStart w:id="65" w:name="_Toc499711044"/>
            <w:bookmarkStart w:id="66" w:name="_Toc496324580"/>
            <w:bookmarkStart w:id="67" w:name="_Toc500746967"/>
            <w:bookmarkStart w:id="68" w:name="_Toc492955416"/>
            <w:bookmarkStart w:id="69" w:name="_Toc389620165"/>
            <w:r>
              <w:rPr>
                <w:rFonts w:hint="eastAsia" w:ascii="仿宋" w:hAnsi="仿宋" w:eastAsia="仿宋" w:cs="仿宋"/>
                <w:b/>
                <w:i w:val="0"/>
                <w:iCs w:val="0"/>
                <w:color w:val="auto"/>
                <w:sz w:val="24"/>
                <w:szCs w:val="24"/>
                <w:highlight w:val="none"/>
              </w:rPr>
              <w:t>条款号</w:t>
            </w:r>
          </w:p>
        </w:tc>
        <w:tc>
          <w:tcPr>
            <w:tcW w:w="7650" w:type="dxa"/>
            <w:vAlign w:val="center"/>
          </w:tcPr>
          <w:p>
            <w:pPr>
              <w:pStyle w:val="28"/>
              <w:adjustRightInd w:val="0"/>
              <w:snapToGrid w:val="0"/>
              <w:spacing w:line="360" w:lineRule="auto"/>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w:t>
            </w:r>
          </w:p>
        </w:tc>
        <w:tc>
          <w:tcPr>
            <w:tcW w:w="7650"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项目名称：</w:t>
            </w:r>
            <w:r>
              <w:rPr>
                <w:rFonts w:hint="eastAsia" w:ascii="仿宋" w:hAnsi="仿宋" w:eastAsia="仿宋" w:cs="仿宋"/>
                <w:i w:val="0"/>
                <w:iCs w:val="0"/>
                <w:color w:val="auto"/>
                <w:sz w:val="24"/>
                <w:szCs w:val="24"/>
                <w:highlight w:val="none"/>
                <w:lang w:eastAsia="zh-CN"/>
              </w:rPr>
              <w:t>神木市医院血液透析机、血液滤过机采购项目</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项目编号：</w:t>
            </w:r>
            <w:r>
              <w:rPr>
                <w:rFonts w:hint="eastAsia" w:ascii="仿宋" w:hAnsi="仿宋" w:eastAsia="仿宋" w:cs="仿宋"/>
                <w:i w:val="0"/>
                <w:iCs w:val="0"/>
                <w:color w:val="auto"/>
                <w:sz w:val="24"/>
                <w:szCs w:val="24"/>
                <w:highlight w:val="none"/>
                <w:lang w:eastAsia="zh-CN"/>
              </w:rPr>
              <w:t>SCZK2024-JT-0041/10</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资金来源：财政资金</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预算金额：</w:t>
            </w:r>
            <w:r>
              <w:rPr>
                <w:rFonts w:hint="eastAsia" w:ascii="仿宋" w:hAnsi="仿宋" w:eastAsia="仿宋" w:cs="仿宋"/>
                <w:i w:val="0"/>
                <w:iCs w:val="0"/>
                <w:color w:val="auto"/>
                <w:sz w:val="24"/>
                <w:szCs w:val="24"/>
                <w:highlight w:val="none"/>
                <w:lang w:val="en-US" w:eastAsia="zh-CN"/>
              </w:rPr>
              <w:t>1270000.00元</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采购方式：竞争性谈判</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采购内容：详见本谈判文件第四章</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项目所属行业：工业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w:t>
            </w:r>
          </w:p>
        </w:tc>
        <w:tc>
          <w:tcPr>
            <w:tcW w:w="7650" w:type="dxa"/>
            <w:vAlign w:val="center"/>
          </w:tcPr>
          <w:p>
            <w:pPr>
              <w:pStyle w:val="28"/>
              <w:adjustRightInd w:val="0"/>
              <w:snapToGrid w:val="0"/>
              <w:spacing w:line="360" w:lineRule="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采购人：</w:t>
            </w:r>
            <w:r>
              <w:rPr>
                <w:rFonts w:hint="eastAsia" w:ascii="仿宋" w:hAnsi="仿宋" w:eastAsia="仿宋" w:cs="仿宋"/>
                <w:i w:val="0"/>
                <w:iCs w:val="0"/>
                <w:color w:val="auto"/>
                <w:sz w:val="24"/>
                <w:szCs w:val="24"/>
                <w:highlight w:val="none"/>
                <w:lang w:eastAsia="zh-CN"/>
              </w:rPr>
              <w:t>神木市医院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w:t>
            </w:r>
          </w:p>
        </w:tc>
        <w:tc>
          <w:tcPr>
            <w:tcW w:w="7650" w:type="dxa"/>
            <w:vAlign w:val="center"/>
          </w:tcPr>
          <w:p>
            <w:pPr>
              <w:pStyle w:val="28"/>
              <w:adjustRightInd w:val="0"/>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w:t>
            </w:r>
          </w:p>
        </w:tc>
        <w:tc>
          <w:tcPr>
            <w:tcW w:w="7650" w:type="dxa"/>
            <w:vAlign w:val="center"/>
          </w:tcPr>
          <w:p>
            <w:pPr>
              <w:pStyle w:val="28"/>
              <w:adjustRightInd w:val="0"/>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邀请供应商的方式：</w:t>
            </w:r>
            <w:r>
              <w:rPr>
                <w:rFonts w:hint="eastAsia" w:ascii="仿宋" w:hAnsi="仿宋" w:eastAsia="仿宋" w:cs="仿宋"/>
                <w:sz w:val="24"/>
                <w:szCs w:val="24"/>
                <w:highlight w:val="none"/>
              </w:rPr>
              <w:t>发布谈判公告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3.1</w:t>
            </w:r>
          </w:p>
        </w:tc>
        <w:tc>
          <w:tcPr>
            <w:tcW w:w="7650" w:type="dxa"/>
            <w:vAlign w:val="center"/>
          </w:tcPr>
          <w:p>
            <w:pPr>
              <w:pStyle w:val="14"/>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kern w:val="2"/>
                <w:highlight w:val="none"/>
              </w:rPr>
              <w:t xml:space="preserve">对供应商的资格要求：见谈判公告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val="en-US" w:eastAsia="zh-CN"/>
              </w:rPr>
              <w:t>5</w:t>
            </w:r>
          </w:p>
        </w:tc>
        <w:tc>
          <w:tcPr>
            <w:tcW w:w="7650" w:type="dxa"/>
            <w:vAlign w:val="center"/>
          </w:tcPr>
          <w:p>
            <w:pPr>
              <w:pStyle w:val="14"/>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highlight w:val="none"/>
              </w:rPr>
              <w:t>是否允许采购进口产品：</w:t>
            </w:r>
            <w:r>
              <w:rPr>
                <w:rFonts w:hint="eastAsia" w:ascii="仿宋" w:hAnsi="仿宋" w:eastAsia="仿宋" w:cs="仿宋"/>
                <w:i w:val="0"/>
                <w:iCs w:val="0"/>
                <w:color w:val="auto"/>
                <w:kern w:val="2"/>
                <w:highlight w:val="none"/>
                <w:u w:val="singl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val="en-US" w:eastAsia="zh-CN"/>
              </w:rPr>
              <w:t>6</w:t>
            </w:r>
          </w:p>
        </w:tc>
        <w:tc>
          <w:tcPr>
            <w:tcW w:w="7650" w:type="dxa"/>
            <w:vAlign w:val="center"/>
          </w:tcPr>
          <w:p>
            <w:pPr>
              <w:pStyle w:val="14"/>
              <w:spacing w:line="360" w:lineRule="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highlight w:val="none"/>
              </w:rPr>
              <w:t>是否允许联合体</w:t>
            </w:r>
            <w:r>
              <w:rPr>
                <w:rFonts w:hint="eastAsia" w:ascii="仿宋" w:hAnsi="仿宋" w:eastAsia="仿宋" w:cs="仿宋"/>
                <w:i w:val="0"/>
                <w:iCs w:val="0"/>
                <w:color w:val="auto"/>
                <w:kern w:val="2"/>
                <w:highlight w:val="none"/>
                <w:lang w:val="en-US" w:eastAsia="zh-CN"/>
              </w:rPr>
              <w:t>谈判</w:t>
            </w:r>
            <w:r>
              <w:rPr>
                <w:rFonts w:hint="eastAsia" w:ascii="仿宋" w:hAnsi="仿宋" w:eastAsia="仿宋" w:cs="仿宋"/>
                <w:i w:val="0"/>
                <w:iCs w:val="0"/>
                <w:color w:val="auto"/>
                <w:kern w:val="2"/>
                <w:highlight w:val="none"/>
              </w:rPr>
              <w:t>：</w:t>
            </w:r>
            <w:r>
              <w:rPr>
                <w:rFonts w:hint="eastAsia" w:ascii="仿宋" w:hAnsi="仿宋" w:eastAsia="仿宋" w:cs="仿宋"/>
                <w:i w:val="0"/>
                <w:iCs w:val="0"/>
                <w:color w:val="auto"/>
                <w:kern w:val="2"/>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3.7</w:t>
            </w:r>
          </w:p>
        </w:tc>
        <w:tc>
          <w:tcPr>
            <w:tcW w:w="7650" w:type="dxa"/>
            <w:vAlign w:val="center"/>
          </w:tcPr>
          <w:p>
            <w:pPr>
              <w:pStyle w:val="14"/>
              <w:spacing w:line="360" w:lineRule="auto"/>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sz w:val="24"/>
                <w:highlight w:val="none"/>
              </w:rPr>
              <w:t>是否为专门面向中小企业采购：</w:t>
            </w:r>
            <w:r>
              <w:rPr>
                <w:rFonts w:hint="eastAsia" w:ascii="仿宋" w:hAnsi="仿宋" w:eastAsia="仿宋" w:cs="仿宋"/>
                <w:i w:val="0"/>
                <w:iCs w:val="0"/>
                <w:color w:val="auto"/>
                <w:kern w:val="2"/>
                <w:highlight w:val="none"/>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12.1</w:t>
            </w:r>
          </w:p>
        </w:tc>
        <w:tc>
          <w:tcPr>
            <w:tcW w:w="7650" w:type="dxa"/>
            <w:vAlign w:val="center"/>
          </w:tcPr>
          <w:p>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服务响应报价为提供谈判文件要求服务的所有费用，包括但不限于提供项目实施费、自行测试费、培训费、人工费、材料费、管理费、供应商应缴纳的所有税费、规费、保险费（如果有）、安装费、集成费等全部费用。</w:t>
            </w:r>
          </w:p>
          <w:p>
            <w:pPr>
              <w:pStyle w:val="28"/>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（1）报价货币：人民币；</w:t>
            </w:r>
          </w:p>
          <w:p>
            <w:pPr>
              <w:pStyle w:val="28"/>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p>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14.1</w:t>
            </w:r>
          </w:p>
          <w:p>
            <w:pPr>
              <w:pStyle w:val="28"/>
              <w:adjustRightInd w:val="0"/>
              <w:snapToGrid w:val="0"/>
              <w:spacing w:line="360" w:lineRule="auto"/>
              <w:rPr>
                <w:rFonts w:hint="eastAsia" w:ascii="仿宋" w:hAnsi="仿宋" w:eastAsia="仿宋" w:cs="仿宋"/>
                <w:i w:val="0"/>
                <w:iCs w:val="0"/>
                <w:color w:val="auto"/>
                <w:sz w:val="24"/>
                <w:szCs w:val="24"/>
                <w:highlight w:val="none"/>
              </w:rPr>
            </w:pPr>
          </w:p>
        </w:tc>
        <w:tc>
          <w:tcPr>
            <w:tcW w:w="7650" w:type="dxa"/>
            <w:vAlign w:val="center"/>
          </w:tcPr>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本项目采用“投标信用承诺书”代替投标保证金，投标人须在投标截止时间前在“信用中国（陕西榆林）”网站进行注册、登录、自主上报投标信用承诺书（网址：</w:t>
            </w:r>
            <w:r>
              <w:rPr>
                <w:rFonts w:hint="eastAsia" w:ascii="仿宋" w:hAnsi="仿宋" w:eastAsia="仿宋" w:cs="仿宋"/>
                <w:color w:val="auto"/>
                <w:sz w:val="24"/>
                <w:u w:val="none"/>
              </w:rPr>
              <w:t>https://credit.yl.gov.cn/）。</w:t>
            </w:r>
          </w:p>
          <w:p>
            <w:pPr>
              <w:pStyle w:val="28"/>
              <w:adjustRightInd w:val="0"/>
              <w:snapToGrid w:val="0"/>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sz w:val="24"/>
              </w:rPr>
              <w:t>各投标人注册、登录后根据承诺事项选择相应的模板填写对应的投标信用(保证金）承诺书，并载明承诺事由，投标人、投标人委托代理人员、投标信用的承诺事由为“项目名称及标段+投标保证金”（例：×××××项目-××标段+投标保证金）。如信用承诺公示迟报、漏报所产生的负面影响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15.1</w:t>
            </w:r>
          </w:p>
        </w:tc>
        <w:tc>
          <w:tcPr>
            <w:tcW w:w="7650" w:type="dxa"/>
            <w:vAlign w:val="center"/>
          </w:tcPr>
          <w:p>
            <w:pPr>
              <w:pStyle w:val="28"/>
              <w:adjustRightInd w:val="0"/>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谈判有效期：自响应文件递交之日起</w:t>
            </w:r>
            <w:r>
              <w:rPr>
                <w:rFonts w:hint="eastAsia" w:ascii="仿宋" w:hAnsi="仿宋" w:eastAsia="仿宋" w:cs="仿宋"/>
                <w:i w:val="0"/>
                <w:iCs w:val="0"/>
                <w:color w:val="auto"/>
                <w:sz w:val="24"/>
                <w:szCs w:val="24"/>
                <w:highlight w:val="none"/>
                <w:u w:val="single"/>
              </w:rPr>
              <w:t xml:space="preserve">  60  </w:t>
            </w:r>
            <w:r>
              <w:rPr>
                <w:rFonts w:hint="eastAsia" w:ascii="仿宋" w:hAnsi="仿宋" w:eastAsia="仿宋" w:cs="仿宋"/>
                <w:i w:val="0"/>
                <w:iCs w:val="0"/>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16.1</w:t>
            </w:r>
          </w:p>
        </w:tc>
        <w:tc>
          <w:tcPr>
            <w:tcW w:w="7650" w:type="dxa"/>
            <w:vAlign w:val="center"/>
          </w:tcPr>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1.电子化投标文件需在投标截止时间之前在陕西省公共资源交易中心平台（http://xxxq.sxggzyjy.cn/）递交；</w:t>
            </w:r>
          </w:p>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2.为便于采购人归档和向监管部门备案，供应商需按以下要求递交纸质版投标文件（纸质版与电子版文件内容须保持一致）：</w:t>
            </w:r>
          </w:p>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资格证明文件投标文件：正本：1 份、副本：2 份；</w:t>
            </w:r>
          </w:p>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商务及技术投标文件：正本：1 份、副本：2 份；</w:t>
            </w:r>
          </w:p>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除上述文件外，还须密封递交投标文件电子文档1 份。</w:t>
            </w:r>
          </w:p>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注：供应商可在响应文件接收截止时间后将响应文件纸质版通过邮寄方式寄送于榆林市东沙泰和时代广场A座901，联系人：田同林 联系电话：13309228551。快递公司以顺丰快递为准，未按要求将投标响应文件送至指定位置所造成的一切后果将由投标人自行承担。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17.2</w:t>
            </w:r>
          </w:p>
        </w:tc>
        <w:tc>
          <w:tcPr>
            <w:tcW w:w="7650" w:type="dxa"/>
            <w:vAlign w:val="center"/>
          </w:tcPr>
          <w:p>
            <w:pPr>
              <w:pStyle w:val="28"/>
              <w:adjustRightInd w:val="0"/>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密封袋（箱）上须标注：</w:t>
            </w:r>
          </w:p>
          <w:p>
            <w:pPr>
              <w:pStyle w:val="28"/>
              <w:adjustRightInd w:val="0"/>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（l）采购编号</w:t>
            </w:r>
          </w:p>
          <w:p>
            <w:pPr>
              <w:pStyle w:val="28"/>
              <w:adjustRightInd w:val="0"/>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（2）项目名称</w:t>
            </w:r>
          </w:p>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（3）供应商的名称、地址、联系人、电话和传真。</w:t>
            </w:r>
          </w:p>
          <w:p>
            <w:pPr>
              <w:pStyle w:val="28"/>
              <w:adjustRightInd w:val="0"/>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（4）在  </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17.3</w:t>
            </w:r>
          </w:p>
        </w:tc>
        <w:tc>
          <w:tcPr>
            <w:tcW w:w="7650" w:type="dxa"/>
            <w:vAlign w:val="center"/>
          </w:tcPr>
          <w:p>
            <w:pPr>
              <w:pStyle w:val="28"/>
              <w:adjustRightInd w:val="0"/>
              <w:snapToGrid w:val="0"/>
              <w:spacing w:line="360" w:lineRule="auto"/>
              <w:ind w:firstLine="120" w:firstLineChars="5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本项目不要求提交样品。</w:t>
            </w:r>
          </w:p>
          <w:p>
            <w:pPr>
              <w:pStyle w:val="28"/>
              <w:adjustRightInd w:val="0"/>
              <w:snapToGrid w:val="0"/>
              <w:spacing w:line="360" w:lineRule="auto"/>
              <w:ind w:firstLine="120" w:firstLineChars="5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□本项目要求提交样品。样品为响应文件的一部分，随响应文件同时递交。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18.1</w:t>
            </w:r>
          </w:p>
        </w:tc>
        <w:tc>
          <w:tcPr>
            <w:tcW w:w="7650" w:type="dxa"/>
            <w:vAlign w:val="center"/>
          </w:tcPr>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响应文件递交截止时间：20</w:t>
            </w:r>
            <w:r>
              <w:rPr>
                <w:rFonts w:hint="eastAsia" w:ascii="仿宋" w:hAnsi="仿宋" w:eastAsia="仿宋" w:cs="仿宋"/>
                <w:i w:val="0"/>
                <w:iCs w:val="0"/>
                <w:color w:val="auto"/>
                <w:kern w:val="24"/>
                <w:sz w:val="24"/>
                <w:szCs w:val="21"/>
                <w:highlight w:val="none"/>
                <w:lang w:val="en-US" w:eastAsia="zh-CN"/>
              </w:rPr>
              <w:t>24</w:t>
            </w:r>
            <w:r>
              <w:rPr>
                <w:rFonts w:hint="eastAsia" w:ascii="仿宋" w:hAnsi="仿宋" w:eastAsia="仿宋" w:cs="仿宋"/>
                <w:i w:val="0"/>
                <w:iCs w:val="0"/>
                <w:color w:val="auto"/>
                <w:kern w:val="24"/>
                <w:sz w:val="24"/>
                <w:szCs w:val="21"/>
                <w:highlight w:val="none"/>
              </w:rPr>
              <w:t>年</w:t>
            </w:r>
            <w:r>
              <w:rPr>
                <w:rFonts w:hint="eastAsia" w:ascii="仿宋" w:hAnsi="仿宋" w:eastAsia="仿宋" w:cs="仿宋"/>
                <w:i w:val="0"/>
                <w:iCs w:val="0"/>
                <w:color w:val="auto"/>
                <w:kern w:val="24"/>
                <w:sz w:val="24"/>
                <w:szCs w:val="21"/>
                <w:highlight w:val="none"/>
                <w:lang w:val="en-US" w:eastAsia="zh-CN"/>
              </w:rPr>
              <w:t>04月30日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时30分00秒</w:t>
            </w:r>
            <w:r>
              <w:rPr>
                <w:rFonts w:hint="eastAsia" w:ascii="仿宋" w:hAnsi="仿宋" w:eastAsia="仿宋" w:cs="仿宋"/>
                <w:i w:val="0"/>
                <w:iCs w:val="0"/>
                <w:color w:val="auto"/>
                <w:kern w:val="24"/>
                <w:sz w:val="24"/>
                <w:szCs w:val="21"/>
                <w:highlight w:val="none"/>
              </w:rPr>
              <w:t>（北京时间）。</w:t>
            </w:r>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24"/>
                <w:sz w:val="24"/>
                <w:szCs w:val="21"/>
                <w:highlight w:val="none"/>
              </w:rPr>
              <w:t>响应文件递交地点：</w:t>
            </w:r>
            <w:r>
              <w:rPr>
                <w:rFonts w:hint="eastAsia" w:ascii="仿宋" w:hAnsi="仿宋" w:eastAsia="仿宋" w:cs="仿宋"/>
                <w:sz w:val="24"/>
                <w:szCs w:val="24"/>
                <w:highlight w:val="none"/>
                <w:lang w:eastAsia="zh-CN"/>
              </w:rPr>
              <w:t>线上递交投标文件、线上开标。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36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w:t>
            </w:r>
          </w:p>
        </w:tc>
        <w:tc>
          <w:tcPr>
            <w:tcW w:w="7650" w:type="dxa"/>
            <w:vAlign w:val="center"/>
          </w:tcPr>
          <w:p>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谈判小组由</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u w:val="single"/>
              </w:rPr>
              <w:t xml:space="preserve">3 </w:t>
            </w:r>
            <w:r>
              <w:rPr>
                <w:rFonts w:hint="eastAsia" w:ascii="仿宋" w:hAnsi="仿宋" w:eastAsia="仿宋" w:cs="仿宋"/>
                <w:i w:val="0"/>
                <w:iCs w:val="0"/>
                <w:color w:val="auto"/>
                <w:sz w:val="24"/>
                <w:highlight w:val="none"/>
              </w:rPr>
              <w:t>人组成，其中评审专家</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u w:val="single"/>
                <w:lang w:val="en-US" w:eastAsia="zh-CN"/>
              </w:rPr>
              <w:t>2</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人，采购人代表</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u w:val="single"/>
                <w:lang w:val="en-US" w:eastAsia="zh-CN"/>
              </w:rPr>
              <w:t>1</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80" w:type="dxa"/>
            <w:vAlign w:val="center"/>
          </w:tcPr>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28.1</w:t>
            </w:r>
          </w:p>
        </w:tc>
        <w:tc>
          <w:tcPr>
            <w:tcW w:w="7650" w:type="dxa"/>
            <w:vAlign w:val="center"/>
          </w:tcPr>
          <w:p>
            <w:pPr>
              <w:spacing w:line="360" w:lineRule="auto"/>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本项目要求履约保证金，金额为成交合同金额的</w:t>
            </w:r>
            <w:r>
              <w:rPr>
                <w:rFonts w:hint="eastAsia" w:ascii="仿宋" w:hAnsi="仿宋" w:eastAsia="仿宋" w:cs="仿宋"/>
                <w:i w:val="0"/>
                <w:iCs w:val="0"/>
                <w:color w:val="auto"/>
                <w:sz w:val="24"/>
                <w:highlight w:val="none"/>
                <w:u w:val="single"/>
                <w:lang w:val="en-US" w:eastAsia="zh-CN"/>
              </w:rPr>
              <w:t>/</w:t>
            </w:r>
          </w:p>
          <w:p>
            <w:pPr>
              <w:spacing w:line="360" w:lineRule="auto"/>
              <w:jc w:val="left"/>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32</w:t>
            </w:r>
          </w:p>
        </w:tc>
        <w:tc>
          <w:tcPr>
            <w:tcW w:w="7650" w:type="dxa"/>
            <w:vAlign w:val="center"/>
          </w:tcPr>
          <w:p>
            <w:pPr>
              <w:tabs>
                <w:tab w:val="left" w:pos="588"/>
              </w:tabs>
              <w:spacing w:line="360" w:lineRule="auto"/>
              <w:rPr>
                <w:rFonts w:hint="eastAsia" w:ascii="仿宋" w:hAnsi="仿宋" w:eastAsia="仿宋" w:cs="仿宋"/>
                <w:i w:val="0"/>
                <w:iCs w:val="0"/>
                <w:color w:val="auto"/>
                <w:kern w:val="24"/>
                <w:sz w:val="24"/>
                <w:szCs w:val="21"/>
                <w:highlight w:val="none"/>
                <w:lang w:eastAsia="zh-CN"/>
              </w:rPr>
            </w:pPr>
            <w:r>
              <w:rPr>
                <w:rFonts w:hint="eastAsia" w:ascii="仿宋" w:hAnsi="仿宋" w:eastAsia="仿宋" w:cs="仿宋"/>
                <w:i w:val="0"/>
                <w:iCs w:val="0"/>
                <w:color w:val="auto"/>
                <w:kern w:val="24"/>
                <w:sz w:val="24"/>
                <w:szCs w:val="21"/>
                <w:highlight w:val="none"/>
                <w:lang w:eastAsia="zh-CN"/>
              </w:rPr>
              <w:t>进入公共资源交易平台的各投标人，均应在“信用中国（陕西榆林）”网站进行注册、登录、自主上报信用承诺书（网址：https://credit.yl.gov.cn/）。各投标人注册、登录后根据承诺事项选择相应的模板填写《信用承诺书》，并载明承诺事由，投标人、投标人委托代理人员、投标信用的承诺事由为“项目名称及标段”。操作指南见附件。如信用承诺公示迟报、漏报的列入不良行为记录。</w:t>
            </w:r>
          </w:p>
          <w:p>
            <w:pPr>
              <w:tabs>
                <w:tab w:val="left" w:pos="588"/>
              </w:tabs>
              <w:spacing w:line="360" w:lineRule="auto"/>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kern w:val="24"/>
                <w:sz w:val="24"/>
                <w:szCs w:val="21"/>
                <w:highlight w:val="none"/>
                <w:lang w:eastAsia="zh-CN"/>
              </w:rPr>
              <w:t>投标人请将申报截图附在投标文件中。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33.1</w:t>
            </w:r>
          </w:p>
        </w:tc>
        <w:tc>
          <w:tcPr>
            <w:tcW w:w="7650" w:type="dxa"/>
            <w:vAlign w:val="center"/>
          </w:tcPr>
          <w:p>
            <w:pPr>
              <w:numPr>
                <w:ilvl w:val="0"/>
                <w:numId w:val="0"/>
              </w:numPr>
              <w:spacing w:line="360" w:lineRule="auto"/>
              <w:ind w:leftChars="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eastAsia="zh-CN"/>
              </w:rPr>
              <w:t>是否为不见面开标：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若为不见面开标，须严格按照以下要求及内容进行执行，因供应商自身原因导致在开标现场无法顺利进行的，后果自负。</w:t>
            </w:r>
          </w:p>
          <w:p>
            <w:pPr>
              <w:spacing w:line="360" w:lineRule="auto"/>
              <w:rPr>
                <w:rFonts w:hint="eastAsia" w:ascii="仿宋" w:hAnsi="仿宋" w:eastAsia="仿宋" w:cs="仿宋"/>
                <w:b/>
                <w:sz w:val="24"/>
              </w:rPr>
            </w:pPr>
            <w:r>
              <w:rPr>
                <w:rFonts w:hint="eastAsia" w:ascii="仿宋" w:hAnsi="仿宋" w:eastAsia="仿宋" w:cs="仿宋"/>
                <w:b/>
                <w:sz w:val="24"/>
              </w:rPr>
              <w:t>采用不见面</w:t>
            </w:r>
            <w:r>
              <w:rPr>
                <w:rFonts w:hint="eastAsia" w:ascii="仿宋" w:hAnsi="仿宋" w:eastAsia="仿宋" w:cs="仿宋"/>
                <w:b/>
                <w:sz w:val="24"/>
                <w:lang w:eastAsia="zh-CN"/>
              </w:rPr>
              <w:t>开标</w:t>
            </w:r>
            <w:r>
              <w:rPr>
                <w:rFonts w:hint="eastAsia" w:ascii="仿宋" w:hAnsi="仿宋" w:eastAsia="仿宋" w:cs="仿宋"/>
                <w:b/>
                <w:sz w:val="24"/>
              </w:rPr>
              <w:t>的方式进行；</w:t>
            </w:r>
          </w:p>
          <w:p>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供应商应于提交</w:t>
            </w:r>
            <w:r>
              <w:rPr>
                <w:rFonts w:hint="eastAsia" w:ascii="仿宋" w:hAnsi="仿宋" w:eastAsia="仿宋" w:cs="仿宋"/>
                <w:sz w:val="24"/>
                <w:lang w:eastAsia="zh-CN"/>
              </w:rPr>
              <w:t>响应</w:t>
            </w:r>
            <w:r>
              <w:rPr>
                <w:rFonts w:hint="eastAsia" w:ascii="仿宋" w:hAnsi="仿宋" w:eastAsia="仿宋" w:cs="仿宋"/>
                <w:sz w:val="24"/>
              </w:rPr>
              <w:t>文件截止时间前任意时段登录交易平台〖首页〉电子交易平台〉企业端〗在线提交</w:t>
            </w:r>
            <w:r>
              <w:rPr>
                <w:rFonts w:hint="eastAsia" w:ascii="仿宋" w:hAnsi="仿宋" w:eastAsia="仿宋" w:cs="仿宋"/>
                <w:sz w:val="24"/>
                <w:lang w:eastAsia="zh-CN"/>
              </w:rPr>
              <w:t>响应</w:t>
            </w:r>
            <w:r>
              <w:rPr>
                <w:rFonts w:hint="eastAsia" w:ascii="仿宋" w:hAnsi="仿宋" w:eastAsia="仿宋" w:cs="仿宋"/>
                <w:sz w:val="24"/>
              </w:rPr>
              <w:t>文件，逾期提交系统将拒绝接收。</w:t>
            </w:r>
          </w:p>
          <w:p>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供应商可登录榆林交易平台〖首页〉不见面开标〗在线参与开评标过程，详见文件以及交易平台〖首页〉服务指南〉下载专区〗中的《榆林市不见面开标大厅操作手册（供应商）》</w:t>
            </w:r>
          </w:p>
          <w:p>
            <w:pPr>
              <w:numPr>
                <w:ilvl w:val="0"/>
                <w:numId w:val="0"/>
              </w:numPr>
              <w:spacing w:line="360" w:lineRule="auto"/>
              <w:rPr>
                <w:rFonts w:hint="eastAsia" w:ascii="仿宋" w:hAnsi="仿宋" w:eastAsia="仿宋" w:cs="仿宋"/>
                <w:b/>
                <w:sz w:val="24"/>
              </w:rPr>
            </w:pPr>
            <w:r>
              <w:rPr>
                <w:rFonts w:hint="eastAsia" w:ascii="仿宋" w:hAnsi="仿宋" w:eastAsia="仿宋" w:cs="仿宋"/>
                <w:b/>
                <w:kern w:val="2"/>
                <w:sz w:val="24"/>
                <w:szCs w:val="24"/>
                <w:lang w:val="en-US" w:eastAsia="zh-CN" w:bidi="ar-SA"/>
              </w:rPr>
              <w:t>3</w:t>
            </w:r>
            <w:r>
              <w:rPr>
                <w:rFonts w:hint="default" w:ascii="仿宋" w:hAnsi="仿宋" w:eastAsia="仿宋" w:cs="仿宋"/>
                <w:b/>
                <w:kern w:val="2"/>
                <w:sz w:val="24"/>
                <w:szCs w:val="24"/>
                <w:lang w:val="en-US" w:eastAsia="zh-CN" w:bidi="ar-SA"/>
              </w:rPr>
              <w:t>、</w:t>
            </w:r>
            <w:r>
              <w:rPr>
                <w:rFonts w:hint="eastAsia" w:ascii="仿宋" w:hAnsi="仿宋" w:eastAsia="仿宋" w:cs="仿宋"/>
                <w:b/>
                <w:sz w:val="24"/>
              </w:rPr>
              <w:t>不见面开标流程</w:t>
            </w:r>
          </w:p>
          <w:p>
            <w:pPr>
              <w:spacing w:line="360" w:lineRule="auto"/>
              <w:rPr>
                <w:rFonts w:hint="eastAsia" w:ascii="仿宋" w:hAnsi="仿宋" w:eastAsia="仿宋" w:cs="仿宋"/>
                <w:sz w:val="24"/>
              </w:rPr>
            </w:pPr>
            <w:r>
              <w:rPr>
                <w:rFonts w:hint="eastAsia" w:ascii="仿宋" w:hAnsi="仿宋" w:eastAsia="仿宋" w:cs="仿宋"/>
                <w:sz w:val="24"/>
              </w:rPr>
              <w:t>该项目采取“不见面”开标的形式，供应商无须到达开标现场，即可在网上直接参与开标活动。相关注意事项如下：</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.1开标当日，请各供应商在开标截止时间前至少提前半小时登录“不见面”开标系统登录方式有以下几种：</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 IE浏览器输入网址：</w:t>
            </w:r>
          </w:p>
          <w:p>
            <w:pPr>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"http://219.145.120.168:8082/BidOpeningHall/bidhall/default/login），" </w:instrText>
            </w:r>
            <w:r>
              <w:rPr>
                <w:rFonts w:hint="eastAsia" w:ascii="仿宋" w:hAnsi="仿宋" w:eastAsia="仿宋" w:cs="仿宋"/>
                <w:sz w:val="24"/>
              </w:rPr>
              <w:fldChar w:fldCharType="separate"/>
            </w:r>
            <w:r>
              <w:rPr>
                <w:rFonts w:hint="eastAsia" w:ascii="仿宋" w:hAnsi="仿宋" w:eastAsia="仿宋" w:cs="仿宋"/>
              </w:rPr>
              <w:t>http://111.20.184.126:8084/BidOpeningHall/bidhall/dqxianyang/login；</w:t>
            </w:r>
            <w:r>
              <w:rPr>
                <w:rFonts w:hint="eastAsia" w:ascii="仿宋" w:hAnsi="仿宋" w:eastAsia="仿宋" w:cs="仿宋"/>
                <w:sz w:val="24"/>
              </w:rPr>
              <w:fldChar w:fldCharType="end"/>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.3在【全国公共资源交易平台（陕西省·榆林市）】网站首页点击不见面开标模块进入；</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.4在【全国公共资源交易平台（陕西省）】网站首页点击不见面开标模块选择榆林市进入。</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.5注：登录不见面开标系统请选择IE11浏览器</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.6供应商应按要求及时签到</w:t>
            </w:r>
            <w:r>
              <w:rPr>
                <w:rFonts w:hint="eastAsia" w:ascii="仿宋" w:hAnsi="仿宋" w:eastAsia="仿宋" w:cs="仿宋"/>
                <w:b/>
                <w:sz w:val="24"/>
              </w:rPr>
              <w:t>（签到时间为投标截止时间前1小时内，如果未签到将视为放弃投标资格）</w:t>
            </w:r>
            <w:r>
              <w:rPr>
                <w:rFonts w:hint="eastAsia" w:ascii="仿宋" w:hAnsi="仿宋" w:eastAsia="仿宋" w:cs="仿宋"/>
                <w:sz w:val="24"/>
              </w:rPr>
              <w:t>，评审过程中，评标委员会可能会就某些问题要求供应商进行在线澄清，请供应商保持在线直到评审结束；</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7开标过程中，供应商在收到工作人员“开始解密”指令后，请及时使用CA对电子响应文件进行解密。解密时所用CA应与加密响应文件时所用CA相同；注：解密时间为30分钟，在解密时间内供应商全部解密完成后，可提前进入开标下一阶段。</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.8相关技术问题，请咨询软件开发商：</w:t>
            </w:r>
          </w:p>
          <w:p>
            <w:pPr>
              <w:spacing w:line="360" w:lineRule="auto"/>
              <w:rPr>
                <w:rFonts w:hint="eastAsia" w:ascii="仿宋" w:hAnsi="仿宋" w:eastAsia="仿宋" w:cs="仿宋"/>
                <w:sz w:val="24"/>
              </w:rPr>
            </w:pPr>
            <w:r>
              <w:rPr>
                <w:rFonts w:hint="eastAsia" w:ascii="仿宋" w:hAnsi="仿宋" w:eastAsia="仿宋" w:cs="仿宋"/>
                <w:sz w:val="24"/>
              </w:rPr>
              <w:t>（1）技术支持热线：400-998-0000/400-928-0095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olor w:val="auto"/>
                <w:sz w:val="24"/>
                <w:highlight w:val="none"/>
                <w:lang w:eastAsia="zh-CN"/>
              </w:rPr>
            </w:pPr>
            <w:r>
              <w:rPr>
                <w:rFonts w:hint="eastAsia" w:ascii="仿宋" w:hAnsi="仿宋" w:eastAsia="仿宋" w:cs="仿宋"/>
                <w:sz w:val="24"/>
              </w:rPr>
              <w:t>（2）榆林不见面开标系统操作手册下载方式：登录【全国公共资源交易平台（陕西省·榆林市）】网站首页选择【服务指南】-【下载专区】-点击【</w:t>
            </w:r>
            <w:r>
              <w:rPr>
                <w:rFonts w:hint="eastAsia" w:ascii="仿宋" w:hAnsi="仿宋" w:eastAsia="仿宋" w:cs="仿宋"/>
                <w:sz w:val="24"/>
              </w:rPr>
              <w:fldChar w:fldCharType="begin"/>
            </w:r>
            <w:r>
              <w:rPr>
                <w:rFonts w:hint="eastAsia" w:ascii="仿宋" w:hAnsi="仿宋" w:eastAsia="仿宋" w:cs="仿宋"/>
                <w:sz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仿宋" w:hAnsi="仿宋" w:eastAsia="仿宋" w:cs="仿宋"/>
                <w:sz w:val="24"/>
              </w:rPr>
              <w:fldChar w:fldCharType="separate"/>
            </w:r>
            <w:r>
              <w:rPr>
                <w:rFonts w:hint="eastAsia" w:ascii="仿宋" w:hAnsi="仿宋" w:eastAsia="仿宋" w:cs="仿宋"/>
                <w:sz w:val="24"/>
              </w:rPr>
              <w:t>榆林不见面开标系统操作手册（供应商）</w:t>
            </w:r>
            <w:r>
              <w:rPr>
                <w:rFonts w:hint="eastAsia" w:ascii="仿宋" w:hAnsi="仿宋" w:eastAsia="仿宋" w:cs="仿宋"/>
                <w:sz w:val="24"/>
              </w:rPr>
              <w:fldChar w:fldCharType="end"/>
            </w:r>
            <w:r>
              <w:rPr>
                <w:rFonts w:hint="eastAsia" w:ascii="仿宋" w:hAnsi="仿宋" w:eastAsia="仿宋" w:cs="仿宋"/>
                <w:sz w:val="24"/>
              </w:rPr>
              <w:t>】进行下载。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080"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34</w:t>
            </w:r>
          </w:p>
        </w:tc>
        <w:tc>
          <w:tcPr>
            <w:tcW w:w="7650" w:type="dxa"/>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sz w:val="24"/>
              </w:rPr>
            </w:pPr>
            <w:r>
              <w:rPr>
                <w:rFonts w:hint="eastAsia" w:ascii="宋体" w:hAnsi="宋体" w:cs="宋体"/>
                <w:b/>
                <w:bCs/>
                <w:sz w:val="24"/>
              </w:rPr>
              <w:t>中小企业规模的划分标准：</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i w:val="0"/>
                <w:iCs w:val="0"/>
                <w:color w:val="auto"/>
                <w:sz w:val="24"/>
                <w:szCs w:val="24"/>
                <w:highlight w:val="none"/>
                <w:lang w:val="en-US" w:eastAsia="zh-CN"/>
              </w:rPr>
              <w:t>工业</w:t>
            </w:r>
            <w:r>
              <w:rPr>
                <w:rFonts w:hint="eastAsia" w:ascii="仿宋" w:hAnsi="仿宋" w:eastAsia="仿宋" w:cs="仿宋"/>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pPr>
        <w:adjustRightInd w:val="0"/>
        <w:spacing w:before="240" w:beforeLines="100" w:line="360" w:lineRule="auto"/>
        <w:ind w:right="-22"/>
        <w:jc w:val="center"/>
        <w:textAlignment w:val="baseline"/>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bookmarkStart w:id="70" w:name="_Toc184043013"/>
      <w:bookmarkStart w:id="71" w:name="_Toc230013633"/>
      <w:bookmarkStart w:id="72" w:name="_Toc232395213"/>
      <w:bookmarkStart w:id="73" w:name="_Toc177189236"/>
      <w:bookmarkStart w:id="74" w:name="_Toc256342144"/>
      <w:bookmarkStart w:id="75" w:name="_Toc230099798"/>
      <w:bookmarkStart w:id="76" w:name="_Toc53722841"/>
      <w:bookmarkStart w:id="77" w:name="_Toc249515279"/>
      <w:bookmarkStart w:id="78" w:name="_Toc232176273"/>
      <w:bookmarkStart w:id="79" w:name="_Toc58504662"/>
      <w:bookmarkStart w:id="80" w:name="_Toc176882543"/>
      <w:bookmarkStart w:id="81" w:name="_Toc249525160"/>
      <w:bookmarkStart w:id="82" w:name="_Toc177995474"/>
      <w:bookmarkStart w:id="83" w:name="_Toc70687140"/>
      <w:bookmarkStart w:id="84" w:name="_Toc177817335"/>
      <w:bookmarkStart w:id="85" w:name="_Toc249515391"/>
      <w:bookmarkStart w:id="86" w:name="_Toc230583542"/>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（二）供应商须知</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4"/>
        <w:spacing w:line="360" w:lineRule="auto"/>
        <w:rPr>
          <w:rFonts w:hint="eastAsia" w:ascii="仿宋" w:hAnsi="仿宋" w:eastAsia="仿宋" w:cs="仿宋"/>
          <w:b/>
          <w:i w:val="0"/>
          <w:iCs w:val="0"/>
          <w:color w:val="auto"/>
          <w:sz w:val="24"/>
          <w:szCs w:val="21"/>
          <w:highlight w:val="none"/>
        </w:rPr>
      </w:pPr>
      <w:bookmarkStart w:id="87" w:name="_Hlt14560612"/>
      <w:bookmarkEnd w:id="87"/>
      <w:bookmarkStart w:id="88" w:name="_Toc249515392"/>
      <w:bookmarkStart w:id="89" w:name="_Toc25504"/>
      <w:bookmarkStart w:id="90" w:name="_Toc184043014"/>
      <w:bookmarkStart w:id="91" w:name="_Toc249515280"/>
      <w:bookmarkStart w:id="92" w:name="_Toc249525161"/>
      <w:r>
        <w:rPr>
          <w:rFonts w:hint="eastAsia" w:ascii="仿宋" w:hAnsi="仿宋" w:eastAsia="仿宋" w:cs="仿宋"/>
          <w:b/>
          <w:i w:val="0"/>
          <w:iCs w:val="0"/>
          <w:color w:val="auto"/>
          <w:sz w:val="24"/>
          <w:szCs w:val="21"/>
          <w:highlight w:val="none"/>
        </w:rPr>
        <w:t>1.     项目说明</w:t>
      </w:r>
      <w:bookmarkEnd w:id="88"/>
      <w:bookmarkEnd w:id="89"/>
      <w:bookmarkEnd w:id="90"/>
      <w:bookmarkEnd w:id="91"/>
      <w:bookmarkEnd w:id="92"/>
    </w:p>
    <w:p>
      <w:pPr>
        <w:pStyle w:val="65"/>
        <w:widowControl w:val="0"/>
        <w:numPr>
          <w:ilvl w:val="1"/>
          <w:numId w:val="6"/>
        </w:numPr>
        <w:tabs>
          <w:tab w:val="left" w:pos="588"/>
        </w:tabs>
        <w:spacing w:before="0" w:beforeAutospacing="0" w:after="0" w:afterAutospacing="0" w:line="360" w:lineRule="auto"/>
        <w:textAlignment w:val="auto"/>
        <w:rPr>
          <w:rFonts w:hint="eastAsia" w:ascii="仿宋" w:hAnsi="仿宋" w:eastAsia="仿宋" w:cs="仿宋"/>
          <w:i w:val="0"/>
          <w:iCs w:val="0"/>
          <w:color w:val="auto"/>
          <w:kern w:val="24"/>
          <w:szCs w:val="21"/>
          <w:highlight w:val="none"/>
        </w:rPr>
      </w:pPr>
      <w:r>
        <w:rPr>
          <w:rFonts w:hint="eastAsia" w:ascii="仿宋" w:hAnsi="仿宋" w:eastAsia="仿宋" w:cs="仿宋"/>
          <w:i w:val="0"/>
          <w:iCs w:val="0"/>
          <w:color w:val="auto"/>
          <w:kern w:val="24"/>
          <w:szCs w:val="21"/>
          <w:highlight w:val="none"/>
        </w:rPr>
        <w:t xml:space="preserve">    项目说明：</w:t>
      </w:r>
      <w:r>
        <w:rPr>
          <w:rFonts w:hint="eastAsia" w:ascii="仿宋" w:hAnsi="仿宋" w:eastAsia="仿宋" w:cs="仿宋"/>
          <w:b/>
          <w:i w:val="0"/>
          <w:iCs w:val="0"/>
          <w:color w:val="auto"/>
          <w:kern w:val="24"/>
          <w:szCs w:val="21"/>
          <w:highlight w:val="none"/>
        </w:rPr>
        <w:t>见供应商须知前附表</w:t>
      </w:r>
      <w:r>
        <w:rPr>
          <w:rFonts w:hint="eastAsia" w:ascii="仿宋" w:hAnsi="仿宋" w:eastAsia="仿宋" w:cs="仿宋"/>
          <w:i w:val="0"/>
          <w:iCs w:val="0"/>
          <w:color w:val="auto"/>
          <w:kern w:val="24"/>
          <w:szCs w:val="21"/>
          <w:highlight w:val="none"/>
        </w:rPr>
        <w:t>。</w:t>
      </w:r>
    </w:p>
    <w:p>
      <w:pPr>
        <w:pStyle w:val="4"/>
        <w:spacing w:line="360" w:lineRule="auto"/>
        <w:rPr>
          <w:rFonts w:hint="eastAsia" w:ascii="仿宋" w:hAnsi="仿宋" w:eastAsia="仿宋" w:cs="仿宋"/>
          <w:b/>
          <w:i w:val="0"/>
          <w:iCs w:val="0"/>
          <w:color w:val="auto"/>
          <w:sz w:val="24"/>
          <w:szCs w:val="21"/>
          <w:highlight w:val="none"/>
        </w:rPr>
      </w:pPr>
      <w:bookmarkStart w:id="93" w:name="_Toc249515281"/>
      <w:bookmarkStart w:id="94" w:name="_Toc249525162"/>
      <w:bookmarkStart w:id="95" w:name="_Toc31509"/>
      <w:bookmarkStart w:id="96" w:name="_Toc70687142"/>
      <w:bookmarkStart w:id="97" w:name="_Toc184043015"/>
      <w:bookmarkStart w:id="98" w:name="_Toc249515393"/>
      <w:r>
        <w:rPr>
          <w:rFonts w:hint="eastAsia" w:ascii="仿宋" w:hAnsi="仿宋" w:eastAsia="仿宋" w:cs="仿宋"/>
          <w:b/>
          <w:i w:val="0"/>
          <w:iCs w:val="0"/>
          <w:color w:val="auto"/>
          <w:sz w:val="24"/>
          <w:szCs w:val="21"/>
          <w:highlight w:val="none"/>
        </w:rPr>
        <w:t>2.     定义</w:t>
      </w:r>
      <w:bookmarkEnd w:id="93"/>
      <w:bookmarkEnd w:id="94"/>
      <w:bookmarkEnd w:id="95"/>
      <w:bookmarkEnd w:id="96"/>
      <w:bookmarkEnd w:id="97"/>
      <w:bookmarkEnd w:id="98"/>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    采购人：</w:t>
      </w:r>
      <w:r>
        <w:rPr>
          <w:rFonts w:hint="eastAsia" w:ascii="仿宋" w:hAnsi="仿宋" w:eastAsia="仿宋" w:cs="仿宋"/>
          <w:b/>
          <w:i w:val="0"/>
          <w:iCs w:val="0"/>
          <w:color w:val="auto"/>
          <w:sz w:val="24"/>
          <w:highlight w:val="none"/>
        </w:rPr>
        <w:t>见供应商须知前附表</w:t>
      </w:r>
      <w:r>
        <w:rPr>
          <w:rFonts w:hint="eastAsia" w:ascii="仿宋" w:hAnsi="仿宋" w:eastAsia="仿宋" w:cs="仿宋"/>
          <w:i w:val="0"/>
          <w:iCs w:val="0"/>
          <w:color w:val="auto"/>
          <w:sz w:val="24"/>
          <w:highlight w:val="none"/>
        </w:rPr>
        <w:t>。</w:t>
      </w:r>
    </w:p>
    <w:p>
      <w:pPr>
        <w:pStyle w:val="22"/>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2.2    采购代理机构：</w:t>
      </w:r>
      <w:r>
        <w:rPr>
          <w:rFonts w:hint="eastAsia" w:ascii="仿宋" w:hAnsi="仿宋" w:eastAsia="仿宋" w:cs="仿宋"/>
          <w:b/>
          <w:i w:val="0"/>
          <w:iCs w:val="0"/>
          <w:color w:val="auto"/>
          <w:kern w:val="24"/>
          <w:sz w:val="24"/>
          <w:szCs w:val="21"/>
          <w:highlight w:val="none"/>
        </w:rPr>
        <w:t>见供应商须知前附表</w:t>
      </w:r>
      <w:r>
        <w:rPr>
          <w:rFonts w:hint="eastAsia" w:ascii="仿宋" w:hAnsi="仿宋" w:eastAsia="仿宋" w:cs="仿宋"/>
          <w:i w:val="0"/>
          <w:iCs w:val="0"/>
          <w:color w:val="auto"/>
          <w:kern w:val="24"/>
          <w:sz w:val="24"/>
          <w:szCs w:val="21"/>
          <w:highlight w:val="none"/>
        </w:rPr>
        <w:t>。</w:t>
      </w:r>
    </w:p>
    <w:p>
      <w:pPr>
        <w:pStyle w:val="22"/>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2.3    供应商：指响应谈判文件要求、参加竞争性谈判采购的法人、其他组织或者自然人。本次政府采购项目邀请供应商方式</w:t>
      </w:r>
      <w:r>
        <w:rPr>
          <w:rFonts w:hint="eastAsia" w:ascii="仿宋" w:hAnsi="仿宋" w:eastAsia="仿宋" w:cs="仿宋"/>
          <w:b/>
          <w:bCs/>
          <w:i w:val="0"/>
          <w:iCs w:val="0"/>
          <w:color w:val="auto"/>
          <w:kern w:val="24"/>
          <w:sz w:val="24"/>
          <w:szCs w:val="21"/>
          <w:highlight w:val="none"/>
        </w:rPr>
        <w:t>见供应商须知前附表</w:t>
      </w:r>
      <w:r>
        <w:rPr>
          <w:rFonts w:hint="eastAsia" w:ascii="仿宋" w:hAnsi="仿宋" w:eastAsia="仿宋" w:cs="仿宋"/>
          <w:i w:val="0"/>
          <w:iCs w:val="0"/>
          <w:color w:val="auto"/>
          <w:kern w:val="24"/>
          <w:sz w:val="24"/>
          <w:szCs w:val="21"/>
          <w:highlight w:val="none"/>
        </w:rPr>
        <w:t>。</w:t>
      </w:r>
    </w:p>
    <w:p>
      <w:pPr>
        <w:pStyle w:val="22"/>
        <w:tabs>
          <w:tab w:val="left" w:pos="360"/>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    谈判小组：指依据《中华人民共和国政府采购法》和财政部《政府采购非招标采购方式管理办法》有关规定组建，依法依规履行其职责和义务的机构。</w:t>
      </w:r>
    </w:p>
    <w:p>
      <w:pPr>
        <w:pStyle w:val="4"/>
        <w:spacing w:line="360" w:lineRule="auto"/>
        <w:rPr>
          <w:rFonts w:hint="eastAsia" w:ascii="仿宋" w:hAnsi="仿宋" w:eastAsia="仿宋" w:cs="仿宋"/>
          <w:b/>
          <w:i w:val="0"/>
          <w:iCs w:val="0"/>
          <w:color w:val="auto"/>
          <w:sz w:val="24"/>
          <w:szCs w:val="21"/>
          <w:highlight w:val="none"/>
        </w:rPr>
      </w:pPr>
      <w:bookmarkStart w:id="99" w:name="_Toc184043016"/>
      <w:bookmarkStart w:id="100" w:name="_Toc70687143"/>
      <w:bookmarkStart w:id="101" w:name="_Toc249515282"/>
      <w:bookmarkStart w:id="102" w:name="_Toc23705"/>
      <w:bookmarkStart w:id="103" w:name="_Toc249525163"/>
      <w:bookmarkStart w:id="104" w:name="_Toc389620168"/>
      <w:bookmarkStart w:id="105" w:name="_Toc249515394"/>
      <w:bookmarkStart w:id="106" w:name="_Toc385992329"/>
      <w:r>
        <w:rPr>
          <w:rFonts w:hint="eastAsia" w:ascii="仿宋" w:hAnsi="仿宋" w:eastAsia="仿宋" w:cs="仿宋"/>
          <w:b/>
          <w:i w:val="0"/>
          <w:iCs w:val="0"/>
          <w:color w:val="auto"/>
          <w:sz w:val="24"/>
          <w:szCs w:val="21"/>
          <w:highlight w:val="none"/>
        </w:rPr>
        <w:t>3.     合格的供应商</w:t>
      </w:r>
      <w:bookmarkEnd w:id="99"/>
      <w:bookmarkEnd w:id="100"/>
      <w:bookmarkEnd w:id="101"/>
      <w:bookmarkEnd w:id="102"/>
      <w:bookmarkEnd w:id="103"/>
      <w:bookmarkEnd w:id="104"/>
      <w:bookmarkEnd w:id="105"/>
      <w:bookmarkEnd w:id="106"/>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3.1    供应商基本资质要求详见</w:t>
      </w:r>
      <w:r>
        <w:rPr>
          <w:rFonts w:hint="eastAsia" w:ascii="仿宋" w:hAnsi="仿宋" w:eastAsia="仿宋" w:cs="仿宋"/>
          <w:b/>
          <w:i w:val="0"/>
          <w:iCs w:val="0"/>
          <w:color w:val="auto"/>
          <w:kern w:val="24"/>
          <w:sz w:val="24"/>
          <w:szCs w:val="21"/>
          <w:highlight w:val="none"/>
        </w:rPr>
        <w:t>供应商须知前附表</w:t>
      </w:r>
      <w:r>
        <w:rPr>
          <w:rFonts w:hint="eastAsia" w:ascii="仿宋" w:hAnsi="仿宋" w:eastAsia="仿宋" w:cs="仿宋"/>
          <w:i w:val="0"/>
          <w:iCs w:val="0"/>
          <w:color w:val="auto"/>
          <w:kern w:val="24"/>
          <w:sz w:val="24"/>
          <w:szCs w:val="21"/>
          <w:highlight w:val="none"/>
        </w:rPr>
        <w:t>。</w:t>
      </w:r>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    本项目将执行在政府采购活动中查询及使用信用记录的规定，具体要求为：</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3.2.1  供应商应当未被列入失信被执行人、</w:t>
      </w:r>
      <w:r>
        <w:rPr>
          <w:rFonts w:hint="eastAsia" w:ascii="仿宋" w:hAnsi="仿宋" w:eastAsia="仿宋" w:cs="仿宋"/>
          <w:i w:val="0"/>
          <w:iCs w:val="0"/>
          <w:color w:val="auto"/>
          <w:sz w:val="24"/>
          <w:highlight w:val="none"/>
        </w:rPr>
        <w:t>税收违法黑名单</w:t>
      </w:r>
      <w:r>
        <w:rPr>
          <w:rFonts w:hint="eastAsia" w:ascii="仿宋" w:hAnsi="仿宋" w:eastAsia="仿宋" w:cs="仿宋"/>
          <w:i w:val="0"/>
          <w:iCs w:val="0"/>
          <w:color w:val="auto"/>
          <w:kern w:val="24"/>
          <w:sz w:val="24"/>
          <w:szCs w:val="21"/>
          <w:highlight w:val="none"/>
        </w:rPr>
        <w:t>、政府采购严重违法失信行为记录名单，否则不得参与政府采购活动。</w:t>
      </w:r>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3.2.2  信用信息查询的时间：响应文件递交截止时间之后至谈判</w:t>
      </w:r>
      <w:r>
        <w:rPr>
          <w:rFonts w:hint="eastAsia" w:ascii="仿宋" w:hAnsi="仿宋" w:eastAsia="仿宋" w:cs="仿宋"/>
          <w:i w:val="0"/>
          <w:iCs w:val="0"/>
          <w:color w:val="auto"/>
          <w:sz w:val="24"/>
          <w:highlight w:val="none"/>
        </w:rPr>
        <w:t>资格性检查结束</w:t>
      </w:r>
      <w:r>
        <w:rPr>
          <w:rFonts w:hint="eastAsia" w:ascii="仿宋" w:hAnsi="仿宋" w:eastAsia="仿宋" w:cs="仿宋"/>
          <w:i w:val="0"/>
          <w:iCs w:val="0"/>
          <w:color w:val="auto"/>
          <w:kern w:val="24"/>
          <w:sz w:val="24"/>
          <w:szCs w:val="21"/>
          <w:highlight w:val="none"/>
        </w:rPr>
        <w:t xml:space="preserve">。 </w:t>
      </w:r>
    </w:p>
    <w:p>
      <w:pPr>
        <w:tabs>
          <w:tab w:val="left" w:pos="588"/>
        </w:tabs>
        <w:spacing w:line="360" w:lineRule="auto"/>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3.2.3  查询渠道：“信用中国”网站（www.creditchina.gov.cn）和中国政府采购网（www.ccgp.gov.cn）。</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2</w:t>
      </w:r>
      <w:r>
        <w:rPr>
          <w:rFonts w:hint="eastAsia" w:ascii="仿宋" w:hAnsi="仿宋" w:eastAsia="仿宋" w:cs="仿宋"/>
          <w:i w:val="0"/>
          <w:iCs w:val="0"/>
          <w:color w:val="auto"/>
          <w:kern w:val="24"/>
          <w:sz w:val="24"/>
          <w:szCs w:val="21"/>
          <w:highlight w:val="none"/>
        </w:rPr>
        <w:t>.4  信用信息查询记录和证据留存具体方式：将经查询存在不良信用记录的潜在供应商的查询结果网页截图作为查询记录和证据，与其他采购文件一并保存。</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2</w:t>
      </w:r>
      <w:r>
        <w:rPr>
          <w:rFonts w:hint="eastAsia" w:ascii="仿宋" w:hAnsi="仿宋" w:eastAsia="仿宋" w:cs="仿宋"/>
          <w:i w:val="0"/>
          <w:iCs w:val="0"/>
          <w:color w:val="auto"/>
          <w:kern w:val="24"/>
          <w:sz w:val="24"/>
          <w:szCs w:val="21"/>
          <w:highlight w:val="none"/>
        </w:rPr>
        <w:t>.5  信用信息的使用规则：采购人或采购代理机构若发现参与本项目政府采购活动的供应商在存在不良信用记录的，将信用信息查询记录提交给谈判小组，作无效文件进行处理。</w:t>
      </w:r>
    </w:p>
    <w:p>
      <w:pPr>
        <w:tabs>
          <w:tab w:val="left" w:pos="588"/>
        </w:tabs>
        <w:spacing w:line="360" w:lineRule="auto"/>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3.3    供应商必须向采购人</w:t>
      </w:r>
      <w:r>
        <w:rPr>
          <w:rFonts w:hint="eastAsia" w:ascii="仿宋" w:hAnsi="仿宋" w:eastAsia="仿宋" w:cs="仿宋"/>
          <w:i w:val="0"/>
          <w:iCs w:val="0"/>
          <w:color w:val="auto"/>
          <w:kern w:val="24"/>
          <w:sz w:val="24"/>
          <w:szCs w:val="21"/>
          <w:highlight w:val="none"/>
          <w:lang w:val="en-US" w:eastAsia="zh-CN"/>
        </w:rPr>
        <w:t>或采购代理机构获取</w:t>
      </w:r>
      <w:r>
        <w:rPr>
          <w:rFonts w:hint="eastAsia" w:ascii="仿宋" w:hAnsi="仿宋" w:eastAsia="仿宋" w:cs="仿宋"/>
          <w:i w:val="0"/>
          <w:iCs w:val="0"/>
          <w:color w:val="auto"/>
          <w:kern w:val="24"/>
          <w:sz w:val="24"/>
          <w:szCs w:val="21"/>
          <w:highlight w:val="none"/>
        </w:rPr>
        <w:t>谈判文件，未向采购人</w:t>
      </w:r>
      <w:r>
        <w:rPr>
          <w:rFonts w:hint="eastAsia" w:ascii="仿宋" w:hAnsi="仿宋" w:eastAsia="仿宋" w:cs="仿宋"/>
          <w:i w:val="0"/>
          <w:iCs w:val="0"/>
          <w:color w:val="auto"/>
          <w:kern w:val="24"/>
          <w:sz w:val="24"/>
          <w:szCs w:val="21"/>
          <w:highlight w:val="none"/>
          <w:lang w:val="en-US" w:eastAsia="zh-CN"/>
        </w:rPr>
        <w:t>或采购代理机构获取</w:t>
      </w:r>
      <w:r>
        <w:rPr>
          <w:rFonts w:hint="eastAsia" w:ascii="仿宋" w:hAnsi="仿宋" w:eastAsia="仿宋" w:cs="仿宋"/>
          <w:i w:val="0"/>
          <w:iCs w:val="0"/>
          <w:color w:val="auto"/>
          <w:kern w:val="24"/>
          <w:sz w:val="24"/>
          <w:szCs w:val="21"/>
          <w:highlight w:val="none"/>
        </w:rPr>
        <w:t>谈判文件的潜在供应商均无资格参加本次采购。</w:t>
      </w:r>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4</w:t>
      </w:r>
      <w:r>
        <w:rPr>
          <w:rFonts w:hint="eastAsia" w:ascii="仿宋" w:hAnsi="仿宋" w:eastAsia="仿宋" w:cs="仿宋"/>
          <w:i w:val="0"/>
          <w:iCs w:val="0"/>
          <w:color w:val="auto"/>
          <w:kern w:val="24"/>
          <w:sz w:val="24"/>
          <w:szCs w:val="21"/>
          <w:highlight w:val="none"/>
        </w:rPr>
        <w:t xml:space="preserve">    供应商应遵守《中华人民共和国政府采购法》及其它有关的中国法律和法规。</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5</w:t>
      </w:r>
      <w:r>
        <w:rPr>
          <w:rFonts w:hint="eastAsia" w:ascii="仿宋" w:hAnsi="仿宋" w:eastAsia="仿宋" w:cs="仿宋"/>
          <w:i w:val="0"/>
          <w:iCs w:val="0"/>
          <w:color w:val="auto"/>
          <w:kern w:val="24"/>
          <w:sz w:val="24"/>
          <w:szCs w:val="21"/>
          <w:highlight w:val="none"/>
        </w:rPr>
        <w:t xml:space="preserve">    若前附表中写明允许采购进口产品，供应商应保证所投产品可履行合法报通关手续进入中国关境内。</w:t>
      </w:r>
    </w:p>
    <w:p>
      <w:pPr>
        <w:pStyle w:val="22"/>
        <w:ind w:left="838" w:leftChars="399" w:firstLine="0" w:firstLineChars="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若前附表中不允许采购进口产品，如供应商所投产品为进口产品，其响应文件将被认定为无效。</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 xml:space="preserve">    如须知前附表中允许联合体投标，对联合体规定如下：</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.1  两个及以上供应商可以组成一个投标联合体，以一个供应商的身份投标。</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.2  联合体各方均应符合本须知规定。</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.3  采购人根据采购项目对供应商的特殊要求，联合体中至少应当有一方符合相关规定。</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.4  联合体各方应签订共同</w:t>
      </w:r>
      <w:r>
        <w:rPr>
          <w:rFonts w:hint="eastAsia" w:ascii="仿宋" w:hAnsi="仿宋" w:eastAsia="仿宋" w:cs="仿宋"/>
          <w:i w:val="0"/>
          <w:iCs w:val="0"/>
          <w:color w:val="auto"/>
          <w:kern w:val="24"/>
          <w:sz w:val="24"/>
          <w:szCs w:val="21"/>
          <w:highlight w:val="none"/>
          <w:lang w:val="en-US" w:eastAsia="zh-CN"/>
        </w:rPr>
        <w:t>谈判</w:t>
      </w:r>
      <w:r>
        <w:rPr>
          <w:rFonts w:hint="eastAsia" w:ascii="仿宋" w:hAnsi="仿宋" w:eastAsia="仿宋" w:cs="仿宋"/>
          <w:i w:val="0"/>
          <w:iCs w:val="0"/>
          <w:color w:val="auto"/>
          <w:kern w:val="24"/>
          <w:sz w:val="24"/>
          <w:szCs w:val="21"/>
          <w:highlight w:val="none"/>
        </w:rPr>
        <w:t>响应协议，明确约定联合体各方承担的工作和相应的责任，并将共同响应协议作为响应文件的内容提交。</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.6  以联合体形式参加政府采购活动的，联合体各方不得再单独参加或者与其他供应商另外组成联合体参加本项目同一合同项下的</w:t>
      </w:r>
      <w:r>
        <w:rPr>
          <w:rFonts w:hint="eastAsia" w:ascii="仿宋" w:hAnsi="仿宋" w:eastAsia="仿宋" w:cs="仿宋"/>
          <w:i w:val="0"/>
          <w:iCs w:val="0"/>
          <w:color w:val="auto"/>
          <w:kern w:val="24"/>
          <w:sz w:val="24"/>
          <w:szCs w:val="21"/>
          <w:highlight w:val="none"/>
          <w:lang w:val="en-US" w:eastAsia="zh-CN"/>
        </w:rPr>
        <w:t>谈判</w:t>
      </w:r>
      <w:r>
        <w:rPr>
          <w:rFonts w:hint="eastAsia" w:ascii="仿宋" w:hAnsi="仿宋" w:eastAsia="仿宋" w:cs="仿宋"/>
          <w:i w:val="0"/>
          <w:iCs w:val="0"/>
          <w:color w:val="auto"/>
          <w:kern w:val="24"/>
          <w:sz w:val="24"/>
          <w:szCs w:val="21"/>
          <w:highlight w:val="none"/>
        </w:rPr>
        <w:t>，否则相关响应文件将被认定为无效。</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.7  对联合体</w:t>
      </w:r>
      <w:r>
        <w:rPr>
          <w:rFonts w:hint="eastAsia" w:ascii="仿宋" w:hAnsi="仿宋" w:eastAsia="仿宋" w:cs="仿宋"/>
          <w:i w:val="0"/>
          <w:iCs w:val="0"/>
          <w:color w:val="auto"/>
          <w:kern w:val="24"/>
          <w:sz w:val="24"/>
          <w:szCs w:val="21"/>
          <w:highlight w:val="none"/>
          <w:lang w:val="en-US" w:eastAsia="zh-CN"/>
        </w:rPr>
        <w:t>谈判</w:t>
      </w:r>
      <w:r>
        <w:rPr>
          <w:rFonts w:hint="eastAsia" w:ascii="仿宋" w:hAnsi="仿宋" w:eastAsia="仿宋" w:cs="仿宋"/>
          <w:i w:val="0"/>
          <w:iCs w:val="0"/>
          <w:color w:val="auto"/>
          <w:kern w:val="24"/>
          <w:sz w:val="24"/>
          <w:szCs w:val="21"/>
          <w:highlight w:val="none"/>
        </w:rPr>
        <w:t>的其他资格要求见须知前附表。</w:t>
      </w:r>
    </w:p>
    <w:p>
      <w:pPr>
        <w:pStyle w:val="22"/>
        <w:ind w:left="840" w:leftChars="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kern w:val="24"/>
          <w:sz w:val="24"/>
          <w:szCs w:val="21"/>
          <w:highlight w:val="none"/>
          <w:lang w:val="en-US" w:eastAsia="zh-CN"/>
        </w:rPr>
        <w:t xml:space="preserve">3.7    </w:t>
      </w:r>
      <w:r>
        <w:rPr>
          <w:rFonts w:hint="eastAsia" w:ascii="仿宋" w:hAnsi="仿宋" w:eastAsia="仿宋" w:cs="仿宋"/>
          <w:i w:val="0"/>
          <w:iCs w:val="0"/>
          <w:color w:val="auto"/>
          <w:sz w:val="24"/>
          <w:highlight w:val="none"/>
        </w:rPr>
        <w:t>若</w:t>
      </w:r>
      <w:r>
        <w:rPr>
          <w:rFonts w:hint="eastAsia" w:ascii="仿宋" w:hAnsi="仿宋" w:eastAsia="仿宋" w:cs="仿宋"/>
          <w:i w:val="0"/>
          <w:iCs w:val="0"/>
          <w:color w:val="auto"/>
          <w:sz w:val="24"/>
          <w:highlight w:val="none"/>
          <w:u w:val="none"/>
        </w:rPr>
        <w:t>前附表</w:t>
      </w:r>
      <w:r>
        <w:rPr>
          <w:rFonts w:hint="eastAsia" w:ascii="仿宋" w:hAnsi="仿宋" w:eastAsia="仿宋" w:cs="仿宋"/>
          <w:i w:val="0"/>
          <w:iCs w:val="0"/>
          <w:color w:val="auto"/>
          <w:sz w:val="24"/>
          <w:highlight w:val="none"/>
        </w:rPr>
        <w:t>中写明专门面向中小企业采购的，如</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为非中小企业或所投产品为非中小企业产品，其</w:t>
      </w:r>
      <w:r>
        <w:rPr>
          <w:rFonts w:hint="eastAsia" w:ascii="仿宋" w:hAnsi="仿宋" w:eastAsia="仿宋" w:cs="仿宋"/>
          <w:i w:val="0"/>
          <w:iCs w:val="0"/>
          <w:color w:val="auto"/>
          <w:sz w:val="24"/>
          <w:highlight w:val="none"/>
          <w:lang w:eastAsia="zh-CN"/>
        </w:rPr>
        <w:t>响应文件</w:t>
      </w:r>
      <w:r>
        <w:rPr>
          <w:rFonts w:hint="eastAsia" w:ascii="仿宋" w:hAnsi="仿宋" w:eastAsia="仿宋" w:cs="仿宋"/>
          <w:i w:val="0"/>
          <w:iCs w:val="0"/>
          <w:color w:val="auto"/>
          <w:sz w:val="24"/>
          <w:highlight w:val="none"/>
        </w:rPr>
        <w:t>将被认定为</w:t>
      </w:r>
      <w:r>
        <w:rPr>
          <w:rFonts w:hint="eastAsia" w:ascii="仿宋" w:hAnsi="仿宋" w:eastAsia="仿宋" w:cs="仿宋"/>
          <w:b w:val="0"/>
          <w:bCs w:val="0"/>
          <w:i w:val="0"/>
          <w:iCs w:val="0"/>
          <w:color w:val="auto"/>
          <w:sz w:val="24"/>
          <w:highlight w:val="none"/>
        </w:rPr>
        <w:t>无效。</w:t>
      </w:r>
    </w:p>
    <w:p>
      <w:pPr>
        <w:pStyle w:val="4"/>
        <w:rPr>
          <w:rFonts w:hint="eastAsia" w:ascii="仿宋" w:hAnsi="仿宋" w:eastAsia="仿宋" w:cs="仿宋"/>
          <w:b/>
          <w:i w:val="0"/>
          <w:iCs w:val="0"/>
          <w:color w:val="auto"/>
          <w:sz w:val="24"/>
          <w:szCs w:val="21"/>
          <w:highlight w:val="none"/>
        </w:rPr>
      </w:pPr>
      <w:bookmarkStart w:id="107" w:name="_Toc70687144"/>
      <w:bookmarkStart w:id="108" w:name="_Toc26580"/>
      <w:bookmarkStart w:id="109" w:name="_Toc249525164"/>
      <w:bookmarkStart w:id="110" w:name="_Toc249515395"/>
      <w:bookmarkStart w:id="111" w:name="_Toc385992330"/>
      <w:bookmarkStart w:id="112" w:name="_Toc249515283"/>
      <w:bookmarkStart w:id="113" w:name="_Toc389620169"/>
      <w:bookmarkStart w:id="114" w:name="_Toc184043017"/>
      <w:r>
        <w:rPr>
          <w:rFonts w:hint="eastAsia" w:ascii="仿宋" w:hAnsi="仿宋" w:eastAsia="仿宋" w:cs="仿宋"/>
          <w:b/>
          <w:i w:val="0"/>
          <w:iCs w:val="0"/>
          <w:color w:val="auto"/>
          <w:sz w:val="24"/>
          <w:szCs w:val="21"/>
          <w:highlight w:val="none"/>
        </w:rPr>
        <w:t>4.     响应费用</w:t>
      </w:r>
      <w:bookmarkEnd w:id="107"/>
      <w:bookmarkEnd w:id="108"/>
      <w:bookmarkEnd w:id="109"/>
      <w:bookmarkEnd w:id="110"/>
      <w:bookmarkEnd w:id="111"/>
      <w:bookmarkEnd w:id="112"/>
      <w:bookmarkEnd w:id="113"/>
      <w:bookmarkEnd w:id="114"/>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4.1    供应商应承担所有与编写和提交响应文件有关的费用，无论响应过程和结果如何，采购人在任何情况下均无义务和责任承担这些费用。</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115" w:name="_Toc500747064"/>
      <w:bookmarkStart w:id="116" w:name="_Toc53722842"/>
      <w:bookmarkStart w:id="117" w:name="_Toc177189237"/>
      <w:bookmarkStart w:id="118" w:name="_Toc256342145"/>
      <w:bookmarkStart w:id="119" w:name="_Toc249515396"/>
      <w:bookmarkStart w:id="120" w:name="_Toc176882544"/>
      <w:bookmarkStart w:id="121" w:name="_Toc230013634"/>
      <w:bookmarkStart w:id="122" w:name="_Toc503063424"/>
      <w:bookmarkStart w:id="123" w:name="_Toc389620170"/>
      <w:bookmarkStart w:id="124" w:name="_Toc500747191"/>
      <w:bookmarkStart w:id="125" w:name="_Toc249515284"/>
      <w:bookmarkStart w:id="126" w:name="_Toc230583543"/>
      <w:bookmarkStart w:id="127" w:name="_Toc177995475"/>
      <w:bookmarkStart w:id="128" w:name="_Toc499711886"/>
      <w:bookmarkStart w:id="129" w:name="_Toc177817336"/>
      <w:bookmarkStart w:id="130" w:name="_Toc232395214"/>
      <w:bookmarkStart w:id="131" w:name="_Toc249525165"/>
      <w:bookmarkStart w:id="132" w:name="_Toc385992331"/>
      <w:bookmarkStart w:id="133" w:name="_Toc499711045"/>
      <w:bookmarkStart w:id="134" w:name="_Toc496324581"/>
      <w:bookmarkStart w:id="135" w:name="_Toc492955417"/>
      <w:bookmarkStart w:id="136" w:name="_Toc184043018"/>
      <w:bookmarkStart w:id="137" w:name="_Toc232176274"/>
      <w:bookmarkStart w:id="138" w:name="_Toc230099799"/>
      <w:bookmarkStart w:id="139" w:name="_Toc70687145"/>
      <w:bookmarkStart w:id="140" w:name="_Toc500746968"/>
      <w:bookmarkStart w:id="141" w:name="_Toc58504663"/>
      <w:r>
        <w:rPr>
          <w:rFonts w:hint="eastAsia" w:ascii="仿宋" w:hAnsi="仿宋" w:eastAsia="仿宋" w:cs="仿宋"/>
          <w:b/>
          <w:i w:val="0"/>
          <w:iCs w:val="0"/>
          <w:color w:val="auto"/>
          <w:kern w:val="0"/>
          <w:sz w:val="28"/>
          <w:szCs w:val="28"/>
          <w:highlight w:val="none"/>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b/>
          <w:i w:val="0"/>
          <w:iCs w:val="0"/>
          <w:color w:val="auto"/>
          <w:kern w:val="0"/>
          <w:sz w:val="28"/>
          <w:szCs w:val="28"/>
          <w:highlight w:val="none"/>
        </w:rPr>
        <w:t>谈判文件说明</w:t>
      </w:r>
      <w:bookmarkEnd w:id="141"/>
    </w:p>
    <w:p>
      <w:pPr>
        <w:pStyle w:val="4"/>
        <w:rPr>
          <w:rFonts w:hint="eastAsia" w:ascii="仿宋" w:hAnsi="仿宋" w:eastAsia="仿宋" w:cs="仿宋"/>
          <w:b/>
          <w:i w:val="0"/>
          <w:iCs w:val="0"/>
          <w:color w:val="auto"/>
          <w:sz w:val="24"/>
          <w:szCs w:val="21"/>
          <w:highlight w:val="none"/>
        </w:rPr>
      </w:pPr>
      <w:bookmarkStart w:id="142" w:name="_Toc128"/>
      <w:bookmarkStart w:id="143" w:name="_Toc249515285"/>
      <w:bookmarkStart w:id="144" w:name="_Toc249515397"/>
      <w:bookmarkStart w:id="145" w:name="_Toc385992332"/>
      <w:bookmarkStart w:id="146" w:name="_Toc389620171"/>
      <w:bookmarkStart w:id="147" w:name="_Toc70687146"/>
      <w:bookmarkStart w:id="148" w:name="_Toc249525166"/>
      <w:bookmarkStart w:id="149" w:name="_Toc184043019"/>
      <w:r>
        <w:rPr>
          <w:rFonts w:hint="eastAsia" w:ascii="仿宋" w:hAnsi="仿宋" w:eastAsia="仿宋" w:cs="仿宋"/>
          <w:b/>
          <w:i w:val="0"/>
          <w:iCs w:val="0"/>
          <w:color w:val="auto"/>
          <w:sz w:val="24"/>
          <w:szCs w:val="21"/>
          <w:highlight w:val="none"/>
        </w:rPr>
        <w:t>5.     通知</w:t>
      </w:r>
      <w:bookmarkEnd w:id="142"/>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ascii="仿宋" w:hAnsi="仿宋" w:eastAsia="仿宋" w:cs="仿宋"/>
          <w:i w:val="0"/>
          <w:iCs w:val="0"/>
          <w:color w:val="auto"/>
          <w:kern w:val="24"/>
          <w:sz w:val="24"/>
          <w:szCs w:val="21"/>
          <w:highlight w:val="none"/>
          <w:lang w:val="en-US" w:eastAsia="zh-CN"/>
        </w:rPr>
        <w:t>获取</w:t>
      </w:r>
      <w:r>
        <w:rPr>
          <w:rFonts w:hint="eastAsia" w:ascii="仿宋" w:hAnsi="仿宋" w:eastAsia="仿宋" w:cs="仿宋"/>
          <w:i w:val="0"/>
          <w:iCs w:val="0"/>
          <w:color w:val="auto"/>
          <w:kern w:val="24"/>
          <w:sz w:val="24"/>
          <w:szCs w:val="21"/>
          <w:highlight w:val="none"/>
        </w:rPr>
        <w:t>了谈判文件的供应商（潜在供应商）。供应商应于收到通知后按规定时间以书面方式予以回复确认。因登记有误或传真线路故障导致通知延迟送达或无法送达，采购人或采购代理机构不承担责任。</w:t>
      </w:r>
    </w:p>
    <w:p>
      <w:pPr>
        <w:pStyle w:val="4"/>
        <w:rPr>
          <w:rFonts w:hint="eastAsia" w:ascii="仿宋" w:hAnsi="仿宋" w:eastAsia="仿宋" w:cs="仿宋"/>
          <w:b/>
          <w:i w:val="0"/>
          <w:iCs w:val="0"/>
          <w:color w:val="auto"/>
          <w:sz w:val="24"/>
          <w:szCs w:val="21"/>
          <w:highlight w:val="none"/>
        </w:rPr>
      </w:pPr>
      <w:bookmarkStart w:id="150" w:name="_Toc27223"/>
      <w:r>
        <w:rPr>
          <w:rFonts w:hint="eastAsia" w:ascii="仿宋" w:hAnsi="仿宋" w:eastAsia="仿宋" w:cs="仿宋"/>
          <w:b/>
          <w:i w:val="0"/>
          <w:iCs w:val="0"/>
          <w:color w:val="auto"/>
          <w:sz w:val="24"/>
          <w:szCs w:val="21"/>
          <w:highlight w:val="none"/>
        </w:rPr>
        <w:t>6.     谈判文件的构成</w:t>
      </w:r>
      <w:bookmarkEnd w:id="143"/>
      <w:bookmarkEnd w:id="144"/>
      <w:bookmarkEnd w:id="145"/>
      <w:bookmarkEnd w:id="146"/>
      <w:bookmarkEnd w:id="147"/>
      <w:bookmarkEnd w:id="148"/>
      <w:bookmarkEnd w:id="149"/>
      <w:bookmarkEnd w:id="150"/>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6.1    谈判文件用以阐明供应商所需提供的服务以及其它类似的义务、采购响应程序和合同条款。谈判文件包括如下五章内容：</w:t>
      </w:r>
    </w:p>
    <w:p>
      <w:pPr>
        <w:pStyle w:val="22"/>
        <w:ind w:left="838" w:leftChars="399"/>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第一章 谈判</w:t>
      </w:r>
      <w:r>
        <w:rPr>
          <w:rFonts w:hint="eastAsia" w:ascii="仿宋" w:hAnsi="仿宋" w:eastAsia="仿宋" w:cs="仿宋"/>
          <w:i w:val="0"/>
          <w:iCs w:val="0"/>
          <w:color w:val="auto"/>
          <w:sz w:val="24"/>
          <w:highlight w:val="none"/>
          <w:lang w:eastAsia="zh-CN"/>
        </w:rPr>
        <w:t>公告</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第二章 供应商须知</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第三章 合同草案条款</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第四章 采购内容及要求</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第五章 谈判响应文件格式</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pPr>
        <w:pStyle w:val="4"/>
        <w:rPr>
          <w:rFonts w:hint="eastAsia" w:ascii="仿宋" w:hAnsi="仿宋" w:eastAsia="仿宋" w:cs="仿宋"/>
          <w:b/>
          <w:i w:val="0"/>
          <w:iCs w:val="0"/>
          <w:color w:val="auto"/>
          <w:sz w:val="24"/>
          <w:szCs w:val="21"/>
          <w:highlight w:val="none"/>
        </w:rPr>
      </w:pPr>
      <w:bookmarkStart w:id="151" w:name="_Toc385992333"/>
      <w:bookmarkStart w:id="152" w:name="_Toc70687147"/>
      <w:bookmarkStart w:id="153" w:name="_Toc184043020"/>
      <w:bookmarkStart w:id="154" w:name="_Toc249515398"/>
      <w:bookmarkStart w:id="155" w:name="_Toc249525167"/>
      <w:bookmarkStart w:id="156" w:name="_Toc249515286"/>
      <w:bookmarkStart w:id="157" w:name="_Toc389620172"/>
      <w:bookmarkStart w:id="158" w:name="_Toc10350"/>
      <w:r>
        <w:rPr>
          <w:rFonts w:hint="eastAsia" w:ascii="仿宋" w:hAnsi="仿宋" w:eastAsia="仿宋" w:cs="仿宋"/>
          <w:b/>
          <w:i w:val="0"/>
          <w:iCs w:val="0"/>
          <w:color w:val="auto"/>
          <w:sz w:val="24"/>
          <w:szCs w:val="21"/>
          <w:highlight w:val="none"/>
        </w:rPr>
        <w:t xml:space="preserve">7.    </w:t>
      </w:r>
      <w:r>
        <w:rPr>
          <w:rFonts w:hint="eastAsia" w:ascii="仿宋" w:hAnsi="仿宋" w:eastAsia="仿宋" w:cs="仿宋"/>
          <w:b/>
          <w:i w:val="0"/>
          <w:iCs w:val="0"/>
          <w:color w:val="auto"/>
          <w:sz w:val="24"/>
          <w:szCs w:val="21"/>
          <w:highlight w:val="none"/>
          <w:lang w:val="en-US" w:eastAsia="zh-CN"/>
        </w:rPr>
        <w:t xml:space="preserve"> </w:t>
      </w:r>
      <w:r>
        <w:rPr>
          <w:rFonts w:hint="eastAsia" w:ascii="仿宋" w:hAnsi="仿宋" w:eastAsia="仿宋" w:cs="仿宋"/>
          <w:b/>
          <w:i w:val="0"/>
          <w:iCs w:val="0"/>
          <w:color w:val="auto"/>
          <w:sz w:val="24"/>
          <w:szCs w:val="21"/>
          <w:highlight w:val="none"/>
        </w:rPr>
        <w:t>谈判文件的澄清</w:t>
      </w:r>
      <w:bookmarkEnd w:id="151"/>
      <w:bookmarkEnd w:id="152"/>
      <w:bookmarkEnd w:id="153"/>
      <w:bookmarkEnd w:id="154"/>
      <w:bookmarkEnd w:id="155"/>
      <w:bookmarkEnd w:id="156"/>
      <w:bookmarkEnd w:id="157"/>
      <w:r>
        <w:rPr>
          <w:rFonts w:hint="eastAsia" w:ascii="仿宋" w:hAnsi="仿宋" w:eastAsia="仿宋" w:cs="仿宋"/>
          <w:b/>
          <w:i w:val="0"/>
          <w:iCs w:val="0"/>
          <w:color w:val="auto"/>
          <w:sz w:val="24"/>
          <w:szCs w:val="21"/>
          <w:highlight w:val="none"/>
        </w:rPr>
        <w:t>和修改</w:t>
      </w:r>
      <w:bookmarkEnd w:id="158"/>
    </w:p>
    <w:p>
      <w:pPr>
        <w:tabs>
          <w:tab w:val="left" w:pos="588"/>
        </w:tabs>
        <w:spacing w:line="360" w:lineRule="auto"/>
        <w:ind w:left="840" w:hanging="840" w:hangingChars="350"/>
        <w:rPr>
          <w:rFonts w:hint="eastAsia" w:ascii="仿宋" w:hAnsi="仿宋" w:eastAsia="仿宋" w:cs="仿宋"/>
          <w:i w:val="0"/>
          <w:iCs w:val="0"/>
          <w:color w:val="auto"/>
          <w:sz w:val="24"/>
          <w:highlight w:val="none"/>
        </w:rPr>
      </w:pPr>
      <w:bookmarkStart w:id="159" w:name="_Toc385992334"/>
      <w:bookmarkStart w:id="160" w:name="_Toc70687148"/>
      <w:bookmarkStart w:id="161" w:name="_Toc389620173"/>
      <w:r>
        <w:rPr>
          <w:rFonts w:hint="eastAsia" w:ascii="仿宋" w:hAnsi="仿宋" w:eastAsia="仿宋" w:cs="仿宋"/>
          <w:i w:val="0"/>
          <w:iCs w:val="0"/>
          <w:color w:val="auto"/>
          <w:sz w:val="24"/>
          <w:highlight w:val="none"/>
        </w:rPr>
        <w:t xml:space="preserve">7.1   </w:t>
      </w:r>
      <w:bookmarkEnd w:id="159"/>
      <w:bookmarkEnd w:id="160"/>
      <w:bookmarkEnd w:id="161"/>
      <w:bookmarkStart w:id="162" w:name="_Hlt491765710"/>
      <w:bookmarkEnd w:id="162"/>
      <w:bookmarkStart w:id="163" w:name="_Hlt497729436"/>
      <w:bookmarkEnd w:id="163"/>
      <w:bookmarkStart w:id="164" w:name="_Toc70687149"/>
      <w:bookmarkStart w:id="165" w:name="_Toc499711046"/>
      <w:bookmarkStart w:id="166" w:name="_Toc499711887"/>
      <w:bookmarkStart w:id="167" w:name="_Toc389620174"/>
      <w:bookmarkStart w:id="168" w:name="_Toc500747192"/>
      <w:bookmarkStart w:id="169" w:name="_Toc500746969"/>
      <w:bookmarkStart w:id="170" w:name="_Toc503063425"/>
      <w:bookmarkStart w:id="171" w:name="_Toc500747065"/>
      <w:bookmarkStart w:id="172" w:name="_Toc496324582"/>
      <w:bookmarkStart w:id="173" w:name="_Toc385992335"/>
      <w:bookmarkStart w:id="174" w:name="_Toc53722843"/>
      <w:bookmarkStart w:id="175" w:name="_Toc492955418"/>
      <w:r>
        <w:rPr>
          <w:rFonts w:hint="eastAsia" w:ascii="仿宋" w:hAnsi="仿宋" w:eastAsia="仿宋" w:cs="仿宋"/>
          <w:i w:val="0"/>
          <w:iCs w:val="0"/>
          <w:color w:val="auto"/>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7.2    谈判文件的修改将以书面形式通知所有</w:t>
      </w:r>
      <w:r>
        <w:rPr>
          <w:rFonts w:hint="eastAsia" w:ascii="仿宋" w:hAnsi="仿宋" w:eastAsia="仿宋" w:cs="仿宋"/>
          <w:i w:val="0"/>
          <w:iCs w:val="0"/>
          <w:color w:val="auto"/>
          <w:sz w:val="24"/>
          <w:highlight w:val="none"/>
          <w:lang w:val="en-US" w:eastAsia="zh-CN"/>
        </w:rPr>
        <w:t>获取</w:t>
      </w:r>
      <w:r>
        <w:rPr>
          <w:rFonts w:hint="eastAsia" w:ascii="仿宋" w:hAnsi="仿宋" w:eastAsia="仿宋" w:cs="仿宋"/>
          <w:i w:val="0"/>
          <w:iCs w:val="0"/>
          <w:color w:val="auto"/>
          <w:sz w:val="24"/>
          <w:highlight w:val="none"/>
        </w:rPr>
        <w:t>谈判文件的供应商，并对其具有约束力。供应商在收到上述通知后，应立即向采购人回函确认。</w:t>
      </w:r>
    </w:p>
    <w:p>
      <w:pPr>
        <w:tabs>
          <w:tab w:val="left" w:pos="588"/>
        </w:tabs>
        <w:spacing w:line="360" w:lineRule="auto"/>
        <w:ind w:left="84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7.3    澄清或修改的内容可能影响响应文件编制的，采购人或采购代理机构可适当延长首次响应文件递交截止时间，并以书面形式通知所有</w:t>
      </w:r>
      <w:r>
        <w:rPr>
          <w:rFonts w:hint="eastAsia" w:ascii="仿宋" w:hAnsi="仿宋" w:eastAsia="仿宋" w:cs="仿宋"/>
          <w:i w:val="0"/>
          <w:iCs w:val="0"/>
          <w:color w:val="auto"/>
          <w:sz w:val="24"/>
          <w:highlight w:val="none"/>
          <w:lang w:val="en-US" w:eastAsia="zh-CN"/>
        </w:rPr>
        <w:t>获取</w:t>
      </w:r>
      <w:r>
        <w:rPr>
          <w:rFonts w:hint="eastAsia" w:ascii="仿宋" w:hAnsi="仿宋" w:eastAsia="仿宋" w:cs="仿宋"/>
          <w:i w:val="0"/>
          <w:iCs w:val="0"/>
          <w:color w:val="auto"/>
          <w:sz w:val="24"/>
          <w:highlight w:val="none"/>
        </w:rPr>
        <w:t>谈判文件的供应商。</w:t>
      </w:r>
    </w:p>
    <w:p>
      <w:pPr>
        <w:pStyle w:val="69"/>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28"/>
          <w:szCs w:val="28"/>
          <w:highlight w:val="none"/>
        </w:rPr>
      </w:pPr>
      <w:bookmarkStart w:id="176" w:name="_Toc230583544"/>
      <w:bookmarkStart w:id="177" w:name="_Toc58504664"/>
      <w:bookmarkStart w:id="178" w:name="_Toc177995476"/>
      <w:bookmarkStart w:id="179" w:name="_Toc249515288"/>
      <w:bookmarkStart w:id="180" w:name="_Toc249525169"/>
      <w:bookmarkStart w:id="181" w:name="_Toc256342146"/>
      <w:bookmarkStart w:id="182" w:name="_Toc177817337"/>
      <w:bookmarkStart w:id="183" w:name="_Toc230099800"/>
      <w:bookmarkStart w:id="184" w:name="_Toc177189238"/>
      <w:bookmarkStart w:id="185" w:name="_Toc176882545"/>
      <w:bookmarkStart w:id="186" w:name="_Toc232176275"/>
      <w:bookmarkStart w:id="187" w:name="_Toc184043022"/>
      <w:bookmarkStart w:id="188" w:name="_Toc230013635"/>
      <w:bookmarkStart w:id="189" w:name="_Toc232395215"/>
      <w:bookmarkStart w:id="190" w:name="_Toc249515400"/>
      <w:r>
        <w:rPr>
          <w:rFonts w:hint="eastAsia" w:ascii="仿宋" w:hAnsi="仿宋" w:eastAsia="仿宋" w:cs="仿宋"/>
          <w:b/>
          <w:i w:val="0"/>
          <w:iCs w:val="0"/>
          <w:color w:val="auto"/>
          <w:kern w:val="0"/>
          <w:sz w:val="28"/>
          <w:szCs w:val="28"/>
          <w:highlight w:val="none"/>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4"/>
        <w:tabs>
          <w:tab w:val="left" w:pos="360"/>
        </w:tabs>
        <w:rPr>
          <w:rFonts w:hint="eastAsia" w:ascii="仿宋" w:hAnsi="仿宋" w:eastAsia="仿宋" w:cs="仿宋"/>
          <w:b/>
          <w:i w:val="0"/>
          <w:iCs w:val="0"/>
          <w:color w:val="auto"/>
          <w:sz w:val="24"/>
          <w:szCs w:val="21"/>
          <w:highlight w:val="none"/>
        </w:rPr>
      </w:pPr>
      <w:bookmarkStart w:id="191" w:name="_Toc184043023"/>
      <w:bookmarkStart w:id="192" w:name="_Toc249515289"/>
      <w:bookmarkStart w:id="193" w:name="_Toc249525170"/>
      <w:bookmarkStart w:id="194" w:name="_Toc30150"/>
      <w:bookmarkStart w:id="195" w:name="_Toc70687150"/>
      <w:bookmarkStart w:id="196" w:name="_Toc249515401"/>
      <w:bookmarkStart w:id="197" w:name="_Toc385992337"/>
      <w:bookmarkStart w:id="198" w:name="_Toc389620176"/>
      <w:r>
        <w:rPr>
          <w:rFonts w:hint="eastAsia" w:ascii="仿宋" w:hAnsi="仿宋" w:eastAsia="仿宋" w:cs="仿宋"/>
          <w:b/>
          <w:i w:val="0"/>
          <w:iCs w:val="0"/>
          <w:color w:val="auto"/>
          <w:sz w:val="24"/>
          <w:szCs w:val="21"/>
          <w:highlight w:val="none"/>
        </w:rPr>
        <w:t>8.     响应文件语言</w:t>
      </w:r>
      <w:bookmarkEnd w:id="191"/>
      <w:bookmarkEnd w:id="192"/>
      <w:bookmarkEnd w:id="193"/>
      <w:bookmarkEnd w:id="194"/>
      <w:bookmarkEnd w:id="195"/>
      <w:bookmarkEnd w:id="196"/>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8.1    响应文件及与响应相关的所有文件均应以中文书写。</w:t>
      </w:r>
    </w:p>
    <w:p>
      <w:pPr>
        <w:pStyle w:val="4"/>
        <w:tabs>
          <w:tab w:val="left" w:pos="360"/>
        </w:tabs>
        <w:rPr>
          <w:rFonts w:hint="eastAsia" w:ascii="仿宋" w:hAnsi="仿宋" w:eastAsia="仿宋" w:cs="仿宋"/>
          <w:b/>
          <w:i w:val="0"/>
          <w:iCs w:val="0"/>
          <w:color w:val="auto"/>
          <w:sz w:val="24"/>
          <w:szCs w:val="21"/>
          <w:highlight w:val="none"/>
        </w:rPr>
      </w:pPr>
      <w:bookmarkStart w:id="199" w:name="_Toc249515290"/>
      <w:bookmarkStart w:id="200" w:name="_Toc70687151"/>
      <w:bookmarkStart w:id="201" w:name="_Toc249525171"/>
      <w:bookmarkStart w:id="202" w:name="_Toc184043024"/>
      <w:bookmarkStart w:id="203" w:name="_Toc249515402"/>
      <w:bookmarkStart w:id="204" w:name="_Toc18327"/>
      <w:r>
        <w:rPr>
          <w:rFonts w:hint="eastAsia" w:ascii="仿宋" w:hAnsi="仿宋" w:eastAsia="仿宋" w:cs="仿宋"/>
          <w:b/>
          <w:i w:val="0"/>
          <w:iCs w:val="0"/>
          <w:color w:val="auto"/>
          <w:sz w:val="24"/>
          <w:szCs w:val="21"/>
          <w:highlight w:val="none"/>
        </w:rPr>
        <w:t>9.     计量单位</w:t>
      </w:r>
      <w:bookmarkEnd w:id="197"/>
      <w:bookmarkEnd w:id="198"/>
      <w:bookmarkEnd w:id="199"/>
      <w:bookmarkEnd w:id="200"/>
      <w:bookmarkEnd w:id="201"/>
      <w:bookmarkEnd w:id="202"/>
      <w:bookmarkEnd w:id="203"/>
      <w:bookmarkEnd w:id="204"/>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9.1    除在谈判文件的技术规格中另有规定外，计量单位应使用中华人民共和国法定计量单位。</w:t>
      </w:r>
    </w:p>
    <w:p>
      <w:pPr>
        <w:pStyle w:val="4"/>
        <w:tabs>
          <w:tab w:val="left" w:pos="360"/>
        </w:tabs>
        <w:rPr>
          <w:rFonts w:hint="eastAsia" w:ascii="仿宋" w:hAnsi="仿宋" w:eastAsia="仿宋" w:cs="仿宋"/>
          <w:b/>
          <w:i w:val="0"/>
          <w:iCs w:val="0"/>
          <w:color w:val="auto"/>
          <w:sz w:val="24"/>
          <w:szCs w:val="21"/>
          <w:highlight w:val="none"/>
        </w:rPr>
      </w:pPr>
      <w:bookmarkStart w:id="205" w:name="_Toc249525172"/>
      <w:bookmarkStart w:id="206" w:name="_Toc184043025"/>
      <w:bookmarkStart w:id="207" w:name="_Toc249515291"/>
      <w:bookmarkStart w:id="208" w:name="_Toc249515403"/>
      <w:bookmarkStart w:id="209" w:name="_Toc70687152"/>
      <w:bookmarkStart w:id="210" w:name="_Toc29318"/>
      <w:bookmarkStart w:id="211" w:name="_Toc385992338"/>
      <w:bookmarkStart w:id="212" w:name="_Toc389620177"/>
      <w:r>
        <w:rPr>
          <w:rFonts w:hint="eastAsia" w:ascii="仿宋" w:hAnsi="仿宋" w:eastAsia="仿宋" w:cs="仿宋"/>
          <w:b/>
          <w:i w:val="0"/>
          <w:iCs w:val="0"/>
          <w:color w:val="auto"/>
          <w:sz w:val="24"/>
          <w:szCs w:val="21"/>
          <w:highlight w:val="none"/>
        </w:rPr>
        <w:t>10.    响应文件的组成</w:t>
      </w:r>
      <w:bookmarkEnd w:id="205"/>
      <w:bookmarkEnd w:id="206"/>
      <w:bookmarkEnd w:id="207"/>
      <w:bookmarkEnd w:id="208"/>
      <w:bookmarkEnd w:id="209"/>
      <w:bookmarkEnd w:id="210"/>
      <w:bookmarkEnd w:id="211"/>
      <w:bookmarkEnd w:id="212"/>
    </w:p>
    <w:p>
      <w:pPr>
        <w:tabs>
          <w:tab w:val="left" w:pos="588"/>
        </w:tabs>
        <w:spacing w:line="360" w:lineRule="auto"/>
        <w:ind w:left="840" w:leftChars="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10.1   供应商编写的响应文件</w:t>
      </w:r>
      <w:r>
        <w:rPr>
          <w:rFonts w:hint="eastAsia" w:ascii="仿宋" w:hAnsi="仿宋" w:eastAsia="仿宋" w:cs="仿宋"/>
          <w:b/>
          <w:i w:val="0"/>
          <w:iCs w:val="0"/>
          <w:color w:val="auto"/>
          <w:sz w:val="24"/>
          <w:highlight w:val="none"/>
        </w:rPr>
        <w:t>由《</w:t>
      </w:r>
      <w:r>
        <w:rPr>
          <w:rFonts w:hint="eastAsia" w:ascii="仿宋" w:hAnsi="仿宋" w:eastAsia="仿宋" w:cs="仿宋"/>
          <w:b/>
          <w:i w:val="0"/>
          <w:iCs w:val="0"/>
          <w:color w:val="auto"/>
          <w:sz w:val="24"/>
          <w:highlight w:val="none"/>
          <w:lang w:eastAsia="zh-CN"/>
        </w:rPr>
        <w:t>谈判响应文件</w:t>
      </w:r>
      <w:r>
        <w:rPr>
          <w:rFonts w:hint="eastAsia" w:ascii="仿宋" w:hAnsi="仿宋" w:eastAsia="仿宋" w:cs="仿宋"/>
          <w:b/>
          <w:i w:val="0"/>
          <w:iCs w:val="0"/>
          <w:color w:val="auto"/>
          <w:sz w:val="24"/>
          <w:highlight w:val="none"/>
        </w:rPr>
        <w:t>》</w:t>
      </w:r>
      <w:r>
        <w:rPr>
          <w:rFonts w:hint="eastAsia" w:ascii="仿宋" w:hAnsi="仿宋" w:eastAsia="仿宋" w:cs="仿宋"/>
          <w:i w:val="0"/>
          <w:iCs w:val="0"/>
          <w:color w:val="auto"/>
          <w:sz w:val="24"/>
          <w:highlight w:val="none"/>
        </w:rPr>
        <w:t>组成。供应商应完整地按照</w:t>
      </w:r>
      <w:r>
        <w:rPr>
          <w:rFonts w:hint="eastAsia" w:ascii="仿宋" w:hAnsi="仿宋" w:eastAsia="仿宋" w:cs="仿宋"/>
          <w:i w:val="0"/>
          <w:iCs w:val="0"/>
          <w:color w:val="auto"/>
          <w:sz w:val="24"/>
          <w:highlight w:val="none"/>
          <w:lang w:eastAsia="zh-CN"/>
        </w:rPr>
        <w:t>谈判</w:t>
      </w:r>
      <w:r>
        <w:rPr>
          <w:rFonts w:hint="eastAsia" w:ascii="仿宋" w:hAnsi="仿宋" w:eastAsia="仿宋" w:cs="仿宋"/>
          <w:i w:val="0"/>
          <w:iCs w:val="0"/>
          <w:color w:val="auto"/>
          <w:sz w:val="24"/>
          <w:highlight w:val="none"/>
        </w:rPr>
        <w:t>文件提供的响应文件格式及要求编写响应文件。响应文件中资格审查和符合性审查涉及的事项不满足要求的，其响应文件将被认定为无效。</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 xml:space="preserve">10.2    </w:t>
      </w:r>
      <w:r>
        <w:rPr>
          <w:rFonts w:hint="eastAsia" w:ascii="仿宋" w:hAnsi="仿宋" w:eastAsia="仿宋" w:cs="仿宋"/>
          <w:i w:val="0"/>
          <w:iCs w:val="0"/>
          <w:color w:val="auto"/>
          <w:sz w:val="24"/>
          <w:highlight w:val="none"/>
        </w:rPr>
        <w:t>供应商编写的响应文件由以下</w:t>
      </w:r>
      <w:r>
        <w:rPr>
          <w:rFonts w:hint="eastAsia" w:ascii="仿宋" w:hAnsi="仿宋" w:eastAsia="仿宋" w:cs="仿宋"/>
          <w:i w:val="0"/>
          <w:iCs w:val="0"/>
          <w:color w:val="auto"/>
          <w:sz w:val="24"/>
          <w:highlight w:val="none"/>
          <w:lang w:eastAsia="zh-CN"/>
        </w:rPr>
        <w:t>七</w:t>
      </w:r>
      <w:r>
        <w:rPr>
          <w:rFonts w:hint="eastAsia" w:ascii="仿宋" w:hAnsi="仿宋" w:eastAsia="仿宋" w:cs="仿宋"/>
          <w:i w:val="0"/>
          <w:iCs w:val="0"/>
          <w:color w:val="auto"/>
          <w:sz w:val="24"/>
          <w:highlight w:val="none"/>
        </w:rPr>
        <w:t>部分组成，应包括但不限于以下内容：</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第一部分  谈判响应函</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第二部分  谈判响应报价表 </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第三部分  偏离表</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第四部分  响应方案说明</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第五部分  授权委托书及法定代表人证明</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第六部分  资格证明文件</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第七部分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小微企业、监狱企业、残疾人福利单位声明函或证明</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10.</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 xml:space="preserve">   供应商提供的以上材料必须真实有效，任何一项的虚假将导致其响应被拒绝。</w:t>
      </w:r>
    </w:p>
    <w:p>
      <w:pPr>
        <w:pStyle w:val="4"/>
        <w:tabs>
          <w:tab w:val="left" w:pos="360"/>
        </w:tabs>
        <w:rPr>
          <w:rFonts w:hint="eastAsia" w:ascii="仿宋" w:hAnsi="仿宋" w:eastAsia="仿宋" w:cs="仿宋"/>
          <w:b/>
          <w:i w:val="0"/>
          <w:iCs w:val="0"/>
          <w:color w:val="auto"/>
          <w:sz w:val="24"/>
          <w:szCs w:val="21"/>
          <w:highlight w:val="none"/>
        </w:rPr>
      </w:pPr>
      <w:bookmarkStart w:id="213" w:name="_Toc184043026"/>
      <w:bookmarkStart w:id="214" w:name="_Toc70687153"/>
      <w:bookmarkStart w:id="215" w:name="_Toc249525173"/>
      <w:bookmarkStart w:id="216" w:name="_Toc389620178"/>
      <w:bookmarkStart w:id="217" w:name="_Toc249515404"/>
      <w:bookmarkStart w:id="218" w:name="_Toc385992339"/>
      <w:bookmarkStart w:id="219" w:name="_Toc249515292"/>
      <w:bookmarkStart w:id="220" w:name="_Toc26312"/>
      <w:r>
        <w:rPr>
          <w:rFonts w:hint="eastAsia" w:ascii="仿宋" w:hAnsi="仿宋" w:eastAsia="仿宋" w:cs="仿宋"/>
          <w:b/>
          <w:i w:val="0"/>
          <w:iCs w:val="0"/>
          <w:color w:val="auto"/>
          <w:sz w:val="24"/>
          <w:highlight w:val="none"/>
        </w:rPr>
        <w:t>11.    响应文件格式</w:t>
      </w:r>
      <w:bookmarkEnd w:id="213"/>
      <w:bookmarkEnd w:id="214"/>
      <w:bookmarkEnd w:id="215"/>
      <w:bookmarkEnd w:id="216"/>
      <w:bookmarkEnd w:id="217"/>
      <w:bookmarkEnd w:id="218"/>
      <w:bookmarkEnd w:id="219"/>
      <w:bookmarkEnd w:id="220"/>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11.1   对于谈判文件第五章中已经提供了格式的响应文件内容，供应商必须按提供的响应文件格式进行填写和编制，没有提供格式的可自行设计。</w:t>
      </w:r>
    </w:p>
    <w:p>
      <w:pPr>
        <w:pStyle w:val="4"/>
        <w:tabs>
          <w:tab w:val="left" w:pos="360"/>
        </w:tabs>
        <w:rPr>
          <w:rFonts w:hint="eastAsia" w:ascii="仿宋" w:hAnsi="仿宋" w:eastAsia="仿宋" w:cs="仿宋"/>
          <w:b/>
          <w:i w:val="0"/>
          <w:iCs w:val="0"/>
          <w:color w:val="auto"/>
          <w:sz w:val="24"/>
          <w:szCs w:val="21"/>
          <w:highlight w:val="none"/>
        </w:rPr>
      </w:pPr>
      <w:bookmarkStart w:id="221" w:name="_Toc26688"/>
      <w:r>
        <w:rPr>
          <w:rFonts w:hint="eastAsia" w:ascii="仿宋" w:hAnsi="仿宋" w:eastAsia="仿宋" w:cs="仿宋"/>
          <w:b/>
          <w:i w:val="0"/>
          <w:iCs w:val="0"/>
          <w:color w:val="auto"/>
          <w:sz w:val="24"/>
          <w:szCs w:val="21"/>
          <w:highlight w:val="none"/>
        </w:rPr>
        <w:t>12.    响应报价</w:t>
      </w:r>
      <w:bookmarkEnd w:id="221"/>
    </w:p>
    <w:p>
      <w:pPr>
        <w:tabs>
          <w:tab w:val="left" w:pos="540"/>
          <w:tab w:val="left" w:pos="720"/>
        </w:tabs>
        <w:spacing w:line="360" w:lineRule="auto"/>
        <w:ind w:left="84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kern w:val="24"/>
          <w:sz w:val="24"/>
          <w:szCs w:val="21"/>
          <w:highlight w:val="none"/>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hint="eastAsia" w:ascii="仿宋" w:hAnsi="仿宋" w:eastAsia="仿宋" w:cs="仿宋"/>
          <w:b/>
          <w:i w:val="0"/>
          <w:iCs w:val="0"/>
          <w:color w:val="auto"/>
          <w:kern w:val="24"/>
          <w:sz w:val="24"/>
          <w:szCs w:val="21"/>
          <w:highlight w:val="none"/>
        </w:rPr>
        <w:t>供应商须知前附表。</w:t>
      </w:r>
    </w:p>
    <w:p>
      <w:pPr>
        <w:tabs>
          <w:tab w:val="left" w:pos="540"/>
          <w:tab w:val="left" w:pos="8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12.2   供应商应在响应分项报价表中详细列出所报货物和</w:t>
      </w:r>
      <w:r>
        <w:rPr>
          <w:rFonts w:hint="eastAsia" w:ascii="仿宋" w:hAnsi="仿宋" w:eastAsia="仿宋" w:cs="仿宋"/>
          <w:i w:val="0"/>
          <w:iCs w:val="0"/>
          <w:color w:val="auto"/>
          <w:sz w:val="24"/>
          <w:highlight w:val="none"/>
        </w:rPr>
        <w:t>服务</w:t>
      </w:r>
      <w:r>
        <w:rPr>
          <w:rFonts w:hint="eastAsia" w:ascii="仿宋" w:hAnsi="仿宋" w:eastAsia="仿宋" w:cs="仿宋"/>
          <w:i w:val="0"/>
          <w:iCs w:val="0"/>
          <w:color w:val="auto"/>
          <w:kern w:val="24"/>
          <w:sz w:val="24"/>
          <w:szCs w:val="21"/>
          <w:highlight w:val="none"/>
        </w:rPr>
        <w:t>的单价（如适用）和总价，并由法定代表人或其授权代表签署并加盖公章。响应分项报价表上的价格应按谈判文件第五章的格式填写。</w:t>
      </w:r>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12.5   供应商每次对每种</w:t>
      </w:r>
      <w:r>
        <w:rPr>
          <w:rFonts w:hint="eastAsia" w:ascii="仿宋" w:hAnsi="仿宋" w:eastAsia="仿宋" w:cs="仿宋"/>
          <w:i w:val="0"/>
          <w:iCs w:val="0"/>
          <w:color w:val="auto"/>
          <w:kern w:val="24"/>
          <w:sz w:val="24"/>
          <w:szCs w:val="21"/>
          <w:highlight w:val="none"/>
          <w:u w:val="single"/>
        </w:rPr>
        <w:t>产品</w:t>
      </w:r>
      <w:r>
        <w:rPr>
          <w:rFonts w:hint="eastAsia" w:ascii="仿宋" w:hAnsi="仿宋" w:eastAsia="仿宋" w:cs="仿宋"/>
          <w:i w:val="0"/>
          <w:iCs w:val="0"/>
          <w:color w:val="auto"/>
          <w:kern w:val="24"/>
          <w:sz w:val="24"/>
          <w:szCs w:val="21"/>
          <w:highlight w:val="none"/>
        </w:rPr>
        <w:t>只允许有一个报价，采购人不接受有任何选择的报价。</w:t>
      </w:r>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sz w:val="24"/>
          <w:highlight w:val="none"/>
        </w:rPr>
        <w:t>12.6   供应商根据本须知12.2条规定将响应报价分成几部分并按</w:t>
      </w:r>
      <w:r>
        <w:rPr>
          <w:rFonts w:hint="eastAsia" w:ascii="仿宋" w:hAnsi="仿宋" w:eastAsia="仿宋" w:cs="仿宋"/>
          <w:i w:val="0"/>
          <w:iCs w:val="0"/>
          <w:color w:val="auto"/>
          <w:kern w:val="24"/>
          <w:sz w:val="24"/>
          <w:szCs w:val="21"/>
          <w:highlight w:val="none"/>
        </w:rPr>
        <w:t>谈判文件第五章提供的格式填写“响应分项报价表”，只是为了方便采购人对响应文件进行比较，并不限制采购人以其它方式签订合同的权力。</w:t>
      </w:r>
    </w:p>
    <w:p>
      <w:pPr>
        <w:pStyle w:val="4"/>
        <w:tabs>
          <w:tab w:val="left" w:pos="360"/>
        </w:tabs>
        <w:rPr>
          <w:rFonts w:hint="eastAsia" w:ascii="仿宋" w:hAnsi="仿宋" w:eastAsia="仿宋" w:cs="仿宋"/>
          <w:b/>
          <w:i w:val="0"/>
          <w:iCs w:val="0"/>
          <w:color w:val="auto"/>
          <w:sz w:val="24"/>
          <w:szCs w:val="21"/>
          <w:highlight w:val="none"/>
        </w:rPr>
      </w:pPr>
      <w:bookmarkStart w:id="222" w:name="_Toc70687155"/>
      <w:bookmarkStart w:id="223" w:name="_Toc184043028"/>
      <w:bookmarkStart w:id="224" w:name="_Toc249525175"/>
      <w:bookmarkStart w:id="225" w:name="_Toc249515406"/>
      <w:bookmarkStart w:id="226" w:name="_Toc385992341"/>
      <w:bookmarkStart w:id="227" w:name="_Toc389620180"/>
      <w:bookmarkStart w:id="228" w:name="_Toc249515294"/>
      <w:bookmarkStart w:id="229" w:name="_Toc20687"/>
      <w:r>
        <w:rPr>
          <w:rFonts w:hint="eastAsia" w:ascii="仿宋" w:hAnsi="仿宋" w:eastAsia="仿宋" w:cs="仿宋"/>
          <w:b/>
          <w:i w:val="0"/>
          <w:iCs w:val="0"/>
          <w:color w:val="auto"/>
          <w:sz w:val="24"/>
          <w:szCs w:val="21"/>
          <w:highlight w:val="none"/>
        </w:rPr>
        <w:t>13.    报价货币</w:t>
      </w:r>
      <w:bookmarkEnd w:id="222"/>
      <w:bookmarkEnd w:id="223"/>
      <w:bookmarkEnd w:id="224"/>
      <w:bookmarkEnd w:id="225"/>
      <w:bookmarkEnd w:id="226"/>
      <w:bookmarkEnd w:id="227"/>
      <w:bookmarkEnd w:id="228"/>
      <w:bookmarkEnd w:id="229"/>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13.1   谈判响应函、响应报价一览表、响应分项报价表、最后报价表等所有报价一律用人民币填报。采购人不接受任何非人民币币种的报价。</w:t>
      </w:r>
      <w:bookmarkStart w:id="230" w:name="_Toc385992342"/>
      <w:bookmarkStart w:id="231" w:name="_Toc389620181"/>
    </w:p>
    <w:bookmarkEnd w:id="230"/>
    <w:bookmarkEnd w:id="231"/>
    <w:p>
      <w:pPr>
        <w:pStyle w:val="4"/>
        <w:tabs>
          <w:tab w:val="left" w:pos="360"/>
        </w:tabs>
        <w:rPr>
          <w:rFonts w:hint="eastAsia" w:ascii="仿宋" w:hAnsi="仿宋" w:eastAsia="仿宋" w:cs="仿宋"/>
          <w:b/>
          <w:i w:val="0"/>
          <w:iCs w:val="0"/>
          <w:color w:val="auto"/>
          <w:kern w:val="24"/>
          <w:sz w:val="24"/>
          <w:szCs w:val="21"/>
          <w:highlight w:val="none"/>
        </w:rPr>
      </w:pPr>
      <w:bookmarkStart w:id="232" w:name="止观"/>
      <w:bookmarkEnd w:id="232"/>
      <w:r>
        <w:rPr>
          <w:rFonts w:hint="eastAsia" w:ascii="仿宋" w:hAnsi="仿宋" w:eastAsia="仿宋" w:cs="仿宋"/>
          <w:b/>
          <w:i w:val="0"/>
          <w:iCs w:val="0"/>
          <w:color w:val="auto"/>
          <w:sz w:val="24"/>
          <w:szCs w:val="21"/>
          <w:highlight w:val="none"/>
        </w:rPr>
        <w:t>14.    谈判保证金</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sz w:val="24"/>
          <w:szCs w:val="21"/>
          <w:highlight w:val="none"/>
        </w:rPr>
        <w:t xml:space="preserve">14.1   </w:t>
      </w:r>
      <w:r>
        <w:rPr>
          <w:rFonts w:hint="eastAsia" w:ascii="仿宋" w:hAnsi="仿宋" w:eastAsia="仿宋" w:cs="仿宋"/>
          <w:sz w:val="24"/>
        </w:rPr>
        <w:t>本项目采用“投标信用承诺书”代替投标保证金</w:t>
      </w:r>
      <w:r>
        <w:rPr>
          <w:rFonts w:hint="eastAsia" w:ascii="仿宋" w:hAnsi="仿宋" w:eastAsia="仿宋" w:cs="仿宋"/>
          <w:i w:val="0"/>
          <w:iCs w:val="0"/>
          <w:color w:val="auto"/>
          <w:sz w:val="24"/>
          <w:szCs w:val="21"/>
          <w:highlight w:val="none"/>
        </w:rPr>
        <w:t>。</w:t>
      </w:r>
    </w:p>
    <w:p>
      <w:pPr>
        <w:tabs>
          <w:tab w:val="left" w:pos="360"/>
          <w:tab w:val="left" w:pos="502"/>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14.2   保证金的货币为人民币，并采用下列任何一种非现金形式向采购代理机构递交：</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电汇；</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银行转账；</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支票、汇票、本票、金融机构或担保机构出具的保函等非现金形式。</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14.4   凡没有根据本须知第14.1条的规定随附保证金的响应文件，将被视为非响应予以拒绝。</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14.5   未成交供应商的保证金, 采购代理机构将在成交通知书发出后5个工作日内退还。</w:t>
      </w:r>
    </w:p>
    <w:p>
      <w:pPr>
        <w:tabs>
          <w:tab w:val="left" w:pos="360"/>
          <w:tab w:val="left" w:pos="502"/>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14.6   成交供应商的保证金在按本须知第</w:t>
      </w:r>
      <w:r>
        <w:rPr>
          <w:rFonts w:hint="eastAsia" w:ascii="仿宋" w:hAnsi="仿宋" w:eastAsia="仿宋" w:cs="仿宋"/>
          <w:i w:val="0"/>
          <w:iCs w:val="0"/>
          <w:color w:val="auto"/>
          <w:kern w:val="24"/>
          <w:sz w:val="24"/>
          <w:szCs w:val="21"/>
          <w:highlight w:val="none"/>
          <w:lang w:val="en-US" w:eastAsia="zh-CN"/>
        </w:rPr>
        <w:t>26</w:t>
      </w:r>
      <w:r>
        <w:rPr>
          <w:rFonts w:hint="eastAsia" w:ascii="仿宋" w:hAnsi="仿宋" w:eastAsia="仿宋" w:cs="仿宋"/>
          <w:i w:val="0"/>
          <w:iCs w:val="0"/>
          <w:color w:val="auto"/>
          <w:kern w:val="24"/>
          <w:sz w:val="24"/>
          <w:szCs w:val="21"/>
          <w:highlight w:val="none"/>
        </w:rPr>
        <w:t>条规定签订合同后5个工作日退还。</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8"/>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供应商在提交响应文件截止时间后撤回响应文件的；</w:t>
      </w:r>
    </w:p>
    <w:p>
      <w:pPr>
        <w:numPr>
          <w:ilvl w:val="0"/>
          <w:numId w:val="8"/>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供应商在响应文件中提供虚假材料的；</w:t>
      </w:r>
    </w:p>
    <w:p>
      <w:pPr>
        <w:numPr>
          <w:ilvl w:val="0"/>
          <w:numId w:val="8"/>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除因不可抗力外，成交供应商在规定期限内未能根据本须知第</w:t>
      </w:r>
      <w:r>
        <w:rPr>
          <w:rFonts w:hint="eastAsia" w:ascii="仿宋" w:hAnsi="仿宋" w:eastAsia="仿宋" w:cs="仿宋"/>
          <w:i w:val="0"/>
          <w:iCs w:val="0"/>
          <w:color w:val="auto"/>
          <w:kern w:val="24"/>
          <w:sz w:val="24"/>
          <w:szCs w:val="21"/>
          <w:highlight w:val="none"/>
          <w:lang w:val="en-US" w:eastAsia="zh-CN"/>
        </w:rPr>
        <w:t>26</w:t>
      </w:r>
      <w:r>
        <w:rPr>
          <w:rFonts w:hint="eastAsia" w:ascii="仿宋" w:hAnsi="仿宋" w:eastAsia="仿宋" w:cs="仿宋"/>
          <w:i w:val="0"/>
          <w:iCs w:val="0"/>
          <w:color w:val="auto"/>
          <w:kern w:val="24"/>
          <w:sz w:val="24"/>
          <w:szCs w:val="21"/>
          <w:highlight w:val="none"/>
        </w:rPr>
        <w:t xml:space="preserve">条规定签订合同； </w:t>
      </w:r>
    </w:p>
    <w:p>
      <w:pPr>
        <w:numPr>
          <w:ilvl w:val="0"/>
          <w:numId w:val="8"/>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供应商与采购人、其他供应商或者采购代理机构恶意串通的；</w:t>
      </w:r>
    </w:p>
    <w:p>
      <w:pPr>
        <w:numPr>
          <w:ilvl w:val="0"/>
          <w:numId w:val="8"/>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成交供应商未按本须知第</w:t>
      </w:r>
      <w:r>
        <w:rPr>
          <w:rFonts w:hint="eastAsia" w:ascii="仿宋" w:hAnsi="仿宋" w:eastAsia="仿宋" w:cs="仿宋"/>
          <w:i w:val="0"/>
          <w:iCs w:val="0"/>
          <w:color w:val="auto"/>
          <w:kern w:val="24"/>
          <w:sz w:val="24"/>
          <w:szCs w:val="21"/>
          <w:highlight w:val="none"/>
          <w:lang w:val="en-US" w:eastAsia="zh-CN"/>
        </w:rPr>
        <w:t>29</w:t>
      </w:r>
      <w:r>
        <w:rPr>
          <w:rFonts w:hint="eastAsia" w:ascii="仿宋" w:hAnsi="仿宋" w:eastAsia="仿宋" w:cs="仿宋"/>
          <w:i w:val="0"/>
          <w:iCs w:val="0"/>
          <w:color w:val="auto"/>
          <w:kern w:val="24"/>
          <w:sz w:val="24"/>
          <w:szCs w:val="21"/>
          <w:highlight w:val="none"/>
        </w:rPr>
        <w:t>条规定缴纳服务费。</w:t>
      </w:r>
    </w:p>
    <w:p>
      <w:pPr>
        <w:pStyle w:val="4"/>
        <w:numPr>
          <w:ilvl w:val="0"/>
          <w:numId w:val="9"/>
        </w:numPr>
        <w:tabs>
          <w:tab w:val="left" w:pos="360"/>
        </w:tabs>
        <w:rPr>
          <w:rFonts w:hint="eastAsia" w:ascii="仿宋" w:hAnsi="仿宋" w:eastAsia="仿宋" w:cs="仿宋"/>
          <w:b/>
          <w:i w:val="0"/>
          <w:iCs w:val="0"/>
          <w:color w:val="auto"/>
          <w:sz w:val="24"/>
          <w:szCs w:val="21"/>
          <w:highlight w:val="none"/>
        </w:rPr>
      </w:pPr>
      <w:bookmarkStart w:id="233" w:name="_Toc249525177"/>
      <w:bookmarkStart w:id="234" w:name="_Toc249515408"/>
      <w:bookmarkStart w:id="235" w:name="_Toc7949"/>
      <w:bookmarkStart w:id="236" w:name="_Toc249515296"/>
      <w:r>
        <w:rPr>
          <w:rFonts w:hint="eastAsia" w:ascii="仿宋" w:hAnsi="仿宋" w:eastAsia="仿宋" w:cs="仿宋"/>
          <w:b/>
          <w:i w:val="0"/>
          <w:iCs w:val="0"/>
          <w:color w:val="auto"/>
          <w:sz w:val="24"/>
          <w:szCs w:val="21"/>
          <w:highlight w:val="none"/>
        </w:rPr>
        <w:t xml:space="preserve">   谈判有效期</w:t>
      </w:r>
      <w:bookmarkEnd w:id="233"/>
      <w:bookmarkEnd w:id="234"/>
      <w:bookmarkEnd w:id="235"/>
      <w:bookmarkEnd w:id="236"/>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15.1   谈判有效期见</w:t>
      </w:r>
      <w:r>
        <w:rPr>
          <w:rFonts w:hint="eastAsia" w:ascii="仿宋" w:hAnsi="仿宋" w:eastAsia="仿宋" w:cs="仿宋"/>
          <w:b/>
          <w:i w:val="0"/>
          <w:iCs w:val="0"/>
          <w:color w:val="auto"/>
          <w:sz w:val="24"/>
          <w:highlight w:val="none"/>
        </w:rPr>
        <w:t>本须知前附表</w:t>
      </w:r>
      <w:r>
        <w:rPr>
          <w:rFonts w:hint="eastAsia" w:ascii="仿宋" w:hAnsi="仿宋" w:eastAsia="仿宋" w:cs="仿宋"/>
          <w:i w:val="0"/>
          <w:iCs w:val="0"/>
          <w:color w:val="auto"/>
          <w:sz w:val="24"/>
          <w:highlight w:val="none"/>
        </w:rPr>
        <w:t>。在谈判有效期内，所有响应文件均保持有效。响应文件的有效期比本须知规定的有效期短的，将被视为非实质响应，采购人有权拒绝。</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15.2   特殊情况下，采购人可于原谈判有效期满之前要求供应商同意延长有效期，要求与答复均应为书面形式。供应商可以拒绝上述要求，其投标保证金不被没收。对于同意该要求的供应商，既不要求也不允许其修改响应文件，但将要求其相应延长投标保证金的有效期，有关退还和没收投标保证金的规定在谈判有效期的延长期内继续有效。</w:t>
      </w:r>
    </w:p>
    <w:p>
      <w:pPr>
        <w:pStyle w:val="4"/>
        <w:tabs>
          <w:tab w:val="left" w:pos="360"/>
        </w:tabs>
        <w:rPr>
          <w:rFonts w:hint="eastAsia" w:ascii="仿宋" w:hAnsi="仿宋" w:eastAsia="仿宋" w:cs="仿宋"/>
          <w:b/>
          <w:i w:val="0"/>
          <w:iCs w:val="0"/>
          <w:color w:val="auto"/>
          <w:sz w:val="24"/>
          <w:szCs w:val="21"/>
          <w:highlight w:val="none"/>
        </w:rPr>
      </w:pPr>
      <w:bookmarkStart w:id="237" w:name="_Toc249525178"/>
      <w:bookmarkStart w:id="238" w:name="_Toc249515409"/>
      <w:bookmarkStart w:id="239" w:name="_Toc389620185"/>
      <w:bookmarkStart w:id="240" w:name="_Toc184043033"/>
      <w:bookmarkStart w:id="241" w:name="_Toc70687160"/>
      <w:bookmarkStart w:id="242" w:name="_Toc385992346"/>
      <w:bookmarkStart w:id="243" w:name="_Toc16612"/>
      <w:bookmarkStart w:id="244" w:name="_Toc249515297"/>
      <w:r>
        <w:rPr>
          <w:rFonts w:hint="eastAsia" w:ascii="仿宋" w:hAnsi="仿宋" w:eastAsia="仿宋" w:cs="仿宋"/>
          <w:b/>
          <w:i w:val="0"/>
          <w:iCs w:val="0"/>
          <w:color w:val="auto"/>
          <w:sz w:val="24"/>
          <w:szCs w:val="21"/>
          <w:highlight w:val="none"/>
        </w:rPr>
        <w:t>16.    响应文件的制作和签署</w:t>
      </w:r>
      <w:bookmarkEnd w:id="237"/>
      <w:bookmarkEnd w:id="238"/>
      <w:bookmarkEnd w:id="239"/>
      <w:bookmarkEnd w:id="240"/>
      <w:bookmarkEnd w:id="241"/>
      <w:bookmarkEnd w:id="242"/>
      <w:bookmarkEnd w:id="243"/>
      <w:bookmarkEnd w:id="244"/>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16.1   供应商应准备一份响应文件正本和“</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”中规定数目的副本，每套响应文件须清楚地标明“正本”、“副本”。若正本和副本不符，以正本为准。</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16.2   响应文件须用中文编写，并采用A4纸张装订成册。装订须牢固，不易拆散和换页，采用软胶装，不得采用活页方式装订，封面不建议硬装。</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16.4   任何行间插字、涂改或增删，必须由响应文件签字人将姓或首字母在旁边签字才有效。</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16.5   采购人不接受以电报、电话、传真、电子邮件形式递交的响应文件。</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lang w:eastAsia="zh-CN"/>
        </w:rPr>
      </w:pPr>
      <w:bookmarkStart w:id="245" w:name="_Hlt491765640"/>
      <w:bookmarkEnd w:id="245"/>
      <w:bookmarkStart w:id="246" w:name="_Toc249515410"/>
      <w:bookmarkStart w:id="247" w:name="_Toc177817338"/>
      <w:bookmarkStart w:id="248" w:name="_Toc70687161"/>
      <w:bookmarkStart w:id="249" w:name="_Toc177995477"/>
      <w:bookmarkStart w:id="250" w:name="_Toc385992347"/>
      <w:bookmarkStart w:id="251" w:name="_Toc389620186"/>
      <w:bookmarkStart w:id="252" w:name="_Toc184043034"/>
      <w:bookmarkStart w:id="253" w:name="_Toc249525179"/>
      <w:bookmarkStart w:id="254" w:name="_Toc58504665"/>
      <w:bookmarkStart w:id="255" w:name="_Toc500747193"/>
      <w:bookmarkStart w:id="256" w:name="_Toc232176276"/>
      <w:bookmarkStart w:id="257" w:name="_Toc499711888"/>
      <w:bookmarkStart w:id="258" w:name="_Toc500746970"/>
      <w:bookmarkStart w:id="259" w:name="_Toc230099801"/>
      <w:bookmarkStart w:id="260" w:name="_Toc249515298"/>
      <w:bookmarkStart w:id="261" w:name="_Toc496324583"/>
      <w:bookmarkStart w:id="262" w:name="_Toc53722844"/>
      <w:bookmarkStart w:id="263" w:name="_Toc176882546"/>
      <w:bookmarkStart w:id="264" w:name="_Toc230583545"/>
      <w:bookmarkStart w:id="265" w:name="_Toc499711047"/>
      <w:bookmarkStart w:id="266" w:name="_Toc177189239"/>
      <w:bookmarkStart w:id="267" w:name="_Toc500747066"/>
      <w:bookmarkStart w:id="268" w:name="_Toc230013636"/>
      <w:bookmarkStart w:id="269" w:name="_Toc503063426"/>
      <w:bookmarkStart w:id="270" w:name="_Toc256342147"/>
      <w:bookmarkStart w:id="271" w:name="_Toc492955419"/>
      <w:bookmarkStart w:id="272" w:name="_Toc232395216"/>
      <w:r>
        <w:rPr>
          <w:rFonts w:hint="eastAsia" w:ascii="仿宋" w:hAnsi="仿宋" w:eastAsia="仿宋" w:cs="仿宋"/>
          <w:b/>
          <w:i w:val="0"/>
          <w:iCs w:val="0"/>
          <w:color w:val="auto"/>
          <w:kern w:val="0"/>
          <w:sz w:val="28"/>
          <w:szCs w:val="28"/>
          <w:highlight w:val="none"/>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hint="eastAsia" w:ascii="仿宋" w:hAnsi="仿宋" w:eastAsia="仿宋" w:cs="仿宋"/>
          <w:b/>
          <w:i w:val="0"/>
          <w:iCs w:val="0"/>
          <w:color w:val="auto"/>
          <w:kern w:val="0"/>
          <w:sz w:val="28"/>
          <w:szCs w:val="28"/>
          <w:highlight w:val="none"/>
          <w:lang w:eastAsia="zh-CN"/>
        </w:rPr>
        <w:t>（线上标无需递交）</w:t>
      </w:r>
    </w:p>
    <w:p>
      <w:pPr>
        <w:pStyle w:val="4"/>
        <w:tabs>
          <w:tab w:val="left" w:pos="360"/>
        </w:tabs>
        <w:rPr>
          <w:rFonts w:hint="eastAsia" w:ascii="仿宋" w:hAnsi="仿宋" w:eastAsia="仿宋" w:cs="仿宋"/>
          <w:b/>
          <w:i w:val="0"/>
          <w:iCs w:val="0"/>
          <w:color w:val="auto"/>
          <w:sz w:val="24"/>
          <w:szCs w:val="21"/>
          <w:highlight w:val="none"/>
        </w:rPr>
      </w:pPr>
      <w:bookmarkStart w:id="273" w:name="_Toc249515299"/>
      <w:bookmarkStart w:id="274" w:name="_Toc249525180"/>
      <w:bookmarkStart w:id="275" w:name="_Toc385992348"/>
      <w:bookmarkStart w:id="276" w:name="_Toc4042"/>
      <w:bookmarkStart w:id="277" w:name="_Toc389620187"/>
      <w:bookmarkStart w:id="278" w:name="_Toc184043035"/>
      <w:bookmarkStart w:id="279" w:name="_Toc249515411"/>
      <w:bookmarkStart w:id="280" w:name="_Toc70687162"/>
      <w:r>
        <w:rPr>
          <w:rFonts w:hint="eastAsia" w:ascii="仿宋" w:hAnsi="仿宋" w:eastAsia="仿宋" w:cs="仿宋"/>
          <w:b/>
          <w:i w:val="0"/>
          <w:iCs w:val="0"/>
          <w:color w:val="auto"/>
          <w:sz w:val="24"/>
          <w:szCs w:val="21"/>
          <w:highlight w:val="none"/>
        </w:rPr>
        <w:t>17.    响应文件的密封和标记</w:t>
      </w:r>
      <w:bookmarkEnd w:id="273"/>
      <w:bookmarkEnd w:id="274"/>
      <w:bookmarkEnd w:id="275"/>
      <w:bookmarkEnd w:id="276"/>
      <w:bookmarkEnd w:id="277"/>
      <w:bookmarkEnd w:id="278"/>
      <w:bookmarkEnd w:id="279"/>
      <w:bookmarkEnd w:id="280"/>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bookmarkStart w:id="281" w:name="_Toc389620188"/>
      <w:bookmarkStart w:id="282" w:name="_Toc385992349"/>
      <w:bookmarkStart w:id="283" w:name="_Toc70687163"/>
      <w:bookmarkStart w:id="284" w:name="_Toc184043036"/>
      <w:r>
        <w:rPr>
          <w:rFonts w:hint="eastAsia" w:ascii="仿宋" w:hAnsi="仿宋" w:eastAsia="仿宋" w:cs="仿宋"/>
          <w:i w:val="0"/>
          <w:iCs w:val="0"/>
          <w:color w:val="auto"/>
          <w:kern w:val="0"/>
          <w:sz w:val="24"/>
          <w:szCs w:val="21"/>
          <w:highlight w:val="none"/>
        </w:rPr>
        <w:t>17.1   供应商应将响应文件正本和所有副本分别密封在两个密封袋（箱）中（正本一包，副本一包），并在密封袋（箱）上标明“正本”、“副本”字样，封口处应加盖公章或授权代表签字。</w:t>
      </w:r>
    </w:p>
    <w:p>
      <w:pPr>
        <w:tabs>
          <w:tab w:val="left" w:pos="360"/>
          <w:tab w:val="left" w:pos="502"/>
          <w:tab w:val="left" w:pos="588"/>
        </w:tabs>
        <w:autoSpaceDE w:val="0"/>
        <w:autoSpaceDN w:val="0"/>
        <w:adjustRightInd w:val="0"/>
        <w:spacing w:line="360" w:lineRule="auto"/>
        <w:ind w:left="840" w:hanging="840" w:hangingChars="350"/>
        <w:rPr>
          <w:rFonts w:hint="eastAsia" w:ascii="仿宋" w:hAnsi="仿宋" w:eastAsia="仿宋" w:cs="仿宋"/>
          <w:i w:val="0"/>
          <w:iCs w:val="0"/>
          <w:color w:val="auto"/>
          <w:sz w:val="24"/>
          <w:szCs w:val="21"/>
          <w:highlight w:val="none"/>
        </w:rPr>
      </w:pPr>
      <w:r>
        <w:rPr>
          <w:rFonts w:hint="eastAsia" w:ascii="仿宋" w:hAnsi="仿宋" w:eastAsia="仿宋" w:cs="仿宋"/>
          <w:i w:val="0"/>
          <w:iCs w:val="0"/>
          <w:color w:val="auto"/>
          <w:kern w:val="0"/>
          <w:sz w:val="24"/>
          <w:szCs w:val="21"/>
          <w:highlight w:val="none"/>
        </w:rPr>
        <w:t>17.2   密封袋（箱）上标识的内容见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szCs w:val="21"/>
          <w:highlight w:val="none"/>
        </w:rPr>
        <w:t>响应文件</w:t>
      </w:r>
      <w:r>
        <w:rPr>
          <w:rFonts w:hint="eastAsia" w:ascii="仿宋" w:hAnsi="仿宋" w:eastAsia="仿宋" w:cs="仿宋"/>
          <w:i w:val="0"/>
          <w:iCs w:val="0"/>
          <w:color w:val="auto"/>
          <w:kern w:val="0"/>
          <w:sz w:val="24"/>
          <w:szCs w:val="21"/>
          <w:highlight w:val="none"/>
        </w:rPr>
        <w:t>如果</w:t>
      </w:r>
      <w:r>
        <w:rPr>
          <w:rFonts w:hint="eastAsia" w:ascii="仿宋" w:hAnsi="仿宋" w:eastAsia="仿宋" w:cs="仿宋"/>
          <w:i w:val="0"/>
          <w:iCs w:val="0"/>
          <w:color w:val="auto"/>
          <w:sz w:val="24"/>
          <w:szCs w:val="21"/>
          <w:highlight w:val="none"/>
        </w:rPr>
        <w:t>未按上述规定密封和标记，采购代理机构应当拒绝接收。</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w:t>
      </w:r>
    </w:p>
    <w:bookmarkEnd w:id="281"/>
    <w:bookmarkEnd w:id="282"/>
    <w:p>
      <w:pPr>
        <w:pStyle w:val="4"/>
        <w:tabs>
          <w:tab w:val="left" w:pos="360"/>
        </w:tabs>
        <w:rPr>
          <w:rFonts w:hint="eastAsia" w:ascii="仿宋" w:hAnsi="仿宋" w:eastAsia="仿宋" w:cs="仿宋"/>
          <w:b/>
          <w:i w:val="0"/>
          <w:iCs w:val="0"/>
          <w:color w:val="auto"/>
          <w:sz w:val="24"/>
          <w:szCs w:val="21"/>
          <w:highlight w:val="none"/>
        </w:rPr>
      </w:pPr>
      <w:bookmarkStart w:id="285" w:name="_Toc249515300"/>
      <w:bookmarkStart w:id="286" w:name="_Toc249525181"/>
      <w:bookmarkStart w:id="287" w:name="_Toc249515412"/>
      <w:bookmarkStart w:id="288" w:name="_Toc31171"/>
      <w:r>
        <w:rPr>
          <w:rFonts w:hint="eastAsia" w:ascii="仿宋" w:hAnsi="仿宋" w:eastAsia="仿宋" w:cs="仿宋"/>
          <w:b/>
          <w:i w:val="0"/>
          <w:iCs w:val="0"/>
          <w:color w:val="auto"/>
          <w:sz w:val="24"/>
          <w:szCs w:val="21"/>
          <w:highlight w:val="none"/>
        </w:rPr>
        <w:t>18.    响应文件递交截止时间</w:t>
      </w:r>
      <w:bookmarkEnd w:id="283"/>
      <w:bookmarkEnd w:id="284"/>
      <w:bookmarkEnd w:id="285"/>
      <w:bookmarkEnd w:id="286"/>
      <w:bookmarkEnd w:id="287"/>
      <w:bookmarkEnd w:id="288"/>
    </w:p>
    <w:p>
      <w:pPr>
        <w:tabs>
          <w:tab w:val="left" w:pos="360"/>
          <w:tab w:val="left" w:pos="502"/>
          <w:tab w:val="left" w:pos="588"/>
        </w:tabs>
        <w:spacing w:line="360" w:lineRule="auto"/>
        <w:rPr>
          <w:rFonts w:hint="eastAsia" w:ascii="仿宋" w:hAnsi="仿宋" w:eastAsia="仿宋" w:cs="仿宋"/>
          <w:i w:val="0"/>
          <w:iCs w:val="0"/>
          <w:color w:val="auto"/>
          <w:sz w:val="24"/>
          <w:highlight w:val="none"/>
        </w:rPr>
      </w:pPr>
      <w:bookmarkStart w:id="289" w:name="_Toc389620189"/>
      <w:bookmarkStart w:id="290" w:name="_Toc385992350"/>
      <w:bookmarkStart w:id="291" w:name="_Toc184043037"/>
      <w:bookmarkStart w:id="292" w:name="_Toc70687164"/>
      <w:r>
        <w:rPr>
          <w:rFonts w:hint="eastAsia" w:ascii="仿宋" w:hAnsi="仿宋" w:eastAsia="仿宋" w:cs="仿宋"/>
          <w:i w:val="0"/>
          <w:iCs w:val="0"/>
          <w:color w:val="auto"/>
          <w:sz w:val="24"/>
          <w:highlight w:val="none"/>
        </w:rPr>
        <w:t>18.1   响应文件递交截止时间和地点见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18.2   供应商须由其合法的授权人在响应文件递交截止时间之前将响应文件在响应文件递交地点送达采购人并签字确认。供应商须承担因未送达并签字所造成的一切责任。</w:t>
      </w:r>
    </w:p>
    <w:p>
      <w:pPr>
        <w:tabs>
          <w:tab w:val="left" w:pos="360"/>
          <w:tab w:val="left" w:pos="502"/>
          <w:tab w:val="left" w:pos="588"/>
        </w:tabs>
        <w:spacing w:line="360" w:lineRule="auto"/>
        <w:ind w:left="854" w:hanging="854"/>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18.3   采购人可以按本须知第7条规定，通知修改谈判文件，适当延长响应文件递交截止时间。在此情况下，采购人和供应商受响应文件递交截止时间制约的所有权利和义务均应延长至新的截止期。</w:t>
      </w:r>
    </w:p>
    <w:p>
      <w:pPr>
        <w:pStyle w:val="4"/>
        <w:tabs>
          <w:tab w:val="left" w:pos="360"/>
        </w:tabs>
        <w:rPr>
          <w:rFonts w:hint="eastAsia" w:ascii="仿宋" w:hAnsi="仿宋" w:eastAsia="仿宋" w:cs="仿宋"/>
          <w:b/>
          <w:i w:val="0"/>
          <w:iCs w:val="0"/>
          <w:color w:val="auto"/>
          <w:sz w:val="24"/>
          <w:szCs w:val="21"/>
          <w:highlight w:val="none"/>
        </w:rPr>
      </w:pPr>
      <w:bookmarkStart w:id="293" w:name="_Toc7175"/>
      <w:bookmarkStart w:id="294" w:name="_Toc249515301"/>
      <w:bookmarkStart w:id="295" w:name="_Toc249515413"/>
      <w:bookmarkStart w:id="296" w:name="_Toc249525182"/>
      <w:r>
        <w:rPr>
          <w:rFonts w:hint="eastAsia" w:ascii="仿宋" w:hAnsi="仿宋" w:eastAsia="仿宋" w:cs="仿宋"/>
          <w:b/>
          <w:i w:val="0"/>
          <w:iCs w:val="0"/>
          <w:color w:val="auto"/>
          <w:sz w:val="24"/>
          <w:szCs w:val="21"/>
          <w:highlight w:val="none"/>
        </w:rPr>
        <w:t>19.    迟交的响应文件</w:t>
      </w:r>
      <w:bookmarkEnd w:id="289"/>
      <w:bookmarkEnd w:id="290"/>
      <w:bookmarkEnd w:id="291"/>
      <w:bookmarkEnd w:id="292"/>
      <w:bookmarkEnd w:id="293"/>
      <w:bookmarkEnd w:id="294"/>
      <w:bookmarkEnd w:id="295"/>
      <w:bookmarkEnd w:id="296"/>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19.1   采购人将拒绝接收第18条规定的响应文件递交截止时间后递交的任何响应文件。</w:t>
      </w:r>
    </w:p>
    <w:p>
      <w:pPr>
        <w:pStyle w:val="4"/>
        <w:tabs>
          <w:tab w:val="left" w:pos="360"/>
        </w:tabs>
        <w:rPr>
          <w:rFonts w:hint="eastAsia" w:ascii="仿宋" w:hAnsi="仿宋" w:eastAsia="仿宋" w:cs="仿宋"/>
          <w:b/>
          <w:i w:val="0"/>
          <w:iCs w:val="0"/>
          <w:color w:val="auto"/>
          <w:sz w:val="24"/>
          <w:szCs w:val="21"/>
          <w:highlight w:val="none"/>
        </w:rPr>
      </w:pPr>
      <w:bookmarkStart w:id="297" w:name="_Toc389620190"/>
      <w:bookmarkStart w:id="298" w:name="_Toc249525183"/>
      <w:bookmarkStart w:id="299" w:name="_Toc70687165"/>
      <w:bookmarkStart w:id="300" w:name="_Toc184043038"/>
      <w:bookmarkStart w:id="301" w:name="_Toc10272"/>
      <w:bookmarkStart w:id="302" w:name="_Toc249515302"/>
      <w:bookmarkStart w:id="303" w:name="_Toc385992351"/>
      <w:bookmarkStart w:id="304" w:name="_Toc249515414"/>
      <w:r>
        <w:rPr>
          <w:rFonts w:hint="eastAsia" w:ascii="仿宋" w:hAnsi="仿宋" w:eastAsia="仿宋" w:cs="仿宋"/>
          <w:b/>
          <w:i w:val="0"/>
          <w:iCs w:val="0"/>
          <w:color w:val="auto"/>
          <w:sz w:val="24"/>
          <w:szCs w:val="21"/>
          <w:highlight w:val="none"/>
        </w:rPr>
        <w:t>20.    响应文件的修改和撤</w:t>
      </w:r>
      <w:bookmarkEnd w:id="297"/>
      <w:bookmarkEnd w:id="298"/>
      <w:bookmarkEnd w:id="299"/>
      <w:bookmarkEnd w:id="300"/>
      <w:bookmarkEnd w:id="301"/>
      <w:bookmarkEnd w:id="302"/>
      <w:bookmarkEnd w:id="303"/>
      <w:bookmarkEnd w:id="304"/>
      <w:r>
        <w:rPr>
          <w:rFonts w:hint="eastAsia" w:ascii="仿宋" w:hAnsi="仿宋" w:eastAsia="仿宋" w:cs="仿宋"/>
          <w:b/>
          <w:i w:val="0"/>
          <w:iCs w:val="0"/>
          <w:color w:val="auto"/>
          <w:sz w:val="24"/>
          <w:szCs w:val="21"/>
          <w:highlight w:val="none"/>
        </w:rPr>
        <w:t>回</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20.2   供应商对响应文件修改的书面材料或撤回的通知应按第16和17条规定进行编写、密封、标注和递送，并注明“修改响应文件”或“撤回响应文件”字样。</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20.3   在响应文件递交截止时间之后，供应商不得对其响应文件做任何修改。</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20.4   供应商不得在响应文件递交截止时间起至响应文件有效期期满前撤销其响应文件。</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305" w:name="_Hlt491765712"/>
      <w:bookmarkEnd w:id="305"/>
      <w:bookmarkStart w:id="306" w:name="_Hlt497729441"/>
      <w:bookmarkEnd w:id="306"/>
      <w:bookmarkStart w:id="307" w:name="_Toc232395217"/>
      <w:bookmarkStart w:id="308" w:name="_Toc232176277"/>
      <w:bookmarkStart w:id="309" w:name="_Toc214357452"/>
      <w:bookmarkStart w:id="310" w:name="_Toc249515303"/>
      <w:bookmarkStart w:id="311" w:name="_Toc249515415"/>
      <w:bookmarkStart w:id="312" w:name="_Toc249525184"/>
      <w:bookmarkStart w:id="313" w:name="_Toc256342148"/>
      <w:bookmarkStart w:id="314" w:name="_Toc58504666"/>
      <w:bookmarkStart w:id="315" w:name="_Toc492955420"/>
      <w:bookmarkStart w:id="316" w:name="_Toc496324584"/>
      <w:bookmarkStart w:id="317" w:name="_Toc176882547"/>
      <w:bookmarkStart w:id="318" w:name="_Toc177817339"/>
      <w:bookmarkStart w:id="319" w:name="_Toc500747194"/>
      <w:bookmarkStart w:id="320" w:name="_Toc503063427"/>
      <w:bookmarkStart w:id="321" w:name="_Toc385992352"/>
      <w:bookmarkStart w:id="322" w:name="_Toc500747067"/>
      <w:bookmarkStart w:id="323" w:name="_Toc70687166"/>
      <w:bookmarkStart w:id="324" w:name="_Toc500746971"/>
      <w:bookmarkStart w:id="325" w:name="_Toc499711889"/>
      <w:bookmarkStart w:id="326" w:name="_Toc177995478"/>
      <w:bookmarkStart w:id="327" w:name="_Toc53722845"/>
      <w:bookmarkStart w:id="328" w:name="_Toc499711048"/>
      <w:bookmarkStart w:id="329" w:name="_Toc389620191"/>
      <w:bookmarkStart w:id="330" w:name="_Toc184043039"/>
      <w:bookmarkStart w:id="331" w:name="_Toc177189240"/>
      <w:r>
        <w:rPr>
          <w:rFonts w:hint="eastAsia" w:ascii="仿宋" w:hAnsi="仿宋" w:eastAsia="仿宋" w:cs="仿宋"/>
          <w:b/>
          <w:i w:val="0"/>
          <w:iCs w:val="0"/>
          <w:color w:val="auto"/>
          <w:kern w:val="0"/>
          <w:sz w:val="28"/>
          <w:szCs w:val="28"/>
          <w:highlight w:val="none"/>
        </w:rPr>
        <w:t>五、</w:t>
      </w:r>
      <w:bookmarkEnd w:id="307"/>
      <w:bookmarkEnd w:id="308"/>
      <w:bookmarkEnd w:id="309"/>
      <w:r>
        <w:rPr>
          <w:rFonts w:hint="eastAsia" w:ascii="仿宋" w:hAnsi="仿宋" w:eastAsia="仿宋" w:cs="仿宋"/>
          <w:b/>
          <w:i w:val="0"/>
          <w:iCs w:val="0"/>
          <w:color w:val="auto"/>
          <w:kern w:val="0"/>
          <w:sz w:val="28"/>
          <w:szCs w:val="28"/>
          <w:highlight w:val="none"/>
        </w:rPr>
        <w:t>评审与</w:t>
      </w:r>
      <w:bookmarkEnd w:id="310"/>
      <w:bookmarkEnd w:id="311"/>
      <w:bookmarkEnd w:id="312"/>
      <w:bookmarkEnd w:id="313"/>
      <w:r>
        <w:rPr>
          <w:rFonts w:hint="eastAsia" w:ascii="仿宋" w:hAnsi="仿宋" w:eastAsia="仿宋" w:cs="仿宋"/>
          <w:b/>
          <w:i w:val="0"/>
          <w:iCs w:val="0"/>
          <w:color w:val="auto"/>
          <w:kern w:val="0"/>
          <w:sz w:val="28"/>
          <w:szCs w:val="28"/>
          <w:highlight w:val="none"/>
        </w:rPr>
        <w:t>谈判</w:t>
      </w:r>
      <w:bookmarkEnd w:id="314"/>
    </w:p>
    <w:p>
      <w:pPr>
        <w:pStyle w:val="4"/>
        <w:tabs>
          <w:tab w:val="left" w:pos="360"/>
        </w:tabs>
        <w:rPr>
          <w:rFonts w:hint="eastAsia" w:ascii="仿宋" w:hAnsi="仿宋" w:eastAsia="仿宋" w:cs="仿宋"/>
          <w:b/>
          <w:i w:val="0"/>
          <w:iCs w:val="0"/>
          <w:color w:val="auto"/>
          <w:sz w:val="24"/>
          <w:szCs w:val="21"/>
          <w:highlight w:val="none"/>
        </w:rPr>
      </w:pPr>
      <w:r>
        <w:rPr>
          <w:rFonts w:hint="eastAsia" w:ascii="仿宋" w:hAnsi="仿宋" w:eastAsia="仿宋" w:cs="仿宋"/>
          <w:b/>
          <w:i w:val="0"/>
          <w:iCs w:val="0"/>
          <w:color w:val="auto"/>
          <w:sz w:val="24"/>
          <w:szCs w:val="21"/>
          <w:highlight w:val="none"/>
        </w:rPr>
        <w:t>21.    谈判小组</w:t>
      </w:r>
    </w:p>
    <w:p>
      <w:pPr>
        <w:pStyle w:val="28"/>
        <w:adjustRightInd w:val="0"/>
        <w:snapToGrid w:val="0"/>
        <w:ind w:left="840" w:hanging="840" w:hangingChars="35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   在谈判开始前组建谈判小组，谈判小组由采购人代表及有关专家组成。专家从政府采购评审专家库相关专业中随机抽取。谈判小组组成见</w:t>
      </w:r>
      <w:r>
        <w:rPr>
          <w:rFonts w:hint="eastAsia" w:ascii="仿宋" w:hAnsi="仿宋" w:eastAsia="仿宋" w:cs="仿宋"/>
          <w:b/>
          <w:i w:val="0"/>
          <w:iCs w:val="0"/>
          <w:color w:val="auto"/>
          <w:sz w:val="24"/>
          <w:highlight w:val="none"/>
        </w:rPr>
        <w:t>供应商须知前附表。</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   谈判小组职责</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（1）确认竞争性谈判文件。审阅谈判文件，无修改进行签字确认。有修改，修改内容经采购人确认后，谈判小组以书面形式通知所有供应商。</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（2）确定符合要求的供应商参加谈判；</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（3）审查供应商的响应文件并做出评价；</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（4）要求供应商解释或者澄清其响应文件；</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（5）编写评审报告；</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（6）告知采购人、采购代理机构在评审过程中发现的供应商的违法违规行为。</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21.3   谈判小组义务</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（1）遵纪守法、客观、公正、廉洁地履行职责；</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（2）根据谈判文件的规定独立进行评审，对个人的评审意见承担法律责任；</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（3）参与评审报告的起草；</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（4）配合采购人、采购代理机构答复供应商提出的质疑；</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（5）配合财政部门的投诉处理和监督检查工作。</w:t>
      </w:r>
    </w:p>
    <w:p>
      <w:pPr>
        <w:pStyle w:val="28"/>
        <w:adjustRightInd w:val="0"/>
        <w:snapToGrid w:val="0"/>
        <w:rPr>
          <w:rFonts w:hint="eastAsia" w:ascii="仿宋" w:hAnsi="仿宋" w:eastAsia="仿宋" w:cs="仿宋"/>
          <w:i w:val="0"/>
          <w:iCs w:val="0"/>
          <w:color w:val="auto"/>
          <w:sz w:val="24"/>
          <w:szCs w:val="24"/>
          <w:highlight w:val="none"/>
        </w:rPr>
      </w:pPr>
      <w:bookmarkStart w:id="332" w:name="_Toc83547667"/>
      <w:r>
        <w:rPr>
          <w:rFonts w:hint="eastAsia" w:ascii="仿宋" w:hAnsi="仿宋" w:eastAsia="仿宋" w:cs="仿宋"/>
          <w:i w:val="0"/>
          <w:iCs w:val="0"/>
          <w:color w:val="auto"/>
          <w:sz w:val="24"/>
          <w:szCs w:val="24"/>
          <w:highlight w:val="none"/>
        </w:rPr>
        <w:t>21.4   谈判小组成员有下列情形之一的，应当回避：</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（1）参加采购活动前3年内与供应商存在劳动关系；</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（2）参加采购活动前3年内担任供应商的董事、监事；</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（3）参加采购活动前3年内是供应商的控股股东或者实际控制人；</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（4）与供应商的法定代表人或者负责人有夫妻、直系血亲、三代以内旁系血亲或者近姻亲关系；</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（5）与供应商有其他可能影响政府采购活动公平、公正进行的关系。</w:t>
      </w:r>
    </w:p>
    <w:p>
      <w:pPr>
        <w:pStyle w:val="4"/>
        <w:tabs>
          <w:tab w:val="left" w:pos="360"/>
        </w:tabs>
        <w:rPr>
          <w:rFonts w:hint="eastAsia" w:ascii="仿宋" w:hAnsi="仿宋" w:eastAsia="仿宋" w:cs="仿宋"/>
          <w:b/>
          <w:i w:val="0"/>
          <w:iCs w:val="0"/>
          <w:color w:val="auto"/>
          <w:sz w:val="24"/>
          <w:szCs w:val="21"/>
          <w:highlight w:val="none"/>
        </w:rPr>
      </w:pPr>
      <w:bookmarkStart w:id="333" w:name="_Toc249515306"/>
      <w:bookmarkStart w:id="334" w:name="_Toc20608"/>
      <w:bookmarkStart w:id="335" w:name="_Toc249525187"/>
      <w:bookmarkStart w:id="336" w:name="_Toc249515418"/>
      <w:r>
        <w:rPr>
          <w:rFonts w:hint="eastAsia" w:ascii="仿宋" w:hAnsi="仿宋" w:eastAsia="仿宋" w:cs="仿宋"/>
          <w:b/>
          <w:i w:val="0"/>
          <w:iCs w:val="0"/>
          <w:color w:val="auto"/>
          <w:sz w:val="24"/>
          <w:szCs w:val="21"/>
          <w:highlight w:val="none"/>
        </w:rPr>
        <w:t>22.    谈判程序</w:t>
      </w:r>
    </w:p>
    <w:p>
      <w:pPr>
        <w:pStyle w:val="4"/>
        <w:tabs>
          <w:tab w:val="left" w:pos="360"/>
        </w:tabs>
        <w:rPr>
          <w:rFonts w:hint="eastAsia" w:ascii="仿宋" w:hAnsi="仿宋" w:eastAsia="仿宋" w:cs="仿宋"/>
          <w:b/>
          <w:i w:val="0"/>
          <w:iCs w:val="0"/>
          <w:color w:val="auto"/>
          <w:sz w:val="24"/>
          <w:szCs w:val="21"/>
          <w:highlight w:val="none"/>
        </w:rPr>
      </w:pPr>
      <w:bookmarkStart w:id="337" w:name="_Toc58504507"/>
      <w:r>
        <w:rPr>
          <w:rFonts w:hint="eastAsia" w:ascii="仿宋" w:hAnsi="仿宋" w:eastAsia="仿宋" w:cs="仿宋"/>
          <w:b/>
          <w:i w:val="0"/>
          <w:iCs w:val="0"/>
          <w:color w:val="auto"/>
          <w:sz w:val="24"/>
          <w:szCs w:val="21"/>
          <w:highlight w:val="none"/>
        </w:rPr>
        <w:t>22.1   谈判会议</w:t>
      </w:r>
      <w:bookmarkEnd w:id="337"/>
    </w:p>
    <w:p>
      <w:pPr>
        <w:pStyle w:val="22"/>
        <w:ind w:left="840" w:leftChars="400"/>
        <w:rPr>
          <w:rFonts w:hint="eastAsia" w:ascii="仿宋" w:hAnsi="仿宋" w:eastAsia="仿宋" w:cs="仿宋"/>
          <w:i w:val="0"/>
          <w:iCs w:val="0"/>
          <w:color w:val="auto"/>
          <w:sz w:val="24"/>
          <w:highlight w:val="none"/>
          <w:lang w:eastAsia="zh-CN"/>
        </w:rPr>
      </w:pPr>
      <w:bookmarkStart w:id="338" w:name="_Toc58504508"/>
      <w:r>
        <w:rPr>
          <w:rFonts w:hint="eastAsia" w:ascii="仿宋" w:hAnsi="仿宋" w:eastAsia="仿宋" w:cs="仿宋"/>
          <w:i w:val="0"/>
          <w:iCs w:val="0"/>
          <w:color w:val="auto"/>
          <w:sz w:val="24"/>
          <w:highlight w:val="none"/>
        </w:rPr>
        <w:t>在谈判文件规定的时间和地点，由采购代理机构组织谈判工作，</w:t>
      </w:r>
      <w:bookmarkEnd w:id="338"/>
      <w:r>
        <w:rPr>
          <w:rFonts w:hint="eastAsia" w:ascii="仿宋" w:hAnsi="仿宋" w:eastAsia="仿宋" w:cs="仿宋"/>
          <w:i w:val="0"/>
          <w:iCs w:val="0"/>
          <w:color w:val="auto"/>
          <w:sz w:val="24"/>
          <w:highlight w:val="none"/>
          <w:lang w:eastAsia="zh-CN"/>
        </w:rPr>
        <w:t>供应商根据采购代理机构所述流程进行谈判会议的开标工作。</w:t>
      </w:r>
    </w:p>
    <w:p>
      <w:pPr>
        <w:pStyle w:val="4"/>
        <w:tabs>
          <w:tab w:val="left" w:pos="360"/>
        </w:tabs>
        <w:rPr>
          <w:rFonts w:hint="eastAsia" w:ascii="仿宋" w:hAnsi="仿宋" w:eastAsia="仿宋" w:cs="仿宋"/>
          <w:b/>
          <w:i w:val="0"/>
          <w:iCs w:val="0"/>
          <w:color w:val="auto"/>
          <w:sz w:val="24"/>
          <w:szCs w:val="21"/>
          <w:highlight w:val="none"/>
        </w:rPr>
      </w:pPr>
      <w:bookmarkStart w:id="339" w:name="_Toc58504511"/>
      <w:r>
        <w:rPr>
          <w:rFonts w:hint="eastAsia" w:ascii="仿宋" w:hAnsi="仿宋" w:eastAsia="仿宋" w:cs="仿宋"/>
          <w:b/>
          <w:i w:val="0"/>
          <w:iCs w:val="0"/>
          <w:color w:val="auto"/>
          <w:sz w:val="24"/>
          <w:szCs w:val="21"/>
          <w:highlight w:val="none"/>
        </w:rPr>
        <w:t>22.2   响应文件</w:t>
      </w:r>
      <w:bookmarkEnd w:id="332"/>
      <w:bookmarkEnd w:id="333"/>
      <w:bookmarkEnd w:id="334"/>
      <w:bookmarkEnd w:id="335"/>
      <w:bookmarkEnd w:id="336"/>
      <w:r>
        <w:rPr>
          <w:rFonts w:hint="eastAsia" w:ascii="仿宋" w:hAnsi="仿宋" w:eastAsia="仿宋" w:cs="仿宋"/>
          <w:b/>
          <w:i w:val="0"/>
          <w:iCs w:val="0"/>
          <w:color w:val="auto"/>
          <w:sz w:val="24"/>
          <w:szCs w:val="21"/>
          <w:highlight w:val="none"/>
        </w:rPr>
        <w:t>评审</w:t>
      </w:r>
      <w:bookmarkEnd w:id="339"/>
    </w:p>
    <w:p>
      <w:pPr>
        <w:tabs>
          <w:tab w:val="left" w:pos="360"/>
          <w:tab w:val="left" w:pos="588"/>
        </w:tabs>
        <w:spacing w:line="360" w:lineRule="auto"/>
        <w:ind w:left="843" w:hanging="843" w:hangingChars="350"/>
        <w:rPr>
          <w:rFonts w:hint="eastAsia" w:ascii="仿宋" w:hAnsi="仿宋" w:eastAsia="仿宋" w:cs="仿宋"/>
          <w:i w:val="0"/>
          <w:iCs w:val="0"/>
          <w:color w:val="auto"/>
          <w:sz w:val="24"/>
          <w:highlight w:val="none"/>
        </w:rPr>
      </w:pPr>
      <w:bookmarkStart w:id="340" w:name="_Toc83547671"/>
      <w:r>
        <w:rPr>
          <w:rFonts w:hint="eastAsia" w:ascii="仿宋" w:hAnsi="仿宋" w:eastAsia="仿宋" w:cs="仿宋"/>
          <w:b/>
          <w:i w:val="0"/>
          <w:iCs w:val="0"/>
          <w:color w:val="auto"/>
          <w:sz w:val="24"/>
          <w:highlight w:val="none"/>
        </w:rPr>
        <w:t>22.2.1 响应文件的资格性审查</w:t>
      </w:r>
      <w:r>
        <w:rPr>
          <w:rFonts w:hint="eastAsia" w:ascii="仿宋" w:hAnsi="仿宋" w:eastAsia="仿宋" w:cs="仿宋"/>
          <w:i w:val="0"/>
          <w:iCs w:val="0"/>
          <w:color w:val="auto"/>
          <w:sz w:val="24"/>
          <w:highlight w:val="none"/>
        </w:rPr>
        <w:t>。依据《政府采购法》第二十三条和谈判文件的规定，</w:t>
      </w:r>
      <w:r>
        <w:rPr>
          <w:rFonts w:hint="eastAsia" w:ascii="仿宋" w:hAnsi="仿宋" w:eastAsia="仿宋" w:cs="仿宋"/>
          <w:b/>
          <w:i w:val="0"/>
          <w:iCs w:val="0"/>
          <w:color w:val="auto"/>
          <w:sz w:val="24"/>
          <w:highlight w:val="none"/>
        </w:rPr>
        <w:t>采购人或采购代理机构</w:t>
      </w:r>
      <w:r>
        <w:rPr>
          <w:rFonts w:hint="eastAsia" w:ascii="仿宋" w:hAnsi="仿宋" w:eastAsia="仿宋" w:cs="仿宋"/>
          <w:i w:val="0"/>
          <w:iCs w:val="0"/>
          <w:color w:val="auto"/>
          <w:sz w:val="24"/>
          <w:highlight w:val="none"/>
        </w:rPr>
        <w:t>负责对响应文件中的资格证明文件、信用查询记录等进行审查，以确认供应商具备相应资格。资格性审查出现下列情况者（但不限于），按无效文件处理：</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（1）供应商资格不符合《中华人民共和国政府采购法》第二十二条的规定和特定资格条件要求的。</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（2）供应商没有经过正常渠道购买或免费领取谈判文件或供应商的名称与</w:t>
      </w:r>
      <w:r>
        <w:rPr>
          <w:rFonts w:hint="eastAsia" w:ascii="仿宋" w:hAnsi="仿宋" w:eastAsia="仿宋" w:cs="仿宋"/>
          <w:i w:val="0"/>
          <w:iCs w:val="0"/>
          <w:color w:val="auto"/>
          <w:sz w:val="24"/>
          <w:szCs w:val="32"/>
          <w:highlight w:val="none"/>
          <w:lang w:val="en-US" w:eastAsia="zh-CN"/>
        </w:rPr>
        <w:t>获取</w:t>
      </w:r>
      <w:r>
        <w:rPr>
          <w:rFonts w:hint="eastAsia" w:ascii="仿宋" w:hAnsi="仿宋" w:eastAsia="仿宋" w:cs="仿宋"/>
          <w:i w:val="0"/>
          <w:iCs w:val="0"/>
          <w:color w:val="auto"/>
          <w:sz w:val="24"/>
          <w:szCs w:val="32"/>
          <w:highlight w:val="none"/>
        </w:rPr>
        <w:t>谈判文件单位的名称不符。</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（4）保证金未提交或未提交至指定账户、或提交保证金不符合谈判文件要求的。</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（5）信用查询中列入失信被执行人、</w:t>
      </w:r>
      <w:r>
        <w:rPr>
          <w:rFonts w:hint="eastAsia" w:ascii="仿宋" w:hAnsi="仿宋" w:eastAsia="仿宋" w:cs="仿宋"/>
          <w:i w:val="0"/>
          <w:iCs w:val="0"/>
          <w:color w:val="auto"/>
          <w:sz w:val="24"/>
          <w:szCs w:val="32"/>
          <w:highlight w:val="none"/>
          <w:lang w:eastAsia="zh-CN"/>
        </w:rPr>
        <w:t>重大税收违法失信主体</w:t>
      </w:r>
      <w:r>
        <w:rPr>
          <w:rFonts w:hint="eastAsia" w:ascii="仿宋" w:hAnsi="仿宋" w:eastAsia="仿宋" w:cs="仿宋"/>
          <w:i w:val="0"/>
          <w:iCs w:val="0"/>
          <w:color w:val="auto"/>
          <w:sz w:val="24"/>
          <w:szCs w:val="32"/>
          <w:highlight w:val="none"/>
        </w:rPr>
        <w:t>、政府采购严重违法失信行为记录名单及其他不符合《中华人民共和国政府采购法》第二十二条规定条件的供应商，拒绝参与政府采购活动。</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（6）采购人或采购代理机构通过“信用中国”网站(www.creditchina.gov.cn)、中国政府采购网(www.ccgp.gov.cn) 等查询相关主体信用记录，并将查询网页打印、存档备查。</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（7）查询时间为谈判文件发售期至评审截止时间前，此段时间段外，网站信息发生的任何变更均不作为资格审查依据。</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供应商不良信用记录以采购人或采购代理机构查询结果为准。供应商自行提供的与网站信息不一致的其他证明材料亦不作为资格审查依据。</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8）(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2"/>
        <w:ind w:left="843" w:hanging="843" w:hangingChars="35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22.2.2 谈判响应文件有效性、完整性和响应程度审查：谈判小组</w:t>
      </w:r>
      <w:r>
        <w:rPr>
          <w:rFonts w:hint="eastAsia" w:ascii="仿宋" w:hAnsi="仿宋" w:eastAsia="仿宋" w:cs="仿宋"/>
          <w:i w:val="0"/>
          <w:iCs w:val="0"/>
          <w:color w:val="auto"/>
          <w:sz w:val="24"/>
          <w:highlight w:val="none"/>
        </w:rPr>
        <w:t>依据谈判文件的规定，对响应文件的有效性、完整性和响应性进行审查，以确定是否满足谈判文件要求，出现下列情况者（但不限于），按无效文件处理。</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（1）供应商未按谈判文件要求加盖单位公章；</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（2）谈判响应文件未按谈判文件要求法定代表人或其授权代表签字；</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（3）无有效期或有效期达不到谈判文件的要求</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（4）供应商首次谈判报价出现选择性报价</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（5）首次谈判报价超出采购预算；</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（6）响应文件中对合同草案条款附加了采购人难以接受的条件</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（7）谈判内容出现漏项或数量与要求不符，出现重大负偏差</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（8）响应文件中技术指标达不到采购要求，降低了产品档次或影响产品性能、功能（技术指标负偏离按</w:t>
      </w:r>
      <w:r>
        <w:rPr>
          <w:rFonts w:hint="eastAsia" w:ascii="仿宋" w:hAnsi="仿宋" w:eastAsia="仿宋" w:cs="仿宋"/>
          <w:i w:val="0"/>
          <w:iCs w:val="0"/>
          <w:color w:val="auto"/>
          <w:sz w:val="24"/>
          <w:highlight w:val="none"/>
          <w:lang w:val="en-US" w:eastAsia="zh-CN"/>
        </w:rPr>
        <w:t>无效文件处理</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（9）响应报价与市场价偏离较大，低于成本，形成不正当竞争</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（10）供应商提供虚假证明，开具虚假资质，出现虚假应答或故意隐瞒行为</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（11）未按文件要求缴纳谈判保证金。</w:t>
      </w:r>
    </w:p>
    <w:p>
      <w:pPr>
        <w:pStyle w:val="4"/>
        <w:tabs>
          <w:tab w:val="left" w:pos="360"/>
        </w:tabs>
        <w:rPr>
          <w:rFonts w:hint="eastAsia" w:ascii="仿宋" w:hAnsi="仿宋" w:eastAsia="仿宋" w:cs="仿宋"/>
          <w:b/>
          <w:i w:val="0"/>
          <w:iCs w:val="0"/>
          <w:color w:val="auto"/>
          <w:sz w:val="24"/>
          <w:szCs w:val="21"/>
          <w:highlight w:val="none"/>
        </w:rPr>
      </w:pPr>
      <w:bookmarkStart w:id="341" w:name="_Toc58504512"/>
      <w:r>
        <w:rPr>
          <w:rFonts w:hint="eastAsia" w:ascii="仿宋" w:hAnsi="仿宋" w:eastAsia="仿宋" w:cs="仿宋"/>
          <w:b/>
          <w:i w:val="0"/>
          <w:iCs w:val="0"/>
          <w:color w:val="auto"/>
          <w:sz w:val="24"/>
          <w:szCs w:val="21"/>
          <w:highlight w:val="none"/>
        </w:rPr>
        <w:t>23.    谈判</w:t>
      </w:r>
      <w:bookmarkEnd w:id="341"/>
    </w:p>
    <w:p>
      <w:pPr>
        <w:pStyle w:val="22"/>
        <w:ind w:left="840" w:hanging="840" w:hangingChars="350"/>
        <w:rPr>
          <w:rFonts w:hint="eastAsia" w:ascii="仿宋" w:hAnsi="仿宋" w:eastAsia="仿宋" w:cs="仿宋"/>
          <w:i w:val="0"/>
          <w:iCs w:val="0"/>
          <w:color w:val="auto"/>
          <w:sz w:val="24"/>
          <w:highlight w:val="none"/>
        </w:rPr>
      </w:pPr>
      <w:bookmarkStart w:id="342" w:name="_Toc58504513"/>
      <w:r>
        <w:rPr>
          <w:rFonts w:hint="eastAsia" w:ascii="仿宋" w:hAnsi="仿宋" w:eastAsia="仿宋" w:cs="仿宋"/>
          <w:i w:val="0"/>
          <w:iCs w:val="0"/>
          <w:color w:val="auto"/>
          <w:sz w:val="24"/>
          <w:highlight w:val="none"/>
        </w:rPr>
        <w:t>23.3.1 谈判小组集中与各供应商分别进行谈判，并给所有参加谈判供应商平等的谈判机会。</w:t>
      </w:r>
      <w:bookmarkEnd w:id="342"/>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pPr>
        <w:pStyle w:val="22"/>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23.3.4 如出现下述情形之一的，视为供应商主动退出谈判，其响应将被拒绝：</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（1）供应商未按要求确认谈判小组确定的本项目最终技术需求的；</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（2）最后报价未实质性响应谈判小组确定的本项目最终技术需求的，或附有采购人无法接受的条件的。</w:t>
      </w:r>
    </w:p>
    <w:p>
      <w:pPr>
        <w:pStyle w:val="22"/>
        <w:rPr>
          <w:rFonts w:hint="eastAsia" w:ascii="仿宋" w:hAnsi="仿宋" w:eastAsia="仿宋" w:cs="仿宋"/>
          <w:b/>
          <w:i w:val="0"/>
          <w:iCs w:val="0"/>
          <w:color w:val="auto"/>
          <w:sz w:val="24"/>
          <w:szCs w:val="21"/>
          <w:highlight w:val="none"/>
        </w:rPr>
      </w:pPr>
      <w:r>
        <w:rPr>
          <w:rFonts w:hint="eastAsia" w:ascii="仿宋" w:hAnsi="仿宋" w:eastAsia="仿宋" w:cs="仿宋"/>
          <w:b/>
          <w:i w:val="0"/>
          <w:iCs w:val="0"/>
          <w:color w:val="auto"/>
          <w:sz w:val="24"/>
          <w:szCs w:val="21"/>
          <w:highlight w:val="none"/>
        </w:rPr>
        <w:t>23.4   最后报价</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23.4.1 谈判结束后，有效响应供应商不少于3家。谈判小组要求供应商在规定时间内提交最后报价，最后报价是供应商响应文件的有效组成部分。</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4"/>
        <w:tabs>
          <w:tab w:val="left" w:pos="360"/>
        </w:tabs>
        <w:rPr>
          <w:rFonts w:hint="eastAsia" w:ascii="仿宋" w:hAnsi="仿宋" w:eastAsia="仿宋" w:cs="仿宋"/>
          <w:b/>
          <w:bCs/>
          <w:i w:val="0"/>
          <w:iCs w:val="0"/>
          <w:color w:val="auto"/>
          <w:sz w:val="24"/>
          <w:szCs w:val="21"/>
          <w:highlight w:val="none"/>
        </w:rPr>
      </w:pPr>
      <w:bookmarkStart w:id="343" w:name="_Toc127151747"/>
      <w:bookmarkStart w:id="344" w:name="_Ref467307010"/>
      <w:bookmarkStart w:id="345" w:name="_Toc151190173"/>
      <w:bookmarkStart w:id="346" w:name="_Toc150774646"/>
      <w:bookmarkStart w:id="347" w:name="_Toc151193788"/>
      <w:bookmarkStart w:id="348" w:name="_Toc151193860"/>
      <w:bookmarkStart w:id="349" w:name="_Toc164608815"/>
      <w:bookmarkStart w:id="350" w:name="_Toc150480784"/>
      <w:bookmarkStart w:id="351" w:name="_Toc142311048"/>
      <w:bookmarkStart w:id="352" w:name="_Toc249525191"/>
      <w:bookmarkStart w:id="353" w:name="_Toc150509297"/>
      <w:bookmarkStart w:id="354" w:name="_Toc164229241"/>
      <w:bookmarkStart w:id="355" w:name="_Toc127161460"/>
      <w:bookmarkStart w:id="356" w:name="_Toc127151546"/>
      <w:bookmarkStart w:id="357" w:name="_Toc520356170"/>
      <w:bookmarkStart w:id="358" w:name="_Toc151193716"/>
      <w:bookmarkStart w:id="359" w:name="_Toc195842911"/>
      <w:bookmarkStart w:id="360" w:name="_Toc249515422"/>
      <w:bookmarkStart w:id="361" w:name="_Toc150774751"/>
      <w:bookmarkStart w:id="362" w:name="_Toc164229387"/>
      <w:bookmarkStart w:id="363" w:name="_Toc149720839"/>
      <w:bookmarkStart w:id="364" w:name="_Toc13753"/>
      <w:bookmarkStart w:id="365" w:name="_Toc151193934"/>
      <w:bookmarkStart w:id="366" w:name="_Toc164608660"/>
      <w:bookmarkStart w:id="367" w:name="_Toc151193644"/>
      <w:bookmarkStart w:id="368" w:name="_Toc164351640"/>
      <w:bookmarkStart w:id="369" w:name="_Toc249515310"/>
      <w:r>
        <w:rPr>
          <w:rFonts w:hint="eastAsia" w:ascii="仿宋" w:hAnsi="仿宋" w:eastAsia="仿宋" w:cs="仿宋"/>
          <w:b/>
          <w:bCs/>
          <w:i w:val="0"/>
          <w:iCs w:val="0"/>
          <w:color w:val="auto"/>
          <w:sz w:val="24"/>
          <w:szCs w:val="21"/>
          <w:highlight w:val="none"/>
        </w:rPr>
        <w:t>24.    评审办法及</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仿宋" w:hAnsi="仿宋" w:eastAsia="仿宋" w:cs="仿宋"/>
          <w:b/>
          <w:bCs/>
          <w:i w:val="0"/>
          <w:iCs w:val="0"/>
          <w:color w:val="auto"/>
          <w:sz w:val="24"/>
          <w:szCs w:val="21"/>
          <w:highlight w:val="none"/>
        </w:rPr>
        <w:t>落实政府采购政策</w:t>
      </w:r>
    </w:p>
    <w:bookmarkEnd w:id="340"/>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24.1   谈判小组按照谈判文件规定的评审方法和标准，对审查合格的文件进行商务和技术评审，比较和评价。</w:t>
      </w:r>
    </w:p>
    <w:p>
      <w:pPr>
        <w:pStyle w:val="69"/>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24.2   评审办法：比照最低评标价法，在质量和服务均能满足谈判文件实质性响应要求的供应商中，按照最后报价由低到高的顺序提出3名以上成交候选人，并编写评审报告。</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24.3   本项目对小微型企业、监狱企业、残疾人福利性单位产品的价格给予</w:t>
      </w:r>
      <w:r>
        <w:rPr>
          <w:rFonts w:hint="eastAsia" w:ascii="仿宋" w:hAnsi="仿宋" w:eastAsia="仿宋" w:cs="仿宋"/>
          <w:i w:val="0"/>
          <w:iCs w:val="0"/>
          <w:color w:val="auto"/>
          <w:highlight w:val="none"/>
          <w:u w:val="single"/>
        </w:rPr>
        <w:t>20%</w:t>
      </w:r>
      <w:r>
        <w:rPr>
          <w:rFonts w:hint="eastAsia" w:ascii="仿宋" w:hAnsi="仿宋" w:eastAsia="仿宋" w:cs="仿宋"/>
          <w:i w:val="0"/>
          <w:iCs w:val="0"/>
          <w:color w:val="auto"/>
          <w:sz w:val="24"/>
          <w:highlight w:val="none"/>
        </w:rPr>
        <w:t>的扣除，用扣除后的价格参与评审。</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（1）根据《关于进一步加大政府采购支持中小企业力度的通知》（财库</w:t>
      </w:r>
      <w:r>
        <w:rPr>
          <w:rFonts w:hint="eastAsia" w:ascii="仿宋" w:hAnsi="仿宋" w:eastAsia="仿宋" w:cs="仿宋"/>
          <w:i w:val="0"/>
          <w:iCs w:val="0"/>
          <w:color w:val="auto"/>
          <w:highlight w:val="none"/>
        </w:rPr>
        <w:t>〔</w:t>
      </w:r>
      <w:r>
        <w:rPr>
          <w:rFonts w:hint="eastAsia" w:ascii="仿宋" w:hAnsi="仿宋" w:eastAsia="仿宋" w:cs="仿宋"/>
          <w:i w:val="0"/>
          <w:iCs w:val="0"/>
          <w:color w:val="auto"/>
          <w:sz w:val="24"/>
          <w:highlight w:val="none"/>
        </w:rPr>
        <w:t>2022</w:t>
      </w:r>
      <w:r>
        <w:rPr>
          <w:rFonts w:hint="eastAsia" w:ascii="仿宋" w:hAnsi="仿宋" w:eastAsia="仿宋" w:cs="仿宋"/>
          <w:i w:val="0"/>
          <w:iCs w:val="0"/>
          <w:color w:val="auto"/>
          <w:highlight w:val="none"/>
        </w:rPr>
        <w:t>〕</w:t>
      </w:r>
      <w:r>
        <w:rPr>
          <w:rFonts w:hint="eastAsia" w:ascii="仿宋" w:hAnsi="仿宋" w:eastAsia="仿宋" w:cs="仿宋"/>
          <w:i w:val="0"/>
          <w:iCs w:val="0"/>
          <w:color w:val="auto"/>
          <w:sz w:val="24"/>
          <w:highlight w:val="none"/>
        </w:rPr>
        <w:t>19号）</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《政府采购促进中小企业发展管理办法》（财库〔2020〕46号），中小企业应出具《中小企业声明函》，符合工信部联企业〔201</w:t>
      </w:r>
      <w:r>
        <w:rPr>
          <w:rFonts w:hint="eastAsia" w:ascii="仿宋" w:hAnsi="仿宋" w:eastAsia="仿宋" w:cs="仿宋"/>
          <w:i w:val="0"/>
          <w:iCs w:val="0"/>
          <w:color w:val="auto"/>
          <w:sz w:val="24"/>
          <w:highlight w:val="none"/>
          <w:lang w:val="en-US" w:eastAsia="zh-CN"/>
        </w:rPr>
        <w:t>1</w:t>
      </w:r>
      <w:r>
        <w:rPr>
          <w:rFonts w:hint="eastAsia" w:ascii="仿宋" w:hAnsi="仿宋" w:eastAsia="仿宋" w:cs="仿宋"/>
          <w:i w:val="0"/>
          <w:iCs w:val="0"/>
          <w:color w:val="auto"/>
          <w:sz w:val="24"/>
          <w:highlight w:val="none"/>
        </w:rPr>
        <w:t>〕300号文件规定；监狱和戒毒企业应符合《财政部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民政部、中国残疾人联合会关于促进残疾人就业政府采购政策的通知》（财库〔201</w:t>
      </w:r>
      <w:r>
        <w:rPr>
          <w:rFonts w:hint="eastAsia" w:ascii="仿宋" w:hAnsi="仿宋" w:eastAsia="仿宋" w:cs="仿宋"/>
          <w:i w:val="0"/>
          <w:iCs w:val="0"/>
          <w:color w:val="auto"/>
          <w:sz w:val="24"/>
          <w:highlight w:val="none"/>
          <w:lang w:val="en-US" w:eastAsia="zh-CN"/>
        </w:rPr>
        <w:t>7</w:t>
      </w:r>
      <w:r>
        <w:rPr>
          <w:rFonts w:hint="eastAsia" w:ascii="仿宋" w:hAnsi="仿宋" w:eastAsia="仿宋" w:cs="仿宋"/>
          <w:i w:val="0"/>
          <w:iCs w:val="0"/>
          <w:color w:val="auto"/>
          <w:sz w:val="24"/>
          <w:highlight w:val="none"/>
        </w:rPr>
        <w:t>〕141号）文件规定，并提供《残疾人福利性单位声明函》。</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（2）对于同时属于小微企业、监狱企业或残疾人福利性单位的，不重复进行价格扣除。</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（3）如允许与小微企业组成联合体或向其分包的，且合同额占总金额30%以上的，给予</w:t>
      </w:r>
      <w:r>
        <w:rPr>
          <w:rFonts w:hint="eastAsia" w:ascii="仿宋" w:hAnsi="仿宋" w:eastAsia="仿宋" w:cs="仿宋"/>
          <w:i w:val="0"/>
          <w:iCs w:val="0"/>
          <w:color w:val="auto"/>
          <w:sz w:val="24"/>
          <w:highlight w:val="none"/>
          <w:u w:val="single"/>
          <w:lang w:val="en-US" w:eastAsia="zh-CN"/>
        </w:rPr>
        <w:t>4</w:t>
      </w:r>
      <w:r>
        <w:rPr>
          <w:rFonts w:hint="eastAsia" w:ascii="仿宋" w:hAnsi="仿宋" w:eastAsia="仿宋" w:cs="仿宋"/>
          <w:i w:val="0"/>
          <w:iCs w:val="0"/>
          <w:color w:val="auto"/>
          <w:sz w:val="24"/>
          <w:highlight w:val="none"/>
          <w:u w:val="single"/>
        </w:rPr>
        <w:t>%（工程为</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u w:val="single"/>
        </w:rPr>
        <w:t>%）</w:t>
      </w:r>
      <w:r>
        <w:rPr>
          <w:rFonts w:hint="eastAsia" w:ascii="仿宋" w:hAnsi="仿宋" w:eastAsia="仿宋" w:cs="仿宋"/>
          <w:i w:val="0"/>
          <w:iCs w:val="0"/>
          <w:color w:val="auto"/>
          <w:sz w:val="24"/>
          <w:highlight w:val="none"/>
        </w:rPr>
        <w:t>的扣除。联合体各方均为小型、微型企业和监狱企业的，联合体视同为小型、微型企业和监狱企业。</w:t>
      </w:r>
    </w:p>
    <w:p>
      <w:pPr>
        <w:pStyle w:val="22"/>
        <w:tabs>
          <w:tab w:val="left" w:pos="840"/>
        </w:tabs>
        <w:ind w:left="840" w:leftChars="400" w:firstLine="0" w:firstLineChars="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为缓解中小企业融资困难，</w:t>
      </w:r>
      <w:r>
        <w:rPr>
          <w:rFonts w:hint="eastAsia" w:ascii="仿宋" w:hAnsi="仿宋" w:eastAsia="仿宋" w:cs="仿宋"/>
          <w:i w:val="0"/>
          <w:iCs w:val="0"/>
          <w:color w:val="auto"/>
          <w:sz w:val="24"/>
          <w:highlight w:val="none"/>
          <w:lang w:eastAsia="zh-CN"/>
        </w:rPr>
        <w:t>陕西省财政厅</w:t>
      </w:r>
      <w:r>
        <w:rPr>
          <w:rFonts w:hint="eastAsia" w:ascii="仿宋" w:hAnsi="仿宋" w:eastAsia="仿宋" w:cs="仿宋"/>
          <w:i w:val="0"/>
          <w:iCs w:val="0"/>
          <w:color w:val="auto"/>
          <w:sz w:val="24"/>
          <w:highlight w:val="none"/>
        </w:rPr>
        <w:t>出台了</w:t>
      </w:r>
      <w:r>
        <w:rPr>
          <w:rFonts w:hint="eastAsia" w:ascii="仿宋" w:hAnsi="仿宋" w:eastAsia="仿宋" w:cs="仿宋"/>
          <w:i w:val="0"/>
          <w:iCs w:val="0"/>
          <w:color w:val="auto"/>
          <w:sz w:val="24"/>
          <w:highlight w:val="none"/>
          <w:lang w:eastAsia="zh-CN"/>
        </w:rPr>
        <w:t>《陕西省中小企业政府采购信用融资办法》（陕财办采﹝</w:t>
      </w:r>
      <w:r>
        <w:rPr>
          <w:rFonts w:hint="eastAsia" w:ascii="仿宋" w:hAnsi="仿宋" w:eastAsia="仿宋" w:cs="仿宋"/>
          <w:i w:val="0"/>
          <w:iCs w:val="0"/>
          <w:color w:val="auto"/>
          <w:sz w:val="24"/>
          <w:highlight w:val="none"/>
          <w:lang w:val="en-US" w:eastAsia="zh-CN"/>
        </w:rPr>
        <w:t>2018</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23号</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，成交供应商如有融资需求，可登录“陕西省政府采购网-陕西省政府采购信用融资平台”了解详情。</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24.4   谈判产品为节能、环境标志产品，符合谈判文件要求的，可优先采购，价格扣除百分比计算公式为：节能、环境标志产品清单中的产品价格占谈判响应总价的</w:t>
      </w:r>
      <w:r>
        <w:rPr>
          <w:rFonts w:hint="eastAsia" w:ascii="仿宋" w:hAnsi="仿宋" w:eastAsia="仿宋" w:cs="仿宋"/>
          <w:b/>
          <w:i w:val="0"/>
          <w:iCs w:val="0"/>
          <w:color w:val="auto"/>
          <w:sz w:val="24"/>
          <w:highlight w:val="none"/>
        </w:rPr>
        <w:t>百分比×5%</w:t>
      </w:r>
      <w:r>
        <w:rPr>
          <w:rFonts w:hint="eastAsia" w:ascii="仿宋" w:hAnsi="仿宋" w:eastAsia="仿宋" w:cs="仿宋"/>
          <w:i w:val="0"/>
          <w:iCs w:val="0"/>
          <w:color w:val="auto"/>
          <w:sz w:val="24"/>
          <w:highlight w:val="none"/>
        </w:rPr>
        <w:t>，用扣除后的价格参与评审。</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环境标志</w:t>
      </w:r>
      <w:r>
        <w:rPr>
          <w:rFonts w:hint="eastAsia" w:ascii="仿宋" w:hAnsi="仿宋" w:eastAsia="仿宋" w:cs="仿宋"/>
          <w:i w:val="0"/>
          <w:iCs w:val="0"/>
          <w:color w:val="auto"/>
          <w:sz w:val="24"/>
          <w:highlight w:val="none"/>
        </w:rPr>
        <w:t>产品依据品目清单和认证证书实施政府采购优先采购和强制采购。</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（2）以在有效期之内的，国家确定的认证机构出具的节能产品、环境标志产品认证证书为依据，复印件须加盖供应商公章，否则不予扣除。</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（3）供应商在响应文件中对所响应产品为节能、环境标志</w:t>
      </w:r>
      <w:r>
        <w:rPr>
          <w:rFonts w:hint="eastAsia" w:ascii="仿宋" w:hAnsi="仿宋" w:eastAsia="仿宋" w:cs="仿宋"/>
          <w:i w:val="0"/>
          <w:iCs w:val="0"/>
          <w:color w:val="auto"/>
          <w:sz w:val="24"/>
          <w:highlight w:val="none"/>
          <w:lang w:val="en-US" w:eastAsia="zh-CN"/>
        </w:rPr>
        <w:t>品目</w:t>
      </w:r>
      <w:r>
        <w:rPr>
          <w:rFonts w:hint="eastAsia" w:ascii="仿宋" w:hAnsi="仿宋" w:eastAsia="仿宋" w:cs="仿宋"/>
          <w:i w:val="0"/>
          <w:iCs w:val="0"/>
          <w:color w:val="auto"/>
          <w:sz w:val="24"/>
          <w:highlight w:val="none"/>
        </w:rPr>
        <w:t>清单中的产品，在谈判报价时必须对此类产品单独分项报价，未提供节能、环境标志产品计分明细表不予扣除。 </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（4）若节能、环境标志清单内的产品仅是构成响应产品的部件、组件或零件的，则该产品不享受鼓励优惠政策。</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（5）同一包内的节能、环境标志产品部分计分只对属于清单内的非强制类产品进行计分，强制类产品不给予扣除。 </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（6）节能、环境标志产品不重复扣除；同时列入国家级清单和省级清单的产品不重复扣除。</w:t>
      </w:r>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24.5   响应文件出现下列情况之一者，谈判小组在评审过程中按以下原则修正：</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（1）大写金额与小写金额不一致的，以大写金额为准；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（2）总价金额与按单价汇总金额不一致的，以单价金额计算结果为准；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（3）单价金额小数点有明显错位的，应以总价为准，并修改单价；</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（4）对不同文字文本响应文件的解释发生异议的，以中文文本为准；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（5）文字与图表不一致的，以文字为准；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（6）正本与副本不一致的，以正本为准；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370" w:name="_Hlt497729446"/>
      <w:bookmarkEnd w:id="370"/>
      <w:bookmarkStart w:id="371" w:name="_Hlt491765714"/>
      <w:bookmarkEnd w:id="371"/>
      <w:bookmarkStart w:id="372" w:name="_Toc249515423"/>
      <w:bookmarkStart w:id="373" w:name="_Toc249515311"/>
      <w:bookmarkStart w:id="374" w:name="_Toc58504667"/>
      <w:bookmarkStart w:id="375" w:name="_Toc232395218"/>
      <w:bookmarkStart w:id="376" w:name="_Toc249525192"/>
      <w:bookmarkStart w:id="377" w:name="_Toc256342149"/>
      <w:bookmarkStart w:id="378" w:name="_Toc232176278"/>
      <w:bookmarkStart w:id="379" w:name="_Toc389620199"/>
      <w:bookmarkStart w:id="380" w:name="_Toc500747195"/>
      <w:bookmarkStart w:id="381" w:name="_Toc53722846"/>
      <w:bookmarkStart w:id="382" w:name="_Toc492955421"/>
      <w:bookmarkStart w:id="383" w:name="_Toc385992360"/>
      <w:bookmarkStart w:id="384" w:name="_Toc496324585"/>
      <w:bookmarkStart w:id="385" w:name="_Toc177995479"/>
      <w:bookmarkStart w:id="386" w:name="_Toc184043047"/>
      <w:bookmarkStart w:id="387" w:name="_Toc499711049"/>
      <w:bookmarkStart w:id="388" w:name="_Toc503063428"/>
      <w:bookmarkStart w:id="389" w:name="_Toc500746972"/>
      <w:bookmarkStart w:id="390" w:name="_Toc177189241"/>
      <w:bookmarkStart w:id="391" w:name="_Toc70687174"/>
      <w:bookmarkStart w:id="392" w:name="_Toc177817340"/>
      <w:bookmarkStart w:id="393" w:name="_Toc499711890"/>
      <w:bookmarkStart w:id="394" w:name="_Toc500747068"/>
      <w:bookmarkStart w:id="395" w:name="_Toc176882548"/>
      <w:r>
        <w:rPr>
          <w:rFonts w:hint="eastAsia" w:ascii="仿宋" w:hAnsi="仿宋" w:eastAsia="仿宋" w:cs="仿宋"/>
          <w:b/>
          <w:i w:val="0"/>
          <w:iCs w:val="0"/>
          <w:color w:val="auto"/>
          <w:kern w:val="0"/>
          <w:sz w:val="28"/>
          <w:szCs w:val="28"/>
          <w:highlight w:val="none"/>
        </w:rPr>
        <w:t>六、确定成交单位、授予合同</w:t>
      </w:r>
      <w:bookmarkEnd w:id="372"/>
      <w:bookmarkEnd w:id="373"/>
      <w:bookmarkEnd w:id="374"/>
      <w:bookmarkEnd w:id="375"/>
      <w:bookmarkEnd w:id="376"/>
      <w:bookmarkEnd w:id="377"/>
      <w:bookmarkEnd w:id="378"/>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Pr>
        <w:pStyle w:val="4"/>
        <w:tabs>
          <w:tab w:val="left" w:pos="360"/>
        </w:tabs>
        <w:rPr>
          <w:rFonts w:hint="eastAsia" w:ascii="仿宋" w:hAnsi="仿宋" w:eastAsia="仿宋" w:cs="仿宋"/>
          <w:b/>
          <w:bCs/>
          <w:i w:val="0"/>
          <w:iCs w:val="0"/>
          <w:color w:val="auto"/>
          <w:sz w:val="24"/>
          <w:szCs w:val="21"/>
          <w:highlight w:val="none"/>
        </w:rPr>
      </w:pPr>
      <w:bookmarkStart w:id="396" w:name="_Toc70687175"/>
      <w:bookmarkStart w:id="397" w:name="_Toc249525193"/>
      <w:bookmarkStart w:id="398" w:name="_Toc249515424"/>
      <w:bookmarkStart w:id="399" w:name="_Toc389620200"/>
      <w:bookmarkStart w:id="400" w:name="_Toc249515312"/>
      <w:bookmarkStart w:id="401" w:name="_Toc184043048"/>
      <w:bookmarkStart w:id="402" w:name="_Toc27151"/>
      <w:bookmarkStart w:id="403" w:name="_Toc385992361"/>
      <w:r>
        <w:rPr>
          <w:rFonts w:hint="eastAsia" w:ascii="仿宋" w:hAnsi="仿宋" w:eastAsia="仿宋" w:cs="仿宋"/>
          <w:b/>
          <w:bCs/>
          <w:i w:val="0"/>
          <w:iCs w:val="0"/>
          <w:color w:val="auto"/>
          <w:sz w:val="24"/>
          <w:szCs w:val="21"/>
          <w:highlight w:val="none"/>
        </w:rPr>
        <w:t>25.    确定成交</w:t>
      </w:r>
      <w:bookmarkEnd w:id="396"/>
      <w:bookmarkEnd w:id="397"/>
      <w:bookmarkEnd w:id="398"/>
      <w:bookmarkEnd w:id="399"/>
      <w:bookmarkEnd w:id="400"/>
      <w:bookmarkEnd w:id="401"/>
      <w:bookmarkEnd w:id="402"/>
      <w:bookmarkEnd w:id="403"/>
      <w:r>
        <w:rPr>
          <w:rFonts w:hint="eastAsia" w:ascii="仿宋" w:hAnsi="仿宋" w:eastAsia="仿宋" w:cs="仿宋"/>
          <w:b/>
          <w:bCs/>
          <w:i w:val="0"/>
          <w:iCs w:val="0"/>
          <w:color w:val="auto"/>
          <w:sz w:val="24"/>
          <w:szCs w:val="21"/>
          <w:highlight w:val="none"/>
        </w:rPr>
        <w:t>单位</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25.1   采购代理机构应在评审结束后两个工作日内，将评审报告送采购人。</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25.2   采购人在收到评审报告后五个工作日内，根据评审报告对评审过程及结果进行严格审核后确定成交供应商，复函采购代理机构。</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25.3   采购代理机构在接到采购人的成交复函后，</w:t>
      </w:r>
      <w:r>
        <w:rPr>
          <w:rFonts w:hint="eastAsia" w:ascii="仿宋" w:hAnsi="仿宋" w:eastAsia="仿宋" w:cs="仿宋"/>
          <w:i w:val="0"/>
          <w:iCs w:val="0"/>
          <w:color w:val="auto"/>
          <w:sz w:val="24"/>
          <w:highlight w:val="none"/>
          <w:lang w:val="en-US" w:eastAsia="zh-CN"/>
        </w:rPr>
        <w:t>两个工作日内</w:t>
      </w:r>
      <w:r>
        <w:rPr>
          <w:rFonts w:hint="eastAsia" w:ascii="仿宋" w:hAnsi="仿宋" w:eastAsia="仿宋" w:cs="仿宋"/>
          <w:i w:val="0"/>
          <w:iCs w:val="0"/>
          <w:color w:val="auto"/>
          <w:sz w:val="24"/>
          <w:highlight w:val="none"/>
        </w:rPr>
        <w:t>在财政部门指定的政府采购信息发布媒体上公告，公告期限为一个工作日，并向成交供应商发出“成交通知书”。《成交通知书》是合同文件的组成部分。</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25.4   采购代理机构将评审过程及成交供应商情况书面报监督机构备案。</w:t>
      </w:r>
      <w:bookmarkStart w:id="404" w:name="_Toc389620203"/>
      <w:bookmarkStart w:id="405" w:name="_Toc385992364"/>
    </w:p>
    <w:bookmarkEnd w:id="404"/>
    <w:bookmarkEnd w:id="405"/>
    <w:p>
      <w:pPr>
        <w:pStyle w:val="4"/>
        <w:tabs>
          <w:tab w:val="left" w:pos="360"/>
        </w:tabs>
        <w:rPr>
          <w:rFonts w:hint="eastAsia" w:ascii="仿宋" w:hAnsi="仿宋" w:eastAsia="仿宋" w:cs="仿宋"/>
          <w:b/>
          <w:bCs/>
          <w:i w:val="0"/>
          <w:iCs w:val="0"/>
          <w:color w:val="auto"/>
          <w:sz w:val="24"/>
          <w:szCs w:val="21"/>
          <w:highlight w:val="none"/>
        </w:rPr>
      </w:pPr>
      <w:bookmarkStart w:id="406" w:name="_Toc385992365"/>
      <w:bookmarkStart w:id="407" w:name="_Toc389620204"/>
      <w:r>
        <w:rPr>
          <w:rFonts w:hint="eastAsia" w:ascii="仿宋" w:hAnsi="仿宋" w:eastAsia="仿宋" w:cs="仿宋"/>
          <w:b/>
          <w:bCs/>
          <w:i w:val="0"/>
          <w:iCs w:val="0"/>
          <w:color w:val="auto"/>
          <w:sz w:val="24"/>
          <w:szCs w:val="21"/>
          <w:highlight w:val="none"/>
        </w:rPr>
        <w:t>26.    合同</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26.1   自成交通知书发出后十日内，按照谈判文件和成交供应商响应文件的约定，采购人与成交供应商洽谈合同条款，并签订合同。谈判文件及成交供应商的响应文件均作为合同的组成部分。</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360"/>
          <w:tab w:val="left" w:pos="588"/>
        </w:tabs>
        <w:spacing w:line="360" w:lineRule="auto"/>
        <w:ind w:left="84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26.3   成交供应商签订合同后，持合同原件到采购代理机构，或采购代理机构根据陕西省政府采购网合同备案结果办理保证金退还手续。</w:t>
      </w:r>
    </w:p>
    <w:p>
      <w:pPr>
        <w:pStyle w:val="4"/>
        <w:tabs>
          <w:tab w:val="left" w:pos="360"/>
        </w:tabs>
        <w:rPr>
          <w:rFonts w:hint="eastAsia" w:ascii="仿宋" w:hAnsi="仿宋" w:eastAsia="仿宋" w:cs="仿宋"/>
          <w:b/>
          <w:bCs/>
          <w:i w:val="0"/>
          <w:iCs w:val="0"/>
          <w:color w:val="auto"/>
          <w:sz w:val="24"/>
          <w:szCs w:val="21"/>
          <w:highlight w:val="none"/>
        </w:rPr>
      </w:pPr>
      <w:r>
        <w:rPr>
          <w:rFonts w:hint="eastAsia" w:ascii="仿宋" w:hAnsi="仿宋" w:eastAsia="仿宋" w:cs="仿宋"/>
          <w:b/>
          <w:bCs/>
          <w:i w:val="0"/>
          <w:iCs w:val="0"/>
          <w:color w:val="auto"/>
          <w:sz w:val="24"/>
          <w:szCs w:val="21"/>
          <w:highlight w:val="none"/>
        </w:rPr>
        <w:t>27.    询问与质疑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27.1   供应商对政府采购活动事项有疑问的，可以向采购人提出询问。</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27.2   供应商认为采购文件、采购过程和中标、成交结果使自己的权益受到损害的，可以在知道或者应知其权益受到损害之日起七个工作日内，以书面形式向采购人提出质疑。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27.3   质疑供应商在法定质疑期内须一次性提出针对同一采购程序环节的质疑。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27.4   供应商提出质疑应当提交质疑函和必要的证明材料。质疑函应当包括下列内容：</w:t>
      </w:r>
    </w:p>
    <w:p>
      <w:pPr>
        <w:pStyle w:val="69"/>
        <w:numPr>
          <w:ilvl w:val="0"/>
          <w:numId w:val="10"/>
        </w:numPr>
        <w:tabs>
          <w:tab w:val="left" w:pos="588"/>
        </w:tabs>
        <w:spacing w:line="360" w:lineRule="auto"/>
        <w:ind w:left="846" w:hanging="6" w:firstLineChars="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供应商的姓名或者名称、地址、邮编、联系人及联系电话；</w:t>
      </w:r>
    </w:p>
    <w:p>
      <w:pPr>
        <w:pStyle w:val="69"/>
        <w:numPr>
          <w:ilvl w:val="0"/>
          <w:numId w:val="10"/>
        </w:numPr>
        <w:tabs>
          <w:tab w:val="left" w:pos="588"/>
        </w:tabs>
        <w:spacing w:line="360" w:lineRule="auto"/>
        <w:ind w:left="846" w:hanging="6" w:firstLineChars="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质疑项目的名称、编号；</w:t>
      </w:r>
    </w:p>
    <w:p>
      <w:pPr>
        <w:pStyle w:val="69"/>
        <w:numPr>
          <w:ilvl w:val="0"/>
          <w:numId w:val="10"/>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具体、明确的质疑事项和与质疑事项相关的请求；</w:t>
      </w:r>
    </w:p>
    <w:p>
      <w:pPr>
        <w:pStyle w:val="69"/>
        <w:numPr>
          <w:ilvl w:val="0"/>
          <w:numId w:val="10"/>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pPr>
        <w:pStyle w:val="69"/>
        <w:numPr>
          <w:ilvl w:val="0"/>
          <w:numId w:val="10"/>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必要的法律依据；</w:t>
      </w:r>
    </w:p>
    <w:p>
      <w:pPr>
        <w:pStyle w:val="69"/>
        <w:numPr>
          <w:ilvl w:val="0"/>
          <w:numId w:val="10"/>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提出质疑的日期。</w:t>
      </w:r>
    </w:p>
    <w:p>
      <w:pPr>
        <w:pStyle w:val="69"/>
        <w:tabs>
          <w:tab w:val="left" w:pos="840"/>
        </w:tabs>
        <w:spacing w:line="360" w:lineRule="auto"/>
        <w:ind w:left="838" w:leftChars="399" w:firstLine="0"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供应商为自然人的，应当由本人签字；供应商为法人或者其他组织的，应当由法定代表人或负责人签字或盖章，同时其授权代表签字，并加盖公章。</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27.5   符合要求的质疑，采购代理机构将予以受理并答复。联系电话：029-85235014，联系人：李萍、王亚宁</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27.6   供应商进行虚假和恶意质疑的，采购代理机构将提供相关资料报监督机构，按其情况进行相应处理。</w:t>
      </w:r>
    </w:p>
    <w:bookmarkEnd w:id="406"/>
    <w:bookmarkEnd w:id="407"/>
    <w:p>
      <w:pPr>
        <w:pStyle w:val="4"/>
        <w:tabs>
          <w:tab w:val="left" w:pos="360"/>
        </w:tabs>
        <w:rPr>
          <w:rFonts w:hint="eastAsia" w:ascii="仿宋" w:hAnsi="仿宋" w:eastAsia="仿宋" w:cs="仿宋"/>
          <w:b/>
          <w:bCs/>
          <w:i w:val="0"/>
          <w:iCs w:val="0"/>
          <w:color w:val="auto"/>
          <w:sz w:val="24"/>
          <w:szCs w:val="21"/>
          <w:highlight w:val="none"/>
        </w:rPr>
      </w:pPr>
      <w:bookmarkStart w:id="408" w:name="_Toc25547"/>
      <w:r>
        <w:rPr>
          <w:rFonts w:hint="eastAsia" w:ascii="仿宋" w:hAnsi="仿宋" w:eastAsia="仿宋" w:cs="仿宋"/>
          <w:b/>
          <w:bCs/>
          <w:i w:val="0"/>
          <w:iCs w:val="0"/>
          <w:color w:val="auto"/>
          <w:sz w:val="24"/>
          <w:szCs w:val="21"/>
          <w:highlight w:val="none"/>
        </w:rPr>
        <w:t>28.    履约保证金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28.1   履约保证金金额见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28.2   履约保证金缴纳时间：合同签订前必须交纳至（采购人）。</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28.3   履约保证金缴纳形式：成交供应商应当以支票、汇票、本票、保函（格式见附件2）等非现金形式缴纳。</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28.4   履约保证金收取单位名称：</w:t>
      </w:r>
    </w:p>
    <w:p>
      <w:pPr>
        <w:tabs>
          <w:tab w:val="left" w:pos="588"/>
        </w:tabs>
        <w:spacing w:line="360" w:lineRule="auto"/>
        <w:ind w:firstLine="840" w:firstLine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开户银行：</w:t>
      </w:r>
    </w:p>
    <w:p>
      <w:pPr>
        <w:tabs>
          <w:tab w:val="left" w:pos="588"/>
        </w:tabs>
        <w:spacing w:line="360" w:lineRule="auto"/>
        <w:ind w:firstLine="840" w:firstLine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账号：</w:t>
      </w:r>
    </w:p>
    <w:p>
      <w:pPr>
        <w:tabs>
          <w:tab w:val="left" w:pos="588"/>
        </w:tabs>
        <w:spacing w:line="360" w:lineRule="auto"/>
        <w:ind w:firstLine="840" w:firstLine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               联系电话：</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28.5   履约保证金退还的方式、时间、条件：</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28.6   履约保证金不予退还的情况：</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28.7   逾期退还履约保证金的违约责任：</w:t>
      </w:r>
    </w:p>
    <w:p>
      <w:pPr>
        <w:pStyle w:val="4"/>
        <w:tabs>
          <w:tab w:val="left" w:pos="360"/>
        </w:tabs>
        <w:rPr>
          <w:rFonts w:hint="eastAsia" w:ascii="仿宋" w:hAnsi="仿宋" w:eastAsia="仿宋" w:cs="仿宋"/>
          <w:b/>
          <w:bCs/>
          <w:i w:val="0"/>
          <w:iCs w:val="0"/>
          <w:color w:val="auto"/>
          <w:sz w:val="24"/>
          <w:szCs w:val="21"/>
          <w:highlight w:val="none"/>
        </w:rPr>
      </w:pPr>
      <w:r>
        <w:rPr>
          <w:rFonts w:hint="eastAsia" w:ascii="仿宋" w:hAnsi="仿宋" w:eastAsia="仿宋" w:cs="仿宋"/>
          <w:b/>
          <w:bCs/>
          <w:i w:val="0"/>
          <w:iCs w:val="0"/>
          <w:color w:val="auto"/>
          <w:sz w:val="24"/>
          <w:szCs w:val="21"/>
          <w:highlight w:val="none"/>
        </w:rPr>
        <w:t>29.    成交服务费</w:t>
      </w:r>
      <w:bookmarkEnd w:id="408"/>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29.1   成交供应商在领取成交通知书前，须向采购代理机构支付代理服务费，代理服务费由采购人与采购代理机构约定：</w:t>
      </w:r>
    </w:p>
    <w:p>
      <w:pPr>
        <w:snapToGrid w:val="0"/>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sym w:font="Wingdings 2" w:char="0052"/>
      </w:r>
      <w:r>
        <w:rPr>
          <w:rFonts w:hint="eastAsia" w:ascii="仿宋" w:hAnsi="仿宋" w:eastAsia="仿宋" w:cs="仿宋"/>
          <w:i w:val="0"/>
          <w:iCs w:val="0"/>
          <w:color w:val="auto"/>
          <w:sz w:val="24"/>
          <w:highlight w:val="none"/>
        </w:rPr>
        <w:t>参照原国家计委计价格〔2002〕1980号文和国家发改委发改办价格〔2003〕857号文的计算方法（按标段）收取。</w:t>
      </w:r>
    </w:p>
    <w:p>
      <w:pPr>
        <w:snapToGrid w:val="0"/>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sym w:font="Wingdings 2" w:char="00A3"/>
      </w:r>
      <w:r>
        <w:rPr>
          <w:rFonts w:hint="eastAsia" w:ascii="仿宋" w:hAnsi="仿宋" w:eastAsia="仿宋" w:cs="仿宋"/>
          <w:i w:val="0"/>
          <w:iCs w:val="0"/>
          <w:color w:val="auto"/>
          <w:sz w:val="24"/>
          <w:highlight w:val="none"/>
        </w:rPr>
        <w:t>由采购人与采购代理机构约定，按</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元收取。</w:t>
      </w:r>
    </w:p>
    <w:p>
      <w:pPr>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29.2   成交单位的代理服务费交纳信息</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银行户名：陕西省采购招标有限责任公司</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开户银行：中国光大银行西安友谊路支行</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账    号：78560188000095264</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联系人：张婕   联系电话：029-85263975</w:t>
      </w:r>
    </w:p>
    <w:p>
      <w:pPr>
        <w:pStyle w:val="4"/>
        <w:numPr>
          <w:ilvl w:val="0"/>
          <w:numId w:val="11"/>
        </w:numPr>
        <w:tabs>
          <w:tab w:val="left" w:pos="360"/>
        </w:tabs>
        <w:rPr>
          <w:rFonts w:hint="eastAsia" w:ascii="仿宋" w:hAnsi="仿宋" w:eastAsia="仿宋" w:cs="仿宋"/>
          <w:b/>
          <w:bCs/>
          <w:i w:val="0"/>
          <w:iCs w:val="0"/>
          <w:color w:val="auto"/>
          <w:sz w:val="24"/>
          <w:szCs w:val="21"/>
          <w:highlight w:val="none"/>
        </w:rPr>
      </w:pPr>
      <w:bookmarkStart w:id="409" w:name="_Toc1585"/>
      <w:r>
        <w:rPr>
          <w:rFonts w:hint="eastAsia" w:ascii="仿宋" w:hAnsi="仿宋" w:eastAsia="仿宋" w:cs="仿宋"/>
          <w:b/>
          <w:bCs/>
          <w:i w:val="0"/>
          <w:iCs w:val="0"/>
          <w:color w:val="auto"/>
          <w:sz w:val="24"/>
          <w:szCs w:val="21"/>
          <w:highlight w:val="none"/>
        </w:rPr>
        <w:t xml:space="preserve">   采购人追加采购数量的权力</w:t>
      </w:r>
      <w:bookmarkEnd w:id="409"/>
    </w:p>
    <w:p>
      <w:pPr>
        <w:tabs>
          <w:tab w:val="left" w:pos="588"/>
        </w:tabs>
        <w:spacing w:line="360" w:lineRule="auto"/>
        <w:ind w:left="840" w:leftChars="400"/>
        <w:rPr>
          <w:rFonts w:hint="eastAsia" w:ascii="仿宋" w:hAnsi="仿宋" w:eastAsia="仿宋" w:cs="仿宋"/>
          <w:i w:val="0"/>
          <w:iCs w:val="0"/>
          <w:color w:val="auto"/>
          <w:sz w:val="24"/>
          <w:highlight w:val="none"/>
        </w:rPr>
      </w:pPr>
      <w:bookmarkStart w:id="410" w:name="_Toc389620205"/>
      <w:bookmarkStart w:id="411" w:name="_Toc385992366"/>
      <w:r>
        <w:rPr>
          <w:rFonts w:hint="eastAsia" w:ascii="仿宋" w:hAnsi="仿宋" w:eastAsia="仿宋" w:cs="仿宋"/>
          <w:i w:val="0"/>
          <w:iCs w:val="0"/>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pPr>
        <w:pStyle w:val="22"/>
        <w:numPr>
          <w:ilvl w:val="0"/>
          <w:numId w:val="11"/>
        </w:numPr>
        <w:tabs>
          <w:tab w:val="left" w:pos="360"/>
        </w:tabs>
        <w:rPr>
          <w:rFonts w:hint="eastAsia" w:ascii="仿宋" w:hAnsi="仿宋" w:eastAsia="仿宋" w:cs="仿宋"/>
          <w:b/>
          <w:bCs/>
          <w:i w:val="0"/>
          <w:iCs w:val="0"/>
          <w:color w:val="auto"/>
          <w:sz w:val="24"/>
          <w:szCs w:val="21"/>
          <w:highlight w:val="none"/>
        </w:rPr>
      </w:pPr>
      <w:r>
        <w:rPr>
          <w:rFonts w:hint="eastAsia" w:ascii="仿宋" w:hAnsi="仿宋" w:eastAsia="仿宋" w:cs="仿宋"/>
          <w:b/>
          <w:bCs/>
          <w:i w:val="0"/>
          <w:iCs w:val="0"/>
          <w:color w:val="auto"/>
          <w:sz w:val="24"/>
          <w:szCs w:val="21"/>
          <w:highlight w:val="none"/>
        </w:rPr>
        <w:t xml:space="preserve">   其他情况</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31.2   连续两次进行竞争性谈判活动，因符合谈判要求供应商不足3家，经请示政府采购管理部门同意后，可继续进行竞争性谈判活动。 </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31.3   政府采购信用担保</w:t>
      </w:r>
    </w:p>
    <w:p>
      <w:pPr>
        <w:pStyle w:val="22"/>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31.3.1 供应商递交的履约担保函应符合本谈判文件的规定。</w:t>
      </w:r>
    </w:p>
    <w:p>
      <w:pPr>
        <w:spacing w:line="360" w:lineRule="auto"/>
        <w:ind w:left="850" w:hanging="849" w:hangingChars="354"/>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highlight w:val="none"/>
          <w:lang w:val="en-US" w:eastAsia="zh-CN"/>
        </w:rPr>
        <w:t xml:space="preserve">31.3.2 </w:t>
      </w:r>
      <w:r>
        <w:rPr>
          <w:rFonts w:hint="eastAsia" w:ascii="仿宋" w:hAnsi="仿宋" w:eastAsia="仿宋" w:cs="仿宋"/>
          <w:i w:val="0"/>
          <w:iCs w:val="0"/>
          <w:color w:val="auto"/>
          <w:sz w:val="24"/>
          <w:highlight w:val="none"/>
        </w:rPr>
        <w:t>为缓解中小企业融资困难，陕西省财政厅出台了《陕西省中小企业政府采购信用融资办法》（陕财办采﹝2018﹞23号），中标供应商如有融资需求，可登录“陕西省政府采购网-陕西省政府采购信用融资平台</w:t>
      </w:r>
      <w:r>
        <w:rPr>
          <w:rFonts w:hint="eastAsia" w:ascii="仿宋" w:hAnsi="仿宋" w:eastAsia="仿宋" w:cs="仿宋"/>
          <w:i w:val="0"/>
          <w:iCs w:val="0"/>
          <w:color w:val="auto"/>
          <w:sz w:val="24"/>
          <w:highlight w:val="none"/>
          <w:lang w:eastAsia="zh-CN"/>
        </w:rPr>
        <w:t>（http://www.ccgp-shaanxi.gov.cn/zcdservice/zcd/shanxi/）</w:t>
      </w:r>
      <w:r>
        <w:rPr>
          <w:rFonts w:hint="eastAsia" w:ascii="仿宋" w:hAnsi="仿宋" w:eastAsia="仿宋" w:cs="仿宋"/>
          <w:i w:val="0"/>
          <w:iCs w:val="0"/>
          <w:color w:val="auto"/>
          <w:sz w:val="24"/>
          <w:highlight w:val="none"/>
        </w:rPr>
        <w:t>”了解详情。</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业务流程简图如下：</w:t>
      </w:r>
    </w:p>
    <w:p>
      <w:pPr>
        <w:pStyle w:val="22"/>
        <w:tabs>
          <w:tab w:val="left" w:pos="567"/>
        </w:tabs>
        <w:spacing w:line="360" w:lineRule="auto"/>
        <w:jc w:val="center"/>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756275" cy="3310255"/>
                    </a:xfrm>
                    <a:prstGeom prst="rect">
                      <a:avLst/>
                    </a:prstGeom>
                    <a:noFill/>
                    <a:ln>
                      <a:noFill/>
                    </a:ln>
                  </pic:spPr>
                </pic:pic>
              </a:graphicData>
            </a:graphic>
          </wp:inline>
        </w:drawing>
      </w:r>
    </w:p>
    <w:p>
      <w:pPr>
        <w:pStyle w:val="22"/>
        <w:shd w:val="clear" w:color="auto"/>
        <w:ind w:left="840" w:hanging="735" w:hangingChars="350"/>
        <w:jc w:val="center"/>
        <w:rPr>
          <w:rFonts w:hint="eastAsia" w:ascii="仿宋" w:hAnsi="仿宋" w:eastAsia="仿宋" w:cs="仿宋"/>
          <w:i w:val="0"/>
          <w:iCs w:val="0"/>
          <w:color w:val="auto"/>
          <w:sz w:val="24"/>
          <w:highlight w:val="none"/>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758815" cy="3242310"/>
                    </a:xfrm>
                    <a:prstGeom prst="rect">
                      <a:avLst/>
                    </a:prstGeom>
                    <a:noFill/>
                    <a:ln>
                      <a:noFill/>
                    </a:ln>
                  </pic:spPr>
                </pic:pic>
              </a:graphicData>
            </a:graphic>
          </wp:inline>
        </w:drawing>
      </w:r>
    </w:p>
    <w:p>
      <w:pPr>
        <w:pStyle w:val="22"/>
        <w:tabs>
          <w:tab w:val="left" w:pos="567"/>
        </w:tabs>
        <w:rPr>
          <w:rFonts w:hint="eastAsia" w:ascii="仿宋" w:hAnsi="仿宋" w:eastAsia="仿宋" w:cs="仿宋"/>
          <w:i w:val="0"/>
          <w:iCs w:val="0"/>
          <w:color w:val="auto"/>
          <w:sz w:val="24"/>
          <w:szCs w:val="32"/>
          <w:highlight w:val="none"/>
          <w:lang w:eastAsia="zh-CN"/>
        </w:rPr>
      </w:pPr>
      <w:r>
        <w:rPr>
          <w:rFonts w:hint="eastAsia" w:ascii="仿宋" w:hAnsi="仿宋" w:eastAsia="仿宋" w:cs="仿宋"/>
          <w:i w:val="0"/>
          <w:iCs w:val="0"/>
          <w:color w:val="auto"/>
          <w:sz w:val="24"/>
          <w:szCs w:val="32"/>
          <w:highlight w:val="none"/>
          <w:lang w:val="en-US" w:eastAsia="zh-CN"/>
        </w:rPr>
        <w:t>省级政府采购项目</w:t>
      </w:r>
      <w:r>
        <w:rPr>
          <w:rFonts w:hint="eastAsia" w:ascii="仿宋" w:hAnsi="仿宋" w:eastAsia="仿宋" w:cs="仿宋"/>
          <w:i w:val="0"/>
          <w:iCs w:val="0"/>
          <w:color w:val="auto"/>
          <w:sz w:val="24"/>
          <w:szCs w:val="32"/>
          <w:highlight w:val="none"/>
        </w:rPr>
        <w:t>贷款银行信息</w:t>
      </w:r>
      <w:r>
        <w:rPr>
          <w:rFonts w:hint="eastAsia" w:ascii="仿宋" w:hAnsi="仿宋" w:eastAsia="仿宋" w:cs="仿宋"/>
          <w:i w:val="0"/>
          <w:iCs w:val="0"/>
          <w:color w:val="auto"/>
          <w:sz w:val="24"/>
          <w:szCs w:val="32"/>
          <w:highlight w:val="none"/>
          <w:lang w:eastAsia="zh-CN"/>
        </w:rPr>
        <w:t>：</w:t>
      </w:r>
    </w:p>
    <w:p>
      <w:pPr>
        <w:rPr>
          <w:rFonts w:hint="eastAsia" w:ascii="仿宋" w:hAnsi="仿宋" w:eastAsia="仿宋" w:cs="仿宋"/>
          <w:b/>
          <w:i w:val="0"/>
          <w:iCs w:val="0"/>
          <w:color w:val="auto"/>
          <w:szCs w:val="21"/>
          <w:highlight w:val="none"/>
        </w:rPr>
      </w:pP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b/>
          <w:i w:val="0"/>
          <w:iCs w:val="0"/>
          <w:color w:val="auto"/>
          <w:szCs w:val="21"/>
          <w:highlight w:val="none"/>
        </w:rPr>
        <w:t>一、陕西建行（E政通）</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陕西省分行营业部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西安市南广济街38号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白玉皓</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13201603166</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西安莲湖路支行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西安市莲湖路35号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  冲</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17702902131</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西安曲江支行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西安市雁塔南路2216号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樊理君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18691568151</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西安高新区支行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西安市高新路42号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卞斯超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15191075651</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西安经开区支行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西安市未央路125号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惠  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17792256100</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西安南大街支行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西安市南大街15号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乔  鉴</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18089136919</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西安和平路支行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西安市和平路101号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  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18691816821</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西安兴庆路支行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西安市兴庆路61号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  妍</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13892880386</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西安新城支行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西安市南新街29号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朱子君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18629286269</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西安长安区支行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西安市长安区青年街2号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王淑芸</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13572289603</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咸阳市西兰路4号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邰  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13299079906</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宝鸡市红旗路36号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  倩</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18629019817</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铜川分行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铜川市新区正阳路与长虹路十字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张小波</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18691932636</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榆林市高新技术产业园区创业大厦</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张君君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15991929275</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延安市宝塔区中心街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陈进佃</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15609110557</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汉中分行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汉中市石灰巷21号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王晨旭</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15319375850</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安康分行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安康市育才路102号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张少帅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13165762680</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商洛分行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商洛市名人街广电大楼下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  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17809267188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二、北京银行（政府订单贷）</w:t>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西安分行营业部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刘晓伟</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总经理助理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029-61828763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18066630518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西安高新开发区支行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梁凡</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029-61828531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18681945597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西安曲江文创支行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蒋超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室经理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029-65667366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15891737329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西安经济技术开发区支行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孟庆龙</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029-61828272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13991990373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西安长缨路支行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范凯</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副行长</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029-68717760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13991315609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长安区西长安街支行   </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陈明</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029-85724301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18149209660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泾渭工业园支行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杨奕</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室经理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029-68213773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15934802021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北客站科技支行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周洁</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副行长</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029-61828129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18629518636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解放路支行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王莉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029-61828185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15802966196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奥宝森</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室经理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0911-8076038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15592925222</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三、工商银行（政采贷）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张岭</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0912-6183827</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15353386777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0917-3238282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18991749262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安康分行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郑婕</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0915-3236275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15667856663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铜川分行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彭东东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0919-2151878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17392898832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党莹</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经理助理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0911-2380826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15291142933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汉中分行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杨薇薇</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部门副经理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0916-2606773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18591607453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渭南分行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张欢</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09132095066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15229730006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袁霖</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029-33259370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18591006506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商洛分行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张铮</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经理助理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0914-2310908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18691410305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商洛分行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余勇博</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0914-2310908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18092802280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巩越</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029-87609419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18629450680</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四、中信银行 （政采e贷）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西安市朱雀大街中段1号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曹晓聪</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13759957407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秦皇中路绿苑大厦</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杭群</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13992016859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宝鸡市高新大道50号财富大厦B座</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王尧</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13636762976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渭南分行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渭南市朝阳大街中段信达广场世纪明珠大厦</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杨阳</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18191815559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榆林市高新区长兴路248号中信银行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刘洪巍</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13636885556</w:t>
      </w:r>
    </w:p>
    <w:p>
      <w:pPr>
        <w:ind w:left="1680" w:leftChars="200" w:hanging="1260" w:hangingChars="6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汉中分行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汉中市汉台区西二环路与劳动西路东南汉中滨江•公园壹号（产业孵化区）3B号楼</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陈真</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18509165068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五、中国光大银行（阳光政采贷）</w:t>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 欢</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0917-3451055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18329677163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尚云鹏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0912-3548019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18690473126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汪昊田</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0911-8011831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13509115500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侯 佳</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32100021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15229500088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营销一部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 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87236311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13772031109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营销二部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朱翰辰</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87236201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17791788078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营业部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张翔琮</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87236306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18829235568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电子城支行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张曼玉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88247071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18009298787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明德门支行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 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85350770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13991249430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东大街支行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 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87438914</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15029673754</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经济开发区支行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陆家俊</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86525176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18629303397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凤城九路支行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宋 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89155022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18966911622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兴庆路支行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司 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83290033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18629251819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长乐西路支行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 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82566208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15877390201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友谊路支行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贠程敏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88422067</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18792795210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边家村支行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 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85251673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15309223048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北关支行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菅新培</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86248203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18092169361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南郊支行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程 拓</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85265234</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13772491661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西关正街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马 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89548109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13772337373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丈八东路支行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杨筱凡</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81026910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15129044185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雁塔路支行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闫梓闶</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82222501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18691561524</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唐延路支行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尉二宝</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88329478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13991930150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枫林绿洲支行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 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87302120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13609199490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南关正街支行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 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85230722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18066610983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南二环支行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 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88362861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18192080396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曲江支行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田 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81205890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13991937977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太白路支行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马振林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68912880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15353736656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明光路支行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刘二渭</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81623506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13201793405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凤城二路支行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 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86680267</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13720423343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昆明路支行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 洁</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84592506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13991821278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丈八北路支行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 浩</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81875192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15667087662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新城支行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余振东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87251680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18066617238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六、浦发银行 （政采e贷）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吴晨雨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029-63603803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15991724645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陈福全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029-63603441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17782511994</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韩瑾</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029-63603443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18202909790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李瑞雪</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029-63603445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18220862398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陈晓晓</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0912-2216068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15691269965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郭小东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0912-2216008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15291820586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张一岚</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0917-8662919 </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18690008816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朱强</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0917-8662926 </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13909176381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渭南分行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王晓峰</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0913-3357080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13992363166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薛晗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029-32083788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15109226216</w:t>
      </w:r>
    </w:p>
    <w:p>
      <w:pPr>
        <w:rPr>
          <w:rFonts w:hint="eastAsia" w:ascii="仿宋" w:hAnsi="仿宋" w:eastAsia="仿宋" w:cs="仿宋"/>
          <w:i w:val="0"/>
          <w:iCs w:val="0"/>
          <w:color w:val="auto"/>
          <w:szCs w:val="21"/>
          <w:highlight w:val="none"/>
        </w:rPr>
      </w:pP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七、兴业银行（政采贷）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朱靖</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总监</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029-87482998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13363979983</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八、中国民生银行（政采贷）</w:t>
      </w:r>
    </w:p>
    <w:p>
      <w:pPr>
        <w:ind w:left="2310" w:leftChars="200" w:hanging="1890" w:hangingChars="900"/>
        <w:rPr>
          <w:rFonts w:hint="eastAsia" w:ascii="仿宋" w:hAnsi="仿宋" w:eastAsia="仿宋" w:cs="仿宋"/>
          <w:i w:val="0"/>
          <w:iCs w:val="0"/>
          <w:color w:val="auto"/>
          <w:szCs w:val="21"/>
          <w:highlight w:val="none"/>
          <w:lang w:eastAsia="zh-CN"/>
        </w:rPr>
      </w:pPr>
      <w:r>
        <w:rPr>
          <w:rFonts w:hint="eastAsia" w:ascii="仿宋" w:hAnsi="仿宋" w:eastAsia="仿宋" w:cs="仿宋"/>
          <w:i w:val="0"/>
          <w:iCs w:val="0"/>
          <w:color w:val="auto"/>
          <w:szCs w:val="21"/>
          <w:highlight w:val="none"/>
        </w:rPr>
        <w:t>民生银行西安分行  联系人：陈经理 联系电话：61815275 /18821669199</w:t>
      </w:r>
    </w:p>
    <w:p>
      <w:pPr>
        <w:ind w:left="2310" w:leftChars="200" w:hanging="1890" w:hangingChars="9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联系人：王经理 联系电话：61815280 /18591953690 </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九、浙商银行 （政采贷）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西安市雁塔区科技路259号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曹金辉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18710993980</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 xml:space="preserve">十、 招商银行（政采贷） </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招商银行西安分行   联系人：任瑾；85438988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 xml:space="preserve">十一、 长安银行（小微贷） </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长安银行西安曲江新区支行 地址：西安市曲江新区雁南一路3号  </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联系人：陈瑶 13629266833 </w:t>
      </w:r>
    </w:p>
    <w:p>
      <w:pP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rPr>
        <w:t>十二、网商银行（合同贷）</w:t>
      </w:r>
    </w:p>
    <w:p>
      <w:pP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十三、中国邮政储蓄银行陕西省分行（政采贷）</w:t>
      </w:r>
    </w:p>
    <w:p>
      <w:pPr>
        <w:pStyle w:val="22"/>
        <w:rPr>
          <w:rFonts w:hint="eastAsia" w:ascii="仿宋" w:hAnsi="仿宋" w:eastAsia="仿宋" w:cs="仿宋"/>
          <w:highlight w:val="none"/>
        </w:rPr>
      </w:pPr>
    </w:p>
    <w:p>
      <w:pPr>
        <w:pStyle w:val="22"/>
        <w:tabs>
          <w:tab w:val="left" w:pos="567"/>
        </w:tabs>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渭南市政府采购</w:t>
      </w:r>
      <w:r>
        <w:rPr>
          <w:rFonts w:hint="eastAsia" w:ascii="仿宋" w:hAnsi="仿宋" w:eastAsia="仿宋" w:cs="仿宋"/>
          <w:i w:val="0"/>
          <w:iCs w:val="0"/>
          <w:color w:val="auto"/>
          <w:sz w:val="24"/>
          <w:szCs w:val="24"/>
          <w:highlight w:val="none"/>
        </w:rPr>
        <w:t>贷款银行信息</w:t>
      </w:r>
      <w:r>
        <w:rPr>
          <w:rFonts w:hint="eastAsia" w:ascii="仿宋" w:hAnsi="仿宋" w:eastAsia="仿宋" w:cs="仿宋"/>
          <w:i w:val="0"/>
          <w:iCs w:val="0"/>
          <w:color w:val="auto"/>
          <w:sz w:val="24"/>
          <w:szCs w:val="24"/>
          <w:highlight w:val="none"/>
          <w:lang w:eastAsia="zh-CN"/>
        </w:rPr>
        <w:t>：</w:t>
      </w:r>
    </w:p>
    <w:tbl>
      <w:tblPr>
        <w:tblStyle w:val="5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0"/>
        <w:gridCol w:w="2210"/>
        <w:gridCol w:w="2871"/>
        <w:gridCol w:w="2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13892535580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17797059890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13892383911</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15249035320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18191815559</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13193388328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15706090239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18191356300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15229730006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13335331958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张萱</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13028431555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18091365182</w:t>
            </w:r>
          </w:p>
        </w:tc>
      </w:tr>
    </w:tbl>
    <w:p>
      <w:pPr>
        <w:pStyle w:val="22"/>
        <w:tabs>
          <w:tab w:val="left" w:pos="567"/>
        </w:tabs>
        <w:rPr>
          <w:rFonts w:hint="eastAsia" w:ascii="仿宋" w:hAnsi="仿宋" w:eastAsia="仿宋" w:cs="仿宋"/>
          <w:i w:val="0"/>
          <w:iCs w:val="0"/>
          <w:color w:val="auto"/>
          <w:sz w:val="21"/>
          <w:szCs w:val="21"/>
          <w:highlight w:val="none"/>
          <w:lang w:val="en-US" w:eastAsia="zh-CN"/>
        </w:rPr>
      </w:pPr>
    </w:p>
    <w:p>
      <w:pPr>
        <w:pStyle w:val="22"/>
        <w:tabs>
          <w:tab w:val="left" w:pos="567"/>
        </w:tabs>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延安市政府采购</w:t>
      </w:r>
      <w:r>
        <w:rPr>
          <w:rFonts w:hint="eastAsia" w:ascii="仿宋" w:hAnsi="仿宋" w:eastAsia="仿宋" w:cs="仿宋"/>
          <w:i w:val="0"/>
          <w:iCs w:val="0"/>
          <w:color w:val="auto"/>
          <w:sz w:val="21"/>
          <w:szCs w:val="21"/>
          <w:highlight w:val="none"/>
        </w:rPr>
        <w:t>贷款银行信息</w:t>
      </w:r>
      <w:r>
        <w:rPr>
          <w:rFonts w:hint="eastAsia" w:ascii="仿宋" w:hAnsi="仿宋" w:eastAsia="仿宋" w:cs="仿宋"/>
          <w:i w:val="0"/>
          <w:iCs w:val="0"/>
          <w:color w:val="auto"/>
          <w:sz w:val="21"/>
          <w:szCs w:val="21"/>
          <w:highlight w:val="none"/>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序号</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银行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地址</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联系人</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lang w:val="en-US" w:eastAsia="zh-CN" w:bidi="ar-SA"/>
              </w:rPr>
              <w:t>中国建设银行延安分行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lang w:val="en-US" w:eastAsia="zh-CN" w:bidi="ar-SA"/>
              </w:rPr>
              <w:t>延安市宝塔区中心街</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惠玉</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2</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中国工商银行延安分行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延安市宝塔区师范路</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姬悦</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3</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北京银行延安分行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延安市宝塔区双拥大道</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奥宝森</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4</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邮储银行延安分行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延安市宝塔区枣园路志丹大厦</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杨慧花</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5</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光大银行延安分行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延安市宝塔区卷烟厂东信时代一、二层</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汪昊田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13509115500</w:t>
            </w:r>
          </w:p>
        </w:tc>
      </w:tr>
    </w:tbl>
    <w:p>
      <w:pPr>
        <w:spacing w:line="360" w:lineRule="auto"/>
        <w:ind w:left="840" w:hanging="843" w:hangingChars="350"/>
        <w:rPr>
          <w:rFonts w:hint="eastAsia" w:ascii="仿宋" w:hAnsi="仿宋" w:eastAsia="仿宋" w:cs="仿宋"/>
          <w:b/>
          <w:bCs/>
          <w:i w:val="0"/>
          <w:iCs w:val="0"/>
          <w:color w:val="auto"/>
          <w:kern w:val="2"/>
          <w:sz w:val="24"/>
          <w:szCs w:val="21"/>
          <w:highlight w:val="none"/>
          <w:lang w:val="en-US" w:eastAsia="zh-CN" w:bidi="ar-SA"/>
        </w:rPr>
      </w:pPr>
    </w:p>
    <w:p>
      <w:pPr>
        <w:spacing w:line="360" w:lineRule="auto"/>
        <w:ind w:left="840" w:hanging="843" w:hangingChars="350"/>
        <w:rPr>
          <w:rFonts w:hint="eastAsia" w:ascii="仿宋" w:hAnsi="仿宋" w:eastAsia="仿宋" w:cs="仿宋"/>
          <w:b/>
          <w:bCs/>
          <w:i w:val="0"/>
          <w:iCs w:val="0"/>
          <w:color w:val="auto"/>
          <w:kern w:val="2"/>
          <w:sz w:val="24"/>
          <w:szCs w:val="21"/>
          <w:highlight w:val="none"/>
          <w:lang w:val="en-US" w:eastAsia="zh-CN" w:bidi="ar-SA"/>
        </w:rPr>
      </w:pPr>
      <w:r>
        <w:rPr>
          <w:rFonts w:hint="eastAsia" w:ascii="仿宋" w:hAnsi="仿宋" w:eastAsia="仿宋" w:cs="仿宋"/>
          <w:b/>
          <w:bCs/>
          <w:i w:val="0"/>
          <w:iCs w:val="0"/>
          <w:color w:val="auto"/>
          <w:kern w:val="2"/>
          <w:sz w:val="24"/>
          <w:szCs w:val="21"/>
          <w:highlight w:val="none"/>
          <w:lang w:val="en-US" w:eastAsia="zh-CN" w:bidi="ar-SA"/>
        </w:rPr>
        <w:t>32   信用承诺：详见投标须知前附表</w:t>
      </w:r>
    </w:p>
    <w:p>
      <w:pPr>
        <w:spacing w:line="360" w:lineRule="auto"/>
        <w:ind w:left="840" w:hanging="843" w:hangingChars="350"/>
        <w:rPr>
          <w:rFonts w:hint="eastAsia" w:ascii="仿宋" w:hAnsi="仿宋" w:eastAsia="仿宋" w:cs="仿宋"/>
          <w:b/>
          <w:bCs/>
          <w:sz w:val="24"/>
          <w:lang w:val="en-US" w:eastAsia="zh-CN"/>
        </w:rPr>
      </w:pPr>
      <w:r>
        <w:rPr>
          <w:rFonts w:hint="eastAsia" w:ascii="仿宋" w:hAnsi="仿宋" w:eastAsia="仿宋" w:cs="仿宋"/>
          <w:b/>
          <w:bCs/>
          <w:i w:val="0"/>
          <w:iCs w:val="0"/>
          <w:color w:val="auto"/>
          <w:kern w:val="2"/>
          <w:sz w:val="24"/>
          <w:szCs w:val="21"/>
          <w:highlight w:val="none"/>
          <w:lang w:val="en-US" w:eastAsia="zh-CN" w:bidi="ar-SA"/>
        </w:rPr>
        <w:t>33</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b/>
          <w:bCs/>
          <w:i w:val="0"/>
          <w:iCs w:val="0"/>
          <w:color w:val="auto"/>
          <w:kern w:val="2"/>
          <w:sz w:val="24"/>
          <w:szCs w:val="21"/>
          <w:highlight w:val="none"/>
          <w:lang w:val="en-US" w:eastAsia="zh-CN" w:bidi="ar-SA"/>
        </w:rPr>
        <w:t>不见面开标注意事项及流程</w:t>
      </w:r>
      <w:r>
        <w:rPr>
          <w:rFonts w:hint="eastAsia" w:ascii="仿宋" w:hAnsi="仿宋" w:eastAsia="仿宋" w:cs="仿宋"/>
          <w:b/>
          <w:bCs/>
          <w:sz w:val="24"/>
          <w:lang w:val="en-US" w:eastAsia="zh-CN"/>
        </w:rPr>
        <w:t>。</w:t>
      </w:r>
    </w:p>
    <w:p>
      <w:pPr>
        <w:pStyle w:val="22"/>
        <w:shd w:val="clear" w:color="auto"/>
        <w:ind w:left="840" w:hanging="840" w:hangingChars="350"/>
        <w:rPr>
          <w:rFonts w:hint="eastAsia" w:ascii="仿宋" w:hAnsi="仿宋" w:eastAsia="仿宋" w:cs="仿宋"/>
          <w:sz w:val="24"/>
          <w:lang w:val="en-US" w:eastAsia="zh-CN"/>
        </w:rPr>
      </w:pPr>
      <w:r>
        <w:rPr>
          <w:rFonts w:hint="eastAsia" w:ascii="仿宋" w:hAnsi="仿宋" w:eastAsia="仿宋" w:cs="仿宋"/>
          <w:sz w:val="24"/>
          <w:lang w:val="en-US" w:eastAsia="zh-CN"/>
        </w:rPr>
        <w:t>33.1 不见面开标注意事项及流程见“供应商须知前附表”</w:t>
      </w:r>
    </w:p>
    <w:bookmarkEnd w:id="410"/>
    <w:bookmarkEnd w:id="411"/>
    <w:p>
      <w:pPr>
        <w:pStyle w:val="22"/>
        <w:shd w:val="clear" w:color="auto"/>
        <w:ind w:left="840" w:hanging="843" w:hangingChars="350"/>
        <w:rPr>
          <w:rFonts w:hint="eastAsia" w:ascii="仿宋" w:hAnsi="仿宋" w:eastAsia="仿宋" w:cs="仿宋"/>
          <w:i w:val="0"/>
          <w:iCs w:val="0"/>
          <w:color w:val="auto"/>
          <w:sz w:val="24"/>
          <w:highlight w:val="none"/>
        </w:rPr>
      </w:pPr>
      <w:bookmarkStart w:id="412" w:name="_Toc184114070"/>
      <w:bookmarkStart w:id="413" w:name="_Toc230099802"/>
      <w:bookmarkStart w:id="414" w:name="_Toc230013637"/>
      <w:bookmarkStart w:id="415" w:name="_Toc184025279"/>
      <w:r>
        <w:rPr>
          <w:rFonts w:hint="eastAsia" w:ascii="仿宋" w:hAnsi="仿宋" w:eastAsia="仿宋" w:cs="仿宋"/>
          <w:b/>
          <w:bCs/>
          <w:sz w:val="24"/>
          <w:lang w:val="en-US" w:eastAsia="zh-CN"/>
        </w:rPr>
        <w:t>34   中小企业规模的划分标准</w:t>
      </w:r>
      <w:r>
        <w:rPr>
          <w:rFonts w:hint="eastAsia" w:ascii="仿宋" w:hAnsi="仿宋" w:eastAsia="仿宋" w:cs="仿宋"/>
          <w:i w:val="0"/>
          <w:iCs w:val="0"/>
          <w:color w:val="auto"/>
          <w:sz w:val="24"/>
          <w:highlight w:val="none"/>
        </w:rPr>
        <w:br w:type="page"/>
      </w:r>
    </w:p>
    <w:bookmarkEnd w:id="412"/>
    <w:bookmarkEnd w:id="413"/>
    <w:bookmarkEnd w:id="414"/>
    <w:bookmarkEnd w:id="415"/>
    <w:p>
      <w:pPr>
        <w:pStyle w:val="69"/>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rPr>
      </w:pPr>
      <w:bookmarkStart w:id="416" w:name="_Toc17469"/>
      <w:bookmarkStart w:id="417" w:name="_Toc58504447"/>
      <w:bookmarkStart w:id="418" w:name="_Toc58504668"/>
      <w:r>
        <w:rPr>
          <w:rFonts w:hint="eastAsia" w:ascii="仿宋" w:hAnsi="仿宋" w:eastAsia="仿宋" w:cs="仿宋"/>
          <w:b/>
          <w:i w:val="0"/>
          <w:iCs w:val="0"/>
          <w:color w:val="auto"/>
          <w:kern w:val="0"/>
          <w:sz w:val="32"/>
          <w:szCs w:val="32"/>
          <w:highlight w:val="none"/>
        </w:rPr>
        <w:t xml:space="preserve">第三章  </w:t>
      </w:r>
      <w:bookmarkEnd w:id="19"/>
      <w:bookmarkEnd w:id="416"/>
      <w:bookmarkEnd w:id="417"/>
      <w:bookmarkEnd w:id="418"/>
      <w:bookmarkStart w:id="419" w:name="_Toc249525250"/>
      <w:bookmarkStart w:id="420" w:name="_Toc176882552"/>
      <w:bookmarkStart w:id="421" w:name="_Toc499711087"/>
      <w:bookmarkStart w:id="422" w:name="_Toc230099803"/>
      <w:bookmarkStart w:id="423" w:name="_Toc53722865"/>
      <w:bookmarkStart w:id="424" w:name="_Toc500747233"/>
      <w:bookmarkStart w:id="425" w:name="_Toc177995483"/>
      <w:bookmarkStart w:id="426" w:name="_Toc249515369"/>
      <w:bookmarkStart w:id="427" w:name="_Toc28450"/>
      <w:bookmarkStart w:id="428" w:name="_Toc415499897"/>
      <w:bookmarkStart w:id="429" w:name="_Toc503063458"/>
      <w:bookmarkStart w:id="430" w:name="_Toc230013638"/>
      <w:bookmarkStart w:id="431" w:name="_Toc70687202"/>
      <w:bookmarkStart w:id="432" w:name="_Toc232176282"/>
      <w:bookmarkStart w:id="433" w:name="_Toc177817344"/>
      <w:bookmarkStart w:id="434" w:name="_Toc256342152"/>
      <w:bookmarkStart w:id="435" w:name="_Toc496324623"/>
      <w:bookmarkStart w:id="436" w:name="_Toc232395222"/>
      <w:bookmarkStart w:id="437" w:name="_Toc249515482"/>
      <w:bookmarkStart w:id="438" w:name="_Toc499711928"/>
      <w:bookmarkStart w:id="439" w:name="_Toc500747010"/>
      <w:bookmarkStart w:id="440" w:name="_Toc177189245"/>
      <w:bookmarkStart w:id="441" w:name="_Toc492955459"/>
      <w:bookmarkStart w:id="442" w:name="_Toc500747106"/>
      <w:bookmarkStart w:id="443" w:name="_Toc184043058"/>
      <w:bookmarkStart w:id="444" w:name="_Toc230583552"/>
      <w:r>
        <w:rPr>
          <w:rFonts w:hint="eastAsia" w:ascii="仿宋" w:hAnsi="仿宋" w:eastAsia="仿宋" w:cs="仿宋"/>
          <w:b/>
          <w:i w:val="0"/>
          <w:iCs w:val="0"/>
          <w:color w:val="auto"/>
          <w:kern w:val="0"/>
          <w:sz w:val="32"/>
          <w:szCs w:val="32"/>
          <w:highlight w:val="none"/>
        </w:rPr>
        <w:t>拟签订的合同文本</w:t>
      </w:r>
    </w:p>
    <w:p>
      <w:pPr>
        <w:tabs>
          <w:tab w:val="left" w:pos="735"/>
        </w:tabs>
        <w:autoSpaceDE w:val="0"/>
        <w:autoSpaceDN w:val="0"/>
        <w:adjustRightInd w:val="0"/>
        <w:snapToGrid w:val="0"/>
        <w:spacing w:before="240" w:beforeLines="100" w:line="360" w:lineRule="auto"/>
        <w:ind w:firstLine="629"/>
        <w:rPr>
          <w:rFonts w:hint="eastAsia" w:ascii="仿宋" w:hAnsi="仿宋" w:eastAsia="仿宋" w:cs="仿宋"/>
          <w:b/>
          <w:bCs/>
          <w:sz w:val="24"/>
          <w:lang w:val="zh-CN"/>
        </w:rPr>
      </w:pPr>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p>
    <w:p>
      <w:pPr>
        <w:tabs>
          <w:tab w:val="left" w:pos="735"/>
        </w:tabs>
        <w:autoSpaceDE w:val="0"/>
        <w:autoSpaceDN w:val="0"/>
        <w:adjustRightInd w:val="0"/>
        <w:snapToGrid w:val="0"/>
        <w:spacing w:line="360" w:lineRule="auto"/>
        <w:ind w:firstLine="631"/>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 xml:space="preserve">（前款所称中标人）     </w:t>
      </w:r>
    </w:p>
    <w:p>
      <w:pPr>
        <w:adjustRightInd w:val="0"/>
        <w:snapToGrid w:val="0"/>
        <w:spacing w:line="360" w:lineRule="auto"/>
        <w:ind w:firstLine="480" w:firstLineChars="200"/>
        <w:rPr>
          <w:rFonts w:hint="eastAsia" w:ascii="仿宋" w:hAnsi="仿宋" w:eastAsia="仿宋" w:cs="仿宋"/>
          <w:sz w:val="24"/>
        </w:rPr>
      </w:pPr>
      <w:bookmarkStart w:id="445" w:name="_Toc19515384"/>
      <w:r>
        <w:rPr>
          <w:rFonts w:hint="eastAsia" w:ascii="仿宋" w:hAnsi="仿宋" w:eastAsia="仿宋" w:cs="仿宋"/>
          <w:sz w:val="24"/>
        </w:rPr>
        <w:t>一、合同内容（标的、数量、质量等）:</w:t>
      </w:r>
      <w:bookmarkEnd w:id="445"/>
    </w:p>
    <w:p>
      <w:pPr>
        <w:adjustRightInd w:val="0"/>
        <w:snapToGrid w:val="0"/>
        <w:spacing w:line="360" w:lineRule="auto"/>
        <w:ind w:firstLine="480" w:firstLineChars="200"/>
        <w:rPr>
          <w:rFonts w:hint="eastAsia" w:ascii="仿宋" w:hAnsi="仿宋" w:eastAsia="仿宋" w:cs="仿宋"/>
          <w:sz w:val="24"/>
        </w:rPr>
      </w:pPr>
      <w:bookmarkStart w:id="446" w:name="_Toc19515385"/>
      <w:r>
        <w:rPr>
          <w:rFonts w:hint="eastAsia" w:ascii="仿宋" w:hAnsi="仿宋" w:eastAsia="仿宋" w:cs="仿宋"/>
          <w:sz w:val="24"/>
        </w:rPr>
        <w:t>二、合同价款</w:t>
      </w:r>
      <w:bookmarkEnd w:id="446"/>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1、合同总价：</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2、合同总价包括：</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3、合同总价一次包死，不受市场价变化的影响。</w:t>
      </w:r>
    </w:p>
    <w:p>
      <w:pPr>
        <w:adjustRightInd w:val="0"/>
        <w:snapToGrid w:val="0"/>
        <w:spacing w:line="360" w:lineRule="auto"/>
        <w:ind w:firstLine="480" w:firstLineChars="200"/>
        <w:rPr>
          <w:rFonts w:hint="eastAsia" w:ascii="仿宋" w:hAnsi="仿宋" w:eastAsia="仿宋" w:cs="仿宋"/>
          <w:sz w:val="24"/>
        </w:rPr>
      </w:pPr>
      <w:bookmarkStart w:id="447" w:name="_Toc19515386"/>
      <w:r>
        <w:rPr>
          <w:rFonts w:hint="eastAsia" w:ascii="仿宋" w:hAnsi="仿宋" w:eastAsia="仿宋" w:cs="仿宋"/>
          <w:sz w:val="24"/>
        </w:rPr>
        <w:t>三、合同结算</w:t>
      </w:r>
      <w:bookmarkEnd w:id="447"/>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1、付款比例：按甲方要求付款比例为准。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2、结算方式：银行转账。</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3、结算单位：由</w:t>
      </w:r>
      <w:r>
        <w:rPr>
          <w:rFonts w:hint="eastAsia" w:ascii="仿宋" w:hAnsi="仿宋" w:eastAsia="仿宋" w:cs="仿宋"/>
          <w:sz w:val="24"/>
          <w:u w:val="single"/>
        </w:rPr>
        <w:t xml:space="preserve">         </w:t>
      </w:r>
      <w:r>
        <w:rPr>
          <w:rFonts w:hint="eastAsia" w:ascii="仿宋" w:hAnsi="仿宋" w:eastAsia="仿宋" w:cs="仿宋"/>
          <w:sz w:val="24"/>
        </w:rPr>
        <w:t>负责结算，乙方开具合同总价数的全额发票交采购人。</w:t>
      </w:r>
    </w:p>
    <w:p>
      <w:pPr>
        <w:adjustRightInd w:val="0"/>
        <w:snapToGrid w:val="0"/>
        <w:spacing w:line="360" w:lineRule="auto"/>
        <w:ind w:firstLine="480" w:firstLineChars="200"/>
        <w:rPr>
          <w:rFonts w:hint="eastAsia" w:ascii="仿宋" w:hAnsi="仿宋" w:eastAsia="仿宋" w:cs="仿宋"/>
          <w:sz w:val="24"/>
        </w:rPr>
      </w:pPr>
      <w:bookmarkStart w:id="448" w:name="_Toc19515387"/>
      <w:r>
        <w:rPr>
          <w:rFonts w:hint="eastAsia" w:ascii="仿宋" w:hAnsi="仿宋" w:eastAsia="仿宋" w:cs="仿宋"/>
          <w:sz w:val="24"/>
        </w:rPr>
        <w:t>四、履行期限、地点及方式:</w:t>
      </w:r>
      <w:bookmarkEnd w:id="448"/>
    </w:p>
    <w:p>
      <w:pPr>
        <w:adjustRightInd w:val="0"/>
        <w:snapToGrid w:val="0"/>
        <w:spacing w:line="360" w:lineRule="auto"/>
        <w:ind w:firstLine="480" w:firstLineChars="200"/>
        <w:rPr>
          <w:rFonts w:hint="eastAsia" w:ascii="仿宋" w:hAnsi="仿宋" w:eastAsia="仿宋" w:cs="仿宋"/>
          <w:sz w:val="24"/>
          <w:highlight w:val="yellow"/>
          <w:lang w:eastAsia="zh-CN"/>
        </w:rPr>
      </w:pPr>
      <w:r>
        <w:rPr>
          <w:rFonts w:hint="eastAsia" w:ascii="仿宋" w:hAnsi="仿宋" w:eastAsia="仿宋" w:cs="仿宋"/>
          <w:sz w:val="24"/>
        </w:rPr>
        <w:t>1、</w:t>
      </w:r>
      <w:r>
        <w:rPr>
          <w:rFonts w:hint="eastAsia" w:ascii="仿宋" w:hAnsi="仿宋" w:eastAsia="仿宋" w:cs="仿宋"/>
          <w:sz w:val="24"/>
          <w:lang w:eastAsia="zh-CN"/>
        </w:rPr>
        <w:t>交货</w:t>
      </w:r>
      <w:r>
        <w:rPr>
          <w:rFonts w:hint="eastAsia" w:ascii="仿宋" w:hAnsi="仿宋" w:eastAsia="仿宋" w:cs="仿宋"/>
          <w:sz w:val="24"/>
        </w:rPr>
        <w:t>期：</w:t>
      </w:r>
      <w:r>
        <w:rPr>
          <w:rFonts w:hint="eastAsia" w:ascii="仿宋" w:hAnsi="仿宋" w:eastAsia="仿宋" w:cs="仿宋"/>
          <w:color w:val="auto"/>
          <w:sz w:val="24"/>
          <w:highlight w:val="yellow"/>
          <w:lang w:eastAsia="zh-CN"/>
        </w:rPr>
        <w:t>合同签订后90日内完成供货，安装调试到位并达到使用要求</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2、地点：</w:t>
      </w:r>
      <w:r>
        <w:rPr>
          <w:rFonts w:hint="eastAsia" w:ascii="仿宋" w:hAnsi="仿宋" w:eastAsia="仿宋" w:cs="仿宋"/>
          <w:sz w:val="24"/>
          <w:lang w:eastAsia="zh-CN"/>
        </w:rPr>
        <w:t>甲方指定地点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3、方式：</w:t>
      </w:r>
    </w:p>
    <w:p>
      <w:pPr>
        <w:adjustRightInd w:val="0"/>
        <w:snapToGrid w:val="0"/>
        <w:spacing w:line="360" w:lineRule="auto"/>
        <w:ind w:firstLine="480" w:firstLineChars="200"/>
        <w:rPr>
          <w:rFonts w:hint="eastAsia" w:ascii="仿宋" w:hAnsi="仿宋" w:eastAsia="仿宋" w:cs="仿宋"/>
          <w:sz w:val="24"/>
        </w:rPr>
      </w:pPr>
      <w:bookmarkStart w:id="449" w:name="_Toc19515388"/>
      <w:r>
        <w:rPr>
          <w:rFonts w:hint="eastAsia" w:ascii="仿宋" w:hAnsi="仿宋" w:eastAsia="仿宋" w:cs="仿宋"/>
          <w:sz w:val="24"/>
        </w:rPr>
        <w:t>五、运输</w:t>
      </w:r>
      <w:bookmarkEnd w:id="449"/>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1、乙方负责所有货物的运输。确保货物安全、完整到达使用地点，运杂费用包含在总价内，包括货物从供货地点到使用地点的运输费、保险费、搬运费等。</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2、所有货物在运输、搬运、安装的过程中，造成甲方损失的，由乙方为甲方修复或更新。</w:t>
      </w:r>
    </w:p>
    <w:p>
      <w:pPr>
        <w:adjustRightInd w:val="0"/>
        <w:snapToGrid w:val="0"/>
        <w:spacing w:line="360" w:lineRule="auto"/>
        <w:ind w:firstLine="480" w:firstLineChars="200"/>
        <w:rPr>
          <w:rFonts w:hint="eastAsia" w:ascii="仿宋" w:hAnsi="仿宋" w:eastAsia="仿宋" w:cs="仿宋"/>
          <w:sz w:val="24"/>
        </w:rPr>
      </w:pPr>
      <w:bookmarkStart w:id="450" w:name="_Toc19515389"/>
      <w:r>
        <w:rPr>
          <w:rFonts w:hint="eastAsia" w:ascii="仿宋" w:hAnsi="仿宋" w:eastAsia="仿宋" w:cs="仿宋"/>
          <w:sz w:val="24"/>
        </w:rPr>
        <w:t>六、质量保证</w:t>
      </w:r>
      <w:bookmarkEnd w:id="450"/>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1、乙方提供货物必须是原品牌制造厂制造的最新工艺、生产的最新产品。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2、所供货物必须是经过办理正常手续的全新产品。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3、所供货物是经过国家法定检验、注册、准许市场销售的合法产品。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4、货物性能稳定、具有较好的使用效果，质量保证措施完善，符合国家相关标准。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5、货物的质保期为验收合格后</w:t>
      </w:r>
      <w:r>
        <w:rPr>
          <w:rFonts w:hint="eastAsia" w:ascii="仿宋" w:hAnsi="仿宋" w:eastAsia="仿宋" w:cs="仿宋"/>
          <w:sz w:val="24"/>
          <w:u w:val="single"/>
          <w:lang w:val="en-US" w:eastAsia="zh-CN"/>
        </w:rPr>
        <w:t xml:space="preserve"> 12 </w:t>
      </w:r>
      <w:r>
        <w:rPr>
          <w:rFonts w:hint="eastAsia" w:ascii="仿宋" w:hAnsi="仿宋" w:eastAsia="仿宋" w:cs="仿宋"/>
          <w:sz w:val="24"/>
          <w:lang w:val="en-US" w:eastAsia="zh-CN"/>
        </w:rPr>
        <w:t xml:space="preserve"> </w:t>
      </w:r>
      <w:r>
        <w:rPr>
          <w:rFonts w:hint="eastAsia" w:ascii="仿宋" w:hAnsi="仿宋" w:eastAsia="仿宋" w:cs="仿宋"/>
          <w:sz w:val="24"/>
        </w:rPr>
        <w:t>个月，终身维护保养，质保期后，只收取成本费用。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6、包装要求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6-1、除合同另有规定外，乙方提供的全部货物，均应按标准保护措施进行包装，并确保货物安全无损运抵甲方指定地点。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6-2、每一个包装箱内应附一份详细装箱单和质量合格证。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7、乙方应保证甲方在使用该货物或其任何一部分时免受第三方提出侵犯其专利权、商标权或工业设计权的起诉。</w:t>
      </w:r>
    </w:p>
    <w:p>
      <w:pPr>
        <w:adjustRightInd w:val="0"/>
        <w:snapToGrid w:val="0"/>
        <w:spacing w:line="360" w:lineRule="auto"/>
        <w:ind w:firstLine="480" w:firstLineChars="200"/>
        <w:rPr>
          <w:rFonts w:hint="eastAsia" w:ascii="仿宋" w:hAnsi="仿宋" w:eastAsia="仿宋" w:cs="仿宋"/>
          <w:sz w:val="24"/>
        </w:rPr>
      </w:pPr>
      <w:bookmarkStart w:id="451" w:name="_Toc19515390"/>
      <w:r>
        <w:rPr>
          <w:rFonts w:hint="eastAsia" w:ascii="仿宋" w:hAnsi="仿宋" w:eastAsia="仿宋" w:cs="仿宋"/>
          <w:sz w:val="24"/>
        </w:rPr>
        <w:t>七、技术服务</w:t>
      </w:r>
      <w:bookmarkEnd w:id="451"/>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1、对技术服务的要求：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2、技术资料：</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2-1、产品合格证及检验报告；</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2-2、产品使用说明书（中文）；</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2-3、中国商品检验局出具的商检合格证明；</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2-4、其它资料。</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3、技术培训：</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3-1、培训内容：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3-2、培训地点：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3-3、培训时间：</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3-4、培训人数：</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3-5、培训费用：受训人员的食宿费、资料费、培训场地费、耗材（包括水电费等）费等已包含在合同总价中，甲方不再另行支付。</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4、售后服务</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4-1、乙方在接到甲方保修电话故障通知后在</w:t>
      </w:r>
      <w:r>
        <w:rPr>
          <w:rFonts w:hint="eastAsia" w:ascii="仿宋" w:hAnsi="仿宋" w:eastAsia="仿宋" w:cs="仿宋"/>
          <w:sz w:val="24"/>
          <w:u w:val="single"/>
          <w:lang w:val="en-US" w:eastAsia="zh-CN"/>
        </w:rPr>
        <w:t xml:space="preserve">  </w:t>
      </w:r>
      <w:r>
        <w:rPr>
          <w:rFonts w:hint="eastAsia" w:ascii="仿宋" w:hAnsi="仿宋" w:eastAsia="仿宋" w:cs="仿宋"/>
          <w:sz w:val="24"/>
        </w:rPr>
        <w:t>小时内派出合格的维修人员到达现场进行维修服务，承担相应费用，若需将产品送回生产厂，乙方应提供备用机、承担维修产品所需的往返费用。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4-2、如果乙方在收到通知后两天内没有弥补缺陷，甲方可采取必要的补救措施，但其风险和费用将由乙方承担，甲方根据合同规定对乙方行使的其它权力不受影响。甲方亦可从质保金中扣回索赔金额。</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5、伴随服务</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5-1、乙方应随同每套货物提供相应的中文的技术文件。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5-1-1、完整的操作使用手册和维护、修理技术文件，图纸、保修卡等。</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5-1-2、制造厂的检验、测试报告、检验合格证书，计量合格等级证书，质量保证书等文件须随产品装箱提供。</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5-1-3、必须的其它技术资料。</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5-2、伴随服务的费用已含在合同价中，不单独进行支付。</w:t>
      </w:r>
    </w:p>
    <w:p>
      <w:pPr>
        <w:adjustRightInd w:val="0"/>
        <w:snapToGrid w:val="0"/>
        <w:spacing w:line="360" w:lineRule="auto"/>
        <w:ind w:firstLine="480" w:firstLineChars="200"/>
        <w:rPr>
          <w:rFonts w:hint="eastAsia" w:ascii="仿宋" w:hAnsi="仿宋" w:eastAsia="仿宋" w:cs="仿宋"/>
          <w:sz w:val="24"/>
        </w:rPr>
      </w:pPr>
      <w:bookmarkStart w:id="452" w:name="_Toc19515391"/>
      <w:r>
        <w:rPr>
          <w:rFonts w:hint="eastAsia" w:ascii="仿宋" w:hAnsi="仿宋" w:eastAsia="仿宋" w:cs="仿宋"/>
          <w:sz w:val="24"/>
        </w:rPr>
        <w:t>八、验收</w:t>
      </w:r>
      <w:bookmarkEnd w:id="452"/>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1、到货验收：货物到货后，由甲方与乙方共同进行外观验收，验收内容包括，外包装的完好性，货物品牌、规格、数量及产地与合同要求的一致性。</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2、货物运行验收：乙方安装调试合格后，向甲方提出验收申请，甲方接到乙方验收申请后组织验收（必要时可聘请相应专家或委托相应部门验收），验收合格后，出具使用验收合格证明。</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3、最终验收：最终验收结果作为付款依据，乙方填写验收单，并向甲方提交实施过程中的所有资料，以便甲方日后管理和维护。</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4、质保期满后：由乙方出具质保期运行质量报告，作为质保金支付依据，若存在质量问题，应按相应规定协商处理。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5、验收依据：</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5-1、合同文本、合同附件、招标文件、投标文件。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5-2、国内相应的标准、规范。</w:t>
      </w:r>
    </w:p>
    <w:p>
      <w:pPr>
        <w:adjustRightInd w:val="0"/>
        <w:snapToGrid w:val="0"/>
        <w:spacing w:line="360" w:lineRule="auto"/>
        <w:ind w:firstLine="480" w:firstLineChars="200"/>
        <w:rPr>
          <w:rFonts w:hint="eastAsia" w:ascii="仿宋" w:hAnsi="仿宋" w:eastAsia="仿宋" w:cs="仿宋"/>
          <w:sz w:val="24"/>
        </w:rPr>
      </w:pPr>
      <w:bookmarkStart w:id="453" w:name="_Toc19515392"/>
      <w:r>
        <w:rPr>
          <w:rFonts w:hint="eastAsia" w:ascii="仿宋" w:hAnsi="仿宋" w:eastAsia="仿宋" w:cs="仿宋"/>
          <w:sz w:val="24"/>
        </w:rPr>
        <w:t>九、违约责任</w:t>
      </w:r>
      <w:bookmarkEnd w:id="453"/>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w:t>
      </w:r>
      <w:r>
        <w:rPr>
          <w:rFonts w:hint="eastAsia" w:ascii="仿宋" w:hAnsi="仿宋" w:eastAsia="仿宋" w:cs="仿宋"/>
          <w:sz w:val="24"/>
          <w:lang w:eastAsia="zh-CN"/>
        </w:rPr>
        <w:t>民法典</w:t>
      </w:r>
      <w:r>
        <w:rPr>
          <w:rFonts w:hint="eastAsia" w:ascii="仿宋" w:hAnsi="仿宋" w:eastAsia="仿宋" w:cs="仿宋"/>
          <w:sz w:val="24"/>
        </w:rPr>
        <w:t>》中的相关条款执行。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2、乙方履约延误</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2-1、如乙方事先未征得甲方同意并得到甲方的谅解而单方面延迟交货，将按违约终止合同。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3、违约终止合同：未按合同要求提供货物或质量不能满足技术要求，甲方会同监督机构有权终止合同，对乙方违约行为进行追究，同时按政府采购法的有关规定进行相应的处罚。</w:t>
      </w:r>
    </w:p>
    <w:p>
      <w:pPr>
        <w:adjustRightInd w:val="0"/>
        <w:snapToGrid w:val="0"/>
        <w:spacing w:line="360" w:lineRule="auto"/>
        <w:ind w:firstLine="480" w:firstLineChars="200"/>
        <w:rPr>
          <w:rFonts w:hint="eastAsia" w:ascii="仿宋" w:hAnsi="仿宋" w:eastAsia="仿宋" w:cs="仿宋"/>
          <w:sz w:val="24"/>
        </w:rPr>
      </w:pPr>
      <w:bookmarkStart w:id="454" w:name="_Toc19515393"/>
      <w:r>
        <w:rPr>
          <w:rFonts w:hint="eastAsia" w:ascii="仿宋" w:hAnsi="仿宋" w:eastAsia="仿宋" w:cs="仿宋"/>
          <w:sz w:val="24"/>
        </w:rPr>
        <w:t>十、合同组成</w:t>
      </w:r>
      <w:bookmarkEnd w:id="454"/>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1、中标通知书</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4、供货产品技术规格及参数表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5、招标文件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6、投标文件</w:t>
      </w:r>
    </w:p>
    <w:p>
      <w:pPr>
        <w:adjustRightInd w:val="0"/>
        <w:snapToGrid w:val="0"/>
        <w:spacing w:line="360" w:lineRule="auto"/>
        <w:ind w:firstLine="480" w:firstLineChars="200"/>
        <w:rPr>
          <w:rFonts w:hint="eastAsia" w:ascii="仿宋" w:hAnsi="仿宋" w:eastAsia="仿宋" w:cs="仿宋"/>
          <w:sz w:val="24"/>
        </w:rPr>
      </w:pPr>
      <w:bookmarkStart w:id="455" w:name="_Toc19515394"/>
      <w:r>
        <w:rPr>
          <w:rFonts w:hint="eastAsia" w:ascii="仿宋" w:hAnsi="仿宋" w:eastAsia="仿宋" w:cs="仿宋"/>
          <w:sz w:val="24"/>
        </w:rPr>
        <w:t>十一、解决争议的方法</w:t>
      </w:r>
      <w:bookmarkEnd w:id="455"/>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凡因本合同引起的或与本合同有关的争议，双方应友好协商解决。协商不成时，双方均同意采用以下第（  ）种争议解决方式：</w:t>
      </w:r>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（1）、甲、乙双方均同意向（甲方所在地人民法院）提起诉讼。</w:t>
      </w:r>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"http://www.baidu.com/s?wd=%E4%BB%B2%E8%A3%81%E5%A7%94%E5%91%98%E4%BC%9A&amp;tn=SE_PcZhidaonwhc_ngpagmjz&amp;rsv_dl=gh_pc_zhidao" \t "_blank" </w:instrText>
      </w:r>
      <w:r>
        <w:rPr>
          <w:rFonts w:hint="eastAsia" w:ascii="仿宋" w:hAnsi="仿宋" w:eastAsia="仿宋" w:cs="仿宋"/>
          <w:kern w:val="0"/>
          <w:sz w:val="24"/>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pPr>
        <w:adjustRightInd w:val="0"/>
        <w:snapToGrid w:val="0"/>
        <w:spacing w:line="360" w:lineRule="auto"/>
        <w:ind w:firstLine="480" w:firstLineChars="200"/>
        <w:rPr>
          <w:rFonts w:hint="eastAsia" w:ascii="仿宋" w:hAnsi="仿宋" w:eastAsia="仿宋" w:cs="仿宋"/>
          <w:sz w:val="24"/>
        </w:rPr>
      </w:pPr>
      <w:bookmarkStart w:id="456" w:name="_Toc19515395"/>
      <w:r>
        <w:rPr>
          <w:rFonts w:hint="eastAsia" w:ascii="仿宋" w:hAnsi="仿宋" w:eastAsia="仿宋" w:cs="仿宋"/>
          <w:sz w:val="24"/>
        </w:rPr>
        <w:t>十二、合同生效及其它</w:t>
      </w:r>
      <w:bookmarkEnd w:id="456"/>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   年  月  日</w:t>
      </w:r>
    </w:p>
    <w:p>
      <w:pPr>
        <w:pStyle w:val="22"/>
        <w:rPr>
          <w:rFonts w:hint="eastAsia"/>
        </w:rPr>
      </w:pP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甲方名称</w:t>
            </w:r>
            <w:r>
              <w:rPr>
                <w:rFonts w:hint="eastAsia" w:ascii="仿宋" w:hAnsi="仿宋" w:eastAsia="仿宋" w:cs="仿宋"/>
                <w:i w:val="0"/>
                <w:iCs w:val="0"/>
                <w:color w:val="auto"/>
                <w:spacing w:val="-20"/>
                <w:kern w:val="0"/>
                <w:sz w:val="24"/>
                <w:highlight w:val="none"/>
              </w:rPr>
              <w:t>（盖章）</w:t>
            </w:r>
            <w:r>
              <w:rPr>
                <w:rFonts w:hint="eastAsia" w:ascii="仿宋" w:hAnsi="仿宋" w:eastAsia="仿宋" w:cs="仿宋"/>
                <w:i w:val="0"/>
                <w:iCs w:val="0"/>
                <w:color w:val="auto"/>
                <w:kern w:val="0"/>
                <w:sz w:val="24"/>
                <w:highlight w:val="none"/>
              </w:rPr>
              <w:t>:</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地址：</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代表人（签字）：</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电话：</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账号：</w:t>
            </w:r>
          </w:p>
        </w:tc>
        <w:tc>
          <w:tcPr>
            <w:tcW w:w="4643" w:type="dxa"/>
            <w:noWrap w:val="0"/>
            <w:vAlign w:val="top"/>
          </w:tcPr>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乙方名称</w:t>
            </w:r>
            <w:r>
              <w:rPr>
                <w:rFonts w:hint="eastAsia" w:ascii="仿宋" w:hAnsi="仿宋" w:eastAsia="仿宋" w:cs="仿宋"/>
                <w:i w:val="0"/>
                <w:iCs w:val="0"/>
                <w:color w:val="auto"/>
                <w:spacing w:val="-20"/>
                <w:kern w:val="0"/>
                <w:sz w:val="24"/>
                <w:highlight w:val="none"/>
              </w:rPr>
              <w:t>（盖章）</w:t>
            </w:r>
            <w:r>
              <w:rPr>
                <w:rFonts w:hint="eastAsia" w:ascii="仿宋" w:hAnsi="仿宋" w:eastAsia="仿宋" w:cs="仿宋"/>
                <w:i w:val="0"/>
                <w:iCs w:val="0"/>
                <w:color w:val="auto"/>
                <w:kern w:val="0"/>
                <w:sz w:val="24"/>
                <w:highlight w:val="none"/>
              </w:rPr>
              <w:t>:</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地址：</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代表人（签字）：</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电话：</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账号：</w:t>
            </w:r>
          </w:p>
        </w:tc>
      </w:tr>
    </w:tbl>
    <w:p>
      <w:pPr>
        <w:autoSpaceDE w:val="0"/>
        <w:autoSpaceDN w:val="0"/>
        <w:adjustRightInd w:val="0"/>
        <w:spacing w:line="360" w:lineRule="auto"/>
        <w:jc w:val="left"/>
        <w:rPr>
          <w:rFonts w:hint="eastAsia" w:ascii="仿宋" w:hAnsi="仿宋" w:eastAsia="仿宋" w:cs="仿宋"/>
          <w:b/>
          <w:bCs/>
          <w:i w:val="0"/>
          <w:iCs w:val="0"/>
          <w:color w:val="auto"/>
          <w:sz w:val="32"/>
          <w:szCs w:val="32"/>
          <w:highlight w:val="none"/>
        </w:rPr>
      </w:pPr>
    </w:p>
    <w:p>
      <w:pPr>
        <w:autoSpaceDE w:val="0"/>
        <w:autoSpaceDN w:val="0"/>
        <w:adjustRightInd w:val="0"/>
        <w:jc w:val="left"/>
        <w:rPr>
          <w:rFonts w:hint="eastAsia" w:ascii="仿宋" w:hAnsi="仿宋" w:eastAsia="仿宋" w:cs="仿宋"/>
          <w:b/>
          <w:bCs/>
          <w:i w:val="0"/>
          <w:iCs w:val="0"/>
          <w:color w:val="auto"/>
          <w:sz w:val="32"/>
          <w:szCs w:val="32"/>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br w:type="page"/>
      </w:r>
    </w:p>
    <w:p>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合同附件</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hint="eastAsia" w:ascii="仿宋" w:hAnsi="仿宋" w:eastAsia="仿宋" w:cs="仿宋"/>
                <w:b/>
                <w:bCs/>
                <w:i w:val="0"/>
                <w:iCs w:val="0"/>
                <w:color w:val="auto"/>
                <w:kern w:val="0"/>
                <w:sz w:val="32"/>
                <w:szCs w:val="32"/>
                <w:highlight w:val="none"/>
              </w:rPr>
            </w:pPr>
            <w:r>
              <w:rPr>
                <w:rFonts w:hint="eastAsia" w:ascii="仿宋" w:hAnsi="仿宋" w:eastAsia="仿宋" w:cs="仿宋"/>
                <w:b/>
                <w:bCs/>
                <w:i w:val="0"/>
                <w:iCs w:val="0"/>
                <w:color w:val="auto"/>
                <w:kern w:val="0"/>
                <w:sz w:val="32"/>
                <w:szCs w:val="32"/>
                <w:highlight w:val="none"/>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i w:val="0"/>
                <w:iCs w:val="0"/>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i w:val="0"/>
                <w:iCs w:val="0"/>
                <w:color w:val="auto"/>
                <w:kern w:val="0"/>
                <w:sz w:val="24"/>
                <w:highlight w:val="none"/>
              </w:rPr>
            </w:pP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联系人</w:t>
            </w:r>
          </w:p>
        </w:tc>
        <w:tc>
          <w:tcPr>
            <w:tcW w:w="1349" w:type="pct"/>
            <w:tcBorders>
              <w:top w:val="nil"/>
              <w:left w:val="nil"/>
              <w:bottom w:val="nil"/>
              <w:right w:val="single" w:color="auto" w:sz="4"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c>
          <w:tcPr>
            <w:tcW w:w="1481" w:type="pct"/>
            <w:tcBorders>
              <w:top w:val="nil"/>
              <w:left w:val="nil"/>
              <w:bottom w:val="nil"/>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电话</w:t>
            </w:r>
          </w:p>
        </w:tc>
        <w:tc>
          <w:tcPr>
            <w:tcW w:w="1248" w:type="pct"/>
            <w:tcBorders>
              <w:top w:val="nil"/>
              <w:left w:val="nil"/>
              <w:bottom w:val="nil"/>
              <w:right w:val="single" w:color="auto"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xml:space="preserve">   使用单位验收意见：（盖章）</w:t>
            </w:r>
          </w:p>
          <w:p>
            <w:pPr>
              <w:rPr>
                <w:rFonts w:hint="eastAsia" w:ascii="仿宋" w:hAnsi="仿宋" w:eastAsia="仿宋" w:cs="仿宋"/>
                <w:i w:val="0"/>
                <w:iCs w:val="0"/>
                <w:color w:val="auto"/>
                <w:sz w:val="24"/>
                <w:highlight w:val="none"/>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xml:space="preserve"> 签字：</w:t>
            </w:r>
          </w:p>
        </w:tc>
        <w:tc>
          <w:tcPr>
            <w:tcW w:w="1349" w:type="pct"/>
            <w:tcBorders>
              <w:top w:val="nil"/>
              <w:left w:val="nil"/>
              <w:bottom w:val="nil"/>
              <w:right w:val="nil"/>
            </w:tcBorders>
            <w:noWrap/>
            <w:vAlign w:val="center"/>
          </w:tcPr>
          <w:p>
            <w:pPr>
              <w:widowControl/>
              <w:jc w:val="center"/>
              <w:rPr>
                <w:rFonts w:hint="eastAsia" w:ascii="仿宋" w:hAnsi="仿宋" w:eastAsia="仿宋" w:cs="仿宋"/>
                <w:b/>
                <w:bCs/>
                <w:i w:val="0"/>
                <w:iCs w:val="0"/>
                <w:color w:val="auto"/>
                <w:kern w:val="0"/>
                <w:sz w:val="24"/>
                <w:highlight w:val="none"/>
              </w:rPr>
            </w:pPr>
          </w:p>
        </w:tc>
        <w:tc>
          <w:tcPr>
            <w:tcW w:w="1481" w:type="pct"/>
            <w:tcBorders>
              <w:top w:val="nil"/>
              <w:left w:val="single" w:color="auto" w:sz="4" w:space="0"/>
              <w:bottom w:val="nil"/>
              <w:right w:val="nil"/>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签字：</w:t>
            </w:r>
          </w:p>
        </w:tc>
        <w:tc>
          <w:tcPr>
            <w:tcW w:w="1248" w:type="pct"/>
            <w:tcBorders>
              <w:top w:val="nil"/>
              <w:left w:val="nil"/>
              <w:bottom w:val="nil"/>
              <w:right w:val="single" w:color="auto" w:sz="8" w:space="0"/>
            </w:tcBorders>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　</w:t>
            </w:r>
          </w:p>
        </w:tc>
        <w:tc>
          <w:tcPr>
            <w:tcW w:w="1349" w:type="pct"/>
            <w:tcBorders>
              <w:top w:val="nil"/>
              <w:left w:val="nil"/>
              <w:bottom w:val="single" w:color="auto" w:sz="4" w:space="0"/>
              <w:right w:val="nil"/>
            </w:tcBorders>
            <w:vAlign w:val="bottom"/>
          </w:tcPr>
          <w:p>
            <w:pPr>
              <w:widowControl/>
              <w:jc w:val="righ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pPr>
              <w:widowControl/>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pPr>
              <w:widowControl/>
              <w:jc w:val="righ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仿宋" w:hAnsi="仿宋" w:eastAsia="仿宋" w:cs="仿宋"/>
                <w:b/>
                <w:bCs/>
                <w:i w:val="0"/>
                <w:iCs w:val="0"/>
                <w:color w:val="auto"/>
                <w:kern w:val="0"/>
                <w:sz w:val="22"/>
                <w:szCs w:val="22"/>
                <w:highlight w:val="none"/>
              </w:rPr>
            </w:pPr>
            <w:r>
              <w:rPr>
                <w:rFonts w:hint="eastAsia" w:ascii="仿宋" w:hAnsi="仿宋" w:eastAsia="仿宋" w:cs="仿宋"/>
                <w:b/>
                <w:bCs/>
                <w:i w:val="0"/>
                <w:iCs w:val="0"/>
                <w:color w:val="auto"/>
                <w:kern w:val="0"/>
                <w:sz w:val="22"/>
                <w:szCs w:val="22"/>
                <w:highlight w:val="none"/>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hint="eastAsia" w:ascii="仿宋" w:hAnsi="仿宋" w:eastAsia="仿宋" w:cs="仿宋"/>
                <w:b/>
                <w:bCs/>
                <w:i w:val="0"/>
                <w:iCs w:val="0"/>
                <w:color w:val="auto"/>
                <w:kern w:val="0"/>
                <w:sz w:val="28"/>
                <w:szCs w:val="28"/>
                <w:highlight w:val="none"/>
              </w:rPr>
            </w:pPr>
            <w:r>
              <w:rPr>
                <w:rFonts w:hint="eastAsia" w:ascii="仿宋" w:hAnsi="仿宋" w:eastAsia="仿宋" w:cs="仿宋"/>
                <w:b/>
                <w:bCs/>
                <w:i w:val="0"/>
                <w:iCs w:val="0"/>
                <w:color w:val="auto"/>
                <w:kern w:val="0"/>
                <w:sz w:val="28"/>
                <w:szCs w:val="28"/>
                <w:highlight w:val="none"/>
              </w:rPr>
              <w:t>采购内容请列明品目、规格、型号、数量、单价、总价</w:t>
            </w:r>
          </w:p>
        </w:tc>
      </w:tr>
    </w:tbl>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pStyle w:val="69"/>
        <w:numPr>
          <w:ilvl w:val="0"/>
          <w:numId w:val="12"/>
        </w:numPr>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rPr>
      </w:pPr>
      <w:bookmarkStart w:id="457" w:name="_Toc58504448"/>
      <w:bookmarkStart w:id="458" w:name="_Toc58504669"/>
      <w:r>
        <w:rPr>
          <w:rFonts w:hint="eastAsia" w:ascii="仿宋" w:hAnsi="仿宋" w:eastAsia="仿宋" w:cs="仿宋"/>
          <w:b/>
          <w:i w:val="0"/>
          <w:iCs w:val="0"/>
          <w:color w:val="auto"/>
          <w:kern w:val="0"/>
          <w:sz w:val="32"/>
          <w:szCs w:val="32"/>
          <w:highlight w:val="none"/>
        </w:rPr>
        <w:t xml:space="preserve"> 采购内容及要求</w:t>
      </w:r>
      <w:bookmarkEnd w:id="457"/>
      <w:bookmarkEnd w:id="458"/>
      <w:bookmarkStart w:id="459" w:name="_Toc389620241"/>
      <w:bookmarkStart w:id="460" w:name="_Toc415499899"/>
      <w:bookmarkStart w:id="461" w:name="_Toc31008"/>
      <w:bookmarkStart w:id="462" w:name="_Toc385992401"/>
    </w:p>
    <w:p>
      <w:pPr>
        <w:pStyle w:val="22"/>
        <w:keepNext w:val="0"/>
        <w:keepLines w:val="0"/>
        <w:pageBreakBefore w:val="0"/>
        <w:kinsoku/>
        <w:wordWrap/>
        <w:overflowPunct/>
        <w:topLinePunct w:val="0"/>
        <w:bidi w:val="0"/>
        <w:snapToGrid/>
        <w:spacing w:before="98" w:line="360" w:lineRule="auto"/>
        <w:ind w:firstLine="562" w:firstLineChars="200"/>
        <w:jc w:val="center"/>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采购一览表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序号</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设备名称</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数量（台）</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rPr>
              <w:t>血液透析机</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rPr>
              <w:t>血液透析滤过机</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321" w:type="dxa"/>
          </w:tcPr>
          <w:p>
            <w:pPr>
              <w:pStyle w:val="22"/>
              <w:keepNext w:val="0"/>
              <w:keepLines w:val="0"/>
              <w:pageBreakBefore w:val="0"/>
              <w:kinsoku/>
              <w:wordWrap/>
              <w:overflowPunct/>
              <w:topLinePunct w:val="0"/>
              <w:bidi w:val="0"/>
              <w:snapToGrid/>
              <w:spacing w:before="98" w:line="360" w:lineRule="auto"/>
              <w:jc w:val="center"/>
              <w:textAlignment w:val="auto"/>
              <w:outlineLvl w:val="0"/>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lang w:eastAsia="zh-CN"/>
              </w:rPr>
              <w:t>详见技术要求</w:t>
            </w:r>
          </w:p>
        </w:tc>
      </w:tr>
    </w:tbl>
    <w:p>
      <w:pPr>
        <w:pStyle w:val="22"/>
        <w:keepNext w:val="0"/>
        <w:keepLines w:val="0"/>
        <w:pageBreakBefore w:val="0"/>
        <w:kinsoku/>
        <w:wordWrap/>
        <w:overflowPunct/>
        <w:topLinePunct w:val="0"/>
        <w:bidi w:val="0"/>
        <w:snapToGrid/>
        <w:spacing w:before="98" w:line="360" w:lineRule="auto"/>
        <w:ind w:firstLine="562" w:firstLineChars="200"/>
        <w:jc w:val="center"/>
        <w:textAlignment w:val="auto"/>
        <w:outlineLvl w:val="0"/>
        <w:rPr>
          <w:rFonts w:hint="eastAsia" w:ascii="仿宋" w:hAnsi="仿宋" w:eastAsia="仿宋" w:cs="仿宋"/>
          <w:b/>
          <w:bCs/>
          <w:sz w:val="28"/>
          <w:szCs w:val="28"/>
        </w:rPr>
      </w:pPr>
    </w:p>
    <w:p>
      <w:pPr>
        <w:pStyle w:val="22"/>
        <w:keepNext w:val="0"/>
        <w:keepLines w:val="0"/>
        <w:pageBreakBefore w:val="0"/>
        <w:kinsoku/>
        <w:wordWrap/>
        <w:overflowPunct/>
        <w:topLinePunct w:val="0"/>
        <w:bidi w:val="0"/>
        <w:snapToGrid/>
        <w:spacing w:before="98" w:line="360" w:lineRule="auto"/>
        <w:ind w:firstLine="562" w:firstLineChars="200"/>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血液透析机技术要求</w:t>
      </w:r>
    </w:p>
    <w:p>
      <w:pPr>
        <w:pStyle w:val="14"/>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1、原装进口单泵血液透析机。</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2、血泵:可使用多种透析管路和透析器等耗材。血泵自动导入血路管,</w:t>
      </w:r>
      <w:r>
        <w:rPr>
          <w:rFonts w:hint="eastAsia" w:ascii="仿宋" w:hAnsi="仿宋" w:eastAsia="仿宋" w:cs="仿宋"/>
          <w:sz w:val="24"/>
          <w:szCs w:val="24"/>
        </w:rPr>
        <w:t>血泵管径可调，范围3-10毫米</w:t>
      </w:r>
      <w:r>
        <w:rPr>
          <w:rFonts w:hint="eastAsia" w:ascii="仿宋" w:hAnsi="仿宋" w:eastAsia="仿宋" w:cs="仿宋"/>
          <w:kern w:val="0"/>
          <w:sz w:val="24"/>
          <w:szCs w:val="24"/>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3、10英寸以上彩色液晶显示屏幕、中文或英文操作系统、完整直观的治疗参数显示。</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4、自由设定的超滤和钠曲线治疗，具有多种可选择性/梯级自动调整程序，可实现个体化透析，并保证病人安全。可进行碳酸氢盐透析/干粉透析。</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5、具备碳酸氢盐干粉自动配制系统，标配联机B干粉接口。</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6、清洗消毒程序：具有水/热/化学等多种消毒模式可供选择。消毒、除钙一次完成。透析液吸管（A/B管）可随机器消毒一起同时完成，热消毒最高温度≥84℃。时间不超过31分钟。</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7、随机内置不间断后备电源，保障断电后血泵及血液监测部分正常工作15分钟以上。断电时自动切换，同时维持所有监控系统正常，显示所有治疗数据，恢复供电时，自动启动治疗并保持原有数据。</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8、标配有透析液细菌过滤器接口。</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9、</w:t>
      </w:r>
      <w:r>
        <w:rPr>
          <w:rFonts w:hint="eastAsia" w:ascii="仿宋" w:hAnsi="仿宋" w:eastAsia="仿宋" w:cs="仿宋"/>
          <w:sz w:val="24"/>
          <w:szCs w:val="24"/>
        </w:rPr>
        <w:t>具备数据接口进行联网传输协议</w:t>
      </w:r>
      <w:r>
        <w:rPr>
          <w:rFonts w:hint="eastAsia" w:ascii="仿宋" w:hAnsi="仿宋" w:eastAsia="仿宋" w:cs="仿宋"/>
          <w:kern w:val="0"/>
          <w:sz w:val="24"/>
          <w:szCs w:val="24"/>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10、血液部分具有肝素泵，并可设定停泵时间，显示累计量，快速肝素注入。流量范围：</w:t>
      </w:r>
      <w:r>
        <w:rPr>
          <w:rFonts w:hint="eastAsia" w:ascii="仿宋" w:hAnsi="仿宋" w:eastAsia="仿宋" w:cs="仿宋"/>
          <w:sz w:val="24"/>
          <w:szCs w:val="24"/>
        </w:rPr>
        <w:t>0ml～10ml/h，单次追加最大剂量：5ml，注射器型号：20ml。</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11、超滤系统：双容量平衡腔超滤控制系统，脱水误差不超过±30ml/h，超滤精度为超滤量±1%。</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12、压力衡定测试：治疗时每隔15分钟进行一次压力密闭平衡测试，检查水路系统密闭性，保证超滤精度和治疗安全。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13、有内置维修和故障诊断程序，具有治疗信号灯，有声光报警。</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14、血泵，血流量指示20—600ml/min，精度≤±10%。</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15、透析液温度：35—39℃，连续可调，有精确数字读数。</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16、透析液流量：透析液流速0-300-500—800ml/min。</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17、透析液电导度控制及保护：具备电导度监测、显示及超限报警功能。</w:t>
      </w:r>
      <w:r>
        <w:rPr>
          <w:rFonts w:hint="eastAsia" w:ascii="仿宋" w:hAnsi="仿宋" w:eastAsia="仿宋" w:cs="仿宋"/>
          <w:sz w:val="24"/>
          <w:szCs w:val="24"/>
        </w:rPr>
        <w:t>电导度范围：13～15mS/cm(25℃)精确度：±0.1mS/cm</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18、超滤功能：超滤率为0—4000ml/h，可调，精度为±1%。</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19、具有循环血液管路静脉压力监测-60mmHg～+500mmHg，精度±10mmHg；动脉压力监测-300mmHg～+200mmHg，精度±10mmHg。</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20、具有跨膜压监测-60mmHg～+500mmHg。</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21、具有漏血检测功能，红光+绿光双重监测系统，能区分真假性漏血。</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22、具备血路空气探测功能。超声传导检测，静脉夹中另有光学检测器，双重检测功能保证安全。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23、供水：进水压：2～6.0bar，进水温度：5℃～30℃，最大的废液管高度不小于0.8米。</w:t>
      </w: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血液透析机功能配置</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一、硬件配置</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（1）密闭式双容量平衡腔超滤系统                               1套</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（2）高分辨率显彩色显示屏，中文治疗系统显示                   1个</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（3）具备数据接口进行传输协议                                 1套</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（4）血泵一支，血泵管径可调                                   1支</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（5）标配B干粉接口                                           1个</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（6）独立的肝素泵                                             1个</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（7）标配内置的后备电源                                       1个</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（8)标配透析液滤过器装置                  </w:t>
      </w:r>
      <w:r>
        <w:rPr>
          <w:rFonts w:hint="eastAsia" w:ascii="仿宋" w:hAnsi="仿宋" w:eastAsia="仿宋" w:cs="仿宋"/>
          <w:kern w:val="0"/>
          <w:sz w:val="28"/>
          <w:szCs w:val="28"/>
        </w:rPr>
        <w:t xml:space="preserve">    </w:t>
      </w:r>
      <w:r>
        <w:rPr>
          <w:rFonts w:hint="eastAsia" w:ascii="仿宋" w:hAnsi="仿宋" w:eastAsia="仿宋" w:cs="仿宋"/>
          <w:kern w:val="0"/>
          <w:sz w:val="24"/>
          <w:szCs w:val="24"/>
        </w:rPr>
        <w:t xml:space="preserve">               1支</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二、功能配置</w:t>
      </w:r>
    </w:p>
    <w:p>
      <w:pPr>
        <w:keepNext w:val="0"/>
        <w:keepLines w:val="0"/>
        <w:pageBreakBefore w:val="0"/>
        <w:widowControl w:val="0"/>
        <w:tabs>
          <w:tab w:val="left" w:pos="9765"/>
        </w:tabs>
        <w:kinsoku/>
        <w:wordWrap/>
        <w:overflowPunct/>
        <w:topLinePunct w:val="0"/>
        <w:autoSpaceDE/>
        <w:autoSpaceDN/>
        <w:bidi w:val="0"/>
        <w:adjustRightInd/>
        <w:snapToGrid/>
        <w:spacing w:line="360" w:lineRule="auto"/>
        <w:ind w:right="473" w:rightChars="22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（1）标配超滤和钠曲线功能</w:t>
      </w:r>
    </w:p>
    <w:p>
      <w:pPr>
        <w:keepNext w:val="0"/>
        <w:keepLines w:val="0"/>
        <w:pageBreakBefore w:val="0"/>
        <w:widowControl w:val="0"/>
        <w:tabs>
          <w:tab w:val="left" w:pos="9765"/>
        </w:tabs>
        <w:kinsoku/>
        <w:wordWrap/>
        <w:overflowPunct/>
        <w:topLinePunct w:val="0"/>
        <w:autoSpaceDE/>
        <w:autoSpaceDN/>
        <w:bidi w:val="0"/>
        <w:adjustRightInd/>
        <w:snapToGrid/>
        <w:spacing w:line="360" w:lineRule="auto"/>
        <w:ind w:right="473" w:rightChars="22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（2）具备全自动的化学消毒/热消毒，消毒、脱钙和冲洗一次完成</w:t>
      </w:r>
    </w:p>
    <w:p>
      <w:pPr>
        <w:keepNext w:val="0"/>
        <w:keepLines w:val="0"/>
        <w:pageBreakBefore w:val="0"/>
        <w:widowControl w:val="0"/>
        <w:tabs>
          <w:tab w:val="left" w:pos="9765"/>
        </w:tabs>
        <w:kinsoku/>
        <w:wordWrap/>
        <w:overflowPunct/>
        <w:topLinePunct w:val="0"/>
        <w:autoSpaceDE/>
        <w:autoSpaceDN/>
        <w:bidi w:val="0"/>
        <w:adjustRightInd/>
        <w:snapToGrid/>
        <w:spacing w:line="360" w:lineRule="auto"/>
        <w:ind w:right="473" w:rightChars="22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（3)具备碳酸氢盐透析/醋酸盐透析功能</w:t>
      </w:r>
    </w:p>
    <w:p>
      <w:pPr>
        <w:keepNext w:val="0"/>
        <w:keepLines w:val="0"/>
        <w:pageBreakBefore w:val="0"/>
        <w:widowControl w:val="0"/>
        <w:tabs>
          <w:tab w:val="left" w:pos="9765"/>
        </w:tabs>
        <w:kinsoku/>
        <w:wordWrap/>
        <w:overflowPunct/>
        <w:topLinePunct w:val="0"/>
        <w:autoSpaceDE/>
        <w:autoSpaceDN/>
        <w:bidi w:val="0"/>
        <w:adjustRightInd/>
        <w:snapToGrid/>
        <w:spacing w:line="360" w:lineRule="auto"/>
        <w:ind w:right="473" w:rightChars="22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（4）标配动脉压、静脉压、跨膜压，空气检测和漏血检测功能。</w:t>
      </w: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血液透析滤过机技术参数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1、双泵血滤机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2、自动执行管路安装连接、检测，确保管路系统的安全性。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15英寸的高分辨率显彩色可旋转式触摸屏。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4、双容量平衡腔超滤控制系统，确保精确的超滤脱水。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5、具备碳酸氢盐干粉自动配制系统，标配联机B干粉接口，可进行超纯透析。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6、随机内置后备电源，保障断电后血泵及血液监测部分常工作 15分钟以上。断电时自动切换，同时维持所有监控系统正常，显示所有治疗数据，恢复供电时，自动启动治疗并保持原有数据。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7、在病人出现低血压时，机器有紧急处理功能，可自动终止脱水，自动测量血压，自动降低血流量，防止不可预测的危险情况。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8、全自动的化学消毒/热消毒。消毒、脱钙、冲洗一体化一键式操作。A、B液吸管可随机一起完成消毒。热消毒时温度≥84℃，一键式完成消毒脱钙，40分钟内完成。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9、标配数据读取功能，每次治疗前医护人员掌握详尽的病人资料。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10、可进行全天20小时以上的缓慢持续的治疗，可应用于急性肾脏替代治疗。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11、具有 Kt/V监测功能，实时监测，非计算值。能够评估病人透析效果。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12、标配无创血压监测功能，对血压、心率变化进行实时监测记录，数据可在屏幕显示。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13、检测范围：动脉压监测显示范围：-300～+200mmHg，静脉压监测显示范围：-100～+450mmHg，跨膜压监测显示范围：-100～300mmHg，精度均为±10%，分辨率均为5mmHg。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14、血流量范围：血泵：血流量50～600ml/min，误差小于±10%。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15、肝素泵流量范围：输送范围：0.5-10ml/h;首剂量功能：1.0-20.0ml;注射器尺寸：30ml。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16、透析液流量: 透析液流量范围：0-900ml/min，温度范围：34～39℃。具有自动变流功能，透析液流量自动与有效血流量匹配。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17、超滤率：超滤：超滤率0～4000ml/h，精度：超滤量±1%，对透析器超滤系数无限制。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18、置换液生成系统：联机式自产置换液；置换量为1.5—30升/小时（25-500ml/min）；精度为±10%；具有自动置换液调节功能，置换液与有效血流量自动匹配。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19、具有自动冲洗和预冲（体外循环管路的在线冲洗），自动补液（治疗当中补充患者容量）和自动回注（治疗结束后，可用机器自身生产的液体代替盐水进行回血）功能。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20、空气探测：对于血液管路超声波传导测量。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21、漏血监测：红光+绿光双重自动漏血监测功能，能分辨真假性漏血，防止误报警发生</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22、透析液电导度控制及保护：具备电导度监测、显示及超限报警功能。电导度范围：13～15mS/cm(25℃)精确度：± 0.1mS/cm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23、治疗过程中HD、HDF前稀释、HDF后稀释等治疗模式可随意切换。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24、在机器正面和背面分别具有渗漏传感器。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25、可监测患者静脉脱针，当检测到静脉脱针时，报警并停止血泵、置换液泵。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 w:hAnsi="仿宋" w:eastAsia="仿宋" w:cs="仿宋"/>
          <w:b/>
          <w:sz w:val="28"/>
          <w:szCs w:val="28"/>
        </w:rPr>
      </w:pPr>
      <w:r>
        <w:rPr>
          <w:rFonts w:hint="eastAsia" w:ascii="仿宋" w:hAnsi="仿宋" w:eastAsia="仿宋" w:cs="仿宋"/>
          <w:b/>
          <w:sz w:val="28"/>
          <w:szCs w:val="28"/>
        </w:rPr>
        <w:t>血液透析滤过机功能配置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一、硬件配置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（1）标配联机B干粉装置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（2）高分辨率彩色可旋转式触摸屏</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（3）独立的肝素泵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（4）透析液滤过器装置，制备超纯透析液与置换液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（5）具备血泵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（6）具备置换液泵，在线制备置换液                            1支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（7）标配患者读卡器，每次治疗前医护人员掌握详尽的病人资料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（8）标配实时清除率监测仪，非计算值                          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（9）标配在线血压计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1个</w:t>
      </w:r>
    </w:p>
    <w:p>
      <w:pPr>
        <w:pStyle w:val="6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kern w:val="2"/>
          <w:sz w:val="24"/>
          <w:szCs w:val="24"/>
        </w:rPr>
      </w:pPr>
      <w:r>
        <w:rPr>
          <w:rFonts w:hint="eastAsia" w:ascii="仿宋" w:hAnsi="仿宋" w:eastAsia="仿宋" w:cs="仿宋"/>
          <w:sz w:val="24"/>
          <w:szCs w:val="24"/>
        </w:rPr>
        <w:t>（10）</w:t>
      </w:r>
      <w:r>
        <w:rPr>
          <w:rFonts w:hint="eastAsia" w:ascii="仿宋" w:hAnsi="仿宋" w:eastAsia="仿宋" w:cs="仿宋"/>
          <w:kern w:val="2"/>
          <w:sz w:val="24"/>
          <w:szCs w:val="24"/>
        </w:rPr>
        <w:t>具备数据接口进行传输协议                               1套</w:t>
      </w:r>
    </w:p>
    <w:p>
      <w:pPr>
        <w:pStyle w:val="6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（11）标配内置的后备电源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二、功能配置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（1）具备超滤和钠曲线功能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（2）具备全自动的化学消毒/热消毒，消毒、脱钙和冲洗一次完成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（3）具备动脉压力监测、静脉压、跨膜压，漏血检测，空气监测功能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（4) 具备碳酸氢盐透析/醋酸盐透析功能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（5) 针对不可预测的低血压危险情况，具有紧急措施功能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（6）具有透析液与置换液流量自动调节功能，可根据病人实际血流量来调节       </w:t>
      </w:r>
    </w:p>
    <w:p>
      <w:pPr>
        <w:keepNext w:val="0"/>
        <w:keepLines w:val="0"/>
        <w:pageBreakBefore w:val="0"/>
        <w:kinsoku/>
        <w:wordWrap/>
        <w:overflowPunct/>
        <w:topLinePunct w:val="0"/>
        <w:bidi w:val="0"/>
        <w:snapToGrid/>
        <w:spacing w:line="360" w:lineRule="auto"/>
        <w:ind w:firstLine="643" w:firstLineChars="200"/>
        <w:jc w:val="center"/>
        <w:textAlignment w:val="auto"/>
        <w:rPr>
          <w:rFonts w:hint="eastAsia"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rPr>
        <w:t xml:space="preserve">第五章  </w:t>
      </w:r>
      <w:bookmarkStart w:id="463" w:name="_Toc58504449"/>
      <w:bookmarkStart w:id="464" w:name="_Toc58504670"/>
      <w:r>
        <w:rPr>
          <w:rFonts w:hint="eastAsia" w:ascii="仿宋" w:hAnsi="仿宋" w:eastAsia="仿宋" w:cs="仿宋"/>
          <w:b/>
          <w:i w:val="0"/>
          <w:iCs w:val="0"/>
          <w:color w:val="auto"/>
          <w:kern w:val="0"/>
          <w:sz w:val="32"/>
          <w:szCs w:val="32"/>
          <w:highlight w:val="none"/>
        </w:rPr>
        <w:t>谈判响应文件格式</w:t>
      </w:r>
      <w:bookmarkEnd w:id="459"/>
      <w:bookmarkEnd w:id="460"/>
      <w:bookmarkEnd w:id="461"/>
      <w:bookmarkEnd w:id="462"/>
      <w:bookmarkEnd w:id="463"/>
      <w:bookmarkEnd w:id="464"/>
    </w:p>
    <w:p>
      <w:pPr>
        <w:pStyle w:val="22"/>
        <w:rPr>
          <w:rFonts w:hint="eastAsia" w:ascii="仿宋" w:hAnsi="仿宋" w:eastAsia="仿宋" w:cs="仿宋"/>
          <w:b/>
          <w:i w:val="0"/>
          <w:iCs w:val="0"/>
          <w:color w:val="auto"/>
          <w:kern w:val="0"/>
          <w:sz w:val="30"/>
          <w:szCs w:val="30"/>
          <w:highlight w:val="none"/>
        </w:rPr>
      </w:pPr>
      <w:r>
        <w:rPr>
          <w:rFonts w:hint="eastAsia" w:ascii="仿宋" w:hAnsi="仿宋" w:eastAsia="仿宋" w:cs="仿宋"/>
          <w:i w:val="0"/>
          <w:iCs w:val="0"/>
          <w:color w:val="auto"/>
          <w:highlight w:val="none"/>
        </w:rPr>
        <w:br w:type="page"/>
      </w:r>
    </w:p>
    <w:p>
      <w:pPr>
        <w:rPr>
          <w:rFonts w:hint="eastAsia" w:ascii="仿宋" w:hAnsi="仿宋" w:eastAsia="仿宋" w:cs="仿宋"/>
        </w:rPr>
      </w:pPr>
    </w:p>
    <w:p>
      <w:pPr>
        <w:autoSpaceDE w:val="0"/>
        <w:autoSpaceDN w:val="0"/>
        <w:adjustRightInd w:val="0"/>
        <w:snapToGrid w:val="0"/>
        <w:spacing w:line="360" w:lineRule="auto"/>
        <w:jc w:val="right"/>
        <w:outlineLvl w:val="0"/>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正本/副本</w:t>
      </w:r>
    </w:p>
    <w:p>
      <w:pPr>
        <w:autoSpaceDE w:val="0"/>
        <w:autoSpaceDN w:val="0"/>
        <w:adjustRightInd w:val="0"/>
        <w:snapToGrid w:val="0"/>
        <w:spacing w:line="360" w:lineRule="auto"/>
        <w:jc w:val="left"/>
        <w:outlineLvl w:val="0"/>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政府采购项目</w:t>
      </w:r>
    </w:p>
    <w:p>
      <w:pPr>
        <w:autoSpaceDE w:val="0"/>
        <w:autoSpaceDN w:val="0"/>
        <w:adjustRightInd w:val="0"/>
        <w:snapToGrid w:val="0"/>
        <w:spacing w:line="360" w:lineRule="auto"/>
        <w:jc w:val="left"/>
        <w:outlineLvl w:val="0"/>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采购项目编号：SCZK2024-JT-0041/10</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pPr>
        <w:autoSpaceDE w:val="0"/>
        <w:autoSpaceDN w:val="0"/>
        <w:adjustRightInd w:val="0"/>
        <w:snapToGrid w:val="0"/>
        <w:spacing w:line="360" w:lineRule="auto"/>
        <w:jc w:val="center"/>
        <w:outlineLvl w:val="1"/>
        <w:rPr>
          <w:rFonts w:hint="eastAsia" w:ascii="仿宋" w:hAnsi="仿宋" w:eastAsia="仿宋" w:cs="仿宋"/>
          <w:b/>
          <w:bCs/>
          <w:i w:val="0"/>
          <w:iCs w:val="0"/>
          <w:color w:val="auto"/>
          <w:sz w:val="44"/>
          <w:szCs w:val="44"/>
          <w:highlight w:val="none"/>
          <w:lang w:eastAsia="zh-CN"/>
        </w:rPr>
      </w:pPr>
      <w:r>
        <w:rPr>
          <w:rFonts w:hint="eastAsia" w:ascii="仿宋" w:hAnsi="仿宋" w:eastAsia="仿宋" w:cs="仿宋"/>
          <w:b/>
          <w:bCs/>
          <w:i w:val="0"/>
          <w:iCs w:val="0"/>
          <w:color w:val="auto"/>
          <w:sz w:val="44"/>
          <w:szCs w:val="44"/>
          <w:highlight w:val="none"/>
          <w:lang w:eastAsia="zh-CN"/>
        </w:rPr>
        <w:t>神木市医院血液透析机、血液滤过机采购项目</w:t>
      </w: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pPr>
        <w:tabs>
          <w:tab w:val="left" w:pos="5670"/>
        </w:tabs>
        <w:autoSpaceDE w:val="0"/>
        <w:autoSpaceDN w:val="0"/>
        <w:adjustRightInd w:val="0"/>
        <w:snapToGrid w:val="0"/>
        <w:spacing w:line="360" w:lineRule="auto"/>
        <w:jc w:val="center"/>
        <w:outlineLvl w:val="1"/>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谈判响应文件</w:t>
      </w:r>
    </w:p>
    <w:p>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 xml:space="preserve">                  </w:t>
      </w:r>
    </w:p>
    <w:p>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pPr>
        <w:autoSpaceDE w:val="0"/>
        <w:autoSpaceDN w:val="0"/>
        <w:adjustRightInd w:val="0"/>
        <w:snapToGrid w:val="0"/>
        <w:spacing w:line="360" w:lineRule="auto"/>
        <w:outlineLvl w:val="0"/>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u w:val="single"/>
        </w:rPr>
        <w:t xml:space="preserve">           </w:t>
      </w:r>
      <w:r>
        <w:rPr>
          <w:rFonts w:hint="eastAsia" w:ascii="仿宋" w:hAnsi="仿宋" w:eastAsia="仿宋" w:cs="仿宋"/>
          <w:b/>
          <w:bCs/>
          <w:i w:val="0"/>
          <w:iCs w:val="0"/>
          <w:color w:val="auto"/>
          <w:sz w:val="32"/>
          <w:szCs w:val="32"/>
          <w:highlight w:val="none"/>
        </w:rPr>
        <w:t xml:space="preserve">   </w:t>
      </w:r>
    </w:p>
    <w:p>
      <w:pPr>
        <w:autoSpaceDE w:val="0"/>
        <w:autoSpaceDN w:val="0"/>
        <w:adjustRightInd w:val="0"/>
        <w:snapToGrid w:val="0"/>
        <w:spacing w:line="360" w:lineRule="auto"/>
        <w:rPr>
          <w:rFonts w:hint="eastAsia" w:ascii="仿宋" w:hAnsi="仿宋" w:eastAsia="仿宋" w:cs="仿宋"/>
          <w:i w:val="0"/>
          <w:iCs w:val="0"/>
          <w:color w:val="auto"/>
          <w:sz w:val="30"/>
          <w:szCs w:val="30"/>
          <w:highlight w:val="none"/>
        </w:rPr>
      </w:pPr>
    </w:p>
    <w:p>
      <w:pPr>
        <w:autoSpaceDE w:val="0"/>
        <w:autoSpaceDN w:val="0"/>
        <w:adjustRightInd w:val="0"/>
        <w:snapToGrid w:val="0"/>
        <w:spacing w:line="360" w:lineRule="auto"/>
        <w:outlineLvl w:val="0"/>
        <w:rPr>
          <w:rFonts w:hint="eastAsia" w:ascii="仿宋" w:hAnsi="仿宋" w:eastAsia="仿宋" w:cs="仿宋"/>
          <w:b/>
          <w:bCs/>
          <w:i w:val="0"/>
          <w:iCs w:val="0"/>
          <w:color w:val="auto"/>
          <w:sz w:val="32"/>
          <w:szCs w:val="32"/>
          <w:highlight w:val="none"/>
          <w:u w:val="single"/>
        </w:rPr>
      </w:pPr>
      <w:r>
        <w:rPr>
          <w:rFonts w:hint="eastAsia" w:ascii="仿宋" w:hAnsi="仿宋" w:eastAsia="仿宋" w:cs="仿宋"/>
          <w:i w:val="0"/>
          <w:iCs w:val="0"/>
          <w:color w:val="auto"/>
          <w:sz w:val="30"/>
          <w:szCs w:val="30"/>
          <w:highlight w:val="none"/>
        </w:rPr>
        <w:t xml:space="preserve">      </w:t>
      </w:r>
      <w:r>
        <w:rPr>
          <w:rFonts w:hint="eastAsia" w:ascii="仿宋" w:hAnsi="仿宋" w:eastAsia="仿宋" w:cs="仿宋"/>
          <w:b/>
          <w:bCs/>
          <w:i w:val="0"/>
          <w:iCs w:val="0"/>
          <w:color w:val="auto"/>
          <w:sz w:val="32"/>
          <w:szCs w:val="32"/>
          <w:highlight w:val="none"/>
          <w:lang w:val="zh-CN"/>
        </w:rPr>
        <w:t>供应商：</w:t>
      </w:r>
      <w:r>
        <w:rPr>
          <w:rFonts w:hint="eastAsia" w:ascii="仿宋" w:hAnsi="仿宋" w:eastAsia="仿宋" w:cs="仿宋"/>
          <w:b/>
          <w:bCs/>
          <w:i w:val="0"/>
          <w:iCs w:val="0"/>
          <w:color w:val="auto"/>
          <w:sz w:val="32"/>
          <w:szCs w:val="32"/>
          <w:highlight w:val="none"/>
          <w:u w:val="single"/>
        </w:rPr>
        <w:t xml:space="preserve">                   </w:t>
      </w:r>
    </w:p>
    <w:p>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p>
    <w:p>
      <w:pPr>
        <w:autoSpaceDE w:val="0"/>
        <w:autoSpaceDN w:val="0"/>
        <w:adjustRightInd w:val="0"/>
        <w:snapToGrid w:val="0"/>
        <w:spacing w:line="360" w:lineRule="auto"/>
        <w:ind w:firstLine="964" w:firstLineChars="300"/>
        <w:outlineLvl w:val="0"/>
        <w:rPr>
          <w:rFonts w:hint="eastAsia" w:ascii="仿宋" w:hAnsi="仿宋" w:eastAsia="仿宋" w:cs="仿宋"/>
          <w:b/>
          <w:bCs/>
          <w:i w:val="0"/>
          <w:iCs w:val="0"/>
          <w:color w:val="auto"/>
          <w:sz w:val="32"/>
          <w:szCs w:val="32"/>
          <w:highlight w:val="none"/>
          <w:u w:val="single"/>
        </w:rPr>
      </w:pPr>
      <w:r>
        <w:rPr>
          <w:rFonts w:hint="eastAsia" w:ascii="仿宋" w:hAnsi="仿宋" w:eastAsia="仿宋" w:cs="仿宋"/>
          <w:b/>
          <w:bCs/>
          <w:i w:val="0"/>
          <w:iCs w:val="0"/>
          <w:color w:val="auto"/>
          <w:sz w:val="32"/>
          <w:szCs w:val="32"/>
          <w:highlight w:val="none"/>
          <w:lang w:val="zh-CN"/>
        </w:rPr>
        <w:t>时</w:t>
      </w:r>
      <w:r>
        <w:rPr>
          <w:rFonts w:hint="eastAsia" w:ascii="仿宋" w:hAnsi="仿宋" w:eastAsia="仿宋" w:cs="仿宋"/>
          <w:b/>
          <w:bCs/>
          <w:i w:val="0"/>
          <w:iCs w:val="0"/>
          <w:color w:val="auto"/>
          <w:sz w:val="32"/>
          <w:szCs w:val="32"/>
          <w:highlight w:val="none"/>
        </w:rPr>
        <w:t xml:space="preserve">  </w:t>
      </w:r>
      <w:r>
        <w:rPr>
          <w:rFonts w:hint="eastAsia" w:ascii="仿宋" w:hAnsi="仿宋" w:eastAsia="仿宋" w:cs="仿宋"/>
          <w:b/>
          <w:bCs/>
          <w:i w:val="0"/>
          <w:iCs w:val="0"/>
          <w:color w:val="auto"/>
          <w:sz w:val="32"/>
          <w:szCs w:val="32"/>
          <w:highlight w:val="none"/>
          <w:lang w:val="zh-CN"/>
        </w:rPr>
        <w:t>间：</w:t>
      </w:r>
      <w:r>
        <w:rPr>
          <w:rFonts w:hint="eastAsia" w:ascii="仿宋" w:hAnsi="仿宋" w:eastAsia="仿宋" w:cs="仿宋"/>
          <w:b/>
          <w:bCs/>
          <w:i w:val="0"/>
          <w:iCs w:val="0"/>
          <w:color w:val="auto"/>
          <w:sz w:val="32"/>
          <w:szCs w:val="32"/>
          <w:highlight w:val="none"/>
          <w:u w:val="single"/>
        </w:rPr>
        <w:t xml:space="preserve">                   </w:t>
      </w:r>
    </w:p>
    <w:p>
      <w:pPr>
        <w:spacing w:after="12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widowControl/>
        <w:jc w:val="left"/>
        <w:rPr>
          <w:rFonts w:hint="eastAsia" w:ascii="仿宋" w:hAnsi="仿宋" w:eastAsia="仿宋" w:cs="仿宋"/>
          <w:b/>
          <w:bCs/>
          <w:i w:val="0"/>
          <w:iCs w:val="0"/>
          <w:color w:val="auto"/>
          <w:sz w:val="32"/>
          <w:szCs w:val="32"/>
          <w:highlight w:val="none"/>
        </w:rPr>
      </w:pPr>
    </w:p>
    <w:p>
      <w:pPr>
        <w:pStyle w:val="3"/>
        <w:jc w:val="center"/>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rPr>
        <w:t>目  录</w:t>
      </w:r>
    </w:p>
    <w:p>
      <w:pPr>
        <w:pStyle w:val="22"/>
        <w:rPr>
          <w:rFonts w:hint="eastAsia" w:ascii="仿宋" w:hAnsi="仿宋" w:eastAsia="仿宋" w:cs="仿宋"/>
          <w:i w:val="0"/>
          <w:iCs w:val="0"/>
          <w:color w:val="auto"/>
          <w:highlight w:val="none"/>
        </w:rPr>
      </w:pPr>
    </w:p>
    <w:p>
      <w:pPr>
        <w:pStyle w:val="22"/>
        <w:ind w:firstLine="480" w:firstLineChars="200"/>
        <w:rPr>
          <w:rFonts w:hint="eastAsia" w:ascii="仿宋" w:hAnsi="仿宋" w:eastAsia="仿宋" w:cs="仿宋"/>
          <w:sz w:val="24"/>
        </w:rPr>
      </w:pPr>
      <w:r>
        <w:rPr>
          <w:rFonts w:hint="eastAsia" w:ascii="仿宋" w:hAnsi="仿宋" w:eastAsia="仿宋" w:cs="仿宋"/>
          <w:sz w:val="24"/>
        </w:rPr>
        <w:t>第一部分  谈判响应函</w:t>
      </w:r>
    </w:p>
    <w:p>
      <w:pPr>
        <w:pStyle w:val="22"/>
        <w:ind w:firstLine="480" w:firstLineChars="200"/>
        <w:rPr>
          <w:rFonts w:hint="eastAsia" w:ascii="仿宋" w:hAnsi="仿宋" w:eastAsia="仿宋" w:cs="仿宋"/>
          <w:sz w:val="24"/>
        </w:rPr>
      </w:pPr>
      <w:r>
        <w:rPr>
          <w:rFonts w:hint="eastAsia" w:ascii="仿宋" w:hAnsi="仿宋" w:eastAsia="仿宋" w:cs="仿宋"/>
          <w:sz w:val="24"/>
        </w:rPr>
        <w:t xml:space="preserve">第二部分  谈判响应报价表 </w:t>
      </w:r>
    </w:p>
    <w:p>
      <w:pPr>
        <w:pStyle w:val="22"/>
        <w:ind w:firstLine="480" w:firstLineChars="200"/>
        <w:rPr>
          <w:rFonts w:hint="eastAsia" w:ascii="仿宋" w:hAnsi="仿宋" w:eastAsia="仿宋" w:cs="仿宋"/>
          <w:sz w:val="24"/>
        </w:rPr>
      </w:pPr>
      <w:r>
        <w:rPr>
          <w:rFonts w:hint="eastAsia" w:ascii="仿宋" w:hAnsi="仿宋" w:eastAsia="仿宋" w:cs="仿宋"/>
          <w:sz w:val="24"/>
        </w:rPr>
        <w:t>第三部分  偏离表</w:t>
      </w:r>
    </w:p>
    <w:p>
      <w:pPr>
        <w:pStyle w:val="22"/>
        <w:ind w:firstLine="480" w:firstLineChars="200"/>
        <w:rPr>
          <w:rFonts w:hint="eastAsia" w:ascii="仿宋" w:hAnsi="仿宋" w:eastAsia="仿宋" w:cs="仿宋"/>
          <w:sz w:val="24"/>
        </w:rPr>
      </w:pPr>
      <w:r>
        <w:rPr>
          <w:rFonts w:hint="eastAsia" w:ascii="仿宋" w:hAnsi="仿宋" w:eastAsia="仿宋" w:cs="仿宋"/>
          <w:sz w:val="24"/>
        </w:rPr>
        <w:t>第四部分  响应方案说明</w:t>
      </w:r>
    </w:p>
    <w:p>
      <w:pPr>
        <w:pStyle w:val="22"/>
        <w:ind w:firstLine="480" w:firstLineChars="200"/>
        <w:rPr>
          <w:rFonts w:hint="eastAsia" w:ascii="仿宋" w:hAnsi="仿宋" w:eastAsia="仿宋" w:cs="仿宋"/>
          <w:sz w:val="24"/>
        </w:rPr>
      </w:pPr>
      <w:r>
        <w:rPr>
          <w:rFonts w:hint="eastAsia" w:ascii="仿宋" w:hAnsi="仿宋" w:eastAsia="仿宋" w:cs="仿宋"/>
          <w:sz w:val="24"/>
        </w:rPr>
        <w:t>第五部分  身份证明文件</w:t>
      </w:r>
    </w:p>
    <w:p>
      <w:pPr>
        <w:pStyle w:val="22"/>
        <w:ind w:firstLine="480" w:firstLineChars="200"/>
        <w:rPr>
          <w:rFonts w:hint="eastAsia" w:ascii="仿宋" w:hAnsi="仿宋" w:eastAsia="仿宋" w:cs="仿宋"/>
          <w:sz w:val="24"/>
        </w:rPr>
      </w:pPr>
      <w:r>
        <w:rPr>
          <w:rFonts w:hint="eastAsia" w:ascii="仿宋" w:hAnsi="仿宋" w:eastAsia="仿宋" w:cs="仿宋"/>
          <w:sz w:val="24"/>
        </w:rPr>
        <w:t>第六部分  资格证明文件</w:t>
      </w:r>
    </w:p>
    <w:p>
      <w:pPr>
        <w:pStyle w:val="22"/>
        <w:ind w:firstLine="480" w:firstLineChars="200"/>
        <w:rPr>
          <w:rFonts w:hint="eastAsia" w:ascii="仿宋" w:hAnsi="仿宋" w:eastAsia="仿宋" w:cs="仿宋"/>
          <w:sz w:val="24"/>
        </w:rPr>
      </w:pPr>
      <w:r>
        <w:rPr>
          <w:rFonts w:hint="eastAsia" w:ascii="仿宋" w:hAnsi="仿宋" w:eastAsia="仿宋" w:cs="仿宋"/>
          <w:sz w:val="24"/>
        </w:rPr>
        <w:t>第七部分  小微企业、监狱企业、残疾人福利单位声明函或证明</w:t>
      </w:r>
    </w:p>
    <w:p>
      <w:pPr>
        <w:widowControl/>
        <w:jc w:val="left"/>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pStyle w:val="3"/>
        <w:jc w:val="center"/>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lang w:val="zh-CN"/>
        </w:rPr>
        <w:t>第一部分</w:t>
      </w:r>
      <w:r>
        <w:rPr>
          <w:rFonts w:hint="eastAsia" w:ascii="仿宋" w:hAnsi="仿宋" w:eastAsia="仿宋" w:cs="仿宋"/>
          <w:b/>
          <w:bCs/>
          <w:i w:val="0"/>
          <w:iCs w:val="0"/>
          <w:color w:val="auto"/>
          <w:highlight w:val="none"/>
        </w:rPr>
        <w:t xml:space="preserve">  </w:t>
      </w:r>
      <w:r>
        <w:rPr>
          <w:rFonts w:hint="eastAsia" w:ascii="仿宋" w:hAnsi="仿宋" w:eastAsia="仿宋" w:cs="仿宋"/>
          <w:b/>
          <w:bCs/>
          <w:i w:val="0"/>
          <w:iCs w:val="0"/>
          <w:color w:val="auto"/>
          <w:highlight w:val="none"/>
          <w:lang w:val="zh-CN"/>
        </w:rPr>
        <w:t>谈判响应函</w:t>
      </w:r>
    </w:p>
    <w:p>
      <w:pPr>
        <w:autoSpaceDE w:val="0"/>
        <w:autoSpaceDN w:val="0"/>
        <w:adjustRightInd w:val="0"/>
        <w:snapToGrid w:val="0"/>
        <w:spacing w:line="312" w:lineRule="auto"/>
        <w:rPr>
          <w:rFonts w:hint="eastAsia" w:ascii="仿宋" w:hAnsi="仿宋" w:eastAsia="仿宋" w:cs="仿宋"/>
          <w:b/>
          <w:bCs/>
          <w:i w:val="0"/>
          <w:iCs w:val="0"/>
          <w:color w:val="auto"/>
          <w:sz w:val="24"/>
          <w:highlight w:val="none"/>
          <w:lang w:val="zh-CN"/>
        </w:rPr>
      </w:pPr>
    </w:p>
    <w:p>
      <w:pPr>
        <w:autoSpaceDE w:val="0"/>
        <w:autoSpaceDN w:val="0"/>
        <w:adjustRightInd w:val="0"/>
        <w:snapToGrid w:val="0"/>
        <w:spacing w:line="312" w:lineRule="auto"/>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lang w:val="zh-CN"/>
        </w:rPr>
        <w:t>陕西省采购招标有限责任公司：</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我单位收到贵公司</w:t>
      </w:r>
      <w:r>
        <w:rPr>
          <w:rFonts w:hint="eastAsia" w:ascii="仿宋" w:hAnsi="仿宋" w:eastAsia="仿宋" w:cs="仿宋"/>
          <w:i w:val="0"/>
          <w:iCs w:val="0"/>
          <w:color w:val="auto"/>
          <w:sz w:val="24"/>
          <w:highlight w:val="none"/>
          <w:u w:val="single"/>
          <w:lang w:val="zh-CN"/>
        </w:rPr>
        <w:t xml:space="preserve">   （项目名称    ）</w:t>
      </w:r>
      <w:r>
        <w:rPr>
          <w:rFonts w:hint="eastAsia" w:ascii="仿宋" w:hAnsi="仿宋" w:eastAsia="仿宋" w:cs="仿宋"/>
          <w:i w:val="0"/>
          <w:iCs w:val="0"/>
          <w:color w:val="auto"/>
          <w:sz w:val="24"/>
          <w:highlight w:val="none"/>
          <w:lang w:val="zh-CN"/>
        </w:rPr>
        <w:t>竞争性谈判文件，经详细研究，我们决定参加本次谈判活动。为此，我方郑重声明以下诸点，并负法律责任：</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w:t>
      </w:r>
      <w:r>
        <w:rPr>
          <w:rFonts w:hint="eastAsia" w:ascii="仿宋" w:hAnsi="仿宋" w:eastAsia="仿宋" w:cs="仿宋"/>
          <w:i w:val="0"/>
          <w:iCs w:val="0"/>
          <w:color w:val="auto"/>
          <w:sz w:val="24"/>
          <w:highlight w:val="none"/>
          <w:lang w:val="zh-CN"/>
        </w:rPr>
        <w:t>、愿意按照竞争性谈判文件中的要求，提供谈判产品及技术服务，完成合同的责任和义务。</w:t>
      </w:r>
    </w:p>
    <w:p>
      <w:pPr>
        <w:autoSpaceDE w:val="0"/>
        <w:autoSpaceDN w:val="0"/>
        <w:adjustRightInd w:val="0"/>
        <w:snapToGrid w:val="0"/>
        <w:spacing w:line="312" w:lineRule="auto"/>
        <w:ind w:left="885" w:leftChars="250" w:hanging="360" w:hangingChars="1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w:t>
      </w:r>
      <w:r>
        <w:rPr>
          <w:rFonts w:hint="eastAsia" w:ascii="仿宋" w:hAnsi="仿宋" w:eastAsia="仿宋" w:cs="仿宋"/>
          <w:i w:val="0"/>
          <w:iCs w:val="0"/>
          <w:color w:val="auto"/>
          <w:sz w:val="24"/>
          <w:highlight w:val="none"/>
          <w:lang w:val="zh-CN"/>
        </w:rPr>
        <w:t>、按竞争性谈判文件的规定，我公司的首次谈判响应报价为人民币（大写）：</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元），并对其后的谈判报价负法律责任。</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w:t>
      </w:r>
      <w:r>
        <w:rPr>
          <w:rFonts w:hint="eastAsia" w:ascii="仿宋" w:hAnsi="仿宋" w:eastAsia="仿宋" w:cs="仿宋"/>
          <w:i w:val="0"/>
          <w:iCs w:val="0"/>
          <w:color w:val="auto"/>
          <w:sz w:val="24"/>
          <w:highlight w:val="none"/>
          <w:lang w:val="zh-CN"/>
        </w:rPr>
        <w:t>、我方提交的响应文件正本一份、副本</w:t>
      </w:r>
      <w:r>
        <w:rPr>
          <w:rFonts w:hint="eastAsia" w:ascii="仿宋" w:hAnsi="仿宋" w:eastAsia="仿宋" w:cs="仿宋"/>
          <w:i w:val="0"/>
          <w:iCs w:val="0"/>
          <w:color w:val="auto"/>
          <w:sz w:val="24"/>
          <w:highlight w:val="none"/>
          <w:u w:val="single"/>
          <w:lang w:val="zh-CN"/>
        </w:rPr>
        <w:t xml:space="preserve"> 两 </w:t>
      </w:r>
      <w:r>
        <w:rPr>
          <w:rFonts w:hint="eastAsia" w:ascii="仿宋" w:hAnsi="仿宋" w:eastAsia="仿宋" w:cs="仿宋"/>
          <w:i w:val="0"/>
          <w:iCs w:val="0"/>
          <w:color w:val="auto"/>
          <w:sz w:val="24"/>
          <w:highlight w:val="none"/>
          <w:lang w:val="zh-CN"/>
        </w:rPr>
        <w:t>份。</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四</w:t>
      </w:r>
      <w:r>
        <w:rPr>
          <w:rFonts w:hint="eastAsia" w:ascii="仿宋" w:hAnsi="仿宋" w:eastAsia="仿宋" w:cs="仿宋"/>
          <w:i w:val="0"/>
          <w:iCs w:val="0"/>
          <w:color w:val="auto"/>
          <w:sz w:val="24"/>
          <w:highlight w:val="none"/>
          <w:lang w:val="zh-CN"/>
        </w:rPr>
        <w:t>、我方已详细阅读了竞争性谈判文件，完全理解并放弃提出含糊不清或易形成歧义的表述和资料。</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五、如果我方在谈判有效期内撤回响应文件，则响应保证金将被贵方不予退还。</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六</w:t>
      </w:r>
      <w:r>
        <w:rPr>
          <w:rFonts w:hint="eastAsia" w:ascii="仿宋" w:hAnsi="仿宋" w:eastAsia="仿宋" w:cs="仿宋"/>
          <w:i w:val="0"/>
          <w:iCs w:val="0"/>
          <w:color w:val="auto"/>
          <w:sz w:val="24"/>
          <w:highlight w:val="none"/>
          <w:lang w:val="zh-CN"/>
        </w:rPr>
        <w:t>、同意向贵方提供可能要求的与本次谈判有关的任何证据或资料，且尊重谈判小组的评审结论和结果。</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七、我方的响应文件有效期为自谈判之日起</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u w:val="single"/>
        </w:rPr>
        <w:t xml:space="preserve">60 </w:t>
      </w:r>
      <w:r>
        <w:rPr>
          <w:rFonts w:hint="eastAsia" w:ascii="仿宋" w:hAnsi="仿宋" w:eastAsia="仿宋" w:cs="仿宋"/>
          <w:i w:val="0"/>
          <w:iCs w:val="0"/>
          <w:color w:val="auto"/>
          <w:sz w:val="24"/>
          <w:highlight w:val="none"/>
          <w:lang w:val="zh-CN"/>
        </w:rPr>
        <w:t>个日历天。若我方成交，响应文件有效期延长至合同执行完毕。</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八</w:t>
      </w:r>
      <w:r>
        <w:rPr>
          <w:rFonts w:hint="eastAsia" w:ascii="仿宋" w:hAnsi="仿宋" w:eastAsia="仿宋" w:cs="仿宋"/>
          <w:i w:val="0"/>
          <w:iCs w:val="0"/>
          <w:color w:val="auto"/>
          <w:sz w:val="24"/>
          <w:highlight w:val="none"/>
          <w:lang w:val="zh-CN"/>
        </w:rPr>
        <w:t>、如我方成交：</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（1）我方承诺在收到成交通知书后，在谈判文件规定的期限内与采购人签订合同。</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（2）我方承诺按照谈判文件规定向你方递交履约保证金。作为履行合同的担保。</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（3）我方承诺按合同约定的期限和地点，提供符合谈判文件要求的全部的货物和服务。</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（4）我方保证在领取成交通知书前按要求支付成交服务费。</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九、有关于本响应文件的函电，请按下列地址联系。</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地</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址：</w:t>
      </w:r>
      <w:r>
        <w:rPr>
          <w:rFonts w:hint="eastAsia" w:ascii="仿宋" w:hAnsi="仿宋" w:eastAsia="仿宋" w:cs="仿宋"/>
          <w:i w:val="0"/>
          <w:iCs w:val="0"/>
          <w:color w:val="auto"/>
          <w:sz w:val="24"/>
          <w:highlight w:val="none"/>
          <w:u w:val="none"/>
        </w:rPr>
        <w:t>__________________________________________</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开户银行：</w:t>
      </w:r>
      <w:r>
        <w:rPr>
          <w:rFonts w:hint="eastAsia" w:ascii="仿宋" w:hAnsi="仿宋" w:eastAsia="仿宋" w:cs="仿宋"/>
          <w:i w:val="0"/>
          <w:iCs w:val="0"/>
          <w:color w:val="auto"/>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帐</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号：</w:t>
      </w:r>
      <w:r>
        <w:rPr>
          <w:rFonts w:hint="eastAsia" w:ascii="仿宋" w:hAnsi="仿宋" w:eastAsia="仿宋" w:cs="仿宋"/>
          <w:i w:val="0"/>
          <w:iCs w:val="0"/>
          <w:color w:val="auto"/>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电</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话：</w:t>
      </w:r>
      <w:r>
        <w:rPr>
          <w:rFonts w:hint="eastAsia" w:ascii="仿宋" w:hAnsi="仿宋" w:eastAsia="仿宋" w:cs="仿宋"/>
          <w:i w:val="0"/>
          <w:iCs w:val="0"/>
          <w:color w:val="auto"/>
          <w:sz w:val="24"/>
          <w:highlight w:val="none"/>
        </w:rPr>
        <w:t>_____________________</w:t>
      </w:r>
      <w:r>
        <w:rPr>
          <w:rFonts w:hint="eastAsia" w:ascii="仿宋" w:hAnsi="仿宋" w:eastAsia="仿宋" w:cs="仿宋"/>
          <w:i w:val="0"/>
          <w:iCs w:val="0"/>
          <w:color w:val="auto"/>
          <w:sz w:val="24"/>
          <w:highlight w:val="none"/>
          <w:lang w:val="zh-CN"/>
        </w:rPr>
        <w:t>传</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真：</w:t>
      </w:r>
      <w:r>
        <w:rPr>
          <w:rFonts w:hint="eastAsia" w:ascii="仿宋" w:hAnsi="仿宋" w:eastAsia="仿宋" w:cs="仿宋"/>
          <w:i w:val="0"/>
          <w:iCs w:val="0"/>
          <w:color w:val="auto"/>
          <w:sz w:val="24"/>
          <w:highlight w:val="none"/>
        </w:rPr>
        <w:t>________________</w:t>
      </w:r>
    </w:p>
    <w:p>
      <w:pPr>
        <w:pStyle w:val="22"/>
        <w:rPr>
          <w:rFonts w:hint="eastAsia" w:ascii="仿宋" w:hAnsi="仿宋" w:eastAsia="仿宋" w:cs="仿宋"/>
          <w:i w:val="0"/>
          <w:iCs w:val="0"/>
          <w:color w:val="auto"/>
          <w:highlight w:val="none"/>
        </w:rPr>
      </w:pPr>
    </w:p>
    <w:p>
      <w:pPr>
        <w:autoSpaceDE w:val="0"/>
        <w:autoSpaceDN w:val="0"/>
        <w:adjustRightInd w:val="0"/>
        <w:snapToGrid w:val="0"/>
        <w:spacing w:line="312" w:lineRule="auto"/>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供应商全称（公章）：</w:t>
      </w:r>
    </w:p>
    <w:p>
      <w:pPr>
        <w:pStyle w:val="22"/>
        <w:rPr>
          <w:rFonts w:hint="eastAsia" w:ascii="仿宋" w:hAnsi="仿宋" w:eastAsia="仿宋" w:cs="仿宋"/>
          <w:i w:val="0"/>
          <w:iCs w:val="0"/>
          <w:color w:val="auto"/>
          <w:highlight w:val="none"/>
          <w:lang w:val="zh-CN"/>
        </w:rPr>
      </w:pP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法定代表人或授权代表（签字）：</w:t>
      </w:r>
      <w:r>
        <w:rPr>
          <w:rFonts w:hint="eastAsia" w:ascii="仿宋" w:hAnsi="仿宋" w:eastAsia="仿宋" w:cs="仿宋"/>
          <w:i w:val="0"/>
          <w:iCs w:val="0"/>
          <w:color w:val="auto"/>
          <w:sz w:val="24"/>
          <w:highlight w:val="none"/>
        </w:rPr>
        <w:t>______________________________</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 xml:space="preserve">                 _____</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rPr>
        <w:t>_____</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rPr>
        <w:t>_____</w:t>
      </w:r>
      <w:r>
        <w:rPr>
          <w:rFonts w:hint="eastAsia" w:ascii="仿宋" w:hAnsi="仿宋" w:eastAsia="仿宋" w:cs="仿宋"/>
          <w:i w:val="0"/>
          <w:iCs w:val="0"/>
          <w:color w:val="auto"/>
          <w:sz w:val="24"/>
          <w:highlight w:val="none"/>
          <w:lang w:val="zh-CN"/>
        </w:rPr>
        <w:t>日</w:t>
      </w:r>
    </w:p>
    <w:p>
      <w:pPr>
        <w:pStyle w:val="3"/>
        <w:jc w:val="center"/>
        <w:rPr>
          <w:rFonts w:hint="eastAsia" w:ascii="仿宋" w:hAnsi="仿宋" w:eastAsia="仿宋" w:cs="仿宋"/>
          <w:b/>
          <w:bCs/>
          <w:i w:val="0"/>
          <w:iCs w:val="0"/>
          <w:color w:val="auto"/>
          <w:highlight w:val="none"/>
        </w:rPr>
      </w:pPr>
      <w:bookmarkStart w:id="465" w:name="_Hlt520356241"/>
      <w:bookmarkEnd w:id="465"/>
      <w:r>
        <w:rPr>
          <w:rFonts w:hint="eastAsia" w:ascii="仿宋" w:hAnsi="仿宋" w:eastAsia="仿宋" w:cs="仿宋"/>
          <w:i w:val="0"/>
          <w:iCs w:val="0"/>
          <w:color w:val="auto"/>
          <w:sz w:val="24"/>
          <w:highlight w:val="none"/>
        </w:rPr>
        <w:br w:type="page"/>
      </w:r>
      <w:bookmarkStart w:id="466" w:name="_Toc256342154"/>
      <w:bookmarkStart w:id="467" w:name="_Toc232176284"/>
      <w:bookmarkStart w:id="468" w:name="_Toc415499901"/>
      <w:bookmarkStart w:id="469" w:name="_Toc232395224"/>
      <w:bookmarkStart w:id="470" w:name="_Toc230583554"/>
      <w:bookmarkStart w:id="471" w:name="_Toc249515371"/>
      <w:bookmarkStart w:id="472" w:name="_Toc230013640"/>
      <w:bookmarkStart w:id="473" w:name="_Toc230099805"/>
      <w:bookmarkStart w:id="474" w:name="_Toc249525252"/>
      <w:bookmarkStart w:id="475" w:name="_Toc8496"/>
      <w:r>
        <w:rPr>
          <w:rFonts w:hint="eastAsia" w:ascii="仿宋" w:hAnsi="仿宋" w:eastAsia="仿宋" w:cs="仿宋"/>
          <w:b/>
          <w:bCs/>
          <w:i w:val="0"/>
          <w:iCs w:val="0"/>
          <w:color w:val="auto"/>
          <w:highlight w:val="none"/>
          <w:lang w:val="zh-CN"/>
        </w:rPr>
        <w:t>第二部分</w:t>
      </w:r>
      <w:r>
        <w:rPr>
          <w:rFonts w:hint="eastAsia" w:ascii="仿宋" w:hAnsi="仿宋" w:eastAsia="仿宋" w:cs="仿宋"/>
          <w:b/>
          <w:bCs/>
          <w:i w:val="0"/>
          <w:iCs w:val="0"/>
          <w:color w:val="auto"/>
          <w:highlight w:val="none"/>
        </w:rPr>
        <w:t xml:space="preserve">  谈判响应报价表 </w:t>
      </w:r>
    </w:p>
    <w:p>
      <w:pPr>
        <w:pStyle w:val="22"/>
        <w:rPr>
          <w:rFonts w:hint="eastAsia" w:ascii="仿宋" w:hAnsi="仿宋" w:eastAsia="仿宋" w:cs="仿宋"/>
          <w:i w:val="0"/>
          <w:iCs w:val="0"/>
          <w:color w:val="auto"/>
          <w:highlight w:val="none"/>
        </w:rPr>
      </w:pPr>
    </w:p>
    <w:p>
      <w:pPr>
        <w:autoSpaceDE w:val="0"/>
        <w:autoSpaceDN w:val="0"/>
        <w:adjustRightInd w:val="0"/>
        <w:snapToGrid w:val="0"/>
        <w:spacing w:line="360" w:lineRule="auto"/>
        <w:jc w:val="center"/>
        <w:outlineLvl w:val="1"/>
        <w:rPr>
          <w:rFonts w:hint="eastAsia"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rPr>
        <w:t>（首次）谈判响应报价表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项目编号及项目名称</w:t>
            </w:r>
          </w:p>
        </w:tc>
        <w:tc>
          <w:tcPr>
            <w:tcW w:w="6981" w:type="dxa"/>
            <w:vAlign w:val="center"/>
          </w:tcPr>
          <w:p>
            <w:pPr>
              <w:ind w:left="189" w:leftChars="90" w:firstLine="1"/>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ind w:left="189" w:leftChars="90" w:firstLine="1"/>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项目名称：</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响应总价</w:t>
            </w:r>
          </w:p>
        </w:tc>
        <w:tc>
          <w:tcPr>
            <w:tcW w:w="6981" w:type="dxa"/>
            <w:vAlign w:val="center"/>
          </w:tcPr>
          <w:p>
            <w:pPr>
              <w:ind w:left="189" w:leftChars="90" w:firstLine="1"/>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人民币（大写）：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 整（小写：¥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lang w:eastAsia="zh-CN"/>
              </w:rPr>
            </w:pPr>
            <w:r>
              <w:rPr>
                <w:rFonts w:hint="eastAsia" w:ascii="仿宋" w:hAnsi="仿宋" w:eastAsia="仿宋" w:cs="仿宋"/>
                <w:b/>
                <w:i w:val="0"/>
                <w:iCs w:val="0"/>
                <w:color w:val="auto"/>
                <w:sz w:val="24"/>
                <w:highlight w:val="none"/>
                <w:lang w:val="en-US" w:eastAsia="zh-CN"/>
              </w:rPr>
              <w:t>交货</w:t>
            </w:r>
            <w:r>
              <w:rPr>
                <w:rFonts w:hint="eastAsia" w:ascii="仿宋" w:hAnsi="仿宋" w:eastAsia="仿宋" w:cs="仿宋"/>
                <w:b/>
                <w:i w:val="0"/>
                <w:iCs w:val="0"/>
                <w:color w:val="auto"/>
                <w:sz w:val="24"/>
                <w:highlight w:val="none"/>
                <w:lang w:eastAsia="zh-CN"/>
              </w:rPr>
              <w:t>期</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lang w:eastAsia="zh-CN"/>
              </w:rPr>
            </w:pPr>
            <w:r>
              <w:rPr>
                <w:rFonts w:hint="eastAsia" w:ascii="仿宋" w:hAnsi="仿宋" w:eastAsia="仿宋" w:cs="仿宋"/>
                <w:b/>
                <w:i w:val="0"/>
                <w:iCs w:val="0"/>
                <w:color w:val="auto"/>
                <w:sz w:val="24"/>
                <w:highlight w:val="none"/>
                <w:lang w:val="en-US" w:eastAsia="zh-CN"/>
              </w:rPr>
              <w:t>交货</w:t>
            </w:r>
            <w:r>
              <w:rPr>
                <w:rFonts w:hint="eastAsia" w:ascii="仿宋" w:hAnsi="仿宋" w:eastAsia="仿宋" w:cs="仿宋"/>
                <w:b/>
                <w:i w:val="0"/>
                <w:iCs w:val="0"/>
                <w:color w:val="auto"/>
                <w:sz w:val="24"/>
                <w:highlight w:val="none"/>
                <w:lang w:eastAsia="zh-CN"/>
              </w:rPr>
              <w:t>地点</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备注</w:t>
            </w:r>
          </w:p>
        </w:tc>
        <w:tc>
          <w:tcPr>
            <w:tcW w:w="6981" w:type="dxa"/>
            <w:vAlign w:val="center"/>
          </w:tcPr>
          <w:p>
            <w:pPr>
              <w:rPr>
                <w:rFonts w:hint="eastAsia" w:ascii="仿宋" w:hAnsi="仿宋" w:eastAsia="仿宋" w:cs="仿宋"/>
                <w:i w:val="0"/>
                <w:iCs w:val="0"/>
                <w:color w:val="auto"/>
                <w:sz w:val="24"/>
                <w:highlight w:val="none"/>
              </w:rPr>
            </w:pPr>
          </w:p>
        </w:tc>
      </w:tr>
    </w:tbl>
    <w:p>
      <w:pPr>
        <w:autoSpaceDE w:val="0"/>
        <w:autoSpaceDN w:val="0"/>
        <w:adjustRightInd w:val="0"/>
        <w:snapToGrid w:val="0"/>
        <w:spacing w:line="360" w:lineRule="auto"/>
        <w:jc w:val="right"/>
        <w:rPr>
          <w:rFonts w:hint="eastAsia" w:ascii="仿宋" w:hAnsi="仿宋" w:eastAsia="仿宋" w:cs="仿宋"/>
          <w:i w:val="0"/>
          <w:iCs w:val="0"/>
          <w:color w:val="auto"/>
          <w:sz w:val="24"/>
          <w:highlight w:val="none"/>
        </w:rPr>
      </w:pPr>
    </w:p>
    <w:p>
      <w:pPr>
        <w:autoSpaceDE w:val="0"/>
        <w:autoSpaceDN w:val="0"/>
        <w:adjustRightInd w:val="0"/>
        <w:snapToGrid w:val="0"/>
        <w:spacing w:line="360" w:lineRule="auto"/>
        <w:rPr>
          <w:rFonts w:hint="eastAsia" w:ascii="仿宋" w:hAnsi="仿宋" w:eastAsia="仿宋" w:cs="仿宋"/>
          <w:b/>
          <w:bCs/>
          <w:i w:val="0"/>
          <w:iCs w:val="0"/>
          <w:color w:val="auto"/>
          <w:sz w:val="24"/>
          <w:highlight w:val="none"/>
        </w:rPr>
      </w:pPr>
    </w:p>
    <w:p>
      <w:pPr>
        <w:autoSpaceDE w:val="0"/>
        <w:autoSpaceDN w:val="0"/>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 xml:space="preserve">                                                 </w:t>
      </w:r>
    </w:p>
    <w:p>
      <w:pPr>
        <w:autoSpaceDE w:val="0"/>
        <w:autoSpaceDN w:val="0"/>
        <w:adjustRightInd w:val="0"/>
        <w:snapToGrid w:val="0"/>
        <w:spacing w:line="360" w:lineRule="auto"/>
        <w:ind w:firstLine="1080" w:firstLineChars="45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（公章）：                            （签字）：</w:t>
      </w: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pPr>
        <w:pStyle w:val="22"/>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br w:type="page"/>
      </w:r>
    </w:p>
    <w:p>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p>
    <w:p>
      <w:pPr>
        <w:keepNext/>
        <w:keepLines/>
        <w:autoSpaceDE w:val="0"/>
        <w:autoSpaceDN w:val="0"/>
        <w:adjustRightInd w:val="0"/>
        <w:spacing w:line="360" w:lineRule="auto"/>
        <w:jc w:val="center"/>
        <w:outlineLvl w:val="2"/>
        <w:rPr>
          <w:rFonts w:hint="eastAsia" w:ascii="仿宋" w:hAnsi="仿宋" w:eastAsia="仿宋" w:cs="仿宋"/>
          <w:b/>
          <w:i w:val="0"/>
          <w:iCs w:val="0"/>
          <w:color w:val="auto"/>
          <w:kern w:val="0"/>
          <w:sz w:val="32"/>
          <w:szCs w:val="32"/>
          <w:highlight w:val="none"/>
          <w:shd w:val="clear" w:color="auto" w:fill="FFFFFF"/>
        </w:rPr>
      </w:pPr>
      <w:r>
        <w:rPr>
          <w:rFonts w:hint="eastAsia" w:ascii="仿宋" w:hAnsi="仿宋" w:eastAsia="仿宋" w:cs="仿宋"/>
          <w:b/>
          <w:i w:val="0"/>
          <w:iCs w:val="0"/>
          <w:color w:val="auto"/>
          <w:kern w:val="0"/>
          <w:sz w:val="32"/>
          <w:szCs w:val="32"/>
          <w:highlight w:val="none"/>
          <w:shd w:val="clear" w:color="auto" w:fill="FFFFFF"/>
        </w:rPr>
        <w:t>（首次）分项报价表</w:t>
      </w:r>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2"/>
        <w:rPr>
          <w:rFonts w:hint="eastAsia" w:ascii="仿宋" w:hAnsi="仿宋" w:eastAsia="仿宋" w:cs="仿宋"/>
          <w:highlight w:val="none"/>
        </w:rPr>
      </w:pPr>
      <w:r>
        <w:rPr>
          <w:rFonts w:hint="eastAsia" w:ascii="仿宋" w:hAnsi="仿宋" w:eastAsia="仿宋" w:cs="仿宋"/>
          <w:i w:val="0"/>
          <w:iCs w:val="0"/>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142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称</w:t>
            </w:r>
          </w:p>
        </w:tc>
        <w:tc>
          <w:tcPr>
            <w:tcW w:w="1188"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规格</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型号</w:t>
            </w:r>
          </w:p>
        </w:tc>
        <w:tc>
          <w:tcPr>
            <w:tcW w:w="1560"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制造</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厂家</w:t>
            </w:r>
          </w:p>
        </w:tc>
        <w:tc>
          <w:tcPr>
            <w:tcW w:w="992"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数量</w:t>
            </w:r>
          </w:p>
        </w:tc>
        <w:tc>
          <w:tcPr>
            <w:tcW w:w="127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单价（元）</w:t>
            </w:r>
          </w:p>
        </w:tc>
        <w:tc>
          <w:tcPr>
            <w:tcW w:w="1134"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小计（元）</w:t>
            </w:r>
          </w:p>
        </w:tc>
        <w:tc>
          <w:tcPr>
            <w:tcW w:w="70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bl>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4"/>
          <w:szCs w:val="28"/>
          <w:highlight w:val="none"/>
        </w:rPr>
      </w:pPr>
    </w:p>
    <w:p>
      <w:pPr>
        <w:adjustRightInd w:val="0"/>
        <w:snapToGrid w:val="0"/>
        <w:spacing w:line="360" w:lineRule="auto"/>
        <w:ind w:firstLine="120" w:firstLineChars="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 xml:space="preserve">                         法定代表人或授权代表</w:t>
      </w:r>
    </w:p>
    <w:p>
      <w:pPr>
        <w:adjustRightInd w:val="0"/>
        <w:snapToGrid w:val="0"/>
        <w:spacing w:line="360" w:lineRule="auto"/>
        <w:ind w:left="-525" w:leftChars="-250" w:firstLine="720" w:firstLineChars="3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（公章）：                          （签字）：</w:t>
      </w:r>
    </w:p>
    <w:p>
      <w:pPr>
        <w:adjustRightInd w:val="0"/>
        <w:snapToGrid w:val="0"/>
        <w:spacing w:line="360" w:lineRule="auto"/>
        <w:jc w:val="center"/>
        <w:rPr>
          <w:rFonts w:hint="eastAsia" w:ascii="仿宋" w:hAnsi="仿宋" w:eastAsia="仿宋" w:cs="仿宋"/>
          <w:b/>
          <w:i w:val="0"/>
          <w:iCs w:val="0"/>
          <w:color w:val="auto"/>
          <w:sz w:val="42"/>
          <w:highlight w:val="none"/>
        </w:rPr>
      </w:pPr>
    </w:p>
    <w:p>
      <w:pP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br w:type="page"/>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66"/>
    <w:bookmarkEnd w:id="467"/>
    <w:bookmarkEnd w:id="468"/>
    <w:bookmarkEnd w:id="469"/>
    <w:bookmarkEnd w:id="470"/>
    <w:bookmarkEnd w:id="471"/>
    <w:bookmarkEnd w:id="472"/>
    <w:bookmarkEnd w:id="473"/>
    <w:bookmarkEnd w:id="474"/>
    <w:bookmarkEnd w:id="475"/>
    <w:p>
      <w:pPr>
        <w:pStyle w:val="3"/>
        <w:jc w:val="center"/>
        <w:rPr>
          <w:rFonts w:hint="eastAsia" w:ascii="仿宋" w:hAnsi="仿宋" w:eastAsia="仿宋" w:cs="仿宋"/>
          <w:i w:val="0"/>
          <w:iCs w:val="0"/>
          <w:color w:val="auto"/>
          <w:highlight w:val="none"/>
        </w:rPr>
      </w:pPr>
      <w:bookmarkStart w:id="476" w:name="_Toc176882553"/>
      <w:bookmarkStart w:id="477" w:name="_Toc249525253"/>
      <w:bookmarkStart w:id="478" w:name="_Toc230583555"/>
      <w:bookmarkStart w:id="479" w:name="_Toc225933091"/>
      <w:bookmarkStart w:id="480" w:name="_Toc249515372"/>
      <w:bookmarkStart w:id="481" w:name="_Toc496324624"/>
      <w:bookmarkStart w:id="482" w:name="_Toc500747234"/>
      <w:bookmarkStart w:id="483" w:name="_Toc230013641"/>
      <w:bookmarkStart w:id="484" w:name="_Toc184043059"/>
      <w:bookmarkStart w:id="485" w:name="_Toc232176285"/>
      <w:bookmarkStart w:id="486" w:name="_Toc500747107"/>
      <w:bookmarkStart w:id="487" w:name="_Toc415499902"/>
      <w:bookmarkStart w:id="488" w:name="_Toc503063459"/>
      <w:bookmarkStart w:id="489" w:name="_Toc499711929"/>
      <w:bookmarkStart w:id="490" w:name="_Toc70687203"/>
      <w:bookmarkStart w:id="491" w:name="_Toc177995484"/>
      <w:bookmarkStart w:id="492" w:name="_Toc256342155"/>
      <w:bookmarkStart w:id="493" w:name="_Toc177817345"/>
      <w:bookmarkStart w:id="494" w:name="_Toc385992402"/>
      <w:bookmarkStart w:id="495" w:name="_Toc499711088"/>
      <w:bookmarkStart w:id="496" w:name="_Toc500747011"/>
      <w:bookmarkStart w:id="497" w:name="_Toc389620242"/>
      <w:bookmarkStart w:id="498" w:name="_Toc53722866"/>
      <w:bookmarkStart w:id="499" w:name="_Toc83547687"/>
      <w:bookmarkStart w:id="500" w:name="_Toc177189246"/>
      <w:bookmarkStart w:id="501" w:name="_Toc492955460"/>
      <w:bookmarkStart w:id="502" w:name="_Toc232395225"/>
      <w:bookmarkStart w:id="503" w:name="_Toc230099806"/>
      <w:r>
        <w:rPr>
          <w:rFonts w:hint="eastAsia" w:ascii="仿宋" w:hAnsi="仿宋" w:eastAsia="仿宋" w:cs="仿宋"/>
          <w:b/>
          <w:bCs/>
          <w:i w:val="0"/>
          <w:iCs w:val="0"/>
          <w:color w:val="auto"/>
          <w:highlight w:val="none"/>
        </w:rPr>
        <w:t>第三部分  偏离表</w:t>
      </w:r>
    </w:p>
    <w:p>
      <w:pPr>
        <w:pStyle w:val="4"/>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一、商务、合同条款偏离表</w:t>
      </w:r>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8"/>
        <w:ind w:right="56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序号</w:t>
            </w:r>
          </w:p>
        </w:tc>
        <w:tc>
          <w:tcPr>
            <w:tcW w:w="2835"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谈判文件商务、合同条款</w:t>
            </w:r>
          </w:p>
        </w:tc>
        <w:tc>
          <w:tcPr>
            <w:tcW w:w="1701"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完全响应</w:t>
            </w:r>
          </w:p>
        </w:tc>
        <w:tc>
          <w:tcPr>
            <w:tcW w:w="1417"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有偏离</w:t>
            </w:r>
          </w:p>
        </w:tc>
        <w:tc>
          <w:tcPr>
            <w:tcW w:w="2195"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hint="eastAsia" w:ascii="仿宋" w:hAnsi="仿宋" w:eastAsia="仿宋" w:cs="仿宋"/>
                <w:i w:val="0"/>
                <w:iCs w:val="0"/>
                <w:color w:val="auto"/>
                <w:sz w:val="24"/>
                <w:szCs w:val="24"/>
                <w:highlight w:val="none"/>
              </w:rPr>
            </w:pPr>
          </w:p>
        </w:tc>
        <w:tc>
          <w:tcPr>
            <w:tcW w:w="2835" w:type="dxa"/>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w:t>
            </w:r>
            <w:r>
              <w:rPr>
                <w:rFonts w:hint="eastAsia" w:ascii="仿宋" w:hAnsi="仿宋" w:eastAsia="仿宋" w:cs="仿宋"/>
                <w:bCs/>
                <w:i w:val="0"/>
                <w:iCs w:val="0"/>
                <w:color w:val="auto"/>
                <w:sz w:val="24"/>
                <w:highlight w:val="none"/>
                <w:lang w:val="en-US" w:eastAsia="zh-CN"/>
              </w:rPr>
              <w:t>交货</w:t>
            </w:r>
            <w:r>
              <w:rPr>
                <w:rFonts w:hint="eastAsia" w:ascii="仿宋" w:hAnsi="仿宋" w:eastAsia="仿宋" w:cs="仿宋"/>
                <w:bCs/>
                <w:i w:val="0"/>
                <w:iCs w:val="0"/>
                <w:color w:val="auto"/>
                <w:sz w:val="24"/>
                <w:highlight w:val="none"/>
              </w:rPr>
              <w:t>地点)</w:t>
            </w:r>
          </w:p>
        </w:tc>
        <w:tc>
          <w:tcPr>
            <w:tcW w:w="1701" w:type="dxa"/>
          </w:tcPr>
          <w:p>
            <w:pPr>
              <w:pStyle w:val="28"/>
              <w:jc w:val="center"/>
              <w:rPr>
                <w:rFonts w:hint="eastAsia" w:ascii="仿宋" w:hAnsi="仿宋" w:eastAsia="仿宋" w:cs="仿宋"/>
                <w:i w:val="0"/>
                <w:iCs w:val="0"/>
                <w:color w:val="auto"/>
                <w:sz w:val="24"/>
                <w:szCs w:val="24"/>
                <w:highlight w:val="none"/>
              </w:rPr>
            </w:pPr>
          </w:p>
        </w:tc>
        <w:tc>
          <w:tcPr>
            <w:tcW w:w="1417" w:type="dxa"/>
          </w:tcPr>
          <w:p>
            <w:pPr>
              <w:pStyle w:val="28"/>
              <w:jc w:val="center"/>
              <w:rPr>
                <w:rFonts w:hint="eastAsia" w:ascii="仿宋" w:hAnsi="仿宋" w:eastAsia="仿宋" w:cs="仿宋"/>
                <w:i w:val="0"/>
                <w:iCs w:val="0"/>
                <w:color w:val="auto"/>
                <w:sz w:val="24"/>
                <w:szCs w:val="24"/>
                <w:highlight w:val="none"/>
              </w:rPr>
            </w:pPr>
          </w:p>
        </w:tc>
        <w:tc>
          <w:tcPr>
            <w:tcW w:w="2195" w:type="dxa"/>
          </w:tcPr>
          <w:p>
            <w:pPr>
              <w:pStyle w:val="28"/>
              <w:jc w:val="center"/>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w:t>
            </w:r>
            <w:r>
              <w:rPr>
                <w:rFonts w:hint="eastAsia" w:ascii="仿宋" w:hAnsi="仿宋" w:eastAsia="仿宋" w:cs="仿宋"/>
                <w:bCs/>
                <w:i w:val="0"/>
                <w:iCs w:val="0"/>
                <w:color w:val="auto"/>
                <w:sz w:val="24"/>
                <w:highlight w:val="none"/>
                <w:lang w:val="en-US" w:eastAsia="zh-CN"/>
              </w:rPr>
              <w:t>交货</w:t>
            </w:r>
            <w:r>
              <w:rPr>
                <w:rFonts w:hint="eastAsia" w:ascii="仿宋" w:hAnsi="仿宋" w:eastAsia="仿宋" w:cs="仿宋"/>
                <w:bCs/>
                <w:i w:val="0"/>
                <w:iCs w:val="0"/>
                <w:color w:val="auto"/>
                <w:sz w:val="24"/>
                <w:highlight w:val="none"/>
                <w:lang w:eastAsia="zh-CN"/>
              </w:rPr>
              <w:t>期</w:t>
            </w:r>
            <w:r>
              <w:rPr>
                <w:rFonts w:hint="eastAsia" w:ascii="仿宋" w:hAnsi="仿宋" w:eastAsia="仿宋" w:cs="仿宋"/>
                <w:bCs/>
                <w:i w:val="0"/>
                <w:iCs w:val="0"/>
                <w:color w:val="auto"/>
                <w:sz w:val="24"/>
                <w:highlight w:val="none"/>
              </w:rPr>
              <w:t>)</w:t>
            </w:r>
          </w:p>
        </w:tc>
        <w:tc>
          <w:tcPr>
            <w:tcW w:w="1701" w:type="dxa"/>
          </w:tcPr>
          <w:p>
            <w:pPr>
              <w:pStyle w:val="28"/>
              <w:ind w:left="1080" w:leftChars="257" w:hanging="540"/>
              <w:jc w:val="center"/>
              <w:rPr>
                <w:rFonts w:hint="eastAsia" w:ascii="仿宋" w:hAnsi="仿宋" w:eastAsia="仿宋" w:cs="仿宋"/>
                <w:i w:val="0"/>
                <w:iCs w:val="0"/>
                <w:color w:val="auto"/>
                <w:sz w:val="24"/>
                <w:szCs w:val="24"/>
                <w:highlight w:val="none"/>
              </w:rPr>
            </w:pPr>
          </w:p>
        </w:tc>
        <w:tc>
          <w:tcPr>
            <w:tcW w:w="1417" w:type="dxa"/>
          </w:tcPr>
          <w:p>
            <w:pPr>
              <w:pStyle w:val="28"/>
              <w:ind w:left="1080" w:leftChars="257" w:hanging="540"/>
              <w:jc w:val="center"/>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(付款方式)</w:t>
            </w: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i w:val="0"/>
                <w:iCs w:val="0"/>
                <w:color w:val="auto"/>
                <w:sz w:val="24"/>
                <w:highlight w:val="none"/>
              </w:rPr>
              <w:t>….</w:t>
            </w: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i w:val="0"/>
                <w:iCs w:val="0"/>
                <w:color w:val="auto"/>
                <w:sz w:val="24"/>
                <w:highlight w:val="none"/>
              </w:rPr>
              <w:t>.</w:t>
            </w: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bl>
    <w:p>
      <w:pPr>
        <w:pStyle w:val="28"/>
        <w:ind w:left="1080" w:leftChars="257" w:hanging="540"/>
        <w:rPr>
          <w:rFonts w:hint="eastAsia" w:ascii="仿宋" w:hAnsi="仿宋" w:eastAsia="仿宋" w:cs="仿宋"/>
          <w:i w:val="0"/>
          <w:iCs w:val="0"/>
          <w:color w:val="auto"/>
          <w:sz w:val="24"/>
          <w:szCs w:val="24"/>
          <w:highlight w:val="none"/>
        </w:rPr>
      </w:pP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 xml:space="preserve">供应商（公章）： </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法定代表人或其授权代表（签字或盖章）：</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320" w:firstLineChars="1800"/>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日    期：</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pPr>
        <w:snapToGrid w:val="0"/>
        <w:spacing w:after="120" w:afterLines="50"/>
        <w:ind w:left="910" w:leftChars="203" w:hanging="48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注：</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1、对完全响应的，在下表相应列中标注“○”。对有偏离的条目在本表相应列中标注“正偏离”或“负偏离”，并在“偏离简述”栏中加以说明。</w:t>
      </w:r>
    </w:p>
    <w:p>
      <w:pPr>
        <w:snapToGrid w:val="0"/>
        <w:spacing w:after="120" w:afterLines="50"/>
        <w:ind w:left="842" w:leftChars="401"/>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2、正偏离是指应答的条件高于谈判文件要求，负偏离是指应答的条件低于谈判文件要求，正偏离项目不作扣分处理。</w:t>
      </w:r>
    </w:p>
    <w:p>
      <w:pPr>
        <w:snapToGrid w:val="0"/>
        <w:spacing w:after="120" w:afterLines="50"/>
        <w:ind w:left="842" w:leftChars="401"/>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3、供应商须完整填写响应表。如果未完整填写本表的各项内容则视作供应商已经对谈判文件相关要求和内容完全理解并同意，其报价为在此基础上的完全价格。</w:t>
      </w:r>
    </w:p>
    <w:p>
      <w:pPr>
        <w:snapToGrid w:val="0"/>
        <w:spacing w:after="120" w:afterLines="50"/>
        <w:ind w:left="842" w:leftChars="401"/>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4、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pStyle w:val="4"/>
        <w:jc w:val="center"/>
        <w:rPr>
          <w:rFonts w:hint="eastAsia" w:ascii="仿宋" w:hAnsi="仿宋" w:eastAsia="仿宋" w:cs="仿宋"/>
          <w:b/>
          <w:bCs/>
          <w:i w:val="0"/>
          <w:iCs w:val="0"/>
          <w:color w:val="auto"/>
          <w:sz w:val="28"/>
          <w:szCs w:val="28"/>
          <w:highlight w:val="none"/>
        </w:rPr>
      </w:pPr>
      <w:bookmarkStart w:id="504" w:name="_Toc414445775"/>
      <w:bookmarkStart w:id="505" w:name="_Toc7005136"/>
      <w:bookmarkStart w:id="506" w:name="_Toc416103825"/>
      <w:bookmarkStart w:id="507" w:name="_Toc410631184"/>
      <w:r>
        <w:rPr>
          <w:rFonts w:hint="eastAsia" w:ascii="仿宋" w:hAnsi="仿宋" w:eastAsia="仿宋" w:cs="仿宋"/>
          <w:b/>
          <w:bCs/>
          <w:i w:val="0"/>
          <w:iCs w:val="0"/>
          <w:color w:val="auto"/>
          <w:sz w:val="28"/>
          <w:szCs w:val="28"/>
          <w:highlight w:val="none"/>
        </w:rPr>
        <w:t>二、技术偏离表</w:t>
      </w:r>
      <w:bookmarkEnd w:id="504"/>
      <w:bookmarkEnd w:id="505"/>
      <w:bookmarkEnd w:id="506"/>
      <w:bookmarkEnd w:id="507"/>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2"/>
        <w:rPr>
          <w:rFonts w:hint="eastAsia" w:ascii="仿宋" w:hAnsi="仿宋" w:eastAsia="仿宋" w:cs="仿宋"/>
          <w:highlight w:val="none"/>
        </w:rPr>
      </w:pPr>
      <w:r>
        <w:rPr>
          <w:rFonts w:hint="eastAsia" w:ascii="仿宋" w:hAnsi="仿宋" w:eastAsia="仿宋" w:cs="仿宋"/>
          <w:i w:val="0"/>
          <w:iCs w:val="0"/>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68"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谈判文件条目号</w:t>
            </w:r>
          </w:p>
        </w:tc>
        <w:tc>
          <w:tcPr>
            <w:tcW w:w="1932"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技术条款要求</w:t>
            </w:r>
          </w:p>
        </w:tc>
        <w:tc>
          <w:tcPr>
            <w:tcW w:w="1236"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完全响应</w:t>
            </w:r>
          </w:p>
        </w:tc>
        <w:tc>
          <w:tcPr>
            <w:tcW w:w="1236"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有偏离</w:t>
            </w:r>
          </w:p>
        </w:tc>
        <w:tc>
          <w:tcPr>
            <w:tcW w:w="2394"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bCs/>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bCs/>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bl>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 xml:space="preserve">供应商（公章）： </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法定代表人或其授权代表（签字或盖章）：</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pPr>
        <w:spacing w:line="360" w:lineRule="auto"/>
        <w:rPr>
          <w:rFonts w:hint="eastAsia" w:ascii="仿宋" w:hAnsi="仿宋" w:eastAsia="仿宋" w:cs="仿宋"/>
          <w:i w:val="0"/>
          <w:iCs w:val="0"/>
          <w:color w:val="auto"/>
          <w:highlight w:val="none"/>
        </w:rPr>
      </w:pPr>
    </w:p>
    <w:p>
      <w:pPr>
        <w:snapToGrid w:val="0"/>
        <w:spacing w:after="120" w:afterLines="50"/>
        <w:ind w:left="850" w:hanging="850" w:hangingChars="405"/>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注：1.</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2.</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正偏离是指应答的条件高于谈判文件要求，负偏离是指应答的条件低于谈判文件要求，正偏离项目不作扣分处理。</w:t>
      </w:r>
    </w:p>
    <w:p>
      <w:pPr>
        <w:tabs>
          <w:tab w:val="left" w:pos="1200"/>
        </w:tabs>
        <w:snapToGrid w:val="0"/>
        <w:spacing w:after="120" w:afterLines="50"/>
        <w:ind w:left="850" w:leftChars="203" w:hanging="42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3</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供应商须按照用户需求书逐条完整填写响应表。如果未完整填写响应表的各项内容则视作供应商已经对谈判文件相关要求和内容完全理解并同意，其报价为在此基础上的完全价格。</w:t>
      </w:r>
    </w:p>
    <w:p>
      <w:pPr>
        <w:tabs>
          <w:tab w:val="left" w:pos="1200"/>
        </w:tabs>
        <w:snapToGrid w:val="0"/>
        <w:spacing w:after="120" w:afterLines="50"/>
        <w:ind w:left="850" w:leftChars="203" w:hanging="42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4</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br w:type="page"/>
      </w:r>
    </w:p>
    <w:p>
      <w:pPr>
        <w:pStyle w:val="3"/>
        <w:jc w:val="center"/>
        <w:rPr>
          <w:rFonts w:hint="eastAsia" w:ascii="仿宋" w:hAnsi="仿宋" w:eastAsia="仿宋" w:cs="仿宋"/>
          <w:b/>
          <w:bCs/>
          <w:i w:val="0"/>
          <w:iCs w:val="0"/>
          <w:color w:val="auto"/>
          <w:highlight w:val="none"/>
          <w:lang w:val="zh-CN"/>
        </w:rPr>
      </w:pPr>
      <w:r>
        <w:rPr>
          <w:rFonts w:hint="eastAsia" w:ascii="仿宋" w:hAnsi="仿宋" w:eastAsia="仿宋" w:cs="仿宋"/>
          <w:b/>
          <w:bCs/>
          <w:i w:val="0"/>
          <w:iCs w:val="0"/>
          <w:color w:val="auto"/>
          <w:highlight w:val="none"/>
          <w:lang w:val="zh-CN"/>
        </w:rPr>
        <w:t>第四部分</w:t>
      </w:r>
      <w:r>
        <w:rPr>
          <w:rFonts w:hint="eastAsia" w:ascii="仿宋" w:hAnsi="仿宋" w:eastAsia="仿宋" w:cs="仿宋"/>
          <w:b/>
          <w:bCs/>
          <w:i w:val="0"/>
          <w:iCs w:val="0"/>
          <w:color w:val="auto"/>
          <w:highlight w:val="none"/>
        </w:rPr>
        <w:t xml:space="preserve">  </w:t>
      </w:r>
      <w:r>
        <w:rPr>
          <w:rFonts w:hint="eastAsia" w:ascii="仿宋" w:hAnsi="仿宋" w:eastAsia="仿宋" w:cs="仿宋"/>
          <w:b/>
          <w:bCs/>
          <w:i w:val="0"/>
          <w:iCs w:val="0"/>
          <w:color w:val="auto"/>
          <w:highlight w:val="none"/>
          <w:lang w:val="zh-CN"/>
        </w:rPr>
        <w:t>响应方案说明</w:t>
      </w:r>
    </w:p>
    <w:p>
      <w:pPr>
        <w:pStyle w:val="22"/>
        <w:rPr>
          <w:rFonts w:hint="eastAsia" w:ascii="仿宋" w:hAnsi="仿宋" w:eastAsia="仿宋" w:cs="仿宋"/>
          <w:i w:val="0"/>
          <w:iCs w:val="0"/>
          <w:color w:val="auto"/>
          <w:highlight w:val="none"/>
          <w:lang w:val="zh-CN"/>
        </w:rPr>
      </w:pPr>
    </w:p>
    <w:p>
      <w:pPr>
        <w:autoSpaceDE w:val="0"/>
        <w:autoSpaceDN w:val="0"/>
        <w:adjustRightInd w:val="0"/>
        <w:spacing w:line="360" w:lineRule="auto"/>
        <w:jc w:val="center"/>
        <w:rPr>
          <w:rFonts w:hint="eastAsia" w:ascii="仿宋" w:hAnsi="仿宋" w:eastAsia="仿宋" w:cs="仿宋"/>
          <w:i w:val="0"/>
          <w:iCs w:val="0"/>
          <w:color w:val="auto"/>
          <w:sz w:val="28"/>
          <w:szCs w:val="28"/>
          <w:highlight w:val="none"/>
          <w:lang w:val="zh-CN"/>
        </w:rPr>
      </w:pPr>
      <w:r>
        <w:rPr>
          <w:rFonts w:hint="eastAsia" w:ascii="仿宋" w:hAnsi="仿宋" w:eastAsia="仿宋" w:cs="仿宋"/>
          <w:i w:val="0"/>
          <w:iCs w:val="0"/>
          <w:color w:val="auto"/>
          <w:sz w:val="28"/>
          <w:szCs w:val="28"/>
          <w:highlight w:val="none"/>
          <w:lang w:val="zh-CN"/>
        </w:rPr>
        <w:t>（格式自拟，内容需符合评审办法中要求的内容要求）</w:t>
      </w:r>
    </w:p>
    <w:p>
      <w:pPr>
        <w:pStyle w:val="22"/>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br w:type="page"/>
      </w:r>
    </w:p>
    <w:p>
      <w:pPr>
        <w:numPr>
          <w:ilvl w:val="0"/>
          <w:numId w:val="13"/>
        </w:numPr>
        <w:jc w:val="center"/>
        <w:rPr>
          <w:rFonts w:hint="eastAsia" w:ascii="仿宋" w:hAnsi="仿宋" w:eastAsia="仿宋" w:cs="仿宋"/>
          <w:b/>
          <w:bCs/>
          <w:i w:val="0"/>
          <w:iCs w:val="0"/>
          <w:color w:val="auto"/>
          <w:kern w:val="2"/>
          <w:sz w:val="32"/>
          <w:szCs w:val="32"/>
          <w:highlight w:val="none"/>
          <w:lang w:val="zh-CN" w:eastAsia="zh-CN" w:bidi="ar-SA"/>
        </w:rPr>
      </w:pPr>
      <w:r>
        <w:rPr>
          <w:rFonts w:hint="eastAsia" w:ascii="仿宋" w:hAnsi="仿宋" w:eastAsia="仿宋" w:cs="仿宋"/>
          <w:b/>
          <w:bCs/>
          <w:i w:val="0"/>
          <w:iCs w:val="0"/>
          <w:color w:val="auto"/>
          <w:kern w:val="2"/>
          <w:sz w:val="32"/>
          <w:szCs w:val="32"/>
          <w:highlight w:val="none"/>
          <w:lang w:val="zh-CN" w:eastAsia="zh-CN" w:bidi="ar-SA"/>
        </w:rPr>
        <w:t xml:space="preserve"> 身份证明文件</w:t>
      </w:r>
    </w:p>
    <w:p>
      <w:pPr>
        <w:tabs>
          <w:tab w:val="left" w:pos="588"/>
        </w:tabs>
        <w:spacing w:line="360" w:lineRule="auto"/>
        <w:jc w:val="center"/>
        <w:outlineLvl w:val="2"/>
        <w:rPr>
          <w:rFonts w:hint="eastAsia" w:ascii="仿宋" w:hAnsi="仿宋" w:eastAsia="仿宋" w:cs="仿宋"/>
          <w:b/>
          <w:bCs/>
          <w:i w:val="0"/>
          <w:iCs w:val="0"/>
          <w:color w:val="auto"/>
          <w:sz w:val="28"/>
          <w:szCs w:val="36"/>
          <w:highlight w:val="none"/>
          <w:lang w:val="zh-CN"/>
        </w:rPr>
      </w:pPr>
    </w:p>
    <w:p>
      <w:pPr>
        <w:tabs>
          <w:tab w:val="left" w:pos="588"/>
        </w:tabs>
        <w:spacing w:line="360" w:lineRule="auto"/>
        <w:jc w:val="center"/>
        <w:outlineLvl w:val="2"/>
        <w:rPr>
          <w:rFonts w:hint="eastAsia" w:ascii="仿宋" w:hAnsi="仿宋" w:eastAsia="仿宋" w:cs="仿宋"/>
          <w:b/>
          <w:bCs/>
          <w:i w:val="0"/>
          <w:iCs w:val="0"/>
          <w:color w:val="auto"/>
          <w:sz w:val="28"/>
          <w:szCs w:val="36"/>
          <w:highlight w:val="none"/>
        </w:rPr>
      </w:pPr>
      <w:r>
        <w:rPr>
          <w:rFonts w:hint="eastAsia" w:ascii="仿宋" w:hAnsi="仿宋" w:eastAsia="仿宋" w:cs="仿宋"/>
          <w:b/>
          <w:bCs/>
          <w:i w:val="0"/>
          <w:iCs w:val="0"/>
          <w:color w:val="auto"/>
          <w:sz w:val="28"/>
          <w:szCs w:val="36"/>
          <w:highlight w:val="none"/>
          <w:lang w:val="zh-CN"/>
        </w:rPr>
        <w:t>1、法定代表人（或单位负责人）授权书</w:t>
      </w:r>
    </w:p>
    <w:p>
      <w:pPr>
        <w:autoSpaceDE w:val="0"/>
        <w:autoSpaceDN w:val="0"/>
        <w:adjustRightInd w:val="0"/>
        <w:spacing w:line="348" w:lineRule="auto"/>
        <w:ind w:firstLine="400"/>
        <w:rPr>
          <w:rFonts w:hint="eastAsia" w:ascii="仿宋" w:hAnsi="仿宋" w:eastAsia="仿宋" w:cs="仿宋"/>
          <w:b/>
          <w:bCs/>
          <w:i w:val="0"/>
          <w:iCs w:val="0"/>
          <w:color w:val="auto"/>
          <w:sz w:val="20"/>
          <w:highlight w:val="none"/>
        </w:rPr>
      </w:pPr>
    </w:p>
    <w:p>
      <w:pPr>
        <w:autoSpaceDE w:val="0"/>
        <w:autoSpaceDN w:val="0"/>
        <w:adjustRightInd w:val="0"/>
        <w:spacing w:line="348"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陕西省采购招标有限责任公司：</w:t>
      </w:r>
    </w:p>
    <w:p>
      <w:pPr>
        <w:autoSpaceDE w:val="0"/>
        <w:autoSpaceDN w:val="0"/>
        <w:adjustRightInd w:val="0"/>
        <w:spacing w:line="348" w:lineRule="auto"/>
        <w:ind w:firstLine="64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注册于</w:t>
      </w:r>
      <w:r>
        <w:rPr>
          <w:rFonts w:hint="eastAsia" w:ascii="仿宋" w:hAnsi="仿宋" w:eastAsia="仿宋" w:cs="仿宋"/>
          <w:i w:val="0"/>
          <w:iCs w:val="0"/>
          <w:color w:val="auto"/>
          <w:sz w:val="24"/>
          <w:highlight w:val="none"/>
          <w:u w:val="single"/>
          <w:lang w:val="zh-CN"/>
        </w:rPr>
        <w:t>（工商行政管理局名称）</w:t>
      </w:r>
      <w:r>
        <w:rPr>
          <w:rFonts w:hint="eastAsia" w:ascii="仿宋" w:hAnsi="仿宋" w:eastAsia="仿宋" w:cs="仿宋"/>
          <w:i w:val="0"/>
          <w:iCs w:val="0"/>
          <w:color w:val="auto"/>
          <w:sz w:val="24"/>
          <w:highlight w:val="none"/>
          <w:lang w:val="zh-CN"/>
        </w:rPr>
        <w:t>之</w:t>
      </w:r>
      <w:r>
        <w:rPr>
          <w:rFonts w:hint="eastAsia" w:ascii="仿宋" w:hAnsi="仿宋" w:eastAsia="仿宋" w:cs="仿宋"/>
          <w:i w:val="0"/>
          <w:iCs w:val="0"/>
          <w:color w:val="auto"/>
          <w:sz w:val="24"/>
          <w:highlight w:val="none"/>
          <w:u w:val="single"/>
          <w:lang w:val="zh-CN"/>
        </w:rPr>
        <w:t>（供应商全称）</w:t>
      </w:r>
      <w:r>
        <w:rPr>
          <w:rFonts w:hint="eastAsia" w:ascii="仿宋" w:hAnsi="仿宋" w:eastAsia="仿宋" w:cs="仿宋"/>
          <w:i w:val="0"/>
          <w:iCs w:val="0"/>
          <w:color w:val="auto"/>
          <w:sz w:val="24"/>
          <w:highlight w:val="none"/>
          <w:lang w:val="zh-CN"/>
        </w:rPr>
        <w:t>法人代表</w:t>
      </w:r>
      <w:r>
        <w:rPr>
          <w:rFonts w:hint="eastAsia" w:ascii="仿宋" w:hAnsi="仿宋" w:eastAsia="仿宋" w:cs="仿宋"/>
          <w:i w:val="0"/>
          <w:iCs w:val="0"/>
          <w:color w:val="auto"/>
          <w:sz w:val="24"/>
          <w:highlight w:val="none"/>
          <w:u w:val="single"/>
          <w:lang w:val="zh-CN"/>
        </w:rPr>
        <w:t>（姓名、职务）</w:t>
      </w:r>
      <w:r>
        <w:rPr>
          <w:rFonts w:hint="eastAsia" w:ascii="仿宋" w:hAnsi="仿宋" w:eastAsia="仿宋" w:cs="仿宋"/>
          <w:i w:val="0"/>
          <w:iCs w:val="0"/>
          <w:color w:val="auto"/>
          <w:sz w:val="24"/>
          <w:highlight w:val="none"/>
          <w:lang w:val="zh-CN"/>
        </w:rPr>
        <w:t>授权</w:t>
      </w:r>
      <w:r>
        <w:rPr>
          <w:rFonts w:hint="eastAsia" w:ascii="仿宋" w:hAnsi="仿宋" w:eastAsia="仿宋" w:cs="仿宋"/>
          <w:i w:val="0"/>
          <w:iCs w:val="0"/>
          <w:color w:val="auto"/>
          <w:sz w:val="24"/>
          <w:highlight w:val="none"/>
          <w:u w:val="single"/>
          <w:lang w:val="zh-CN"/>
        </w:rPr>
        <w:t>（被授权人姓名、职务）</w:t>
      </w:r>
      <w:r>
        <w:rPr>
          <w:rFonts w:hint="eastAsia" w:ascii="仿宋" w:hAnsi="仿宋" w:eastAsia="仿宋" w:cs="仿宋"/>
          <w:i w:val="0"/>
          <w:iCs w:val="0"/>
          <w:color w:val="auto"/>
          <w:sz w:val="24"/>
          <w:highlight w:val="none"/>
          <w:lang w:val="zh-CN"/>
        </w:rPr>
        <w:t>为本公司的合法代理人，就</w:t>
      </w:r>
      <w:r>
        <w:rPr>
          <w:rFonts w:hint="eastAsia" w:ascii="仿宋" w:hAnsi="仿宋" w:eastAsia="仿宋" w:cs="仿宋"/>
          <w:i w:val="0"/>
          <w:iCs w:val="0"/>
          <w:color w:val="auto"/>
          <w:sz w:val="24"/>
          <w:highlight w:val="none"/>
          <w:u w:val="single"/>
          <w:lang w:val="zh-CN"/>
        </w:rPr>
        <w:t>（项目名称）</w:t>
      </w:r>
      <w:r>
        <w:rPr>
          <w:rFonts w:hint="eastAsia" w:ascii="仿宋" w:hAnsi="仿宋" w:eastAsia="仿宋" w:cs="仿宋"/>
          <w:i w:val="0"/>
          <w:iCs w:val="0"/>
          <w:color w:val="auto"/>
          <w:sz w:val="24"/>
          <w:highlight w:val="none"/>
          <w:lang w:val="zh-CN"/>
        </w:rPr>
        <w:t>的谈判及合同的执行和完成，以本公司的名义处理一切与之有关的事宜。</w:t>
      </w:r>
    </w:p>
    <w:p>
      <w:pPr>
        <w:snapToGrid w:val="0"/>
        <w:spacing w:line="360" w:lineRule="auto"/>
        <w:ind w:firstLine="480" w:firstLineChars="200"/>
        <w:rPr>
          <w:rFonts w:hint="eastAsia" w:ascii="仿宋" w:hAnsi="仿宋" w:eastAsia="仿宋" w:cs="仿宋"/>
          <w:b/>
          <w:bCs/>
          <w:i w:val="0"/>
          <w:iCs w:val="0"/>
          <w:color w:val="auto"/>
          <w:sz w:val="24"/>
          <w:highlight w:val="none"/>
          <w:lang w:val="zh-CN"/>
        </w:rPr>
      </w:pPr>
      <w:r>
        <w:rPr>
          <w:rFonts w:hint="eastAsia" w:ascii="仿宋" w:hAnsi="仿宋" w:eastAsia="仿宋" w:cs="仿宋"/>
          <w:i w:val="0"/>
          <w:iCs w:val="0"/>
          <w:color w:val="auto"/>
          <w:sz w:val="24"/>
          <w:highlight w:val="none"/>
          <w:lang w:val="zh-CN"/>
        </w:rPr>
        <w:t>本授权自</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日起生效。（</w:t>
      </w:r>
      <w:r>
        <w:rPr>
          <w:rFonts w:hint="eastAsia" w:ascii="仿宋" w:hAnsi="仿宋" w:eastAsia="仿宋" w:cs="仿宋"/>
          <w:b/>
          <w:i w:val="0"/>
          <w:iCs w:val="0"/>
          <w:color w:val="auto"/>
          <w:sz w:val="24"/>
          <w:highlight w:val="none"/>
          <w:lang w:val="zh-CN"/>
        </w:rPr>
        <w:t>提示：此日期不应晚于谈判响应函签署日期</w:t>
      </w:r>
      <w:r>
        <w:rPr>
          <w:rFonts w:hint="eastAsia" w:ascii="仿宋" w:hAnsi="仿宋" w:eastAsia="仿宋" w:cs="仿宋"/>
          <w:i w:val="0"/>
          <w:iCs w:val="0"/>
          <w:color w:val="auto"/>
          <w:sz w:val="24"/>
          <w:highlight w:val="none"/>
          <w:lang w:val="zh-CN"/>
        </w:rPr>
        <w:t>）</w:t>
      </w:r>
    </w:p>
    <w:p>
      <w:pPr>
        <w:autoSpaceDE w:val="0"/>
        <w:autoSpaceDN w:val="0"/>
        <w:adjustRightInd w:val="0"/>
        <w:spacing w:line="348" w:lineRule="auto"/>
        <w:rPr>
          <w:rFonts w:hint="eastAsia" w:ascii="仿宋" w:hAnsi="仿宋" w:eastAsia="仿宋" w:cs="仿宋"/>
          <w:i w:val="0"/>
          <w:iCs w:val="0"/>
          <w:color w:val="auto"/>
          <w:sz w:val="24"/>
          <w:highlight w:val="none"/>
        </w:rPr>
      </w:pPr>
    </w:p>
    <w:p>
      <w:pPr>
        <w:autoSpaceDE w:val="0"/>
        <w:autoSpaceDN w:val="0"/>
        <w:adjustRightInd w:val="0"/>
        <w:spacing w:line="348"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附：</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被授权人姓名：</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性别：</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年龄：</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职</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务：</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身份证号码：</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通讯地址：</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邮政编码：</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电</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话：</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传真：</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rPr>
          <w:rFonts w:hint="eastAsia" w:ascii="仿宋" w:hAnsi="仿宋" w:eastAsia="仿宋" w:cs="仿宋"/>
          <w:i w:val="0"/>
          <w:iCs w:val="0"/>
          <w:color w:val="auto"/>
          <w:sz w:val="24"/>
          <w:highlight w:val="none"/>
        </w:rPr>
      </w:pPr>
    </w:p>
    <w:p>
      <w:pPr>
        <w:autoSpaceDE w:val="0"/>
        <w:autoSpaceDN w:val="0"/>
        <w:adjustRightInd w:val="0"/>
        <w:spacing w:line="34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及</w:t>
      </w:r>
      <w:r>
        <w:rPr>
          <w:rFonts w:hint="eastAsia" w:ascii="仿宋" w:hAnsi="仿宋" w:eastAsia="仿宋" w:cs="仿宋"/>
          <w:i w:val="0"/>
          <w:iCs w:val="0"/>
          <w:color w:val="auto"/>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法定代表人身份证复印件</w:t>
            </w:r>
          </w:p>
          <w:p>
            <w:pPr>
              <w:autoSpaceDE w:val="0"/>
              <w:autoSpaceDN w:val="0"/>
              <w:adjustRightInd w:val="0"/>
              <w:spacing w:line="348" w:lineRule="auto"/>
              <w:jc w:val="center"/>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授权代表身份证复印件</w:t>
            </w:r>
          </w:p>
          <w:p>
            <w:pPr>
              <w:autoSpaceDE w:val="0"/>
              <w:autoSpaceDN w:val="0"/>
              <w:adjustRightInd w:val="0"/>
              <w:spacing w:line="348" w:lineRule="auto"/>
              <w:jc w:val="center"/>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（正反面）</w:t>
            </w:r>
          </w:p>
        </w:tc>
      </w:tr>
    </w:tbl>
    <w:p>
      <w:pPr>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pPr>
        <w:adjustRightInd w:val="0"/>
        <w:snapToGrid w:val="0"/>
        <w:spacing w:line="360" w:lineRule="auto"/>
        <w:rPr>
          <w:rFonts w:hint="eastAsia" w:ascii="仿宋" w:hAnsi="仿宋" w:eastAsia="仿宋" w:cs="仿宋"/>
          <w:i w:val="0"/>
          <w:iCs w:val="0"/>
          <w:color w:val="auto"/>
          <w:sz w:val="24"/>
          <w:highlight w:val="none"/>
        </w:rPr>
      </w:pPr>
    </w:p>
    <w:p>
      <w:pPr>
        <w:adjustRightInd w:val="0"/>
        <w:snapToGrid w:val="0"/>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供应商                         法定代表人</w:t>
      </w:r>
    </w:p>
    <w:p>
      <w:pPr>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（公章）：                       （签字）：</w:t>
      </w:r>
    </w:p>
    <w:p>
      <w:pPr>
        <w:spacing w:after="12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tabs>
          <w:tab w:val="left" w:pos="588"/>
        </w:tabs>
        <w:spacing w:line="360" w:lineRule="auto"/>
        <w:jc w:val="center"/>
        <w:outlineLvl w:val="2"/>
        <w:rPr>
          <w:rFonts w:hint="eastAsia" w:ascii="仿宋" w:hAnsi="仿宋" w:eastAsia="仿宋" w:cs="仿宋"/>
          <w:b/>
          <w:bCs/>
          <w:i w:val="0"/>
          <w:iCs w:val="0"/>
          <w:color w:val="auto"/>
          <w:sz w:val="28"/>
          <w:szCs w:val="36"/>
          <w:highlight w:val="none"/>
          <w:lang w:val="zh-CN"/>
        </w:rPr>
      </w:pPr>
      <w:r>
        <w:rPr>
          <w:rFonts w:hint="eastAsia" w:ascii="仿宋" w:hAnsi="仿宋" w:eastAsia="仿宋" w:cs="仿宋"/>
          <w:b/>
          <w:bCs/>
          <w:i w:val="0"/>
          <w:iCs w:val="0"/>
          <w:color w:val="auto"/>
          <w:sz w:val="28"/>
          <w:szCs w:val="36"/>
          <w:highlight w:val="none"/>
          <w:lang w:val="zh-CN"/>
        </w:rPr>
        <w:t>2、法定代表人（或单位负责人）身份证明</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供应商名称：</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单位性质： </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地    址： </w:t>
      </w:r>
      <w:r>
        <w:rPr>
          <w:rFonts w:hint="eastAsia" w:ascii="仿宋" w:hAnsi="仿宋" w:eastAsia="仿宋" w:cs="仿宋"/>
          <w:i w:val="0"/>
          <w:iCs w:val="0"/>
          <w:color w:val="auto"/>
          <w:kern w:val="0"/>
          <w:sz w:val="24"/>
          <w:highlight w:val="none"/>
          <w:u w:val="single"/>
        </w:rPr>
        <w:t xml:space="preserve">                       </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成立时间：</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年</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月</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日</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经营期限：</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姓名：</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性别：</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年龄：</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职务：</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系</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（投标人名称）的法定代表人。</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特此证明。</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ind w:left="5399" w:leftChars="2571"/>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投标人（公章）：           </w:t>
      </w:r>
    </w:p>
    <w:p>
      <w:pPr>
        <w:autoSpaceDE w:val="0"/>
        <w:autoSpaceDN w:val="0"/>
        <w:adjustRightInd w:val="0"/>
        <w:spacing w:line="360" w:lineRule="auto"/>
        <w:ind w:left="5399" w:leftChars="2571"/>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ind w:left="6659" w:leftChars="3171"/>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年  月  日</w:t>
      </w:r>
    </w:p>
    <w:p>
      <w:pPr>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jc w:val="cente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3、授权代表本单位证明</w:t>
      </w:r>
    </w:p>
    <w:p>
      <w:pPr>
        <w:spacing w:after="120"/>
        <w:rPr>
          <w:rFonts w:hint="eastAsia" w:ascii="仿宋" w:hAnsi="仿宋" w:eastAsia="仿宋" w:cs="仿宋"/>
          <w:i w:val="0"/>
          <w:iCs w:val="0"/>
          <w:color w:val="auto"/>
          <w:highlight w:val="none"/>
        </w:rPr>
      </w:pPr>
    </w:p>
    <w:p>
      <w:pPr>
        <w:numPr>
          <w:ilvl w:val="0"/>
          <w:numId w:val="0"/>
        </w:numPr>
        <w:jc w:val="center"/>
        <w:rPr>
          <w:rFonts w:hint="eastAsia" w:ascii="仿宋" w:hAnsi="仿宋" w:eastAsia="仿宋" w:cs="仿宋"/>
          <w:i w:val="0"/>
          <w:iCs w:val="0"/>
          <w:color w:val="auto"/>
          <w:sz w:val="28"/>
          <w:szCs w:val="28"/>
          <w:highlight w:val="none"/>
          <w:lang w:val="zh-CN"/>
        </w:rPr>
      </w:pPr>
      <w:r>
        <w:rPr>
          <w:rFonts w:hint="eastAsia" w:ascii="仿宋" w:hAnsi="仿宋" w:eastAsia="仿宋" w:cs="仿宋"/>
          <w:i w:val="0"/>
          <w:iCs w:val="0"/>
          <w:color w:val="auto"/>
          <w:sz w:val="28"/>
          <w:szCs w:val="28"/>
          <w:highlight w:val="none"/>
          <w:lang w:val="zh-CN"/>
        </w:rPr>
        <w:t>（</w:t>
      </w:r>
      <w:r>
        <w:rPr>
          <w:rFonts w:hint="eastAsia" w:ascii="仿宋" w:hAnsi="仿宋" w:eastAsia="仿宋" w:cs="仿宋"/>
          <w:i w:val="0"/>
          <w:iCs w:val="0"/>
          <w:color w:val="auto"/>
          <w:sz w:val="28"/>
          <w:szCs w:val="28"/>
          <w:highlight w:val="none"/>
        </w:rPr>
        <w:t>养老保险缴纳证明</w:t>
      </w:r>
      <w:r>
        <w:rPr>
          <w:rFonts w:hint="eastAsia" w:ascii="仿宋" w:hAnsi="仿宋" w:eastAsia="仿宋" w:cs="仿宋"/>
          <w:i w:val="0"/>
          <w:iCs w:val="0"/>
          <w:color w:val="auto"/>
          <w:sz w:val="28"/>
          <w:szCs w:val="28"/>
          <w:highlight w:val="none"/>
          <w:lang w:val="zh-CN"/>
        </w:rPr>
        <w:t>）</w:t>
      </w: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rPr>
          <w:rFonts w:hint="eastAsia" w:ascii="仿宋" w:hAnsi="仿宋" w:eastAsia="仿宋" w:cs="仿宋"/>
          <w:b/>
          <w:bCs/>
          <w:i w:val="0"/>
          <w:iCs w:val="0"/>
          <w:color w:val="auto"/>
          <w:kern w:val="2"/>
          <w:sz w:val="32"/>
          <w:szCs w:val="32"/>
          <w:highlight w:val="none"/>
          <w:lang w:val="zh-CN" w:eastAsia="zh-CN" w:bidi="ar-SA"/>
        </w:rPr>
      </w:pPr>
      <w:r>
        <w:rPr>
          <w:rFonts w:hint="eastAsia" w:ascii="仿宋" w:hAnsi="仿宋" w:eastAsia="仿宋" w:cs="仿宋"/>
          <w:b/>
          <w:bCs/>
          <w:i w:val="0"/>
          <w:iCs w:val="0"/>
          <w:color w:val="auto"/>
          <w:kern w:val="2"/>
          <w:sz w:val="32"/>
          <w:szCs w:val="32"/>
          <w:highlight w:val="none"/>
          <w:lang w:val="zh-CN" w:eastAsia="zh-CN" w:bidi="ar-SA"/>
        </w:rPr>
        <w:br w:type="page"/>
      </w:r>
    </w:p>
    <w:p>
      <w:pPr>
        <w:numPr>
          <w:ilvl w:val="0"/>
          <w:numId w:val="13"/>
        </w:numPr>
        <w:ind w:left="0" w:leftChars="0" w:firstLine="0" w:firstLineChars="0"/>
        <w:jc w:val="center"/>
        <w:rPr>
          <w:rFonts w:hint="eastAsia" w:ascii="仿宋" w:hAnsi="仿宋" w:eastAsia="仿宋" w:cs="仿宋"/>
          <w:b/>
          <w:bCs/>
          <w:i w:val="0"/>
          <w:iCs w:val="0"/>
          <w:color w:val="auto"/>
          <w:kern w:val="2"/>
          <w:sz w:val="32"/>
          <w:szCs w:val="32"/>
          <w:highlight w:val="none"/>
          <w:lang w:val="zh-CN" w:eastAsia="zh-CN" w:bidi="ar-SA"/>
        </w:rPr>
      </w:pPr>
      <w:r>
        <w:rPr>
          <w:rFonts w:hint="eastAsia" w:ascii="仿宋" w:hAnsi="仿宋" w:eastAsia="仿宋" w:cs="仿宋"/>
          <w:b/>
          <w:bCs/>
          <w:i w:val="0"/>
          <w:iCs w:val="0"/>
          <w:color w:val="auto"/>
          <w:kern w:val="2"/>
          <w:sz w:val="32"/>
          <w:szCs w:val="32"/>
          <w:highlight w:val="none"/>
          <w:lang w:val="zh-CN" w:eastAsia="zh-CN" w:bidi="ar-SA"/>
        </w:rPr>
        <w:t xml:space="preserve"> 资格证明文件</w:t>
      </w:r>
    </w:p>
    <w:p>
      <w:pPr>
        <w:numPr>
          <w:ilvl w:val="1"/>
          <w:numId w:val="14"/>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sz w:val="24"/>
        </w:rPr>
      </w:pPr>
      <w:r>
        <w:rPr>
          <w:rFonts w:hint="eastAsia" w:ascii="仿宋" w:hAnsi="仿宋" w:eastAsia="仿宋" w:cs="仿宋"/>
          <w:sz w:val="24"/>
        </w:rPr>
        <w:t>供应商的企业法人营业执照副本复印件（格式要求见附件6-1）；</w:t>
      </w:r>
    </w:p>
    <w:p>
      <w:pPr>
        <w:numPr>
          <w:ilvl w:val="1"/>
          <w:numId w:val="14"/>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sz w:val="24"/>
        </w:rPr>
      </w:pPr>
      <w:r>
        <w:rPr>
          <w:rFonts w:hint="eastAsia" w:ascii="仿宋" w:hAnsi="仿宋" w:eastAsia="仿宋" w:cs="仿宋"/>
          <w:sz w:val="24"/>
        </w:rPr>
        <w:t>提供供应商</w:t>
      </w:r>
      <w:r>
        <w:rPr>
          <w:rFonts w:hint="eastAsia" w:ascii="仿宋" w:hAnsi="仿宋" w:eastAsia="仿宋" w:cs="仿宋"/>
          <w:sz w:val="24"/>
          <w:lang w:eastAsia="zh-CN"/>
        </w:rPr>
        <w:t>近一年（</w:t>
      </w:r>
      <w:r>
        <w:rPr>
          <w:rFonts w:hint="eastAsia" w:ascii="仿宋" w:hAnsi="仿宋" w:eastAsia="仿宋" w:cs="仿宋"/>
          <w:sz w:val="24"/>
          <w:lang w:val="en-US" w:eastAsia="zh-CN"/>
        </w:rPr>
        <w:t>2022或2023</w:t>
      </w:r>
      <w:r>
        <w:rPr>
          <w:rFonts w:hint="eastAsia" w:ascii="仿宋" w:hAnsi="仿宋" w:eastAsia="仿宋" w:cs="仿宋"/>
          <w:sz w:val="24"/>
          <w:lang w:eastAsia="zh-CN"/>
        </w:rPr>
        <w:t>）</w:t>
      </w:r>
      <w:r>
        <w:rPr>
          <w:rFonts w:hint="eastAsia" w:ascii="仿宋" w:hAnsi="仿宋" w:eastAsia="仿宋" w:cs="仿宋"/>
          <w:sz w:val="24"/>
        </w:rPr>
        <w:t>经审计的财务报表或谈判截止时间前任意三个月公司的财务报表（包括资产负债表、现金流量表、利润表），或本年度基本开户银行出具的资信证明（格式要求见附件6-2）；</w:t>
      </w:r>
    </w:p>
    <w:p>
      <w:pPr>
        <w:pStyle w:val="22"/>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依法缴纳税收和社会保障资金的证明材料复印件（格式见附件6-3、6-4）</w:t>
      </w:r>
    </w:p>
    <w:p>
      <w:pPr>
        <w:numPr>
          <w:ilvl w:val="1"/>
          <w:numId w:val="14"/>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具备履行合同所必需的设备和专业技术能力的承诺原件（格式见附件6-5）；</w:t>
      </w:r>
    </w:p>
    <w:p>
      <w:pPr>
        <w:numPr>
          <w:ilvl w:val="1"/>
          <w:numId w:val="14"/>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供应商参加政府采购活动前3年内在经营活动中没有重大违法记录的书面声明原件（格式见附件6-6）</w:t>
      </w:r>
    </w:p>
    <w:p>
      <w:pPr>
        <w:numPr>
          <w:ilvl w:val="1"/>
          <w:numId w:val="14"/>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供应商控股股东名称、控股公司的名称和存在管理、被管理关系的单位名称说明（格式见附件6-7)</w:t>
      </w:r>
    </w:p>
    <w:p>
      <w:pPr>
        <w:numPr>
          <w:ilvl w:val="1"/>
          <w:numId w:val="14"/>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供应商是否属于为本项目提供整体设计、规范编制或者项目管理、监理、检测等服务的供应商声明原件（格式见附件6-8)</w:t>
      </w:r>
    </w:p>
    <w:p>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7、</w:t>
      </w:r>
      <w:r>
        <w:rPr>
          <w:rFonts w:hint="eastAsia" w:ascii="仿宋" w:hAnsi="仿宋" w:eastAsia="仿宋" w:cs="仿宋"/>
          <w:sz w:val="24"/>
        </w:rPr>
        <w:t>证明供应商符合特定资格条件的证明材料；（格式见附件6-</w:t>
      </w:r>
      <w:r>
        <w:rPr>
          <w:rFonts w:hint="eastAsia" w:ascii="仿宋" w:hAnsi="仿宋" w:eastAsia="仿宋" w:cs="仿宋"/>
          <w:sz w:val="24"/>
          <w:lang w:val="en-US" w:eastAsia="zh-CN"/>
        </w:rPr>
        <w:t>9</w:t>
      </w:r>
      <w:r>
        <w:rPr>
          <w:rFonts w:hint="eastAsia" w:ascii="仿宋" w:hAnsi="仿宋" w:eastAsia="仿宋" w:cs="仿宋"/>
          <w:sz w:val="24"/>
        </w:rPr>
        <w:t>)</w:t>
      </w:r>
    </w:p>
    <w:p>
      <w:pPr>
        <w:pStyle w:val="22"/>
        <w:rPr>
          <w:rFonts w:hint="eastAsia" w:ascii="仿宋" w:hAnsi="仿宋" w:eastAsia="仿宋" w:cs="仿宋"/>
          <w:sz w:val="24"/>
        </w:rPr>
      </w:pPr>
      <w:r>
        <w:rPr>
          <w:rFonts w:hint="eastAsia" w:ascii="仿宋" w:hAnsi="仿宋" w:eastAsia="仿宋" w:cs="仿宋"/>
        </w:rPr>
        <w:br w:type="page"/>
      </w:r>
    </w:p>
    <w:p>
      <w:pPr>
        <w:jc w:val="left"/>
        <w:outlineLvl w:val="2"/>
        <w:rPr>
          <w:rFonts w:hint="eastAsia" w:ascii="仿宋" w:hAnsi="仿宋" w:eastAsia="仿宋" w:cs="仿宋"/>
          <w:b/>
          <w:sz w:val="24"/>
        </w:rPr>
      </w:pPr>
      <w:r>
        <w:rPr>
          <w:rFonts w:hint="eastAsia" w:ascii="仿宋" w:hAnsi="仿宋" w:eastAsia="仿宋" w:cs="仿宋"/>
          <w:b/>
          <w:sz w:val="24"/>
        </w:rPr>
        <w:t>6-1  供应商的企业法人营业执照副本复印件（加盖公章）</w:t>
      </w:r>
    </w:p>
    <w:p>
      <w:pPr>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sz w:val="28"/>
        </w:rPr>
      </w:pPr>
    </w:p>
    <w:p>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pPr>
        <w:jc w:val="left"/>
        <w:outlineLvl w:val="2"/>
        <w:rPr>
          <w:rFonts w:hint="eastAsia" w:ascii="仿宋" w:hAnsi="仿宋" w:eastAsia="仿宋" w:cs="仿宋"/>
          <w:b/>
          <w:sz w:val="24"/>
        </w:rPr>
      </w:pPr>
      <w:r>
        <w:rPr>
          <w:rFonts w:hint="eastAsia" w:ascii="仿宋" w:hAnsi="仿宋" w:eastAsia="仿宋" w:cs="仿宋"/>
          <w:b/>
          <w:sz w:val="24"/>
        </w:rPr>
        <w:t>6-2  上一年度经审计的财务报表</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提供供应商</w:t>
      </w:r>
      <w:r>
        <w:rPr>
          <w:rFonts w:hint="eastAsia" w:ascii="仿宋" w:hAnsi="仿宋" w:eastAsia="仿宋" w:cs="仿宋"/>
          <w:sz w:val="24"/>
          <w:lang w:eastAsia="zh-CN"/>
        </w:rPr>
        <w:t>近一</w:t>
      </w:r>
      <w:r>
        <w:rPr>
          <w:rFonts w:hint="eastAsia" w:ascii="仿宋" w:hAnsi="仿宋" w:eastAsia="仿宋" w:cs="仿宋"/>
          <w:sz w:val="24"/>
        </w:rPr>
        <w:t>年</w:t>
      </w:r>
      <w:r>
        <w:rPr>
          <w:rFonts w:hint="eastAsia" w:ascii="仿宋" w:hAnsi="仿宋" w:eastAsia="仿宋" w:cs="仿宋"/>
          <w:sz w:val="24"/>
          <w:lang w:eastAsia="zh-CN"/>
        </w:rPr>
        <w:t>（</w:t>
      </w:r>
      <w:r>
        <w:rPr>
          <w:rFonts w:hint="eastAsia" w:ascii="仿宋" w:hAnsi="仿宋" w:eastAsia="仿宋" w:cs="仿宋"/>
          <w:sz w:val="24"/>
          <w:lang w:val="en-US" w:eastAsia="zh-CN"/>
        </w:rPr>
        <w:t>2022或2023</w:t>
      </w:r>
      <w:r>
        <w:rPr>
          <w:rFonts w:hint="eastAsia" w:ascii="仿宋" w:hAnsi="仿宋" w:eastAsia="仿宋" w:cs="仿宋"/>
          <w:sz w:val="24"/>
          <w:lang w:eastAsia="zh-CN"/>
        </w:rPr>
        <w:t>）</w:t>
      </w:r>
      <w:r>
        <w:rPr>
          <w:rFonts w:hint="eastAsia" w:ascii="仿宋" w:hAnsi="仿宋" w:eastAsia="仿宋" w:cs="仿宋"/>
          <w:sz w:val="24"/>
        </w:rPr>
        <w:t>经审计的财务报表或谈判截止时间前任意三个月公司的财务报表（包括资产负债表、现金流量表、利润表）复印件或扫描件、所有复印件或扫描件需加盖单位公章。</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pPr>
        <w:jc w:val="left"/>
        <w:outlineLvl w:val="2"/>
        <w:rPr>
          <w:rFonts w:hint="eastAsia" w:ascii="仿宋" w:hAnsi="仿宋" w:eastAsia="仿宋" w:cs="仿宋"/>
          <w:b/>
          <w:sz w:val="24"/>
        </w:rPr>
      </w:pPr>
      <w:r>
        <w:rPr>
          <w:rFonts w:hint="eastAsia" w:ascii="仿宋" w:hAnsi="仿宋" w:eastAsia="仿宋" w:cs="仿宋"/>
          <w:b/>
          <w:sz w:val="24"/>
        </w:rPr>
        <w:t>或  6-2  本年度基本开户银行出具的资信证明</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注：附基本帐户的“银行开户许可证”的复印件。</w:t>
      </w:r>
    </w:p>
    <w:p>
      <w:pPr>
        <w:widowControl/>
        <w:jc w:val="left"/>
        <w:rPr>
          <w:rFonts w:hint="eastAsia" w:ascii="仿宋" w:hAnsi="仿宋" w:eastAsia="仿宋" w:cs="仿宋"/>
          <w:b/>
          <w:spacing w:val="20"/>
          <w:sz w:val="24"/>
        </w:rPr>
      </w:pPr>
    </w:p>
    <w:p>
      <w:pPr>
        <w:tabs>
          <w:tab w:val="left" w:pos="5580"/>
        </w:tabs>
        <w:spacing w:before="120" w:line="360" w:lineRule="auto"/>
        <w:ind w:firstLine="480" w:firstLineChars="200"/>
        <w:rPr>
          <w:rFonts w:hint="eastAsia" w:ascii="仿宋" w:hAnsi="仿宋" w:eastAsia="仿宋" w:cs="仿宋"/>
          <w:sz w:val="24"/>
        </w:rPr>
      </w:pPr>
    </w:p>
    <w:p>
      <w:pPr>
        <w:jc w:val="left"/>
        <w:outlineLvl w:val="2"/>
        <w:rPr>
          <w:rFonts w:hint="eastAsia" w:ascii="仿宋" w:hAnsi="仿宋" w:eastAsia="仿宋" w:cs="仿宋"/>
          <w:b/>
          <w:sz w:val="24"/>
        </w:rPr>
      </w:pPr>
      <w:r>
        <w:rPr>
          <w:rFonts w:hint="eastAsia" w:ascii="仿宋" w:hAnsi="仿宋" w:eastAsia="仿宋" w:cs="仿宋"/>
          <w:b/>
          <w:sz w:val="24"/>
        </w:rPr>
        <w:t>6-3 依法缴纳税收的证明</w:t>
      </w: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sz w:val="24"/>
        </w:rPr>
      </w:pPr>
      <w:r>
        <w:rPr>
          <w:rFonts w:hint="eastAsia" w:ascii="仿宋" w:hAnsi="仿宋" w:eastAsia="仿宋" w:cs="仿宋"/>
          <w:sz w:val="24"/>
        </w:rPr>
        <w:t>说明：</w:t>
      </w:r>
    </w:p>
    <w:p>
      <w:pPr>
        <w:numPr>
          <w:ilvl w:val="0"/>
          <w:numId w:val="15"/>
        </w:numPr>
        <w:tabs>
          <w:tab w:val="left" w:pos="993"/>
          <w:tab w:val="left" w:pos="1030"/>
          <w:tab w:val="left" w:pos="8364"/>
        </w:tabs>
        <w:snapToGrid w:val="0"/>
        <w:spacing w:after="120" w:afterLines="50"/>
        <w:ind w:right="-57" w:rightChars="-27" w:firstLine="480" w:firstLineChars="200"/>
        <w:rPr>
          <w:rFonts w:hint="eastAsia" w:ascii="仿宋" w:hAnsi="仿宋" w:eastAsia="仿宋" w:cs="仿宋"/>
          <w:sz w:val="24"/>
        </w:rPr>
      </w:pPr>
      <w:r>
        <w:rPr>
          <w:rFonts w:hint="eastAsia" w:ascii="仿宋" w:hAnsi="仿宋" w:eastAsia="仿宋" w:cs="仿宋"/>
          <w:sz w:val="24"/>
        </w:rPr>
        <w:t>投标供应商应提供近六个月中任何一个月的依法缴纳税收凭证（银行出具的缴税凭证或税务机关出具的证明的复印件，并加盖本单位公章）。</w:t>
      </w:r>
    </w:p>
    <w:p>
      <w:pPr>
        <w:numPr>
          <w:ilvl w:val="0"/>
          <w:numId w:val="0"/>
        </w:numPr>
        <w:tabs>
          <w:tab w:val="left" w:pos="993"/>
          <w:tab w:val="left" w:pos="1030"/>
          <w:tab w:val="left" w:pos="8364"/>
        </w:tabs>
        <w:snapToGrid w:val="0"/>
        <w:spacing w:after="120" w:afterLines="50"/>
        <w:ind w:right="-57" w:rightChars="-27" w:firstLine="720" w:firstLineChars="30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采用汇算清缴方式缴纳企业所得税的，应提供</w:t>
      </w:r>
      <w:r>
        <w:rPr>
          <w:rFonts w:hint="eastAsia" w:ascii="仿宋" w:hAnsi="仿宋" w:eastAsia="仿宋" w:cs="仿宋"/>
          <w:sz w:val="24"/>
          <w:lang w:eastAsia="zh-CN"/>
        </w:rPr>
        <w:t>谈判</w:t>
      </w:r>
      <w:r>
        <w:rPr>
          <w:rFonts w:hint="eastAsia" w:ascii="仿宋" w:hAnsi="仿宋" w:eastAsia="仿宋" w:cs="仿宋"/>
          <w:sz w:val="24"/>
        </w:rPr>
        <w:t>截止时间前近六个月中任何一个月缴纳增值税和最近一期缴纳企业所得税的凭证，时间以税款所属时期为准（银行出具的缴税凭证或税务机关出具的证明的复印件，并加盖本单位公章）。</w:t>
      </w:r>
    </w:p>
    <w:p>
      <w:pPr>
        <w:tabs>
          <w:tab w:val="left" w:pos="993"/>
          <w:tab w:val="left" w:pos="1030"/>
          <w:tab w:val="left" w:pos="8364"/>
        </w:tabs>
        <w:snapToGrid w:val="0"/>
        <w:spacing w:after="120" w:afterLines="50"/>
        <w:ind w:right="-57" w:rightChars="-27" w:firstLine="480" w:firstLineChars="200"/>
        <w:rPr>
          <w:rFonts w:hint="eastAsia" w:ascii="仿宋" w:hAnsi="仿宋" w:eastAsia="仿宋" w:cs="仿宋"/>
          <w:sz w:val="24"/>
        </w:rPr>
      </w:pPr>
      <w:r>
        <w:rPr>
          <w:rFonts w:hint="eastAsia" w:ascii="仿宋" w:hAnsi="仿宋" w:eastAsia="仿宋" w:cs="仿宋"/>
          <w:sz w:val="24"/>
        </w:rPr>
        <w:t>2、依法免税的</w:t>
      </w:r>
      <w:r>
        <w:rPr>
          <w:rFonts w:hint="eastAsia" w:ascii="仿宋" w:hAnsi="仿宋" w:eastAsia="仿宋" w:cs="仿宋"/>
          <w:sz w:val="24"/>
          <w:lang w:eastAsia="zh-CN"/>
        </w:rPr>
        <w:t>供应商</w:t>
      </w:r>
      <w:r>
        <w:rPr>
          <w:rFonts w:hint="eastAsia" w:ascii="仿宋" w:hAnsi="仿宋" w:eastAsia="仿宋" w:cs="仿宋"/>
          <w:sz w:val="24"/>
        </w:rPr>
        <w:t>，应提供相应文件证明其依法免税。</w:t>
      </w:r>
    </w:p>
    <w:p>
      <w:pPr>
        <w:tabs>
          <w:tab w:val="left" w:pos="993"/>
          <w:tab w:val="left" w:pos="1030"/>
          <w:tab w:val="left" w:pos="8364"/>
        </w:tabs>
        <w:snapToGrid w:val="0"/>
        <w:spacing w:after="120" w:afterLines="50"/>
        <w:ind w:right="-57" w:rightChars="-27"/>
        <w:jc w:val="left"/>
        <w:rPr>
          <w:rFonts w:hint="eastAsia" w:ascii="仿宋" w:hAnsi="仿宋" w:eastAsia="仿宋" w:cs="仿宋"/>
          <w:sz w:val="24"/>
        </w:rPr>
      </w:pPr>
    </w:p>
    <w:p>
      <w:pPr>
        <w:jc w:val="left"/>
        <w:outlineLvl w:val="2"/>
        <w:rPr>
          <w:rFonts w:hint="eastAsia" w:ascii="仿宋" w:hAnsi="仿宋" w:eastAsia="仿宋" w:cs="仿宋"/>
          <w:b/>
          <w:sz w:val="24"/>
        </w:rPr>
      </w:pPr>
      <w:r>
        <w:rPr>
          <w:rFonts w:hint="eastAsia" w:ascii="仿宋" w:hAnsi="仿宋" w:eastAsia="仿宋" w:cs="仿宋"/>
          <w:b/>
          <w:sz w:val="24"/>
        </w:rPr>
        <w:t>6-4社会保障资金缴纳记录</w:t>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yellow"/>
        </w:rPr>
      </w:pPr>
      <w:r>
        <w:rPr>
          <w:rFonts w:hint="eastAsia" w:ascii="仿宋" w:hAnsi="仿宋" w:eastAsia="仿宋" w:cs="仿宋"/>
          <w:sz w:val="24"/>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pPr>
        <w:tabs>
          <w:tab w:val="left" w:pos="993"/>
          <w:tab w:val="left" w:pos="1030"/>
          <w:tab w:val="left" w:pos="8364"/>
        </w:tabs>
        <w:snapToGrid w:val="0"/>
        <w:spacing w:after="120" w:afterLines="50"/>
        <w:ind w:right="-57" w:rightChars="-27"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供应商应提供近六个月中至少一个月的社会缴纳社会保险的凭据（专用收据或社会保险缴纳清单），并加盖本单位公章。</w:t>
      </w:r>
    </w:p>
    <w:p>
      <w:pPr>
        <w:tabs>
          <w:tab w:val="left" w:pos="993"/>
          <w:tab w:val="left" w:pos="1030"/>
          <w:tab w:val="left" w:pos="8364"/>
        </w:tabs>
        <w:snapToGrid w:val="0"/>
        <w:spacing w:after="120" w:afterLines="50"/>
        <w:ind w:right="-57" w:rightChars="-27"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不需要缴纳社会保障资金的供应商，应提供相应文件证明其不需要缴纳社会保障资金。</w:t>
      </w:r>
    </w:p>
    <w:p>
      <w:pPr>
        <w:rPr>
          <w:rFonts w:hint="eastAsia" w:ascii="仿宋" w:hAnsi="仿宋" w:eastAsia="仿宋" w:cs="仿宋"/>
          <w:sz w:val="24"/>
        </w:rPr>
      </w:pPr>
      <w:r>
        <w:rPr>
          <w:rFonts w:hint="eastAsia" w:ascii="仿宋" w:hAnsi="仿宋" w:eastAsia="仿宋" w:cs="仿宋"/>
          <w:sz w:val="24"/>
        </w:rPr>
        <w:br w:type="page"/>
      </w:r>
    </w:p>
    <w:p>
      <w:pPr>
        <w:jc w:val="left"/>
        <w:outlineLvl w:val="2"/>
        <w:rPr>
          <w:rFonts w:hint="eastAsia" w:ascii="仿宋" w:hAnsi="仿宋" w:eastAsia="仿宋" w:cs="仿宋"/>
          <w:b/>
          <w:sz w:val="24"/>
        </w:rPr>
      </w:pPr>
      <w:r>
        <w:rPr>
          <w:rFonts w:hint="eastAsia" w:ascii="仿宋" w:hAnsi="仿宋" w:eastAsia="仿宋" w:cs="仿宋"/>
          <w:sz w:val="24"/>
        </w:rPr>
        <w:t xml:space="preserve">6-5 </w:t>
      </w:r>
      <w:r>
        <w:rPr>
          <w:rFonts w:hint="eastAsia" w:ascii="仿宋" w:hAnsi="仿宋" w:eastAsia="仿宋" w:cs="仿宋"/>
          <w:b/>
          <w:sz w:val="24"/>
        </w:rPr>
        <w:t xml:space="preserve">具备履行合同所必需的设备和专业技术能力承诺书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p>
    <w:p>
      <w:pPr>
        <w:rPr>
          <w:rFonts w:hint="eastAsia" w:ascii="仿宋" w:hAnsi="仿宋" w:eastAsia="仿宋" w:cs="仿宋"/>
          <w:kern w:val="0"/>
          <w:sz w:val="24"/>
          <w:u w:val="single"/>
        </w:rPr>
      </w:pPr>
      <w:r>
        <w:rPr>
          <w:rFonts w:hint="eastAsia" w:ascii="仿宋" w:hAnsi="仿宋" w:eastAsia="仿宋" w:cs="仿宋"/>
          <w:kern w:val="0"/>
          <w:sz w:val="24"/>
          <w:u w:val="single"/>
        </w:rPr>
        <w:t xml:space="preserve">陕西省采购招标有限责任公司：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tabs>
          <w:tab w:val="left" w:pos="5580"/>
        </w:tabs>
        <w:spacing w:before="120" w:line="360" w:lineRule="auto"/>
        <w:rPr>
          <w:rFonts w:hint="eastAsia" w:ascii="仿宋" w:hAnsi="仿宋" w:eastAsia="仿宋" w:cs="仿宋"/>
          <w:sz w:val="24"/>
        </w:rPr>
      </w:pPr>
    </w:p>
    <w:p>
      <w:pPr>
        <w:widowControl/>
        <w:jc w:val="left"/>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6-6 </w:t>
      </w:r>
      <w:r>
        <w:rPr>
          <w:rFonts w:hint="eastAsia" w:eastAsia="仿宋_GB2312"/>
          <w:b/>
          <w:sz w:val="24"/>
          <w:szCs w:val="32"/>
          <w:lang w:eastAsia="zh-CN"/>
        </w:rPr>
        <w:t>供应商</w:t>
      </w:r>
      <w:r>
        <w:rPr>
          <w:rFonts w:eastAsia="仿宋_GB2312"/>
          <w:b/>
          <w:sz w:val="24"/>
          <w:szCs w:val="32"/>
        </w:rPr>
        <w:t>参加政府采购活动前3年内在经营活动中没有重大违法记录的书面声明</w:t>
      </w:r>
    </w:p>
    <w:p>
      <w:pPr>
        <w:jc w:val="center"/>
        <w:rPr>
          <w:rFonts w:hint="eastAsia" w:ascii="仿宋" w:hAnsi="仿宋" w:eastAsia="仿宋" w:cs="仿宋"/>
          <w:sz w:val="24"/>
        </w:rPr>
      </w:pPr>
    </w:p>
    <w:p>
      <w:pPr>
        <w:spacing w:before="120" w:after="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pPr>
        <w:tabs>
          <w:tab w:val="left" w:pos="5580"/>
        </w:tabs>
        <w:spacing w:before="120" w:line="360" w:lineRule="auto"/>
        <w:ind w:firstLine="480" w:firstLineChars="200"/>
        <w:rPr>
          <w:rFonts w:eastAsia="仿宋_GB2312"/>
          <w:sz w:val="24"/>
        </w:rPr>
      </w:pP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w:t>
      </w:r>
      <w:r>
        <w:rPr>
          <w:rFonts w:hint="eastAsia" w:ascii="仿宋" w:hAnsi="仿宋" w:eastAsia="仿宋" w:cs="仿宋"/>
          <w:sz w:val="24"/>
          <w:lang w:val="en-US" w:eastAsia="zh-CN"/>
        </w:rPr>
        <w:t>盖</w:t>
      </w:r>
      <w:r>
        <w:rPr>
          <w:rFonts w:hint="eastAsia" w:ascii="仿宋" w:hAnsi="仿宋" w:eastAsia="仿宋" w:cs="仿宋"/>
          <w:sz w:val="24"/>
        </w:rPr>
        <w:t xml:space="preserve">公章）：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法定代表人或其授权代表（签字</w:t>
      </w:r>
      <w:r>
        <w:rPr>
          <w:rFonts w:hint="eastAsia" w:ascii="仿宋" w:hAnsi="仿宋" w:eastAsia="仿宋" w:cs="仿宋"/>
          <w:sz w:val="24"/>
          <w:lang w:val="en-US" w:eastAsia="zh-CN"/>
        </w:rPr>
        <w:t>或盖章</w:t>
      </w:r>
      <w:r>
        <w:rPr>
          <w:rFonts w:hint="eastAsia" w:ascii="仿宋" w:hAnsi="仿宋" w:eastAsia="仿宋" w:cs="仿宋"/>
          <w:sz w:val="24"/>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     年      月     日</w:t>
      </w:r>
    </w:p>
    <w:p>
      <w:pPr>
        <w:pStyle w:val="22"/>
        <w:rPr>
          <w:rFonts w:hint="eastAsia" w:ascii="仿宋" w:hAnsi="仿宋" w:eastAsia="仿宋" w:cs="仿宋"/>
        </w:rPr>
      </w:pPr>
    </w:p>
    <w:p>
      <w:pPr>
        <w:pStyle w:val="22"/>
        <w:rPr>
          <w:rFonts w:hint="eastAsia" w:ascii="仿宋" w:hAnsi="仿宋" w:eastAsia="仿宋" w:cs="仿宋"/>
        </w:rPr>
      </w:pPr>
    </w:p>
    <w:p>
      <w:pPr>
        <w:spacing w:line="360" w:lineRule="auto"/>
        <w:rPr>
          <w:rFonts w:hint="eastAsia" w:ascii="仿宋" w:hAnsi="仿宋" w:eastAsia="仿宋" w:cs="仿宋"/>
          <w:sz w:val="24"/>
          <w:szCs w:val="21"/>
          <w:u w:val="single"/>
        </w:rPr>
      </w:pPr>
    </w:p>
    <w:p>
      <w:pPr>
        <w:pStyle w:val="69"/>
        <w:numPr>
          <w:ilvl w:val="1"/>
          <w:numId w:val="16"/>
        </w:numPr>
        <w:ind w:firstLineChars="0"/>
        <w:jc w:val="left"/>
        <w:outlineLvl w:val="2"/>
        <w:rPr>
          <w:rFonts w:hint="eastAsia" w:ascii="仿宋" w:hAnsi="仿宋" w:eastAsia="仿宋" w:cs="仿宋"/>
          <w:b/>
          <w:sz w:val="24"/>
        </w:rPr>
      </w:pPr>
      <w:r>
        <w:rPr>
          <w:rFonts w:hint="eastAsia" w:ascii="仿宋" w:hAnsi="仿宋" w:eastAsia="仿宋" w:cs="仿宋"/>
          <w:b/>
          <w:sz w:val="24"/>
        </w:rPr>
        <w:t xml:space="preserve"> 供应商控股股东名称、控股公司的名称和存在管理、被管理关系的单位名称说明</w:t>
      </w:r>
    </w:p>
    <w:p>
      <w:pPr>
        <w:ind w:firstLine="420"/>
        <w:rPr>
          <w:rFonts w:hint="eastAsia" w:ascii="仿宋" w:hAnsi="仿宋" w:eastAsia="仿宋" w:cs="仿宋"/>
          <w:szCs w:val="21"/>
        </w:rPr>
      </w:pPr>
    </w:p>
    <w:p>
      <w:pPr>
        <w:rPr>
          <w:rFonts w:hint="eastAsia" w:ascii="仿宋" w:hAnsi="仿宋" w:eastAsia="仿宋" w:cs="仿宋"/>
          <w:sz w:val="24"/>
        </w:rPr>
      </w:pPr>
      <w:r>
        <w:rPr>
          <w:rFonts w:hint="eastAsia" w:ascii="仿宋" w:hAnsi="仿宋" w:eastAsia="仿宋" w:cs="仿宋"/>
          <w:sz w:val="24"/>
        </w:rPr>
        <w:t>致：陕西省采购招标有限责任公司</w:t>
      </w:r>
    </w:p>
    <w:p>
      <w:pPr>
        <w:pStyle w:val="22"/>
        <w:rPr>
          <w:rFonts w:hint="eastAsia" w:ascii="仿宋" w:hAnsi="仿宋" w:eastAsia="仿宋" w:cs="仿宋"/>
        </w:rPr>
      </w:pPr>
    </w:p>
    <w:p>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我方的控股股东如下：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我方直接控股的企业如下：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Cs w:val="21"/>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pStyle w:val="69"/>
        <w:numPr>
          <w:ilvl w:val="1"/>
          <w:numId w:val="16"/>
        </w:numPr>
        <w:ind w:firstLineChars="0"/>
        <w:jc w:val="left"/>
        <w:outlineLvl w:val="2"/>
        <w:rPr>
          <w:rFonts w:hint="eastAsia" w:ascii="仿宋" w:hAnsi="仿宋" w:eastAsia="仿宋" w:cs="仿宋"/>
          <w:b/>
          <w:sz w:val="24"/>
        </w:rPr>
      </w:pPr>
      <w:r>
        <w:rPr>
          <w:rFonts w:hint="eastAsia" w:ascii="仿宋" w:hAnsi="仿宋" w:eastAsia="仿宋" w:cs="仿宋"/>
          <w:b/>
          <w:sz w:val="24"/>
        </w:rPr>
        <w:t xml:space="preserve"> 供应商是否属于为本项目提供整体设计、规范编制或者项目管理、监理、检测等服务的供应商声明</w:t>
      </w:r>
    </w:p>
    <w:p>
      <w:pPr>
        <w:ind w:firstLine="420"/>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致：陕西省采购招标有限责任公司</w:t>
      </w:r>
    </w:p>
    <w:p>
      <w:pPr>
        <w:ind w:firstLine="426"/>
        <w:rPr>
          <w:rFonts w:hint="eastAsia" w:ascii="仿宋" w:hAnsi="仿宋" w:eastAsia="仿宋" w:cs="仿宋"/>
          <w:sz w:val="24"/>
        </w:rPr>
      </w:pPr>
      <w:r>
        <w:rPr>
          <w:rFonts w:hint="eastAsia" w:ascii="仿宋" w:hAnsi="仿宋" w:eastAsia="仿宋" w:cs="仿宋"/>
          <w:sz w:val="24"/>
          <w:highlight w:val="none"/>
        </w:rPr>
        <w:t xml:space="preserve">我方 </w:t>
      </w:r>
      <w:r>
        <w:rPr>
          <w:rFonts w:hint="eastAsia" w:ascii="仿宋" w:hAnsi="仿宋" w:eastAsia="仿宋" w:cs="仿宋"/>
          <w:i/>
          <w:iCs/>
          <w:sz w:val="24"/>
          <w:highlight w:val="none"/>
          <w:u w:val="single"/>
        </w:rPr>
        <w:t>属于/不属于</w:t>
      </w:r>
      <w:r>
        <w:rPr>
          <w:rFonts w:hint="eastAsia" w:ascii="仿宋" w:hAnsi="仿宋" w:eastAsia="仿宋" w:cs="仿宋"/>
          <w:sz w:val="24"/>
          <w:highlight w:val="none"/>
        </w:rPr>
        <w:t xml:space="preserve"> 为</w:t>
      </w:r>
      <w:r>
        <w:rPr>
          <w:rFonts w:hint="eastAsia" w:ascii="仿宋" w:hAnsi="仿宋" w:eastAsia="仿宋" w:cs="仿宋"/>
          <w:sz w:val="24"/>
        </w:rPr>
        <w:t>本项目提供整体设计、规范编制或者项目管理、监理、检测等服务的供应商。</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hint="eastAsia" w:ascii="仿宋" w:hAnsi="仿宋" w:eastAsia="仿宋" w:cs="仿宋"/>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jc w:val="both"/>
        <w:textAlignment w:val="auto"/>
        <w:rPr>
          <w:rFonts w:hint="eastAsia" w:ascii="仿宋" w:hAnsi="仿宋" w:eastAsia="仿宋" w:cs="仿宋"/>
          <w:b/>
          <w:sz w:val="24"/>
        </w:rPr>
      </w:pPr>
      <w:r>
        <w:rPr>
          <w:rFonts w:hint="eastAsia" w:ascii="仿宋" w:hAnsi="仿宋" w:eastAsia="仿宋" w:cs="仿宋"/>
          <w:b/>
          <w:sz w:val="24"/>
        </w:rPr>
        <w:t>6-9证明供应商符合特定资格条件的证明材料：</w:t>
      </w:r>
    </w:p>
    <w:p>
      <w:pPr>
        <w:numPr>
          <w:ilvl w:val="0"/>
          <w:numId w:val="0"/>
        </w:numPr>
        <w:tabs>
          <w:tab w:val="left" w:pos="5580"/>
        </w:tabs>
        <w:spacing w:before="120" w:line="360"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highlight w:val="none"/>
          <w:lang w:val="en-US" w:eastAsia="zh-CN"/>
        </w:rPr>
        <w:t>“信用中国”网站（www.creditchina.gov.cn）和中国政府采购网（www.ccgp.gov.cn）上未被列入失信被执行人、重大税收违法失信主体、政府采购严重违法失信行为记录名单。</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2、所投产品属于医疗器械的须提供医疗器械注册证；产品为进口产品需提供制造商授权书或区域代理商授权书。</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3、投标供应商为生产厂家的，须提供医疗器械生产许可证；投标供应商为经销商的，须提供医疗器械经营许可证（投标产品须在其经营范围内）。</w:t>
      </w:r>
    </w:p>
    <w:p>
      <w:pPr>
        <w:pStyle w:val="3"/>
        <w:jc w:val="center"/>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lang w:val="zh-CN"/>
        </w:rPr>
        <w:t>第七部分</w:t>
      </w:r>
      <w:r>
        <w:rPr>
          <w:rFonts w:hint="eastAsia" w:ascii="仿宋" w:hAnsi="仿宋" w:eastAsia="仿宋" w:cs="仿宋"/>
          <w:b/>
          <w:bCs/>
          <w:i w:val="0"/>
          <w:iCs w:val="0"/>
          <w:color w:val="auto"/>
          <w:highlight w:val="none"/>
        </w:rPr>
        <w:t xml:space="preserve">   小微企业、监狱企业、残疾人福利单位声明函或证明</w:t>
      </w:r>
    </w:p>
    <w:p>
      <w:pPr>
        <w:widowControl/>
        <w:jc w:val="left"/>
        <w:rPr>
          <w:rFonts w:hint="eastAsia" w:ascii="仿宋" w:hAnsi="仿宋" w:eastAsia="仿宋" w:cs="仿宋"/>
          <w:b/>
          <w:bCs/>
          <w:i w:val="0"/>
          <w:iCs w:val="0"/>
          <w:color w:val="auto"/>
          <w:sz w:val="44"/>
          <w:szCs w:val="44"/>
          <w:highlight w:val="none"/>
        </w:rPr>
      </w:pPr>
    </w:p>
    <w:p>
      <w:pPr>
        <w:pStyle w:val="69"/>
        <w:numPr>
          <w:ilvl w:val="0"/>
          <w:numId w:val="17"/>
        </w:numPr>
        <w:spacing w:line="360" w:lineRule="auto"/>
        <w:ind w:firstLineChars="0"/>
        <w:jc w:val="center"/>
        <w:outlineLvl w:val="1"/>
        <w:rPr>
          <w:rFonts w:hint="eastAsia" w:ascii="仿宋" w:hAnsi="仿宋" w:eastAsia="仿宋" w:cs="仿宋"/>
          <w:b/>
          <w:i w:val="0"/>
          <w:iCs w:val="0"/>
          <w:color w:val="auto"/>
          <w:sz w:val="28"/>
          <w:szCs w:val="28"/>
          <w:highlight w:val="none"/>
        </w:rPr>
      </w:pPr>
      <w:bookmarkStart w:id="508" w:name="_Toc7005132"/>
      <w:r>
        <w:rPr>
          <w:rFonts w:hint="eastAsia" w:ascii="仿宋" w:hAnsi="仿宋" w:eastAsia="仿宋" w:cs="仿宋"/>
          <w:b/>
          <w:i w:val="0"/>
          <w:iCs w:val="0"/>
          <w:color w:val="auto"/>
          <w:sz w:val="28"/>
          <w:szCs w:val="28"/>
          <w:highlight w:val="none"/>
        </w:rPr>
        <w:t>中小企业声明函</w:t>
      </w:r>
      <w:bookmarkEnd w:id="508"/>
      <w:r>
        <w:rPr>
          <w:rFonts w:hint="eastAsia" w:ascii="仿宋" w:hAnsi="仿宋" w:eastAsia="仿宋" w:cs="仿宋"/>
          <w:b/>
          <w:i w:val="0"/>
          <w:iCs w:val="0"/>
          <w:color w:val="auto"/>
          <w:sz w:val="28"/>
          <w:szCs w:val="28"/>
          <w:highlight w:val="none"/>
        </w:rPr>
        <w:t>（货物）</w:t>
      </w:r>
    </w:p>
    <w:p>
      <w:pPr>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（注：符合中小企业划型标准的企业请提供本函，不符合的不提供本函）</w:t>
      </w:r>
    </w:p>
    <w:p>
      <w:pPr>
        <w:snapToGrid w:val="0"/>
        <w:spacing w:before="120" w:beforeLines="50"/>
        <w:ind w:firstLine="480" w:firstLineChars="200"/>
        <w:rPr>
          <w:rFonts w:hint="eastAsia" w:ascii="仿宋" w:hAnsi="仿宋" w:eastAsia="仿宋" w:cs="仿宋"/>
          <w:i w:val="0"/>
          <w:iCs w:val="0"/>
          <w:color w:val="auto"/>
          <w:sz w:val="24"/>
          <w:highlight w:val="none"/>
        </w:rPr>
      </w:pPr>
    </w:p>
    <w:p>
      <w:pPr>
        <w:spacing w:line="560" w:lineRule="exact"/>
        <w:ind w:firstLine="480" w:firstLineChars="200"/>
        <w:rPr>
          <w:rFonts w:hint="eastAsia" w:ascii="仿宋" w:hAnsi="仿宋" w:eastAsia="仿宋" w:cs="仿宋"/>
          <w:i w:val="0"/>
          <w:iCs w:val="0"/>
          <w:color w:val="auto"/>
          <w:kern w:val="0"/>
          <w:sz w:val="24"/>
          <w:highlight w:val="none"/>
        </w:rPr>
      </w:pPr>
      <w:bookmarkStart w:id="509" w:name="_Toc7005133"/>
      <w:r>
        <w:rPr>
          <w:rFonts w:hint="eastAsia" w:ascii="仿宋" w:hAnsi="仿宋" w:eastAsia="仿宋" w:cs="仿宋"/>
          <w:i w:val="0"/>
          <w:iCs w:val="0"/>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i w:val="0"/>
          <w:iCs w:val="0"/>
          <w:color w:val="auto"/>
          <w:kern w:val="0"/>
          <w:sz w:val="24"/>
          <w:highlight w:val="none"/>
          <w:u w:val="single"/>
        </w:rPr>
        <w:t xml:space="preserve">  (单位名称) </w:t>
      </w:r>
      <w:r>
        <w:rPr>
          <w:rFonts w:hint="eastAsia" w:ascii="仿宋" w:hAnsi="仿宋" w:eastAsia="仿宋" w:cs="仿宋"/>
          <w:i w:val="0"/>
          <w:iCs w:val="0"/>
          <w:color w:val="auto"/>
          <w:kern w:val="0"/>
          <w:sz w:val="24"/>
          <w:highlight w:val="none"/>
        </w:rPr>
        <w:t xml:space="preserve"> 的</w:t>
      </w:r>
      <w:r>
        <w:rPr>
          <w:rFonts w:hint="eastAsia" w:ascii="仿宋" w:hAnsi="仿宋" w:eastAsia="仿宋" w:cs="仿宋"/>
          <w:i w:val="0"/>
          <w:iCs w:val="0"/>
          <w:color w:val="auto"/>
          <w:kern w:val="0"/>
          <w:sz w:val="24"/>
          <w:highlight w:val="none"/>
          <w:u w:val="single"/>
        </w:rPr>
        <w:t xml:space="preserve"> (项目名称) 采购</w:t>
      </w:r>
      <w:r>
        <w:rPr>
          <w:rFonts w:hint="eastAsia" w:ascii="仿宋" w:hAnsi="仿宋" w:eastAsia="仿宋" w:cs="仿宋"/>
          <w:i w:val="0"/>
          <w:iCs w:val="0"/>
          <w:color w:val="auto"/>
          <w:kern w:val="0"/>
          <w:sz w:val="24"/>
          <w:highlight w:val="none"/>
        </w:rPr>
        <w:t>活动，提供的货物全部由符合政策要求的中小企业制造。相关企业(含联合体中的中小企业、签订分包意向协议的中小企业)的具体情况如下：</w:t>
      </w:r>
    </w:p>
    <w:p>
      <w:pPr>
        <w:pStyle w:val="69"/>
        <w:numPr>
          <w:ilvl w:val="0"/>
          <w:numId w:val="18"/>
        </w:numPr>
        <w:spacing w:line="560" w:lineRule="exact"/>
        <w:ind w:left="720" w:hanging="720" w:hangingChars="3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 xml:space="preserve">  (标的名称)  </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sz w:val="24"/>
          <w:u w:val="single"/>
          <w:lang w:val="en-US" w:eastAsia="zh-CN"/>
        </w:rPr>
        <w:t>工业</w:t>
      </w:r>
      <w:r>
        <w:rPr>
          <w:rFonts w:hint="eastAsia" w:ascii="仿宋" w:hAnsi="仿宋" w:eastAsia="仿宋" w:cs="仿宋"/>
          <w:i w:val="0"/>
          <w:iCs w:val="0"/>
          <w:color w:val="auto"/>
          <w:kern w:val="0"/>
          <w:sz w:val="24"/>
          <w:szCs w:val="24"/>
          <w:highlight w:val="none"/>
        </w:rPr>
        <w:t xml:space="preserve"> ；制造商为</w:t>
      </w:r>
      <w:r>
        <w:rPr>
          <w:rFonts w:hint="eastAsia" w:ascii="仿宋" w:hAnsi="仿宋" w:eastAsia="仿宋" w:cs="仿宋"/>
          <w:i w:val="0"/>
          <w:iCs w:val="0"/>
          <w:color w:val="auto"/>
          <w:kern w:val="0"/>
          <w:sz w:val="24"/>
          <w:szCs w:val="24"/>
          <w:highlight w:val="none"/>
          <w:u w:val="single"/>
        </w:rPr>
        <w:t xml:space="preserve"> (企业名称)  </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万元，属于 </w:t>
      </w:r>
      <w:r>
        <w:rPr>
          <w:rFonts w:hint="eastAsia" w:ascii="仿宋" w:hAnsi="仿宋" w:eastAsia="仿宋" w:cs="仿宋"/>
          <w:i w:val="0"/>
          <w:iCs w:val="0"/>
          <w:color w:val="auto"/>
          <w:kern w:val="0"/>
          <w:sz w:val="24"/>
          <w:szCs w:val="24"/>
          <w:highlight w:val="none"/>
          <w:u w:val="single"/>
        </w:rPr>
        <w:t>(中型企业、小型企业、微型企业）</w:t>
      </w:r>
      <w:r>
        <w:rPr>
          <w:rFonts w:hint="eastAsia" w:ascii="仿宋" w:hAnsi="仿宋" w:eastAsia="仿宋" w:cs="仿宋"/>
          <w:i w:val="0"/>
          <w:iCs w:val="0"/>
          <w:color w:val="auto"/>
          <w:kern w:val="0"/>
          <w:sz w:val="24"/>
          <w:szCs w:val="24"/>
          <w:highlight w:val="none"/>
        </w:rPr>
        <w:t>；</w:t>
      </w:r>
    </w:p>
    <w:p>
      <w:pPr>
        <w:pStyle w:val="69"/>
        <w:numPr>
          <w:ilvl w:val="0"/>
          <w:numId w:val="18"/>
        </w:numPr>
        <w:spacing w:line="560" w:lineRule="exact"/>
        <w:ind w:left="720" w:hanging="720" w:hangingChars="3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 xml:space="preserve">  (标的名称)  </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sz w:val="24"/>
          <w:u w:val="single"/>
          <w:lang w:val="en-US" w:eastAsia="zh-CN"/>
        </w:rPr>
        <w:t>工业</w:t>
      </w:r>
      <w:r>
        <w:rPr>
          <w:rFonts w:hint="eastAsia" w:ascii="仿宋" w:hAnsi="仿宋" w:eastAsia="仿宋" w:cs="仿宋"/>
          <w:i w:val="0"/>
          <w:iCs w:val="0"/>
          <w:color w:val="auto"/>
          <w:kern w:val="0"/>
          <w:sz w:val="24"/>
          <w:szCs w:val="24"/>
          <w:highlight w:val="none"/>
        </w:rPr>
        <w:t xml:space="preserve"> ；制造商为</w:t>
      </w:r>
      <w:r>
        <w:rPr>
          <w:rFonts w:hint="eastAsia" w:ascii="仿宋" w:hAnsi="仿宋" w:eastAsia="仿宋" w:cs="仿宋"/>
          <w:i w:val="0"/>
          <w:iCs w:val="0"/>
          <w:color w:val="auto"/>
          <w:kern w:val="0"/>
          <w:sz w:val="24"/>
          <w:szCs w:val="24"/>
          <w:highlight w:val="none"/>
          <w:u w:val="single"/>
        </w:rPr>
        <w:t xml:space="preserve"> (企业名称)  </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万元，属于 </w:t>
      </w:r>
      <w:r>
        <w:rPr>
          <w:rFonts w:hint="eastAsia" w:ascii="仿宋" w:hAnsi="仿宋" w:eastAsia="仿宋" w:cs="仿宋"/>
          <w:i w:val="0"/>
          <w:iCs w:val="0"/>
          <w:color w:val="auto"/>
          <w:kern w:val="0"/>
          <w:sz w:val="24"/>
          <w:szCs w:val="24"/>
          <w:highlight w:val="none"/>
          <w:u w:val="single"/>
        </w:rPr>
        <w:t>(中型企业、小型企业、微型企业）</w:t>
      </w:r>
      <w:r>
        <w:rPr>
          <w:rFonts w:hint="eastAsia" w:ascii="仿宋" w:hAnsi="仿宋" w:eastAsia="仿宋" w:cs="仿宋"/>
          <w:i w:val="0"/>
          <w:iCs w:val="0"/>
          <w:color w:val="auto"/>
          <w:kern w:val="0"/>
          <w:sz w:val="24"/>
          <w:szCs w:val="24"/>
          <w:highlight w:val="none"/>
        </w:rPr>
        <w:t>；</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本企业对上述声明内容的真实性负责。如有虚假，将依法承担相应责任。</w:t>
      </w:r>
    </w:p>
    <w:p>
      <w:pPr>
        <w:spacing w:line="560" w:lineRule="exact"/>
        <w:ind w:firstLine="3480" w:firstLineChars="14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企业名称(盖章)：</w:t>
      </w:r>
    </w:p>
    <w:p>
      <w:pPr>
        <w:spacing w:line="560" w:lineRule="exact"/>
        <w:ind w:firstLine="3480" w:firstLineChars="14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日期：</w:t>
      </w:r>
    </w:p>
    <w:p>
      <w:pPr>
        <w:pStyle w:val="22"/>
        <w:ind w:firstLine="480"/>
        <w:rPr>
          <w:rFonts w:hint="eastAsia" w:ascii="仿宋" w:hAnsi="仿宋" w:eastAsia="仿宋" w:cs="仿宋"/>
          <w:i w:val="0"/>
          <w:iCs w:val="0"/>
          <w:color w:val="auto"/>
          <w:highlight w:val="none"/>
        </w:rPr>
      </w:pPr>
    </w:p>
    <w:p>
      <w:pPr>
        <w:ind w:left="450" w:hanging="450" w:hangingChars="150"/>
        <w:rPr>
          <w:rFonts w:hint="eastAsia" w:ascii="仿宋" w:hAnsi="仿宋" w:eastAsia="仿宋" w:cs="仿宋"/>
          <w:i w:val="0"/>
          <w:iCs w:val="0"/>
          <w:color w:val="auto"/>
          <w:kern w:val="0"/>
          <w:sz w:val="18"/>
          <w:szCs w:val="18"/>
          <w:highlight w:val="none"/>
        </w:rPr>
      </w:pPr>
      <w:r>
        <w:rPr>
          <w:rFonts w:hint="eastAsia" w:ascii="仿宋" w:hAnsi="仿宋" w:eastAsia="仿宋" w:cs="仿宋"/>
          <w:i w:val="0"/>
          <w:iCs w:val="0"/>
          <w:color w:val="auto"/>
          <w:kern w:val="0"/>
          <w:sz w:val="30"/>
          <w:szCs w:val="30"/>
          <w:highlight w:val="none"/>
        </w:rPr>
        <w:t xml:space="preserve"> </w:t>
      </w:r>
      <w:r>
        <w:rPr>
          <w:rFonts w:hint="eastAsia" w:ascii="仿宋" w:hAnsi="仿宋" w:eastAsia="仿宋" w:cs="仿宋"/>
          <w:i w:val="0"/>
          <w:iCs w:val="0"/>
          <w:color w:val="auto"/>
          <w:kern w:val="0"/>
          <w:sz w:val="30"/>
          <w:szCs w:val="30"/>
          <w:highlight w:val="none"/>
          <w:u w:val="single"/>
        </w:rPr>
        <w:t xml:space="preserve">                                                     </w:t>
      </w:r>
      <w:r>
        <w:rPr>
          <w:rFonts w:hint="eastAsia" w:ascii="仿宋" w:hAnsi="仿宋" w:eastAsia="仿宋" w:cs="仿宋"/>
          <w:i w:val="0"/>
          <w:iCs w:val="0"/>
          <w:color w:val="auto"/>
          <w:kern w:val="0"/>
          <w:sz w:val="30"/>
          <w:szCs w:val="30"/>
          <w:highlight w:val="none"/>
        </w:rPr>
        <w:t xml:space="preserve">    </w:t>
      </w:r>
      <w:r>
        <w:rPr>
          <w:rFonts w:hint="eastAsia" w:ascii="仿宋" w:hAnsi="仿宋" w:eastAsia="仿宋" w:cs="仿宋"/>
          <w:i w:val="0"/>
          <w:iCs w:val="0"/>
          <w:color w:val="auto"/>
          <w:kern w:val="0"/>
          <w:sz w:val="18"/>
          <w:szCs w:val="18"/>
          <w:highlight w:val="none"/>
        </w:rPr>
        <w:t xml:space="preserve"> </w:t>
      </w:r>
    </w:p>
    <w:p>
      <w:pPr>
        <w:ind w:left="315" w:leftChars="150" w:firstLine="270" w:firstLineChars="150"/>
        <w:rPr>
          <w:rFonts w:hint="eastAsia" w:ascii="仿宋" w:hAnsi="仿宋" w:eastAsia="仿宋" w:cs="仿宋"/>
          <w:i w:val="0"/>
          <w:iCs w:val="0"/>
          <w:color w:val="auto"/>
          <w:kern w:val="0"/>
          <w:sz w:val="18"/>
          <w:szCs w:val="18"/>
          <w:highlight w:val="none"/>
        </w:rPr>
      </w:pPr>
      <w:r>
        <w:rPr>
          <w:rFonts w:hint="eastAsia" w:ascii="仿宋" w:hAnsi="仿宋" w:eastAsia="仿宋" w:cs="仿宋"/>
          <w:i w:val="0"/>
          <w:iCs w:val="0"/>
          <w:color w:val="auto"/>
          <w:kern w:val="0"/>
          <w:sz w:val="18"/>
          <w:szCs w:val="18"/>
          <w:highlight w:val="none"/>
        </w:rPr>
        <w:t>（从业人员、营业收入、资产总额填报上一年度数据，无上一年度数据的新成立企业可不填报）</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jc w:val="center"/>
        <w:outlineLvl w:val="1"/>
        <w:rPr>
          <w:rFonts w:hint="eastAsia" w:ascii="仿宋" w:hAnsi="仿宋" w:eastAsia="仿宋" w:cs="仿宋"/>
          <w:b/>
          <w:i w:val="0"/>
          <w:iCs w:val="0"/>
          <w:color w:val="auto"/>
          <w:sz w:val="28"/>
          <w:szCs w:val="28"/>
          <w:highlight w:val="none"/>
          <w:lang w:eastAsia="zh-CN"/>
        </w:rPr>
      </w:pPr>
      <w:r>
        <w:rPr>
          <w:rFonts w:hint="eastAsia" w:ascii="仿宋" w:hAnsi="仿宋" w:eastAsia="仿宋" w:cs="仿宋"/>
          <w:b/>
          <w:i w:val="0"/>
          <w:iCs w:val="0"/>
          <w:color w:val="auto"/>
          <w:sz w:val="28"/>
          <w:szCs w:val="28"/>
          <w:highlight w:val="none"/>
        </w:rPr>
        <w:t>二、监狱企业</w:t>
      </w:r>
      <w:bookmarkEnd w:id="509"/>
      <w:r>
        <w:rPr>
          <w:rFonts w:hint="eastAsia" w:ascii="仿宋" w:hAnsi="仿宋" w:eastAsia="仿宋" w:cs="仿宋"/>
          <w:b/>
          <w:i w:val="0"/>
          <w:iCs w:val="0"/>
          <w:color w:val="auto"/>
          <w:sz w:val="28"/>
          <w:szCs w:val="28"/>
          <w:highlight w:val="none"/>
          <w:lang w:val="en-US" w:eastAsia="zh-CN"/>
        </w:rPr>
        <w:t>声明函</w:t>
      </w:r>
    </w:p>
    <w:p>
      <w:pPr>
        <w:spacing w:line="360" w:lineRule="auto"/>
        <w:jc w:val="both"/>
        <w:rPr>
          <w:rFonts w:hint="eastAsia" w:ascii="仿宋" w:hAnsi="仿宋" w:eastAsia="仿宋" w:cs="仿宋"/>
          <w:b/>
          <w:i w:val="0"/>
          <w:iCs w:val="0"/>
          <w:color w:val="auto"/>
          <w:kern w:val="0"/>
          <w:sz w:val="24"/>
          <w:szCs w:val="20"/>
          <w:highlight w:val="none"/>
        </w:rPr>
      </w:pPr>
    </w:p>
    <w:p>
      <w:pPr>
        <w:widowControl/>
        <w:spacing w:before="100" w:beforeAutospacing="1" w:after="100" w:afterAutospacing="1" w:line="360" w:lineRule="auto"/>
        <w:ind w:firstLine="480" w:firstLineChars="20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本单位为直接</w:t>
      </w:r>
      <w:r>
        <w:rPr>
          <w:rFonts w:hint="eastAsia" w:ascii="仿宋" w:hAnsi="仿宋" w:eastAsia="仿宋" w:cs="仿宋"/>
          <w:i w:val="0"/>
          <w:iCs w:val="0"/>
          <w:color w:val="auto"/>
          <w:kern w:val="0"/>
          <w:sz w:val="24"/>
          <w:highlight w:val="none"/>
          <w:lang w:val="en-US" w:eastAsia="zh-CN"/>
        </w:rPr>
        <w:t>供应商，</w:t>
      </w:r>
      <w:r>
        <w:rPr>
          <w:rFonts w:hint="eastAsia" w:ascii="仿宋" w:hAnsi="仿宋" w:eastAsia="仿宋" w:cs="仿宋"/>
          <w:i w:val="0"/>
          <w:iCs w:val="0"/>
          <w:color w:val="auto"/>
          <w:kern w:val="0"/>
          <w:sz w:val="24"/>
          <w:highlight w:val="none"/>
        </w:rPr>
        <w:t>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（1）本企业（单位）</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（2）本企业（单位）</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w:t>
      </w:r>
    </w:p>
    <w:p>
      <w:pPr>
        <w:widowControl/>
        <w:spacing w:before="100" w:beforeAutospacing="1" w:after="100" w:afterAutospacing="1"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i w:val="0"/>
          <w:iCs w:val="0"/>
          <w:color w:val="auto"/>
          <w:kern w:val="0"/>
          <w:sz w:val="24"/>
          <w:szCs w:val="20"/>
          <w:highlight w:val="none"/>
        </w:rPr>
      </w:pPr>
      <w:r>
        <w:rPr>
          <w:rFonts w:hint="eastAsia" w:ascii="仿宋" w:hAnsi="仿宋" w:eastAsia="仿宋" w:cs="仿宋"/>
          <w:i w:val="0"/>
          <w:iCs w:val="0"/>
          <w:color w:val="auto"/>
          <w:kern w:val="0"/>
          <w:sz w:val="24"/>
          <w:highlight w:val="none"/>
        </w:rPr>
        <w:t>　</w:t>
      </w:r>
      <w:r>
        <w:rPr>
          <w:rFonts w:hint="eastAsia" w:ascii="仿宋" w:hAnsi="仿宋" w:eastAsia="仿宋" w:cs="仿宋"/>
          <w:b/>
          <w:i w:val="0"/>
          <w:iCs w:val="0"/>
          <w:color w:val="auto"/>
          <w:kern w:val="0"/>
          <w:sz w:val="24"/>
          <w:szCs w:val="20"/>
          <w:highlight w:val="none"/>
        </w:rPr>
        <w:t>　</w:t>
      </w:r>
    </w:p>
    <w:p>
      <w:pPr>
        <w:widowControl/>
        <w:spacing w:before="100" w:beforeAutospacing="1" w:after="100" w:afterAutospacing="1" w:line="360" w:lineRule="auto"/>
        <w:ind w:firstLine="360" w:firstLineChars="15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lang w:val="en-US" w:eastAsia="zh-CN"/>
        </w:rPr>
        <w:t>单位名称</w:t>
      </w:r>
      <w:r>
        <w:rPr>
          <w:rFonts w:hint="eastAsia" w:ascii="仿宋" w:hAnsi="仿宋" w:eastAsia="仿宋" w:cs="仿宋"/>
          <w:i w:val="0"/>
          <w:iCs w:val="0"/>
          <w:color w:val="auto"/>
          <w:kern w:val="0"/>
          <w:sz w:val="24"/>
          <w:highlight w:val="none"/>
        </w:rPr>
        <w:t>（公章）：</w:t>
      </w:r>
      <w:r>
        <w:rPr>
          <w:rFonts w:hint="eastAsia" w:ascii="仿宋" w:hAnsi="仿宋" w:eastAsia="仿宋" w:cs="仿宋"/>
          <w:i w:val="0"/>
          <w:iCs w:val="0"/>
          <w:color w:val="auto"/>
          <w:kern w:val="0"/>
          <w:sz w:val="24"/>
          <w:highlight w:val="none"/>
          <w:u w:val="single"/>
        </w:rPr>
        <w:t xml:space="preserve">             </w:t>
      </w:r>
    </w:p>
    <w:p>
      <w:pPr>
        <w:widowControl/>
        <w:spacing w:before="100" w:beforeAutospacing="1" w:after="100" w:afterAutospacing="1"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 　法定代表人或授权代表（签字）:  </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w:t>
      </w:r>
    </w:p>
    <w:p>
      <w:pPr>
        <w:widowControl/>
        <w:spacing w:before="100" w:beforeAutospacing="1" w:after="100" w:afterAutospacing="1" w:line="360" w:lineRule="auto"/>
        <w:ind w:firstLine="240" w:firstLineChars="100"/>
        <w:jc w:val="left"/>
        <w:rPr>
          <w:rFonts w:hint="eastAsia" w:ascii="仿宋" w:hAnsi="仿宋" w:eastAsia="仿宋" w:cs="仿宋"/>
          <w:i w:val="0"/>
          <w:iCs w:val="0"/>
          <w:color w:val="auto"/>
          <w:kern w:val="0"/>
          <w:sz w:val="24"/>
          <w:highlight w:val="none"/>
          <w:u w:val="single"/>
        </w:rPr>
      </w:pPr>
      <w:r>
        <w:rPr>
          <w:rFonts w:hint="eastAsia" w:ascii="仿宋" w:hAnsi="仿宋" w:eastAsia="仿宋" w:cs="仿宋"/>
          <w:i w:val="0"/>
          <w:iCs w:val="0"/>
          <w:color w:val="auto"/>
          <w:kern w:val="0"/>
          <w:sz w:val="24"/>
          <w:highlight w:val="none"/>
        </w:rPr>
        <w:t>日　期：</w:t>
      </w:r>
      <w:r>
        <w:rPr>
          <w:rFonts w:hint="eastAsia" w:ascii="仿宋" w:hAnsi="仿宋" w:eastAsia="仿宋" w:cs="仿宋"/>
          <w:i w:val="0"/>
          <w:iCs w:val="0"/>
          <w:color w:val="auto"/>
          <w:kern w:val="0"/>
          <w:sz w:val="24"/>
          <w:highlight w:val="none"/>
          <w:u w:val="single"/>
        </w:rPr>
        <w:t xml:space="preserve">             </w:t>
      </w:r>
    </w:p>
    <w:p>
      <w:pPr>
        <w:widowControl/>
        <w:spacing w:before="100" w:beforeAutospacing="1" w:after="100" w:afterAutospacing="1" w:line="360" w:lineRule="auto"/>
        <w:jc w:val="left"/>
        <w:rPr>
          <w:rFonts w:hint="eastAsia" w:ascii="仿宋" w:hAnsi="仿宋" w:eastAsia="仿宋" w:cs="仿宋"/>
          <w:i w:val="0"/>
          <w:iCs w:val="0"/>
          <w:color w:val="auto"/>
          <w:kern w:val="0"/>
          <w:sz w:val="24"/>
          <w:highlight w:val="none"/>
          <w:u w:val="single"/>
        </w:rPr>
      </w:pPr>
    </w:p>
    <w:p>
      <w:pPr>
        <w:widowControl/>
        <w:spacing w:before="100" w:beforeAutospacing="1" w:after="100" w:afterAutospacing="1" w:line="360" w:lineRule="auto"/>
        <w:jc w:val="left"/>
        <w:rPr>
          <w:rFonts w:hint="eastAsia" w:ascii="仿宋" w:hAnsi="仿宋" w:eastAsia="仿宋" w:cs="仿宋"/>
          <w:i w:val="0"/>
          <w:iCs w:val="0"/>
          <w:color w:val="auto"/>
          <w:sz w:val="24"/>
          <w:highlight w:val="none"/>
          <w:u w:val="none"/>
        </w:rPr>
      </w:pPr>
      <w:r>
        <w:rPr>
          <w:rFonts w:hint="eastAsia" w:ascii="仿宋" w:hAnsi="仿宋" w:eastAsia="仿宋" w:cs="仿宋"/>
          <w:i w:val="0"/>
          <w:iCs w:val="0"/>
          <w:color w:val="auto"/>
          <w:kern w:val="0"/>
          <w:sz w:val="24"/>
          <w:highlight w:val="none"/>
          <w:u w:val="none"/>
        </w:rPr>
        <w:t>注：符合《关于政府采购支持监狱企业发展有关问题的通知》价格扣减条件的供应商须提交。</w:t>
      </w:r>
      <w:r>
        <w:rPr>
          <w:rFonts w:hint="eastAsia" w:ascii="仿宋" w:hAnsi="仿宋" w:eastAsia="仿宋" w:cs="仿宋"/>
          <w:i w:val="0"/>
          <w:iCs w:val="0"/>
          <w:color w:val="auto"/>
          <w:kern w:val="0"/>
          <w:sz w:val="24"/>
          <w:highlight w:val="none"/>
          <w:u w:val="none"/>
          <w:lang w:val="en-US" w:eastAsia="zh-CN"/>
        </w:rPr>
        <w:t>需提供</w:t>
      </w:r>
      <w:r>
        <w:rPr>
          <w:rFonts w:hint="eastAsia" w:ascii="仿宋" w:hAnsi="仿宋" w:eastAsia="仿宋" w:cs="仿宋"/>
          <w:i w:val="0"/>
          <w:iCs w:val="0"/>
          <w:color w:val="auto"/>
          <w:sz w:val="24"/>
          <w:highlight w:val="none"/>
          <w:u w:val="none"/>
        </w:rPr>
        <w:t>省级以上监狱管理局、戒毒管理局（含新疆生产建设兵团）出具的属于监狱企业的证明文件。</w:t>
      </w:r>
    </w:p>
    <w:p>
      <w:pPr>
        <w:rPr>
          <w:rFonts w:hint="eastAsia" w:ascii="仿宋" w:hAnsi="仿宋" w:eastAsia="仿宋" w:cs="仿宋"/>
          <w:i w:val="0"/>
          <w:iCs w:val="0"/>
          <w:color w:val="auto"/>
          <w:sz w:val="32"/>
          <w:szCs w:val="32"/>
          <w:highlight w:val="none"/>
        </w:rPr>
      </w:pPr>
    </w:p>
    <w:p>
      <w:pPr>
        <w:rPr>
          <w:rFonts w:hint="eastAsia" w:ascii="仿宋" w:hAnsi="仿宋" w:eastAsia="仿宋" w:cs="仿宋"/>
          <w:i w:val="0"/>
          <w:iCs w:val="0"/>
          <w:color w:val="auto"/>
          <w:sz w:val="32"/>
          <w:szCs w:val="32"/>
          <w:highlight w:val="none"/>
        </w:rPr>
      </w:pPr>
    </w:p>
    <w:p>
      <w:pPr>
        <w:rPr>
          <w:rFonts w:hint="eastAsia" w:ascii="仿宋" w:hAnsi="仿宋" w:eastAsia="仿宋" w:cs="仿宋"/>
          <w:i w:val="0"/>
          <w:iCs w:val="0"/>
          <w:color w:val="auto"/>
          <w:sz w:val="32"/>
          <w:szCs w:val="32"/>
          <w:highlight w:val="none"/>
        </w:rPr>
      </w:pPr>
    </w:p>
    <w:p>
      <w:pPr>
        <w:widowControl/>
        <w:jc w:val="left"/>
        <w:rPr>
          <w:rFonts w:hint="eastAsia" w:ascii="仿宋" w:hAnsi="仿宋" w:eastAsia="仿宋" w:cs="仿宋"/>
          <w:i w:val="0"/>
          <w:iCs w:val="0"/>
          <w:color w:val="auto"/>
          <w:sz w:val="32"/>
          <w:szCs w:val="32"/>
          <w:highlight w:val="none"/>
        </w:rPr>
      </w:pPr>
      <w:bookmarkStart w:id="510" w:name="_Toc7005134"/>
      <w:r>
        <w:rPr>
          <w:rFonts w:hint="eastAsia" w:ascii="仿宋" w:hAnsi="仿宋" w:eastAsia="仿宋" w:cs="仿宋"/>
          <w:i w:val="0"/>
          <w:iCs w:val="0"/>
          <w:color w:val="auto"/>
          <w:sz w:val="32"/>
          <w:szCs w:val="32"/>
          <w:highlight w:val="none"/>
        </w:rPr>
        <w:br w:type="page"/>
      </w:r>
    </w:p>
    <w:p>
      <w:pPr>
        <w:jc w:val="center"/>
        <w:outlineLvl w:val="1"/>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三、残疾人福利性单位声明函</w:t>
      </w:r>
      <w:bookmarkEnd w:id="510"/>
    </w:p>
    <w:p>
      <w:pPr>
        <w:pStyle w:val="22"/>
        <w:rPr>
          <w:rFonts w:hint="eastAsia" w:ascii="仿宋" w:hAnsi="仿宋" w:eastAsia="仿宋" w:cs="仿宋"/>
          <w:i w:val="0"/>
          <w:iCs w:val="0"/>
          <w:color w:val="auto"/>
          <w:highlight w:val="none"/>
        </w:rPr>
      </w:pPr>
    </w:p>
    <w:p>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1"/>
          <w:szCs w:val="21"/>
          <w:highlight w:val="none"/>
        </w:rPr>
        <w:t>（注：符合条件的残疾人福利性单位请提供本函，不符合的不提供本函）</w:t>
      </w:r>
    </w:p>
    <w:p>
      <w:pPr>
        <w:rPr>
          <w:rFonts w:hint="eastAsia" w:ascii="仿宋" w:hAnsi="仿宋" w:eastAsia="仿宋" w:cs="仿宋"/>
          <w:i w:val="0"/>
          <w:iCs w:val="0"/>
          <w:color w:val="auto"/>
          <w:sz w:val="24"/>
          <w:highlight w:val="none"/>
        </w:rPr>
      </w:pPr>
    </w:p>
    <w:p>
      <w:pPr>
        <w:spacing w:line="360" w:lineRule="auto"/>
        <w:rPr>
          <w:rFonts w:hint="eastAsia" w:ascii="仿宋" w:hAnsi="仿宋" w:eastAsia="仿宋" w:cs="仿宋"/>
          <w:i w:val="0"/>
          <w:iCs w:val="0"/>
          <w:color w:val="auto"/>
          <w:sz w:val="24"/>
          <w:highlight w:val="none"/>
        </w:rPr>
      </w:pP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本单位对上述声明的真实性负责。如有虚假，将依法承担相应责任。</w:t>
      </w:r>
    </w:p>
    <w:p>
      <w:pPr>
        <w:spacing w:line="360" w:lineRule="auto"/>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pPr>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pPr>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单位名称（公章）：</w:t>
      </w:r>
    </w:p>
    <w:p>
      <w:pPr>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pPr>
        <w:rPr>
          <w:rFonts w:hint="eastAsia" w:ascii="仿宋" w:hAnsi="仿宋" w:eastAsia="仿宋" w:cs="仿宋"/>
          <w:i w:val="0"/>
          <w:iCs w:val="0"/>
          <w:color w:val="auto"/>
          <w:sz w:val="24"/>
          <w:highlight w:val="none"/>
        </w:rPr>
      </w:pPr>
    </w:p>
    <w:p>
      <w:pPr>
        <w:snapToGrid w:val="0"/>
        <w:spacing w:before="120" w:beforeLines="50"/>
        <w:jc w:val="center"/>
        <w:rPr>
          <w:rFonts w:hint="eastAsia" w:ascii="仿宋" w:hAnsi="仿宋" w:eastAsia="仿宋" w:cs="仿宋"/>
          <w:b/>
          <w:i w:val="0"/>
          <w:iCs w:val="0"/>
          <w:color w:val="auto"/>
          <w:sz w:val="24"/>
          <w:szCs w:val="21"/>
          <w:highlight w:val="none"/>
        </w:rPr>
      </w:pPr>
    </w:p>
    <w:p>
      <w:pPr>
        <w:widowControl/>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br w:type="page"/>
      </w:r>
    </w:p>
    <w:p>
      <w:pPr>
        <w:jc w:val="center"/>
        <w:outlineLvl w:val="1"/>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四、响应承诺书</w:t>
      </w:r>
    </w:p>
    <w:p>
      <w:pPr>
        <w:spacing w:line="360" w:lineRule="auto"/>
        <w:rPr>
          <w:rFonts w:hint="eastAsia" w:ascii="仿宋" w:hAnsi="仿宋" w:eastAsia="仿宋" w:cs="仿宋"/>
          <w:i w:val="0"/>
          <w:iCs w:val="0"/>
          <w:color w:val="auto"/>
          <w:sz w:val="24"/>
          <w:highlight w:val="none"/>
        </w:rPr>
      </w:pPr>
    </w:p>
    <w:p>
      <w:pPr>
        <w:spacing w:line="360" w:lineRule="auto"/>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陕西省采购招标有限责任公司</w:t>
      </w:r>
      <w:r>
        <w:rPr>
          <w:rFonts w:hint="eastAsia" w:ascii="仿宋" w:hAnsi="仿宋" w:eastAsia="仿宋" w:cs="仿宋"/>
          <w:i w:val="0"/>
          <w:iCs w:val="0"/>
          <w:color w:val="auto"/>
          <w:sz w:val="24"/>
          <w:highlight w:val="none"/>
          <w:lang w:eastAsia="zh-CN"/>
        </w:rPr>
        <w:t>：</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我方在此声明，我方以下事项进行承诺：</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 在本次谈判中我公司无与其他供应商相互串通，或与采购人串通的行为；</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 在本次谈判中我公司无向采购人或谈判小组成员行贿的手段谋取成交的行为；</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 在本次谈判中我公司无出借或借用资质行为、在响应文件中所附资料（业绩、项目负责人资料等）无弄虚作假；</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 我公司没有处于被责令停产、停业、投标资格被取消状态；</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上述承诺内容如有不实，我公司愿意承担由此造成的一切法律责任，并承诺以谈判保证金赔偿给采购人造成的损失。</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特此承诺。</w:t>
      </w:r>
    </w:p>
    <w:p>
      <w:pPr>
        <w:spacing w:line="360" w:lineRule="auto"/>
        <w:ind w:firstLine="480" w:firstLineChars="200"/>
        <w:rPr>
          <w:rFonts w:hint="eastAsia" w:ascii="仿宋" w:hAnsi="仿宋" w:eastAsia="仿宋" w:cs="仿宋"/>
          <w:i w:val="0"/>
          <w:iCs w:val="0"/>
          <w:color w:val="auto"/>
          <w:sz w:val="24"/>
          <w:highlight w:val="none"/>
        </w:rPr>
      </w:pP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 xml:space="preserve">供应商名称（公章）： </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法定代表人或其授权代表（签字或加盖人名章）：</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autoSpaceDE w:val="0"/>
        <w:autoSpaceDN w:val="0"/>
        <w:adjustRightInd w:val="0"/>
        <w:snapToGrid w:val="0"/>
        <w:spacing w:line="360" w:lineRule="auto"/>
        <w:outlineLvl w:val="0"/>
        <w:rPr>
          <w:rFonts w:hint="eastAsia" w:ascii="仿宋" w:hAnsi="仿宋" w:eastAsia="仿宋" w:cs="仿宋"/>
          <w:b/>
          <w:bCs/>
          <w:i w:val="0"/>
          <w:iCs w:val="0"/>
          <w:color w:val="auto"/>
          <w:sz w:val="28"/>
          <w:szCs w:val="28"/>
          <w:highlight w:val="none"/>
          <w:lang w:val="zh-CN"/>
        </w:rPr>
      </w:pPr>
      <w:r>
        <w:rPr>
          <w:rFonts w:hint="eastAsia" w:ascii="仿宋" w:hAnsi="仿宋" w:eastAsia="仿宋" w:cs="仿宋"/>
          <w:b/>
          <w:bCs/>
          <w:i w:val="0"/>
          <w:iCs w:val="0"/>
          <w:color w:val="auto"/>
          <w:sz w:val="28"/>
          <w:szCs w:val="28"/>
          <w:highlight w:val="none"/>
          <w:lang w:val="zh-CN"/>
        </w:rPr>
        <w:t>附件3</w:t>
      </w:r>
    </w:p>
    <w:p>
      <w:pPr>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rPr>
        <w:t xml:space="preserve"> （最后）谈判响应报价表</w:t>
      </w:r>
    </w:p>
    <w:p>
      <w:pPr>
        <w:pStyle w:val="22"/>
        <w:ind w:firstLine="48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zh-CN"/>
        </w:rPr>
        <w:t>（单独提供，无需装订在响应文件中）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项目编号及项目名称</w:t>
            </w:r>
          </w:p>
        </w:tc>
        <w:tc>
          <w:tcPr>
            <w:tcW w:w="6981" w:type="dxa"/>
            <w:vAlign w:val="center"/>
          </w:tcPr>
          <w:p>
            <w:pPr>
              <w:ind w:left="189" w:leftChars="90" w:firstLine="1"/>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ind w:left="189" w:leftChars="90" w:firstLine="1"/>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响应总价</w:t>
            </w:r>
          </w:p>
        </w:tc>
        <w:tc>
          <w:tcPr>
            <w:tcW w:w="6981" w:type="dxa"/>
            <w:vAlign w:val="center"/>
          </w:tcPr>
          <w:p>
            <w:pPr>
              <w:ind w:left="189" w:leftChars="90" w:firstLine="1"/>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人民币（大写）：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 整（小写：¥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lang w:eastAsia="zh-CN"/>
              </w:rPr>
            </w:pPr>
            <w:r>
              <w:rPr>
                <w:rFonts w:hint="eastAsia" w:ascii="仿宋" w:hAnsi="仿宋" w:eastAsia="仿宋" w:cs="仿宋"/>
                <w:b/>
                <w:i w:val="0"/>
                <w:iCs w:val="0"/>
                <w:color w:val="auto"/>
                <w:sz w:val="24"/>
                <w:highlight w:val="none"/>
                <w:lang w:val="en-US" w:eastAsia="zh-CN"/>
              </w:rPr>
              <w:t>交货</w:t>
            </w:r>
            <w:r>
              <w:rPr>
                <w:rFonts w:hint="eastAsia" w:ascii="仿宋" w:hAnsi="仿宋" w:eastAsia="仿宋" w:cs="仿宋"/>
                <w:b/>
                <w:i w:val="0"/>
                <w:iCs w:val="0"/>
                <w:color w:val="auto"/>
                <w:sz w:val="24"/>
                <w:highlight w:val="none"/>
                <w:lang w:eastAsia="zh-CN"/>
              </w:rPr>
              <w:t>期</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lang w:eastAsia="zh-CN"/>
              </w:rPr>
            </w:pPr>
            <w:r>
              <w:rPr>
                <w:rFonts w:hint="eastAsia" w:ascii="仿宋" w:hAnsi="仿宋" w:eastAsia="仿宋" w:cs="仿宋"/>
                <w:b/>
                <w:i w:val="0"/>
                <w:iCs w:val="0"/>
                <w:color w:val="auto"/>
                <w:sz w:val="24"/>
                <w:highlight w:val="none"/>
                <w:lang w:val="en-US" w:eastAsia="zh-CN"/>
              </w:rPr>
              <w:t>交货</w:t>
            </w:r>
            <w:r>
              <w:rPr>
                <w:rFonts w:hint="eastAsia" w:ascii="仿宋" w:hAnsi="仿宋" w:eastAsia="仿宋" w:cs="仿宋"/>
                <w:b/>
                <w:i w:val="0"/>
                <w:iCs w:val="0"/>
                <w:color w:val="auto"/>
                <w:sz w:val="24"/>
                <w:highlight w:val="none"/>
                <w:lang w:eastAsia="zh-CN"/>
              </w:rPr>
              <w:t>地点</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备注</w:t>
            </w:r>
          </w:p>
        </w:tc>
        <w:tc>
          <w:tcPr>
            <w:tcW w:w="6981" w:type="dxa"/>
            <w:vAlign w:val="center"/>
          </w:tcPr>
          <w:p>
            <w:pPr>
              <w:rPr>
                <w:rFonts w:hint="eastAsia" w:ascii="仿宋" w:hAnsi="仿宋" w:eastAsia="仿宋" w:cs="仿宋"/>
                <w:i w:val="0"/>
                <w:iCs w:val="0"/>
                <w:color w:val="auto"/>
                <w:sz w:val="24"/>
                <w:highlight w:val="none"/>
              </w:rPr>
            </w:pPr>
          </w:p>
        </w:tc>
      </w:tr>
    </w:tbl>
    <w:p>
      <w:pPr>
        <w:autoSpaceDE w:val="0"/>
        <w:autoSpaceDN w:val="0"/>
        <w:adjustRightInd w:val="0"/>
        <w:snapToGrid w:val="0"/>
        <w:spacing w:line="360" w:lineRule="auto"/>
        <w:jc w:val="right"/>
        <w:rPr>
          <w:rFonts w:hint="eastAsia" w:ascii="仿宋" w:hAnsi="仿宋" w:eastAsia="仿宋" w:cs="仿宋"/>
          <w:i w:val="0"/>
          <w:iCs w:val="0"/>
          <w:color w:val="auto"/>
          <w:sz w:val="24"/>
          <w:highlight w:val="none"/>
        </w:rPr>
      </w:pPr>
    </w:p>
    <w:p>
      <w:pPr>
        <w:autoSpaceDE w:val="0"/>
        <w:autoSpaceDN w:val="0"/>
        <w:adjustRightInd w:val="0"/>
        <w:snapToGrid w:val="0"/>
        <w:spacing w:line="360" w:lineRule="auto"/>
        <w:rPr>
          <w:rFonts w:hint="eastAsia" w:ascii="仿宋" w:hAnsi="仿宋" w:eastAsia="仿宋" w:cs="仿宋"/>
          <w:b/>
          <w:bCs/>
          <w:i w:val="0"/>
          <w:iCs w:val="0"/>
          <w:color w:val="auto"/>
          <w:sz w:val="24"/>
          <w:highlight w:val="none"/>
        </w:rPr>
      </w:pPr>
    </w:p>
    <w:p>
      <w:pPr>
        <w:autoSpaceDE w:val="0"/>
        <w:autoSpaceDN w:val="0"/>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 xml:space="preserve">                                                                                     </w:t>
      </w:r>
    </w:p>
    <w:p>
      <w:pPr>
        <w:autoSpaceDE w:val="0"/>
        <w:autoSpaceDN w:val="0"/>
        <w:adjustRightInd w:val="0"/>
        <w:snapToGrid w:val="0"/>
        <w:spacing w:line="360" w:lineRule="auto"/>
        <w:ind w:firstLine="1080" w:firstLineChars="45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（公章）：                            </w:t>
      </w:r>
      <w:r>
        <w:rPr>
          <w:rFonts w:hint="eastAsia" w:ascii="仿宋" w:hAnsi="仿宋" w:eastAsia="仿宋" w:cs="仿宋"/>
          <w:b w:val="0"/>
          <w:bCs w:val="0"/>
          <w:i w:val="0"/>
          <w:iCs w:val="0"/>
          <w:color w:val="auto"/>
          <w:sz w:val="24"/>
          <w:highlight w:val="none"/>
          <w:lang w:val="zh-CN"/>
        </w:rPr>
        <w:t>（签字）：</w:t>
      </w: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pPr>
        <w:pStyle w:val="22"/>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br w:type="page"/>
      </w:r>
    </w:p>
    <w:p>
      <w:pPr>
        <w:autoSpaceDE w:val="0"/>
        <w:autoSpaceDN w:val="0"/>
        <w:adjustRightInd w:val="0"/>
        <w:snapToGrid w:val="0"/>
        <w:spacing w:line="360" w:lineRule="auto"/>
        <w:ind w:firstLine="210" w:firstLineChars="100"/>
        <w:rPr>
          <w:rFonts w:hint="eastAsia" w:ascii="仿宋" w:hAnsi="仿宋" w:eastAsia="仿宋" w:cs="仿宋"/>
          <w:i w:val="0"/>
          <w:iCs w:val="0"/>
          <w:color w:val="auto"/>
          <w:highlight w:val="none"/>
        </w:rPr>
      </w:pPr>
    </w:p>
    <w:p>
      <w:pPr>
        <w:keepNext/>
        <w:keepLines/>
        <w:autoSpaceDE w:val="0"/>
        <w:autoSpaceDN w:val="0"/>
        <w:adjustRightInd w:val="0"/>
        <w:spacing w:line="360" w:lineRule="auto"/>
        <w:jc w:val="center"/>
        <w:outlineLvl w:val="2"/>
        <w:rPr>
          <w:rFonts w:hint="eastAsia" w:ascii="仿宋" w:hAnsi="仿宋" w:eastAsia="仿宋" w:cs="仿宋"/>
          <w:b/>
          <w:i w:val="0"/>
          <w:iCs w:val="0"/>
          <w:color w:val="auto"/>
          <w:kern w:val="0"/>
          <w:sz w:val="32"/>
          <w:szCs w:val="32"/>
          <w:highlight w:val="none"/>
          <w:shd w:val="clear" w:color="auto" w:fill="FFFFFF"/>
        </w:rPr>
      </w:pPr>
      <w:r>
        <w:rPr>
          <w:rFonts w:hint="eastAsia" w:ascii="仿宋" w:hAnsi="仿宋" w:eastAsia="仿宋" w:cs="仿宋"/>
          <w:b/>
          <w:i w:val="0"/>
          <w:iCs w:val="0"/>
          <w:color w:val="auto"/>
          <w:kern w:val="0"/>
          <w:sz w:val="32"/>
          <w:szCs w:val="32"/>
          <w:highlight w:val="none"/>
          <w:shd w:val="clear" w:color="auto" w:fill="FFFFFF"/>
        </w:rPr>
        <w:t>（最后）分项报价表</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                      （单独提供，无需装订在响应文件中）</w:t>
      </w:r>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142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称</w:t>
            </w:r>
          </w:p>
        </w:tc>
        <w:tc>
          <w:tcPr>
            <w:tcW w:w="1188"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规格</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型号</w:t>
            </w:r>
          </w:p>
        </w:tc>
        <w:tc>
          <w:tcPr>
            <w:tcW w:w="1560"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制造</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厂家</w:t>
            </w:r>
          </w:p>
        </w:tc>
        <w:tc>
          <w:tcPr>
            <w:tcW w:w="992"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数量</w:t>
            </w:r>
          </w:p>
        </w:tc>
        <w:tc>
          <w:tcPr>
            <w:tcW w:w="127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单价（元）</w:t>
            </w:r>
          </w:p>
        </w:tc>
        <w:tc>
          <w:tcPr>
            <w:tcW w:w="1134"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小计（元）</w:t>
            </w:r>
          </w:p>
        </w:tc>
        <w:tc>
          <w:tcPr>
            <w:tcW w:w="70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bl>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4"/>
          <w:szCs w:val="28"/>
          <w:highlight w:val="none"/>
        </w:rPr>
      </w:pPr>
    </w:p>
    <w:p>
      <w:pPr>
        <w:adjustRightInd w:val="0"/>
        <w:snapToGrid w:val="0"/>
        <w:spacing w:line="360" w:lineRule="auto"/>
        <w:ind w:firstLine="120" w:firstLineChars="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 xml:space="preserve">                         法定代表人或授权代表</w:t>
      </w:r>
    </w:p>
    <w:p>
      <w:pPr>
        <w:adjustRightInd w:val="0"/>
        <w:snapToGrid w:val="0"/>
        <w:spacing w:line="360" w:lineRule="auto"/>
        <w:ind w:left="-525" w:leftChars="-250" w:firstLine="720" w:firstLineChars="3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（公章）：                          （签字）：</w:t>
      </w:r>
    </w:p>
    <w:p>
      <w:pPr>
        <w:widowControl/>
        <w:jc w:val="left"/>
        <w:rPr>
          <w:rFonts w:hint="eastAsia"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rPr>
        <w:br w:type="page"/>
      </w:r>
    </w:p>
    <w:p>
      <w:pPr>
        <w:widowControl/>
        <w:jc w:val="left"/>
        <w:rPr>
          <w:rFonts w:hint="eastAsia" w:ascii="仿宋" w:hAnsi="仿宋" w:eastAsia="仿宋" w:cs="仿宋"/>
          <w:b/>
          <w:bCs/>
          <w:i w:val="0"/>
          <w:iCs w:val="0"/>
          <w:color w:val="auto"/>
          <w:sz w:val="30"/>
          <w:szCs w:val="30"/>
          <w:highlight w:val="none"/>
        </w:rPr>
        <w:sectPr>
          <w:headerReference r:id="rId9" w:type="default"/>
          <w:footerReference r:id="rId10"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Pr>
        <w:tabs>
          <w:tab w:val="left" w:pos="993"/>
          <w:tab w:val="left" w:pos="1030"/>
          <w:tab w:val="left" w:pos="8364"/>
        </w:tabs>
        <w:snapToGrid w:val="0"/>
        <w:spacing w:after="156" w:afterLines="50" w:line="360" w:lineRule="auto"/>
        <w:ind w:right="-57" w:rightChars="-27"/>
        <w:jc w:val="left"/>
        <w:rPr>
          <w:rFonts w:hint="eastAsia" w:ascii="仿宋" w:hAnsi="仿宋" w:eastAsia="仿宋" w:cs="仿宋"/>
          <w:b/>
          <w:sz w:val="32"/>
          <w:szCs w:val="32"/>
          <w:shd w:val="clear" w:color="auto" w:fill="FFFFFF"/>
        </w:rPr>
      </w:pPr>
      <w:r>
        <w:rPr>
          <w:rFonts w:hint="eastAsia" w:ascii="仿宋" w:hAnsi="仿宋" w:eastAsia="仿宋" w:cs="仿宋"/>
          <w:b/>
          <w:kern w:val="0"/>
          <w:sz w:val="32"/>
          <w:szCs w:val="32"/>
          <w:shd w:val="clear" w:color="auto" w:fill="FFFFFF"/>
          <w:lang w:val="en-US" w:eastAsia="zh-CN" w:bidi="ar-SA"/>
        </w:rPr>
        <w:t>附件4：</w:t>
      </w:r>
      <w:r>
        <w:rPr>
          <w:rFonts w:hint="eastAsia" w:ascii="仿宋" w:hAnsi="仿宋" w:eastAsia="仿宋" w:cs="仿宋"/>
          <w:b/>
          <w:sz w:val="32"/>
          <w:szCs w:val="32"/>
          <w:shd w:val="clear" w:color="auto" w:fill="FFFFFF"/>
        </w:rPr>
        <w:t>附件：信用承诺书（须上传至信用中国（陕西榆林）附件中进行公示）</w:t>
      </w:r>
    </w:p>
    <w:p>
      <w:pPr>
        <w:widowControl/>
        <w:adjustRightInd w:val="0"/>
        <w:snapToGrid w:val="0"/>
        <w:spacing w:line="480" w:lineRule="auto"/>
        <w:jc w:val="left"/>
        <w:rPr>
          <w:rFonts w:hint="eastAsia"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w:t>
      </w:r>
    </w:p>
    <w:p>
      <w:pPr>
        <w:widowControl/>
        <w:adjustRightInd w:val="0"/>
        <w:snapToGrid w:val="0"/>
        <w:spacing w:line="480" w:lineRule="auto"/>
        <w:jc w:val="left"/>
        <w:rPr>
          <w:rFonts w:hint="eastAsia" w:ascii="仿宋" w:hAnsi="仿宋" w:eastAsia="仿宋" w:cs="仿宋"/>
          <w:sz w:val="24"/>
          <w:u w:val="single"/>
        </w:rPr>
      </w:pPr>
      <w:r>
        <w:rPr>
          <w:rFonts w:hint="eastAsia" w:ascii="仿宋" w:hAnsi="仿宋" w:eastAsia="仿宋" w:cs="仿宋"/>
          <w:sz w:val="24"/>
        </w:rPr>
        <w:t>统一社会信用代码：</w:t>
      </w:r>
      <w:r>
        <w:rPr>
          <w:rFonts w:hint="eastAsia" w:ascii="仿宋" w:hAnsi="仿宋" w:eastAsia="仿宋" w:cs="仿宋"/>
          <w:sz w:val="24"/>
          <w:u w:val="single"/>
        </w:rPr>
        <w:t xml:space="preserve">                             </w:t>
      </w:r>
      <w:r>
        <w:rPr>
          <w:rFonts w:hint="eastAsia" w:ascii="仿宋" w:hAnsi="仿宋" w:eastAsia="仿宋" w:cs="仿宋"/>
          <w:sz w:val="24"/>
        </w:rPr>
        <w:t>法人代表：</w:t>
      </w:r>
      <w:r>
        <w:rPr>
          <w:rFonts w:hint="eastAsia" w:ascii="仿宋" w:hAnsi="仿宋" w:eastAsia="仿宋" w:cs="仿宋"/>
          <w:sz w:val="24"/>
          <w:u w:val="single"/>
        </w:rPr>
        <w:t xml:space="preserve">                  </w:t>
      </w:r>
    </w:p>
    <w:p>
      <w:pPr>
        <w:widowControl/>
        <w:adjustRightInd w:val="0"/>
        <w:snapToGrid w:val="0"/>
        <w:spacing w:line="480" w:lineRule="auto"/>
        <w:jc w:val="left"/>
        <w:rPr>
          <w:rFonts w:hint="eastAsia" w:ascii="仿宋" w:hAnsi="仿宋" w:eastAsia="仿宋" w:cs="仿宋"/>
          <w:sz w:val="24"/>
          <w:u w:val="single"/>
        </w:rPr>
      </w:pPr>
      <w:r>
        <w:rPr>
          <w:rFonts w:hint="eastAsia" w:ascii="仿宋" w:hAnsi="仿宋" w:eastAsia="仿宋" w:cs="仿宋"/>
          <w:sz w:val="24"/>
        </w:rPr>
        <w:t>承诺有效期限：</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val="0"/>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在</w:t>
      </w:r>
      <w:r>
        <w:rPr>
          <w:rFonts w:hint="eastAsia" w:ascii="仿宋" w:hAnsi="仿宋" w:eastAsia="仿宋" w:cs="仿宋"/>
          <w:sz w:val="24"/>
          <w:u w:val="single"/>
        </w:rPr>
        <w:t xml:space="preserve">                                   </w:t>
      </w:r>
      <w:r>
        <w:rPr>
          <w:rFonts w:hint="eastAsia" w:ascii="仿宋" w:hAnsi="仿宋" w:eastAsia="仿宋" w:cs="仿宋"/>
          <w:sz w:val="24"/>
        </w:rPr>
        <w:t>项目招投标活动中，我公司（单位）郑重作出以下信用承诺：</w:t>
      </w:r>
    </w:p>
    <w:p>
      <w:pPr>
        <w:widowControl/>
        <w:adjustRightInd w:val="0"/>
        <w:snapToGrid w:val="0"/>
        <w:spacing w:line="480" w:lineRule="auto"/>
        <w:ind w:firstLine="480"/>
        <w:jc w:val="left"/>
        <w:rPr>
          <w:rFonts w:hint="eastAsia" w:ascii="仿宋" w:hAnsi="仿宋" w:eastAsia="仿宋" w:cs="仿宋"/>
          <w:sz w:val="24"/>
        </w:rPr>
      </w:pPr>
      <w:r>
        <w:rPr>
          <w:rFonts w:hint="eastAsia" w:ascii="仿宋" w:hAnsi="仿宋" w:eastAsia="仿宋" w:cs="仿宋"/>
          <w:sz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pPr>
        <w:widowControl/>
        <w:adjustRightInd w:val="0"/>
        <w:snapToGrid w:val="0"/>
        <w:spacing w:line="480" w:lineRule="auto"/>
        <w:ind w:firstLine="480"/>
        <w:jc w:val="left"/>
        <w:rPr>
          <w:rFonts w:hint="eastAsia" w:ascii="仿宋" w:hAnsi="仿宋" w:eastAsia="仿宋" w:cs="仿宋"/>
          <w:sz w:val="24"/>
        </w:rPr>
      </w:pPr>
      <w:r>
        <w:rPr>
          <w:rFonts w:hint="eastAsia" w:ascii="仿宋" w:hAnsi="仿宋" w:eastAsia="仿宋" w:cs="仿宋"/>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widowControl/>
        <w:adjustRightInd w:val="0"/>
        <w:snapToGrid w:val="0"/>
        <w:spacing w:line="360" w:lineRule="auto"/>
        <w:ind w:firstLine="482"/>
        <w:jc w:val="left"/>
        <w:rPr>
          <w:rFonts w:hint="eastAsia" w:ascii="仿宋" w:hAnsi="仿宋" w:eastAsia="仿宋" w:cs="仿宋"/>
          <w:sz w:val="24"/>
        </w:rPr>
      </w:pPr>
      <w:r>
        <w:rPr>
          <w:rFonts w:hint="eastAsia" w:ascii="仿宋" w:hAnsi="仿宋" w:eastAsia="仿宋" w:cs="仿宋"/>
          <w:sz w:val="24"/>
        </w:rPr>
        <w:t>（三）自愿接受招投标监督部门和有关行政监督部门的依法检查。</w:t>
      </w:r>
    </w:p>
    <w:p>
      <w:pPr>
        <w:widowControl/>
        <w:adjustRightInd w:val="0"/>
        <w:snapToGrid w:val="0"/>
        <w:spacing w:line="480" w:lineRule="auto"/>
        <w:ind w:firstLine="480"/>
        <w:jc w:val="left"/>
        <w:rPr>
          <w:rFonts w:hint="eastAsia" w:ascii="仿宋" w:hAnsi="仿宋" w:eastAsia="仿宋" w:cs="仿宋"/>
          <w:sz w:val="24"/>
        </w:rPr>
      </w:pPr>
      <w:r>
        <w:rPr>
          <w:rFonts w:hint="eastAsia" w:ascii="仿宋" w:hAnsi="仿宋" w:eastAsia="仿宋" w:cs="仿宋"/>
          <w:sz w:val="24"/>
        </w:rPr>
        <w:t>（四）同意将此信用承诺纳入陕西省公共信用信息平台和榆林市公共信用信息共享平台，并上网公示，接受社会监督。</w:t>
      </w:r>
    </w:p>
    <w:p>
      <w:pPr>
        <w:widowControl/>
        <w:adjustRightInd w:val="0"/>
        <w:snapToGrid w:val="0"/>
        <w:spacing w:line="480" w:lineRule="auto"/>
        <w:ind w:firstLine="480"/>
        <w:jc w:val="left"/>
        <w:rPr>
          <w:rFonts w:hint="eastAsia" w:ascii="仿宋" w:hAnsi="仿宋" w:eastAsia="仿宋" w:cs="仿宋"/>
          <w:sz w:val="24"/>
        </w:rPr>
      </w:pPr>
      <w:r>
        <w:rPr>
          <w:rFonts w:hint="eastAsia" w:ascii="仿宋" w:hAnsi="仿宋" w:eastAsia="仿宋" w:cs="仿宋"/>
          <w:sz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pPr>
        <w:rPr>
          <w:rFonts w:hint="eastAsia" w:ascii="仿宋" w:hAnsi="仿宋" w:eastAsia="仿宋" w:cs="仿宋"/>
        </w:rPr>
      </w:pPr>
    </w:p>
    <w:p>
      <w:pPr>
        <w:widowControl/>
        <w:tabs>
          <w:tab w:val="left" w:pos="4395"/>
        </w:tabs>
        <w:adjustRightInd w:val="0"/>
        <w:snapToGrid w:val="0"/>
        <w:spacing w:line="480" w:lineRule="auto"/>
        <w:jc w:val="left"/>
        <w:rPr>
          <w:rFonts w:hint="eastAsia" w:ascii="仿宋" w:hAnsi="仿宋" w:eastAsia="仿宋" w:cs="仿宋"/>
          <w:sz w:val="24"/>
        </w:rPr>
      </w:pPr>
      <w:r>
        <w:rPr>
          <w:rFonts w:hint="eastAsia" w:ascii="仿宋" w:hAnsi="仿宋" w:eastAsia="仿宋" w:cs="仿宋"/>
          <w:sz w:val="24"/>
        </w:rPr>
        <w:t>法定代表人（签章）：                 投标人（盖章）：</w:t>
      </w:r>
    </w:p>
    <w:p>
      <w:pPr>
        <w:adjustRightInd w:val="0"/>
        <w:snapToGrid w:val="0"/>
        <w:spacing w:line="480" w:lineRule="auto"/>
        <w:jc w:val="center"/>
        <w:rPr>
          <w:rFonts w:hint="eastAsia" w:ascii="仿宋" w:hAnsi="仿宋" w:eastAsia="仿宋" w:cs="仿宋"/>
          <w:sz w:val="24"/>
        </w:rPr>
      </w:pPr>
    </w:p>
    <w:p>
      <w:pPr>
        <w:adjustRightInd w:val="0"/>
        <w:snapToGrid w:val="0"/>
        <w:spacing w:line="480" w:lineRule="auto"/>
        <w:jc w:val="center"/>
        <w:rPr>
          <w:rFonts w:hint="eastAsia" w:ascii="仿宋" w:hAnsi="仿宋" w:eastAsia="仿宋" w:cs="仿宋"/>
          <w:sz w:val="24"/>
        </w:rPr>
      </w:pPr>
      <w:r>
        <w:rPr>
          <w:rFonts w:hint="eastAsia" w:ascii="仿宋" w:hAnsi="仿宋" w:eastAsia="仿宋" w:cs="仿宋"/>
          <w:sz w:val="24"/>
        </w:rPr>
        <w:t xml:space="preserve">                             承诺时间：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auto"/>
        <w:ind w:right="-2"/>
        <w:jc w:val="center"/>
        <w:rPr>
          <w:rFonts w:hint="eastAsia" w:ascii="仿宋" w:hAnsi="仿宋" w:eastAsia="仿宋" w:cs="仿宋"/>
          <w:b/>
          <w:bCs/>
          <w:sz w:val="32"/>
          <w:szCs w:val="32"/>
        </w:rPr>
        <w:sectPr>
          <w:pgSz w:w="11906" w:h="16838"/>
          <w:pgMar w:top="1440" w:right="1531" w:bottom="1440" w:left="1531" w:header="720" w:footer="720" w:gutter="0"/>
          <w:cols w:space="720" w:num="1"/>
          <w:docGrid w:type="lines" w:linePitch="312" w:charSpace="0"/>
        </w:sectPr>
      </w:pPr>
    </w:p>
    <w:p>
      <w:pPr>
        <w:spacing w:line="560" w:lineRule="exact"/>
        <w:ind w:right="-2"/>
        <w:jc w:val="center"/>
        <w:rPr>
          <w:rFonts w:hint="eastAsia" w:ascii="仿宋" w:hAnsi="仿宋" w:eastAsia="仿宋" w:cs="仿宋"/>
          <w:sz w:val="24"/>
        </w:rPr>
      </w:pPr>
      <w:r>
        <w:rPr>
          <w:rFonts w:hint="eastAsia" w:ascii="仿宋" w:hAnsi="仿宋" w:eastAsia="仿宋" w:cs="仿宋"/>
          <w:b/>
          <w:bCs/>
          <w:sz w:val="32"/>
          <w:szCs w:val="32"/>
        </w:rPr>
        <w:t>投标人委托代理人员信用承诺书</w:t>
      </w:r>
    </w:p>
    <w:p>
      <w:pPr>
        <w:widowControl/>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在</w:t>
      </w:r>
      <w:r>
        <w:rPr>
          <w:rFonts w:hint="eastAsia" w:ascii="仿宋" w:hAnsi="仿宋" w:eastAsia="仿宋" w:cs="仿宋"/>
          <w:sz w:val="24"/>
          <w:u w:val="single"/>
        </w:rPr>
        <w:t xml:space="preserve">                  </w:t>
      </w:r>
      <w:r>
        <w:rPr>
          <w:rFonts w:hint="eastAsia" w:ascii="仿宋" w:hAnsi="仿宋" w:eastAsia="仿宋" w:cs="仿宋"/>
          <w:sz w:val="24"/>
        </w:rPr>
        <w:t>项目招投标活动中，我个人郑重作出以下信用承诺：</w:t>
      </w:r>
    </w:p>
    <w:p>
      <w:pPr>
        <w:widowControl/>
        <w:adjustRightInd w:val="0"/>
        <w:snapToGrid w:val="0"/>
        <w:spacing w:line="540" w:lineRule="exact"/>
        <w:ind w:firstLine="480"/>
        <w:jc w:val="left"/>
        <w:rPr>
          <w:rFonts w:hint="eastAsia" w:ascii="仿宋" w:hAnsi="仿宋" w:eastAsia="仿宋" w:cs="仿宋"/>
          <w:sz w:val="24"/>
        </w:rPr>
      </w:pPr>
      <w:r>
        <w:rPr>
          <w:rFonts w:hint="eastAsia" w:ascii="仿宋" w:hAnsi="仿宋" w:eastAsia="仿宋" w:cs="仿宋"/>
          <w:sz w:val="24"/>
        </w:rPr>
        <w:t>（一）能严格遵守法律法规、职业道德和行业规范，具有独立承担民事责任的能力；无法律法规规定禁止开展从业活动情形。我所递交的文件资料合法、真实、准确、完整、有效，无弄虚作假等情形。</w:t>
      </w:r>
    </w:p>
    <w:p>
      <w:pPr>
        <w:widowControl/>
        <w:adjustRightInd w:val="0"/>
        <w:snapToGrid w:val="0"/>
        <w:spacing w:line="540" w:lineRule="exact"/>
        <w:ind w:firstLine="480"/>
        <w:jc w:val="left"/>
        <w:rPr>
          <w:rFonts w:hint="eastAsia" w:ascii="仿宋" w:hAnsi="仿宋" w:eastAsia="仿宋" w:cs="仿宋"/>
          <w:sz w:val="24"/>
        </w:rPr>
      </w:pPr>
      <w:r>
        <w:rPr>
          <w:rFonts w:hint="eastAsia" w:ascii="仿宋" w:hAnsi="仿宋" w:eastAsia="仿宋" w:cs="仿宋"/>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widowControl/>
        <w:adjustRightInd w:val="0"/>
        <w:snapToGrid w:val="0"/>
        <w:spacing w:line="540" w:lineRule="exact"/>
        <w:ind w:firstLine="480"/>
        <w:jc w:val="left"/>
        <w:rPr>
          <w:rFonts w:hint="eastAsia" w:ascii="仿宋" w:hAnsi="仿宋" w:eastAsia="仿宋" w:cs="仿宋"/>
          <w:sz w:val="24"/>
        </w:rPr>
      </w:pPr>
      <w:r>
        <w:rPr>
          <w:rFonts w:hint="eastAsia" w:ascii="仿宋" w:hAnsi="仿宋" w:eastAsia="仿宋" w:cs="仿宋"/>
          <w:sz w:val="24"/>
        </w:rPr>
        <w:t>（三）自愿接受招投标监督部门和有关行政监督部门的依法检查。</w:t>
      </w:r>
    </w:p>
    <w:p>
      <w:pPr>
        <w:widowControl/>
        <w:adjustRightInd w:val="0"/>
        <w:snapToGrid w:val="0"/>
        <w:spacing w:line="540" w:lineRule="exact"/>
        <w:ind w:firstLine="480"/>
        <w:jc w:val="left"/>
        <w:rPr>
          <w:rFonts w:hint="eastAsia" w:ascii="仿宋" w:hAnsi="仿宋" w:eastAsia="仿宋" w:cs="仿宋"/>
          <w:sz w:val="24"/>
        </w:rPr>
      </w:pPr>
      <w:r>
        <w:rPr>
          <w:rFonts w:hint="eastAsia" w:ascii="仿宋" w:hAnsi="仿宋" w:eastAsia="仿宋" w:cs="仿宋"/>
          <w:sz w:val="24"/>
        </w:rPr>
        <w:t>（四）同意将此信用承诺纳入陕西省公共信用信息平台和榆林市公共信用信息共享平台，并接受社会监督。</w:t>
      </w:r>
    </w:p>
    <w:p>
      <w:pPr>
        <w:widowControl/>
        <w:adjustRightInd w:val="0"/>
        <w:snapToGrid w:val="0"/>
        <w:spacing w:line="540" w:lineRule="exact"/>
        <w:ind w:firstLine="480"/>
        <w:jc w:val="left"/>
        <w:rPr>
          <w:rFonts w:hint="eastAsia" w:ascii="仿宋" w:hAnsi="仿宋" w:eastAsia="仿宋" w:cs="仿宋"/>
          <w:sz w:val="24"/>
        </w:rPr>
      </w:pPr>
      <w:r>
        <w:rPr>
          <w:rFonts w:hint="eastAsia" w:ascii="仿宋" w:hAnsi="仿宋" w:eastAsia="仿宋" w:cs="仿宋"/>
          <w:sz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pPr>
        <w:widowControl/>
        <w:spacing w:line="320" w:lineRule="exact"/>
        <w:ind w:firstLine="482"/>
        <w:jc w:val="left"/>
        <w:rPr>
          <w:rFonts w:hint="eastAsia" w:ascii="仿宋" w:hAnsi="仿宋" w:eastAsia="仿宋" w:cs="仿宋"/>
          <w:sz w:val="24"/>
        </w:rPr>
      </w:pPr>
    </w:p>
    <w:p>
      <w:pPr>
        <w:widowControl/>
        <w:ind w:firstLine="482"/>
        <w:jc w:val="left"/>
        <w:rPr>
          <w:rFonts w:hint="eastAsia" w:ascii="仿宋" w:hAnsi="仿宋" w:eastAsia="仿宋" w:cs="仿宋"/>
          <w:sz w:val="24"/>
          <w:u w:val="single"/>
        </w:rPr>
      </w:pPr>
      <w:r>
        <w:rPr>
          <w:rFonts w:hint="eastAsia" w:ascii="仿宋" w:hAnsi="仿宋" w:eastAsia="仿宋" w:cs="仿宋"/>
          <w:sz w:val="24"/>
        </w:rPr>
        <w:t>承诺有效期限：</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ind w:firstLine="482"/>
        <w:jc w:val="left"/>
        <w:rPr>
          <w:rFonts w:hint="eastAsia"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w:t>
      </w:r>
    </w:p>
    <w:p>
      <w:pPr>
        <w:widowControl/>
        <w:ind w:firstLine="482"/>
        <w:jc w:val="left"/>
        <w:rPr>
          <w:rFonts w:hint="eastAsia" w:ascii="仿宋" w:hAnsi="仿宋" w:eastAsia="仿宋" w:cs="仿宋"/>
          <w:sz w:val="24"/>
          <w:u w:val="single"/>
        </w:rPr>
      </w:pPr>
      <w:r>
        <w:rPr>
          <w:rFonts w:hint="eastAsia" w:ascii="仿宋" w:hAnsi="仿宋" w:eastAsia="仿宋" w:cs="仿宋"/>
          <w:sz w:val="24"/>
        </w:rPr>
        <w:t>承诺人（签字或盖章）：</w:t>
      </w:r>
      <w:r>
        <w:rPr>
          <w:rFonts w:hint="eastAsia" w:ascii="仿宋" w:hAnsi="仿宋" w:eastAsia="仿宋" w:cs="仿宋"/>
          <w:sz w:val="24"/>
          <w:u w:val="single"/>
        </w:rPr>
        <w:t xml:space="preserve">                 </w:t>
      </w:r>
    </w:p>
    <w:p>
      <w:pPr>
        <w:ind w:firstLine="480" w:firstLineChars="200"/>
        <w:rPr>
          <w:rFonts w:hint="eastAsia" w:ascii="仿宋" w:hAnsi="仿宋" w:eastAsia="仿宋" w:cs="仿宋"/>
          <w:b/>
          <w:sz w:val="32"/>
          <w:szCs w:val="32"/>
          <w:shd w:val="clear" w:color="auto" w:fill="FFFFFF"/>
          <w:lang w:val="zh-CN"/>
        </w:rPr>
      </w:pPr>
      <w:r>
        <w:rPr>
          <w:rFonts w:hint="eastAsia" w:ascii="仿宋" w:hAnsi="仿宋" w:eastAsia="仿宋" w:cs="仿宋"/>
          <w:sz w:val="24"/>
        </w:rPr>
        <w:t>承诺时间：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val="0"/>
        <w:snapToGrid w:val="0"/>
        <w:spacing w:line="540" w:lineRule="exact"/>
        <w:jc w:val="left"/>
        <w:rPr>
          <w:rFonts w:hint="eastAsia" w:ascii="仿宋" w:hAnsi="仿宋" w:eastAsia="仿宋" w:cs="仿宋"/>
          <w:kern w:val="0"/>
          <w:sz w:val="24"/>
        </w:rPr>
      </w:pPr>
    </w:p>
    <w:p>
      <w:pPr>
        <w:rPr>
          <w:rFonts w:hint="eastAsia" w:ascii="仿宋" w:hAnsi="仿宋" w:eastAsia="仿宋" w:cs="仿宋"/>
          <w:b/>
          <w:bCs/>
          <w:lang w:eastAsia="zh-CN"/>
        </w:rPr>
      </w:pPr>
      <w:r>
        <w:rPr>
          <w:rFonts w:hint="eastAsia" w:ascii="仿宋" w:hAnsi="仿宋" w:eastAsia="仿宋" w:cs="仿宋"/>
          <w:b/>
          <w:bCs/>
          <w:lang w:eastAsia="zh-CN"/>
        </w:rPr>
        <w:br w:type="page"/>
      </w:r>
    </w:p>
    <w:p>
      <w:pPr>
        <w:pStyle w:val="3"/>
        <w:jc w:val="center"/>
        <w:rPr>
          <w:rFonts w:hint="eastAsia" w:ascii="仿宋" w:hAnsi="仿宋" w:eastAsia="仿宋" w:cs="仿宋"/>
          <w:b/>
          <w:bCs/>
          <w:lang w:eastAsia="zh-CN"/>
        </w:rPr>
      </w:pPr>
      <w:r>
        <w:rPr>
          <w:rFonts w:hint="eastAsia" w:ascii="仿宋" w:hAnsi="仿宋" w:eastAsia="仿宋" w:cs="仿宋"/>
          <w:b/>
          <w:bCs/>
          <w:lang w:eastAsia="zh-CN"/>
        </w:rPr>
        <w:t>投标信用承诺书</w:t>
      </w:r>
    </w:p>
    <w:p>
      <w:pPr>
        <w:numPr>
          <w:ilvl w:val="0"/>
          <w:numId w:val="0"/>
        </w:numPr>
        <w:snapToGrid w:val="0"/>
        <w:spacing w:line="288" w:lineRule="auto"/>
        <w:rPr>
          <w:rFonts w:hint="eastAsia" w:ascii="仿宋" w:hAnsi="仿宋" w:eastAsia="仿宋" w:cs="仿宋"/>
          <w:sz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eastAsia="zh-CN"/>
        </w:rPr>
        <w:t>名称</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投标人：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统一社会信用代码：                               法人代表：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在本项目标段招投标活动中，我公司（单位）自愿作出以下投标信用承诺：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（一）能严格遵守法律法规、职业道德和行业规范。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pPr>
        <w:pStyle w:val="42"/>
        <w:rPr>
          <w:rFonts w:hint="eastAsia" w:ascii="仿宋" w:hAnsi="仿宋" w:eastAsia="仿宋" w:cs="仿宋"/>
          <w:sz w:val="24"/>
        </w:rPr>
      </w:pPr>
    </w:p>
    <w:p>
      <w:pPr>
        <w:numPr>
          <w:ilvl w:val="0"/>
          <w:numId w:val="0"/>
        </w:num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法定代表人（签章）：             投标人（盖章）：</w:t>
      </w:r>
    </w:p>
    <w:p>
      <w:pPr>
        <w:numPr>
          <w:ilvl w:val="0"/>
          <w:numId w:val="0"/>
        </w:numPr>
        <w:snapToGrid w:val="0"/>
        <w:spacing w:line="288" w:lineRule="auto"/>
        <w:ind w:firstLine="480" w:firstLineChars="200"/>
        <w:rPr>
          <w:rFonts w:hint="eastAsia" w:ascii="仿宋" w:hAnsi="仿宋" w:eastAsia="仿宋" w:cs="仿宋"/>
          <w:sz w:val="24"/>
        </w:rPr>
      </w:pPr>
    </w:p>
    <w:p>
      <w:pPr>
        <w:numPr>
          <w:ilvl w:val="0"/>
          <w:numId w:val="0"/>
        </w:num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承诺时间：       年     月     日</w:t>
      </w:r>
    </w:p>
    <w:p>
      <w:pPr>
        <w:numPr>
          <w:ilvl w:val="0"/>
          <w:numId w:val="0"/>
        </w:numPr>
        <w:snapToGrid w:val="0"/>
        <w:spacing w:line="288" w:lineRule="auto"/>
        <w:ind w:firstLine="480" w:firstLineChars="200"/>
        <w:rPr>
          <w:rFonts w:hint="eastAsia" w:ascii="仿宋" w:hAnsi="仿宋" w:eastAsia="仿宋" w:cs="仿宋"/>
          <w:sz w:val="24"/>
        </w:rPr>
      </w:pPr>
    </w:p>
    <w:p>
      <w:pPr>
        <w:numPr>
          <w:ilvl w:val="0"/>
          <w:numId w:val="0"/>
        </w:numPr>
        <w:snapToGrid w:val="0"/>
        <w:spacing w:line="288" w:lineRule="auto"/>
        <w:ind w:firstLine="482" w:firstLineChars="200"/>
        <w:rPr>
          <w:rFonts w:hint="eastAsia" w:ascii="仿宋" w:hAnsi="仿宋" w:eastAsia="仿宋" w:cs="仿宋"/>
          <w:b/>
          <w:bCs/>
          <w:sz w:val="24"/>
        </w:rPr>
      </w:pPr>
    </w:p>
    <w:p>
      <w:pPr>
        <w:numPr>
          <w:ilvl w:val="0"/>
          <w:numId w:val="0"/>
        </w:numPr>
        <w:snapToGrid w:val="0"/>
        <w:spacing w:line="288" w:lineRule="auto"/>
        <w:ind w:firstLine="482" w:firstLineChars="200"/>
        <w:rPr>
          <w:rFonts w:hint="eastAsia" w:ascii="仿宋" w:hAnsi="仿宋" w:eastAsia="仿宋" w:cs="仿宋"/>
          <w:b/>
          <w:bCs/>
          <w:sz w:val="24"/>
        </w:rPr>
      </w:pPr>
    </w:p>
    <w:p>
      <w:pPr>
        <w:numPr>
          <w:ilvl w:val="0"/>
          <w:numId w:val="0"/>
        </w:numPr>
        <w:snapToGrid w:val="0"/>
        <w:spacing w:line="288" w:lineRule="auto"/>
        <w:ind w:firstLine="482" w:firstLineChars="200"/>
        <w:rPr>
          <w:rFonts w:hint="eastAsia" w:ascii="仿宋" w:hAnsi="仿宋" w:eastAsia="仿宋" w:cs="仿宋"/>
        </w:rPr>
      </w:pPr>
      <w:r>
        <w:rPr>
          <w:rFonts w:hint="eastAsia" w:ascii="仿宋" w:hAnsi="仿宋" w:eastAsia="仿宋" w:cs="仿宋"/>
          <w:b/>
          <w:bCs/>
          <w:sz w:val="24"/>
        </w:rPr>
        <w:t>说明：</w:t>
      </w:r>
      <w:r>
        <w:rPr>
          <w:rFonts w:hint="eastAsia" w:ascii="仿宋" w:hAnsi="仿宋" w:eastAsia="仿宋" w:cs="仿宋"/>
          <w:b/>
          <w:bCs/>
          <w:sz w:val="24"/>
          <w:lang w:eastAsia="zh-CN"/>
        </w:rPr>
        <w:t>（</w:t>
      </w:r>
      <w:r>
        <w:rPr>
          <w:rFonts w:hint="eastAsia" w:ascii="仿宋" w:hAnsi="仿宋" w:eastAsia="仿宋" w:cs="仿宋"/>
          <w:b/>
          <w:bCs/>
          <w:sz w:val="24"/>
          <w:lang w:val="en-US" w:eastAsia="zh-CN"/>
        </w:rPr>
        <w:t>1</w:t>
      </w:r>
      <w:r>
        <w:rPr>
          <w:rFonts w:hint="eastAsia" w:ascii="仿宋" w:hAnsi="仿宋" w:eastAsia="仿宋" w:cs="仿宋"/>
          <w:b/>
          <w:bCs/>
          <w:sz w:val="24"/>
          <w:lang w:eastAsia="zh-CN"/>
        </w:rPr>
        <w:t>）</w:t>
      </w:r>
      <w:r>
        <w:rPr>
          <w:rFonts w:hint="eastAsia" w:ascii="仿宋" w:hAnsi="仿宋" w:eastAsia="仿宋" w:cs="仿宋"/>
          <w:b/>
          <w:bCs/>
          <w:sz w:val="24"/>
        </w:rPr>
        <w:t>本承诺书效力和作用等同投标保证金，其有效期与投标有效期一致</w:t>
      </w:r>
      <w:r>
        <w:rPr>
          <w:rFonts w:hint="eastAsia" w:ascii="仿宋" w:hAnsi="仿宋" w:eastAsia="仿宋" w:cs="仿宋"/>
          <w:b/>
          <w:bCs/>
          <w:sz w:val="24"/>
          <w:lang w:eastAsia="zh-CN"/>
        </w:rPr>
        <w:t>；（</w:t>
      </w:r>
      <w:r>
        <w:rPr>
          <w:rFonts w:hint="eastAsia" w:ascii="仿宋" w:hAnsi="仿宋" w:eastAsia="仿宋" w:cs="仿宋"/>
          <w:b/>
          <w:bCs/>
          <w:sz w:val="24"/>
          <w:lang w:val="en-US" w:eastAsia="zh-CN"/>
        </w:rPr>
        <w:t>2</w:t>
      </w:r>
      <w:r>
        <w:rPr>
          <w:rFonts w:hint="eastAsia" w:ascii="仿宋" w:hAnsi="仿宋" w:eastAsia="仿宋" w:cs="仿宋"/>
          <w:b/>
          <w:bCs/>
          <w:sz w:val="24"/>
          <w:lang w:eastAsia="zh-CN"/>
        </w:rPr>
        <w:t>）</w:t>
      </w:r>
      <w:r>
        <w:rPr>
          <w:rFonts w:hint="eastAsia" w:ascii="仿宋" w:hAnsi="仿宋" w:eastAsia="仿宋" w:cs="仿宋"/>
          <w:b/>
          <w:bCs/>
          <w:sz w:val="24"/>
        </w:rPr>
        <w:t xml:space="preserve"> </w:t>
      </w:r>
      <w:r>
        <w:rPr>
          <w:rFonts w:hint="eastAsia" w:ascii="仿宋" w:hAnsi="仿宋" w:eastAsia="仿宋" w:cs="仿宋"/>
          <w:b/>
          <w:bCs/>
          <w:sz w:val="24"/>
          <w:lang w:eastAsia="zh-CN"/>
        </w:rPr>
        <w:t>附已在网址上申报的信用中国陕西榆林投标信用承诺截图；</w:t>
      </w:r>
    </w:p>
    <w:sectPr>
      <w:footerReference r:id="rId12" w:type="first"/>
      <w:footerReference r:id="rId11" w:type="default"/>
      <w:pgSz w:w="11906" w:h="16838"/>
      <w:pgMar w:top="1440" w:right="1083" w:bottom="1440" w:left="108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rPr>
                              <w:rFonts w:hint="eastAsia"/>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09F9596"/>
    <w:multiLevelType w:val="singleLevel"/>
    <w:tmpl w:val="809F9596"/>
    <w:lvl w:ilvl="0" w:tentative="0">
      <w:start w:val="5"/>
      <w:numFmt w:val="chineseCounting"/>
      <w:suff w:val="space"/>
      <w:lvlText w:val="第%1部分"/>
      <w:lvlJc w:val="left"/>
      <w:rPr>
        <w:rFonts w:hint="eastAsia"/>
      </w:rPr>
    </w:lvl>
  </w:abstractNum>
  <w:abstractNum w:abstractNumId="1">
    <w:nsid w:val="A97CBCDA"/>
    <w:multiLevelType w:val="singleLevel"/>
    <w:tmpl w:val="A97CBCDA"/>
    <w:lvl w:ilvl="0" w:tentative="0">
      <w:start w:val="4"/>
      <w:numFmt w:val="chineseCounting"/>
      <w:suff w:val="space"/>
      <w:lvlText w:val="第%1章"/>
      <w:lvlJc w:val="left"/>
      <w:rPr>
        <w:rFonts w:hint="eastAsia"/>
      </w:rPr>
    </w:lvl>
  </w:abstractNum>
  <w:abstractNum w:abstractNumId="2">
    <w:nsid w:val="B3AE36A1"/>
    <w:multiLevelType w:val="multilevel"/>
    <w:tmpl w:val="B3AE36A1"/>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C6816FEA"/>
    <w:multiLevelType w:val="singleLevel"/>
    <w:tmpl w:val="C6816FEA"/>
    <w:lvl w:ilvl="0" w:tentative="0">
      <w:start w:val="1"/>
      <w:numFmt w:val="decimal"/>
      <w:suff w:val="nothing"/>
      <w:lvlText w:val="%1、"/>
      <w:lvlJc w:val="left"/>
    </w:lvl>
  </w:abstractNum>
  <w:abstractNum w:abstractNumId="4">
    <w:nsid w:val="CD50C85E"/>
    <w:multiLevelType w:val="singleLevel"/>
    <w:tmpl w:val="CD50C85E"/>
    <w:lvl w:ilvl="0" w:tentative="0">
      <w:start w:val="30"/>
      <w:numFmt w:val="decimal"/>
      <w:suff w:val="space"/>
      <w:lvlText w:val="%1."/>
      <w:lvlJc w:val="left"/>
    </w:lvl>
  </w:abstractNum>
  <w:abstractNum w:abstractNumId="5">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6">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31E37D5"/>
    <w:multiLevelType w:val="multilevel"/>
    <w:tmpl w:val="031E37D5"/>
    <w:lvl w:ilvl="0" w:tentative="0">
      <w:start w:val="1"/>
      <w:numFmt w:val="none"/>
      <w:lvlText w:val="一、"/>
      <w:lvlJc w:val="left"/>
      <w:pPr>
        <w:ind w:left="1004"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8777306"/>
    <w:multiLevelType w:val="multilevel"/>
    <w:tmpl w:val="08777306"/>
    <w:lvl w:ilvl="0" w:tentative="0">
      <w:start w:val="1"/>
      <w:numFmt w:val="decimal"/>
      <w:pStyle w:val="298"/>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2">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3">
    <w:nsid w:val="339CA047"/>
    <w:multiLevelType w:val="singleLevel"/>
    <w:tmpl w:val="339CA047"/>
    <w:lvl w:ilvl="0" w:tentative="0">
      <w:start w:val="15"/>
      <w:numFmt w:val="decimal"/>
      <w:suff w:val="space"/>
      <w:lvlText w:val="%1."/>
      <w:lvlJc w:val="left"/>
    </w:lvl>
  </w:abstractNum>
  <w:abstractNum w:abstractNumId="14">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5">
    <w:nsid w:val="6CEA2025"/>
    <w:multiLevelType w:val="multilevel"/>
    <w:tmpl w:val="6CEA2025"/>
    <w:lvl w:ilvl="0" w:tentative="0">
      <w:start w:val="1"/>
      <w:numFmt w:val="none"/>
      <w:pStyle w:val="241"/>
      <w:suff w:val="nothing"/>
      <w:lvlText w:val="%1"/>
      <w:lvlJc w:val="left"/>
      <w:pPr>
        <w:ind w:left="0" w:firstLine="0"/>
      </w:pPr>
      <w:rPr>
        <w:rFonts w:hint="default" w:ascii="Times New Roman" w:hAnsi="Times New Roman"/>
        <w:b/>
        <w:i w:val="0"/>
        <w:sz w:val="21"/>
      </w:rPr>
    </w:lvl>
    <w:lvl w:ilvl="1" w:tentative="0">
      <w:start w:val="1"/>
      <w:numFmt w:val="decimal"/>
      <w:pStyle w:val="242"/>
      <w:suff w:val="nothing"/>
      <w:lvlText w:val="%1%2　"/>
      <w:lvlJc w:val="left"/>
      <w:pPr>
        <w:ind w:left="315" w:firstLine="0"/>
      </w:pPr>
      <w:rPr>
        <w:rFonts w:hint="eastAsia" w:ascii="黑体" w:hAnsi="Times New Roman" w:eastAsia="黑体"/>
        <w:b w:val="0"/>
        <w:i w:val="0"/>
        <w:sz w:val="21"/>
      </w:rPr>
    </w:lvl>
    <w:lvl w:ilvl="2" w:tentative="0">
      <w:start w:val="1"/>
      <w:numFmt w:val="decimal"/>
      <w:pStyle w:val="243"/>
      <w:suff w:val="nothing"/>
      <w:lvlText w:val="%1%2.%3　"/>
      <w:lvlJc w:val="left"/>
      <w:pPr>
        <w:ind w:left="630" w:firstLine="0"/>
      </w:pPr>
      <w:rPr>
        <w:rFonts w:hint="eastAsia" w:ascii="黑体" w:hAnsi="Times New Roman" w:eastAsia="黑体"/>
        <w:b w:val="0"/>
        <w:i w:val="0"/>
        <w:sz w:val="21"/>
      </w:rPr>
    </w:lvl>
    <w:lvl w:ilvl="3" w:tentative="0">
      <w:start w:val="1"/>
      <w:numFmt w:val="decimal"/>
      <w:pStyle w:val="244"/>
      <w:suff w:val="nothing"/>
      <w:lvlText w:val="%1%2.%3.%4　"/>
      <w:lvlJc w:val="left"/>
      <w:pPr>
        <w:ind w:left="567" w:firstLine="0"/>
      </w:pPr>
      <w:rPr>
        <w:rFonts w:hint="eastAsia" w:ascii="黑体" w:hAnsi="Times New Roman" w:eastAsia="黑体"/>
        <w:b w:val="0"/>
        <w:i w:val="0"/>
        <w:sz w:val="21"/>
      </w:rPr>
    </w:lvl>
    <w:lvl w:ilvl="4" w:tentative="0">
      <w:start w:val="1"/>
      <w:numFmt w:val="decimal"/>
      <w:pStyle w:val="246"/>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7"/>
      <w:suff w:val="nothing"/>
      <w:lvlText w:val="%1%2.%3.%4.%5.%6　"/>
      <w:lvlJc w:val="left"/>
      <w:pPr>
        <w:ind w:left="0" w:firstLine="0"/>
      </w:pPr>
      <w:rPr>
        <w:rFonts w:hint="eastAsia" w:ascii="黑体" w:hAnsi="Times New Roman" w:eastAsia="黑体"/>
        <w:b w:val="0"/>
        <w:i w:val="0"/>
        <w:sz w:val="21"/>
      </w:rPr>
    </w:lvl>
    <w:lvl w:ilvl="6" w:tentative="0">
      <w:start w:val="1"/>
      <w:numFmt w:val="decimal"/>
      <w:pStyle w:val="2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7">
    <w:nsid w:val="76933334"/>
    <w:multiLevelType w:val="multilevel"/>
    <w:tmpl w:val="76933334"/>
    <w:lvl w:ilvl="0" w:tentative="0">
      <w:start w:val="1"/>
      <w:numFmt w:val="none"/>
      <w:pStyle w:val="24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15"/>
  </w:num>
  <w:num w:numId="4">
    <w:abstractNumId w:val="17"/>
  </w:num>
  <w:num w:numId="5">
    <w:abstractNumId w:val="9"/>
  </w:num>
  <w:num w:numId="6">
    <w:abstractNumId w:val="11"/>
  </w:num>
  <w:num w:numId="7">
    <w:abstractNumId w:val="14"/>
  </w:num>
  <w:num w:numId="8">
    <w:abstractNumId w:val="5"/>
  </w:num>
  <w:num w:numId="9">
    <w:abstractNumId w:val="13"/>
  </w:num>
  <w:num w:numId="10">
    <w:abstractNumId w:val="10"/>
  </w:num>
  <w:num w:numId="11">
    <w:abstractNumId w:val="4"/>
  </w:num>
  <w:num w:numId="12">
    <w:abstractNumId w:val="1"/>
  </w:num>
  <w:num w:numId="13">
    <w:abstractNumId w:val="0"/>
  </w:num>
  <w:num w:numId="14">
    <w:abstractNumId w:val="2"/>
  </w:num>
  <w:num w:numId="15">
    <w:abstractNumId w:val="3"/>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OTYwZTRjM2EyYmJkNjM0Yzg4MGNhNjJkZTBjZmE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AE8"/>
    <w:rsid w:val="00912229"/>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BA0"/>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0F3C73"/>
    <w:rsid w:val="01276CE6"/>
    <w:rsid w:val="013840A1"/>
    <w:rsid w:val="01391AF7"/>
    <w:rsid w:val="015232F4"/>
    <w:rsid w:val="01A56820"/>
    <w:rsid w:val="01DB0F21"/>
    <w:rsid w:val="01DE3F70"/>
    <w:rsid w:val="01DE613F"/>
    <w:rsid w:val="01F85948"/>
    <w:rsid w:val="027D1EDC"/>
    <w:rsid w:val="02AA6F17"/>
    <w:rsid w:val="02AF2A63"/>
    <w:rsid w:val="02E6429D"/>
    <w:rsid w:val="03247DD0"/>
    <w:rsid w:val="032E5AB3"/>
    <w:rsid w:val="04131CA3"/>
    <w:rsid w:val="043D799D"/>
    <w:rsid w:val="04874841"/>
    <w:rsid w:val="04AF0DC0"/>
    <w:rsid w:val="05CA3B1B"/>
    <w:rsid w:val="05D40F8A"/>
    <w:rsid w:val="05E97CB2"/>
    <w:rsid w:val="060D6A3B"/>
    <w:rsid w:val="06193B1E"/>
    <w:rsid w:val="06383C8B"/>
    <w:rsid w:val="06C6067E"/>
    <w:rsid w:val="06FC43AA"/>
    <w:rsid w:val="0707497A"/>
    <w:rsid w:val="07394A3D"/>
    <w:rsid w:val="07416329"/>
    <w:rsid w:val="07501B9E"/>
    <w:rsid w:val="082A539E"/>
    <w:rsid w:val="0838785B"/>
    <w:rsid w:val="087D0B78"/>
    <w:rsid w:val="0920129B"/>
    <w:rsid w:val="09823E4D"/>
    <w:rsid w:val="09D07374"/>
    <w:rsid w:val="0A0D6516"/>
    <w:rsid w:val="0A1D1D54"/>
    <w:rsid w:val="0A4B18CE"/>
    <w:rsid w:val="0A564F06"/>
    <w:rsid w:val="0AB974EA"/>
    <w:rsid w:val="0AC800D5"/>
    <w:rsid w:val="0AFA19A7"/>
    <w:rsid w:val="0B181252"/>
    <w:rsid w:val="0B2543AA"/>
    <w:rsid w:val="0B651CEF"/>
    <w:rsid w:val="0BB92B3C"/>
    <w:rsid w:val="0C275A89"/>
    <w:rsid w:val="0C5178DA"/>
    <w:rsid w:val="0C7D78EA"/>
    <w:rsid w:val="0CBB5882"/>
    <w:rsid w:val="0D1A60CC"/>
    <w:rsid w:val="0D20436B"/>
    <w:rsid w:val="0D531CDF"/>
    <w:rsid w:val="0DC6629D"/>
    <w:rsid w:val="0DCA3125"/>
    <w:rsid w:val="0E0E36CF"/>
    <w:rsid w:val="0E416A77"/>
    <w:rsid w:val="0E7B7367"/>
    <w:rsid w:val="0E7E30B2"/>
    <w:rsid w:val="0EA34036"/>
    <w:rsid w:val="0EB63F9D"/>
    <w:rsid w:val="0F0770E4"/>
    <w:rsid w:val="0F307456"/>
    <w:rsid w:val="0F54794B"/>
    <w:rsid w:val="0F6A354E"/>
    <w:rsid w:val="0F88478D"/>
    <w:rsid w:val="0FAC41C6"/>
    <w:rsid w:val="0FB73DA5"/>
    <w:rsid w:val="0FDE2587"/>
    <w:rsid w:val="0FE34F72"/>
    <w:rsid w:val="101D1679"/>
    <w:rsid w:val="102371FD"/>
    <w:rsid w:val="10507757"/>
    <w:rsid w:val="10704ACD"/>
    <w:rsid w:val="107A1082"/>
    <w:rsid w:val="109E7189"/>
    <w:rsid w:val="111D1ABB"/>
    <w:rsid w:val="112B3E2A"/>
    <w:rsid w:val="11433684"/>
    <w:rsid w:val="115206FB"/>
    <w:rsid w:val="117B2614"/>
    <w:rsid w:val="118E287A"/>
    <w:rsid w:val="11B40613"/>
    <w:rsid w:val="11BE2022"/>
    <w:rsid w:val="11D83EA2"/>
    <w:rsid w:val="122510EE"/>
    <w:rsid w:val="12405481"/>
    <w:rsid w:val="124E686B"/>
    <w:rsid w:val="128D1331"/>
    <w:rsid w:val="12C1355D"/>
    <w:rsid w:val="12C21534"/>
    <w:rsid w:val="12EF7289"/>
    <w:rsid w:val="130044B9"/>
    <w:rsid w:val="134D5A81"/>
    <w:rsid w:val="136E44BE"/>
    <w:rsid w:val="13A3540C"/>
    <w:rsid w:val="13B2147E"/>
    <w:rsid w:val="13BF6991"/>
    <w:rsid w:val="13F95DC4"/>
    <w:rsid w:val="14084BC5"/>
    <w:rsid w:val="140E4047"/>
    <w:rsid w:val="141C612A"/>
    <w:rsid w:val="142A3E2D"/>
    <w:rsid w:val="144A7973"/>
    <w:rsid w:val="14AD546B"/>
    <w:rsid w:val="14FB7DA2"/>
    <w:rsid w:val="158710F3"/>
    <w:rsid w:val="15C772F3"/>
    <w:rsid w:val="15CE4C34"/>
    <w:rsid w:val="15F0775C"/>
    <w:rsid w:val="160A00B1"/>
    <w:rsid w:val="160A0AD0"/>
    <w:rsid w:val="165A3140"/>
    <w:rsid w:val="165B6F79"/>
    <w:rsid w:val="166E5EB0"/>
    <w:rsid w:val="169F7CD8"/>
    <w:rsid w:val="16D127A1"/>
    <w:rsid w:val="16F50974"/>
    <w:rsid w:val="173D2841"/>
    <w:rsid w:val="176F3A30"/>
    <w:rsid w:val="1820060E"/>
    <w:rsid w:val="18205BA9"/>
    <w:rsid w:val="18370FAA"/>
    <w:rsid w:val="188D7D42"/>
    <w:rsid w:val="18C45643"/>
    <w:rsid w:val="195E155B"/>
    <w:rsid w:val="19AA702C"/>
    <w:rsid w:val="19E24CAD"/>
    <w:rsid w:val="1A0C41D1"/>
    <w:rsid w:val="1A336BE7"/>
    <w:rsid w:val="1A4572C8"/>
    <w:rsid w:val="1A612D7C"/>
    <w:rsid w:val="1A807E72"/>
    <w:rsid w:val="1A8A2A47"/>
    <w:rsid w:val="1AA72BF2"/>
    <w:rsid w:val="1B16166A"/>
    <w:rsid w:val="1B5E3332"/>
    <w:rsid w:val="1BB93E83"/>
    <w:rsid w:val="1BC644B6"/>
    <w:rsid w:val="1C1A14B0"/>
    <w:rsid w:val="1C5E69D5"/>
    <w:rsid w:val="1C613AB1"/>
    <w:rsid w:val="1C804421"/>
    <w:rsid w:val="1C8C0466"/>
    <w:rsid w:val="1D0121D0"/>
    <w:rsid w:val="1D5B524F"/>
    <w:rsid w:val="1D6D3522"/>
    <w:rsid w:val="1DBE7F5B"/>
    <w:rsid w:val="1DCA2EF0"/>
    <w:rsid w:val="1DD62994"/>
    <w:rsid w:val="1DFA7416"/>
    <w:rsid w:val="1E5459C8"/>
    <w:rsid w:val="1E852BA7"/>
    <w:rsid w:val="1F0028D1"/>
    <w:rsid w:val="1F474868"/>
    <w:rsid w:val="1F612D89"/>
    <w:rsid w:val="1F883C9F"/>
    <w:rsid w:val="1FB94E27"/>
    <w:rsid w:val="1FD62933"/>
    <w:rsid w:val="1FF41576"/>
    <w:rsid w:val="202C000E"/>
    <w:rsid w:val="20AF20C5"/>
    <w:rsid w:val="20ED7306"/>
    <w:rsid w:val="20F96916"/>
    <w:rsid w:val="21001588"/>
    <w:rsid w:val="211106C5"/>
    <w:rsid w:val="21431785"/>
    <w:rsid w:val="219E251A"/>
    <w:rsid w:val="21A32365"/>
    <w:rsid w:val="21AD0E84"/>
    <w:rsid w:val="21C24F4B"/>
    <w:rsid w:val="22071464"/>
    <w:rsid w:val="222731C9"/>
    <w:rsid w:val="2232235C"/>
    <w:rsid w:val="22D4658B"/>
    <w:rsid w:val="22E66E75"/>
    <w:rsid w:val="23291785"/>
    <w:rsid w:val="234459FC"/>
    <w:rsid w:val="235B40E2"/>
    <w:rsid w:val="23710488"/>
    <w:rsid w:val="23BB002C"/>
    <w:rsid w:val="23C33515"/>
    <w:rsid w:val="23F1680C"/>
    <w:rsid w:val="243E15D5"/>
    <w:rsid w:val="24551238"/>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70101AC"/>
    <w:rsid w:val="274D71B2"/>
    <w:rsid w:val="2751147F"/>
    <w:rsid w:val="27897BCF"/>
    <w:rsid w:val="279C6957"/>
    <w:rsid w:val="27D32B77"/>
    <w:rsid w:val="27DE5929"/>
    <w:rsid w:val="27E14C4C"/>
    <w:rsid w:val="28686312"/>
    <w:rsid w:val="286C62A1"/>
    <w:rsid w:val="28A069B8"/>
    <w:rsid w:val="28F72971"/>
    <w:rsid w:val="29072AAC"/>
    <w:rsid w:val="2A3073E0"/>
    <w:rsid w:val="2A9F5945"/>
    <w:rsid w:val="2AE35535"/>
    <w:rsid w:val="2B496FA3"/>
    <w:rsid w:val="2B9257BC"/>
    <w:rsid w:val="2BB024B4"/>
    <w:rsid w:val="2BC60F98"/>
    <w:rsid w:val="2BE131CE"/>
    <w:rsid w:val="2BE66FCE"/>
    <w:rsid w:val="2C066A1A"/>
    <w:rsid w:val="2C0B4AE6"/>
    <w:rsid w:val="2C4542D3"/>
    <w:rsid w:val="2C8165FA"/>
    <w:rsid w:val="2C830AA3"/>
    <w:rsid w:val="2CAC7CBD"/>
    <w:rsid w:val="2CCC08A3"/>
    <w:rsid w:val="2CE9585D"/>
    <w:rsid w:val="2D0A514C"/>
    <w:rsid w:val="2D50069C"/>
    <w:rsid w:val="2DA91EC5"/>
    <w:rsid w:val="2DB235BF"/>
    <w:rsid w:val="2DC6496F"/>
    <w:rsid w:val="2DCF77B8"/>
    <w:rsid w:val="2E577392"/>
    <w:rsid w:val="2E8B1B62"/>
    <w:rsid w:val="2E970AE4"/>
    <w:rsid w:val="2EB227A5"/>
    <w:rsid w:val="2EF42F7F"/>
    <w:rsid w:val="2F5E00A3"/>
    <w:rsid w:val="2F822BAC"/>
    <w:rsid w:val="301F6139"/>
    <w:rsid w:val="30641E74"/>
    <w:rsid w:val="30810E1D"/>
    <w:rsid w:val="30B639B5"/>
    <w:rsid w:val="313A6DDA"/>
    <w:rsid w:val="314067D8"/>
    <w:rsid w:val="314256C4"/>
    <w:rsid w:val="31C84451"/>
    <w:rsid w:val="31CD1334"/>
    <w:rsid w:val="32613622"/>
    <w:rsid w:val="329F04E5"/>
    <w:rsid w:val="32D54349"/>
    <w:rsid w:val="32EB7033"/>
    <w:rsid w:val="32F9755F"/>
    <w:rsid w:val="331B2806"/>
    <w:rsid w:val="333214D1"/>
    <w:rsid w:val="3370495E"/>
    <w:rsid w:val="33A7303A"/>
    <w:rsid w:val="33CC0FC6"/>
    <w:rsid w:val="33DD0EAC"/>
    <w:rsid w:val="340A165C"/>
    <w:rsid w:val="34143D51"/>
    <w:rsid w:val="34302898"/>
    <w:rsid w:val="345B460B"/>
    <w:rsid w:val="34655037"/>
    <w:rsid w:val="348E2B4F"/>
    <w:rsid w:val="35146C18"/>
    <w:rsid w:val="35482A8B"/>
    <w:rsid w:val="35C97D56"/>
    <w:rsid w:val="35EE5D6B"/>
    <w:rsid w:val="35F9426D"/>
    <w:rsid w:val="3637765B"/>
    <w:rsid w:val="363A3F05"/>
    <w:rsid w:val="365311E6"/>
    <w:rsid w:val="367112A8"/>
    <w:rsid w:val="370C260B"/>
    <w:rsid w:val="375445E4"/>
    <w:rsid w:val="376964D6"/>
    <w:rsid w:val="377B454E"/>
    <w:rsid w:val="379C3619"/>
    <w:rsid w:val="37AF0D87"/>
    <w:rsid w:val="38245B7A"/>
    <w:rsid w:val="38CC73F3"/>
    <w:rsid w:val="394C4CFD"/>
    <w:rsid w:val="395B66C1"/>
    <w:rsid w:val="39AE15AC"/>
    <w:rsid w:val="39C0082C"/>
    <w:rsid w:val="39C50F72"/>
    <w:rsid w:val="39DF70D6"/>
    <w:rsid w:val="39E83FB4"/>
    <w:rsid w:val="3A153790"/>
    <w:rsid w:val="3A1F11A7"/>
    <w:rsid w:val="3A66582B"/>
    <w:rsid w:val="3A86575A"/>
    <w:rsid w:val="3AB94A5A"/>
    <w:rsid w:val="3B115AB0"/>
    <w:rsid w:val="3B341FC1"/>
    <w:rsid w:val="3B6F11E8"/>
    <w:rsid w:val="3B732683"/>
    <w:rsid w:val="3B851216"/>
    <w:rsid w:val="3C274A6B"/>
    <w:rsid w:val="3C7B32B9"/>
    <w:rsid w:val="3C8B7E22"/>
    <w:rsid w:val="3D0B4A9A"/>
    <w:rsid w:val="3D1A1ACB"/>
    <w:rsid w:val="3D210DFB"/>
    <w:rsid w:val="3DA349DC"/>
    <w:rsid w:val="3DDA07CA"/>
    <w:rsid w:val="3E3457B0"/>
    <w:rsid w:val="3E9753EA"/>
    <w:rsid w:val="3EE41CB3"/>
    <w:rsid w:val="3F002F99"/>
    <w:rsid w:val="3F192702"/>
    <w:rsid w:val="3F5E71A0"/>
    <w:rsid w:val="3FAA346A"/>
    <w:rsid w:val="3FAB317E"/>
    <w:rsid w:val="3FCB3FC8"/>
    <w:rsid w:val="3FEF5D91"/>
    <w:rsid w:val="40602185"/>
    <w:rsid w:val="406D3C7A"/>
    <w:rsid w:val="40DD4529"/>
    <w:rsid w:val="40EC4756"/>
    <w:rsid w:val="41C041B9"/>
    <w:rsid w:val="41E371A6"/>
    <w:rsid w:val="42603601"/>
    <w:rsid w:val="427D695B"/>
    <w:rsid w:val="42B01A80"/>
    <w:rsid w:val="42B540C6"/>
    <w:rsid w:val="43124DBF"/>
    <w:rsid w:val="435C4BA0"/>
    <w:rsid w:val="43B613AF"/>
    <w:rsid w:val="43D625E1"/>
    <w:rsid w:val="44781DAA"/>
    <w:rsid w:val="44CA357E"/>
    <w:rsid w:val="45062140"/>
    <w:rsid w:val="452A12B9"/>
    <w:rsid w:val="455C4456"/>
    <w:rsid w:val="455E3F4C"/>
    <w:rsid w:val="45CF460B"/>
    <w:rsid w:val="45D445C1"/>
    <w:rsid w:val="45E27E1E"/>
    <w:rsid w:val="461D562C"/>
    <w:rsid w:val="468D60ED"/>
    <w:rsid w:val="470316C4"/>
    <w:rsid w:val="471C4580"/>
    <w:rsid w:val="47647DBB"/>
    <w:rsid w:val="476F4FDA"/>
    <w:rsid w:val="47802EE5"/>
    <w:rsid w:val="47AC7367"/>
    <w:rsid w:val="47BA5BC1"/>
    <w:rsid w:val="47C7285C"/>
    <w:rsid w:val="487519F9"/>
    <w:rsid w:val="487B478F"/>
    <w:rsid w:val="48994A57"/>
    <w:rsid w:val="48CD3A8B"/>
    <w:rsid w:val="490421D8"/>
    <w:rsid w:val="497F756E"/>
    <w:rsid w:val="49AB459C"/>
    <w:rsid w:val="49FF2B43"/>
    <w:rsid w:val="4A0A5885"/>
    <w:rsid w:val="4ACA0315"/>
    <w:rsid w:val="4AD6576E"/>
    <w:rsid w:val="4B045CDA"/>
    <w:rsid w:val="4B073A5C"/>
    <w:rsid w:val="4B304A73"/>
    <w:rsid w:val="4B44760D"/>
    <w:rsid w:val="4B5C5D27"/>
    <w:rsid w:val="4B5E326D"/>
    <w:rsid w:val="4B840ACD"/>
    <w:rsid w:val="4B8C42AD"/>
    <w:rsid w:val="4BF72474"/>
    <w:rsid w:val="4C0B4515"/>
    <w:rsid w:val="4C4F0B45"/>
    <w:rsid w:val="4C892141"/>
    <w:rsid w:val="4CB132DA"/>
    <w:rsid w:val="4D775CC7"/>
    <w:rsid w:val="4DA969FC"/>
    <w:rsid w:val="4DB73FDD"/>
    <w:rsid w:val="4E16053E"/>
    <w:rsid w:val="4ED07D95"/>
    <w:rsid w:val="4F066320"/>
    <w:rsid w:val="4F0C4606"/>
    <w:rsid w:val="4F4E6EBF"/>
    <w:rsid w:val="4F7D4C71"/>
    <w:rsid w:val="4FA26F09"/>
    <w:rsid w:val="4FCA7073"/>
    <w:rsid w:val="4FE259E9"/>
    <w:rsid w:val="501D7C2E"/>
    <w:rsid w:val="5082200D"/>
    <w:rsid w:val="508E75C7"/>
    <w:rsid w:val="50A218B6"/>
    <w:rsid w:val="511B523C"/>
    <w:rsid w:val="512C7508"/>
    <w:rsid w:val="52321D93"/>
    <w:rsid w:val="52533FC1"/>
    <w:rsid w:val="52F538E2"/>
    <w:rsid w:val="52FA3C35"/>
    <w:rsid w:val="532F7F67"/>
    <w:rsid w:val="53DA43C4"/>
    <w:rsid w:val="53E267AB"/>
    <w:rsid w:val="54136627"/>
    <w:rsid w:val="54C972BB"/>
    <w:rsid w:val="54D02C4B"/>
    <w:rsid w:val="550F29EB"/>
    <w:rsid w:val="55112B45"/>
    <w:rsid w:val="55351206"/>
    <w:rsid w:val="55547DEE"/>
    <w:rsid w:val="55653C63"/>
    <w:rsid w:val="558F79BB"/>
    <w:rsid w:val="55A649AE"/>
    <w:rsid w:val="55D93627"/>
    <w:rsid w:val="561F4D2F"/>
    <w:rsid w:val="56440504"/>
    <w:rsid w:val="56602AF8"/>
    <w:rsid w:val="56661590"/>
    <w:rsid w:val="569D1848"/>
    <w:rsid w:val="56B13A64"/>
    <w:rsid w:val="56BA3AA0"/>
    <w:rsid w:val="56CF6D97"/>
    <w:rsid w:val="56D66689"/>
    <w:rsid w:val="56F523BD"/>
    <w:rsid w:val="570E46A2"/>
    <w:rsid w:val="572823EA"/>
    <w:rsid w:val="57847C36"/>
    <w:rsid w:val="57D4349D"/>
    <w:rsid w:val="57DE4FF5"/>
    <w:rsid w:val="581A6116"/>
    <w:rsid w:val="5867454D"/>
    <w:rsid w:val="586A742C"/>
    <w:rsid w:val="587E2A9C"/>
    <w:rsid w:val="5881039C"/>
    <w:rsid w:val="588F1F45"/>
    <w:rsid w:val="58C134D7"/>
    <w:rsid w:val="58C94C3F"/>
    <w:rsid w:val="58E042D6"/>
    <w:rsid w:val="591E42EB"/>
    <w:rsid w:val="592A1676"/>
    <w:rsid w:val="5986548D"/>
    <w:rsid w:val="599979EE"/>
    <w:rsid w:val="59E71DDE"/>
    <w:rsid w:val="5A064D2E"/>
    <w:rsid w:val="5A53496E"/>
    <w:rsid w:val="5A7756D8"/>
    <w:rsid w:val="5A96078C"/>
    <w:rsid w:val="5AA441C4"/>
    <w:rsid w:val="5ABB0552"/>
    <w:rsid w:val="5AC87CD6"/>
    <w:rsid w:val="5AE85A5C"/>
    <w:rsid w:val="5B693839"/>
    <w:rsid w:val="5C140850"/>
    <w:rsid w:val="5C422D43"/>
    <w:rsid w:val="5C4A2BD7"/>
    <w:rsid w:val="5CAF68F6"/>
    <w:rsid w:val="5CBE64BF"/>
    <w:rsid w:val="5CD34BA6"/>
    <w:rsid w:val="5CF84E92"/>
    <w:rsid w:val="5D213D72"/>
    <w:rsid w:val="5D29285C"/>
    <w:rsid w:val="5D63632E"/>
    <w:rsid w:val="5DF734B0"/>
    <w:rsid w:val="5E2775BD"/>
    <w:rsid w:val="5E504C73"/>
    <w:rsid w:val="5E853EBA"/>
    <w:rsid w:val="5E985E8A"/>
    <w:rsid w:val="5F8C2E6F"/>
    <w:rsid w:val="5FB455AB"/>
    <w:rsid w:val="5FD8479E"/>
    <w:rsid w:val="5FE5315A"/>
    <w:rsid w:val="5FEF4FD0"/>
    <w:rsid w:val="5FF11588"/>
    <w:rsid w:val="60585DBB"/>
    <w:rsid w:val="60BB7E2A"/>
    <w:rsid w:val="61374D95"/>
    <w:rsid w:val="61394E2C"/>
    <w:rsid w:val="617D3332"/>
    <w:rsid w:val="61B056D3"/>
    <w:rsid w:val="61C8132B"/>
    <w:rsid w:val="621C7A8F"/>
    <w:rsid w:val="62737F77"/>
    <w:rsid w:val="62C44BCC"/>
    <w:rsid w:val="62F475B6"/>
    <w:rsid w:val="630C6A64"/>
    <w:rsid w:val="63847100"/>
    <w:rsid w:val="63964CCA"/>
    <w:rsid w:val="6399764D"/>
    <w:rsid w:val="63F44853"/>
    <w:rsid w:val="644A20B1"/>
    <w:rsid w:val="64E14B8D"/>
    <w:rsid w:val="652A2E44"/>
    <w:rsid w:val="654E4849"/>
    <w:rsid w:val="65686657"/>
    <w:rsid w:val="65852603"/>
    <w:rsid w:val="65BD69EB"/>
    <w:rsid w:val="66093A96"/>
    <w:rsid w:val="664977CF"/>
    <w:rsid w:val="66C719F1"/>
    <w:rsid w:val="66EC4975"/>
    <w:rsid w:val="67016B09"/>
    <w:rsid w:val="671431D5"/>
    <w:rsid w:val="67881188"/>
    <w:rsid w:val="678A56EC"/>
    <w:rsid w:val="681B27B3"/>
    <w:rsid w:val="682871D9"/>
    <w:rsid w:val="683116BC"/>
    <w:rsid w:val="683410E1"/>
    <w:rsid w:val="688F23C2"/>
    <w:rsid w:val="688F3871"/>
    <w:rsid w:val="68D47E36"/>
    <w:rsid w:val="68E74072"/>
    <w:rsid w:val="68E76ADD"/>
    <w:rsid w:val="69173BDC"/>
    <w:rsid w:val="692E081B"/>
    <w:rsid w:val="69396C1E"/>
    <w:rsid w:val="69BD4674"/>
    <w:rsid w:val="69D1025B"/>
    <w:rsid w:val="69E37900"/>
    <w:rsid w:val="6A036769"/>
    <w:rsid w:val="6A52291B"/>
    <w:rsid w:val="6A7B10E5"/>
    <w:rsid w:val="6A817F02"/>
    <w:rsid w:val="6A8C58DC"/>
    <w:rsid w:val="6AAD3E42"/>
    <w:rsid w:val="6AFD3370"/>
    <w:rsid w:val="6B351E6F"/>
    <w:rsid w:val="6B6C703C"/>
    <w:rsid w:val="6B7A4051"/>
    <w:rsid w:val="6BE14999"/>
    <w:rsid w:val="6BFB5FD1"/>
    <w:rsid w:val="6D12175F"/>
    <w:rsid w:val="6D1F5AF0"/>
    <w:rsid w:val="6D524854"/>
    <w:rsid w:val="6D8F5C35"/>
    <w:rsid w:val="6DC25164"/>
    <w:rsid w:val="6DFD1A43"/>
    <w:rsid w:val="6E254B81"/>
    <w:rsid w:val="6E5E2FB2"/>
    <w:rsid w:val="6EA92514"/>
    <w:rsid w:val="6F1F438F"/>
    <w:rsid w:val="6F3657AD"/>
    <w:rsid w:val="6F4034D9"/>
    <w:rsid w:val="6F59436E"/>
    <w:rsid w:val="6F927414"/>
    <w:rsid w:val="6F974373"/>
    <w:rsid w:val="6FC74058"/>
    <w:rsid w:val="6FFD2AA1"/>
    <w:rsid w:val="70040E87"/>
    <w:rsid w:val="700C0F2F"/>
    <w:rsid w:val="704871A4"/>
    <w:rsid w:val="70592DFA"/>
    <w:rsid w:val="70694F36"/>
    <w:rsid w:val="70880C5C"/>
    <w:rsid w:val="70901A28"/>
    <w:rsid w:val="70B523D0"/>
    <w:rsid w:val="70DD3906"/>
    <w:rsid w:val="71690108"/>
    <w:rsid w:val="719B076B"/>
    <w:rsid w:val="73393BC2"/>
    <w:rsid w:val="73662BEC"/>
    <w:rsid w:val="737B44DB"/>
    <w:rsid w:val="73DE70A0"/>
    <w:rsid w:val="74262B1B"/>
    <w:rsid w:val="743527CD"/>
    <w:rsid w:val="74807316"/>
    <w:rsid w:val="74A6094A"/>
    <w:rsid w:val="74B15375"/>
    <w:rsid w:val="74CC21DF"/>
    <w:rsid w:val="74E16F35"/>
    <w:rsid w:val="75062ACB"/>
    <w:rsid w:val="75532D3D"/>
    <w:rsid w:val="75B45F10"/>
    <w:rsid w:val="76164029"/>
    <w:rsid w:val="761F2330"/>
    <w:rsid w:val="763F26D5"/>
    <w:rsid w:val="764D0528"/>
    <w:rsid w:val="7688510D"/>
    <w:rsid w:val="76C82F19"/>
    <w:rsid w:val="76EA2DC0"/>
    <w:rsid w:val="77045A49"/>
    <w:rsid w:val="77266E5A"/>
    <w:rsid w:val="77291B31"/>
    <w:rsid w:val="77352184"/>
    <w:rsid w:val="7738346E"/>
    <w:rsid w:val="7760226B"/>
    <w:rsid w:val="77701354"/>
    <w:rsid w:val="77750DFA"/>
    <w:rsid w:val="779A189F"/>
    <w:rsid w:val="781F51BA"/>
    <w:rsid w:val="78494544"/>
    <w:rsid w:val="78497969"/>
    <w:rsid w:val="785B37DC"/>
    <w:rsid w:val="78E431C4"/>
    <w:rsid w:val="78EB4A40"/>
    <w:rsid w:val="791A4B23"/>
    <w:rsid w:val="79623954"/>
    <w:rsid w:val="797F672E"/>
    <w:rsid w:val="79A16E92"/>
    <w:rsid w:val="79CB3DE1"/>
    <w:rsid w:val="79F944AF"/>
    <w:rsid w:val="7A20424A"/>
    <w:rsid w:val="7A4413F9"/>
    <w:rsid w:val="7A807E04"/>
    <w:rsid w:val="7AEA0E27"/>
    <w:rsid w:val="7B720AC6"/>
    <w:rsid w:val="7BAF6112"/>
    <w:rsid w:val="7C5859F2"/>
    <w:rsid w:val="7C735E4E"/>
    <w:rsid w:val="7D071AF5"/>
    <w:rsid w:val="7D6E4798"/>
    <w:rsid w:val="7D7E7646"/>
    <w:rsid w:val="7D952F42"/>
    <w:rsid w:val="7DC26738"/>
    <w:rsid w:val="7DE45B1A"/>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4"/>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4"/>
    <w:autoRedefine/>
    <w:qFormat/>
    <w:uiPriority w:val="99"/>
    <w:pPr>
      <w:tabs>
        <w:tab w:val="left" w:pos="588"/>
      </w:tabs>
      <w:spacing w:line="360" w:lineRule="auto"/>
      <w:outlineLvl w:val="2"/>
    </w:pPr>
    <w:rPr>
      <w:rFonts w:ascii="Tahoma" w:hAnsi="Tahoma"/>
    </w:rPr>
  </w:style>
  <w:style w:type="paragraph" w:styleId="6">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37"/>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1"/>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5"/>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1"/>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1"/>
    <w:autoRedefine/>
    <w:qFormat/>
    <w:uiPriority w:val="0"/>
    <w:pPr>
      <w:jc w:val="left"/>
    </w:pPr>
    <w:rPr>
      <w:rFonts w:ascii="Tahoma" w:hAnsi="Tahoma"/>
    </w:rPr>
  </w:style>
  <w:style w:type="paragraph" w:styleId="20">
    <w:name w:val="Salutation"/>
    <w:basedOn w:val="14"/>
    <w:next w:val="14"/>
    <w:link w:val="200"/>
    <w:autoRedefine/>
    <w:qFormat/>
    <w:uiPriority w:val="0"/>
    <w:rPr>
      <w:rFonts w:ascii="..ì." w:eastAsia="..ì." w:cs="Times New Roman"/>
      <w:color w:val="auto"/>
      <w:szCs w:val="20"/>
    </w:rPr>
  </w:style>
  <w:style w:type="paragraph" w:styleId="21">
    <w:name w:val="Body Text 3"/>
    <w:basedOn w:val="1"/>
    <w:link w:val="208"/>
    <w:autoRedefine/>
    <w:qFormat/>
    <w:uiPriority w:val="99"/>
    <w:pPr>
      <w:spacing w:after="120"/>
    </w:pPr>
    <w:rPr>
      <w:rFonts w:eastAsia="宋体"/>
      <w:sz w:val="16"/>
      <w:szCs w:val="16"/>
    </w:rPr>
  </w:style>
  <w:style w:type="paragraph" w:styleId="22">
    <w:name w:val="Body Text"/>
    <w:basedOn w:val="1"/>
    <w:link w:val="135"/>
    <w:autoRedefine/>
    <w:qFormat/>
    <w:uiPriority w:val="99"/>
    <w:pPr>
      <w:spacing w:line="360" w:lineRule="auto"/>
    </w:pPr>
    <w:rPr>
      <w:rFonts w:ascii="Tahoma" w:hAnsi="Tahoma"/>
    </w:rPr>
  </w:style>
  <w:style w:type="paragraph" w:styleId="23">
    <w:name w:val="Body Text Indent"/>
    <w:basedOn w:val="1"/>
    <w:link w:val="167"/>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2"/>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8"/>
    <w:autoRedefine/>
    <w:qFormat/>
    <w:uiPriority w:val="99"/>
    <w:pPr>
      <w:spacing w:line="360" w:lineRule="auto"/>
      <w:ind w:left="2500" w:leftChars="2500"/>
    </w:pPr>
    <w:rPr>
      <w:rFonts w:ascii="Tahoma" w:hAnsi="Tahoma"/>
    </w:rPr>
  </w:style>
  <w:style w:type="paragraph" w:styleId="31">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autoRedefine/>
    <w:qFormat/>
    <w:uiPriority w:val="0"/>
    <w:rPr>
      <w:sz w:val="18"/>
      <w:szCs w:val="18"/>
    </w:rPr>
  </w:style>
  <w:style w:type="paragraph" w:styleId="33">
    <w:name w:val="footer"/>
    <w:basedOn w:val="1"/>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1"/>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9"/>
    <w:autoRedefine/>
    <w:qFormat/>
    <w:uiPriority w:val="99"/>
    <w:pPr>
      <w:spacing w:line="360" w:lineRule="auto"/>
      <w:ind w:right="26"/>
    </w:pPr>
    <w:rPr>
      <w:rFonts w:ascii="宋体" w:eastAsia="宋体"/>
      <w:szCs w:val="20"/>
    </w:r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autoRedefine/>
    <w:unhideWhenUsed/>
    <w:qFormat/>
    <w:uiPriority w:val="99"/>
    <w:pPr>
      <w:spacing w:line="440" w:lineRule="exact"/>
    </w:pPr>
    <w:rPr>
      <w:b/>
      <w:bCs/>
      <w:sz w:val="24"/>
      <w:szCs w:val="28"/>
    </w:rPr>
  </w:style>
  <w:style w:type="paragraph" w:styleId="48">
    <w:name w:val="Body Text First Indent"/>
    <w:basedOn w:val="22"/>
    <w:link w:val="132"/>
    <w:autoRedefine/>
    <w:qFormat/>
    <w:uiPriority w:val="0"/>
    <w:pPr>
      <w:spacing w:after="120" w:line="240" w:lineRule="auto"/>
      <w:ind w:firstLine="100" w:firstLineChars="100"/>
    </w:pPr>
  </w:style>
  <w:style w:type="paragraph" w:styleId="49">
    <w:name w:val="Body Text First Indent 2"/>
    <w:basedOn w:val="23"/>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basedOn w:val="52"/>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式文本"/>
    <w:basedOn w:val="1"/>
    <w:autoRedefine/>
    <w:qFormat/>
    <w:uiPriority w:val="0"/>
    <w:pPr>
      <w:spacing w:line="500" w:lineRule="exact"/>
      <w:ind w:firstLine="480" w:firstLineChars="200"/>
    </w:pPr>
    <w:rPr>
      <w:rFonts w:ascii="Arial Narrow" w:hAnsi="Arial Narrow"/>
      <w:sz w:val="24"/>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7"/>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5"/>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4"/>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2"/>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Char"/>
    <w:link w:val="15"/>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Char"/>
    <w:link w:val="32"/>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ascii="Times New Roman" w:hAnsi="Times New Roman" w:eastAsia="Arial Unicode MS" w:cs="Times New Roman"/>
      <w:kern w:val="2"/>
      <w:sz w:val="24"/>
      <w:szCs w:val="28"/>
    </w:rPr>
  </w:style>
  <w:style w:type="character" w:customStyle="1" w:styleId="100">
    <w:name w:val="del"/>
    <w:basedOn w:val="52"/>
    <w:autoRedefine/>
    <w:qFormat/>
    <w:uiPriority w:val="0"/>
  </w:style>
  <w:style w:type="character" w:customStyle="1" w:styleId="101">
    <w:name w:val="批注文字 Char1"/>
    <w:link w:val="19"/>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Char"/>
    <w:link w:val="7"/>
    <w:autoRedefine/>
    <w:qFormat/>
    <w:uiPriority w:val="99"/>
    <w:rPr>
      <w:b/>
      <w:bCs/>
      <w:kern w:val="2"/>
      <w:sz w:val="24"/>
      <w:szCs w:val="28"/>
    </w:rPr>
  </w:style>
  <w:style w:type="character" w:customStyle="1" w:styleId="104">
    <w:name w:val="标题 2 Char"/>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Char"/>
    <w:link w:val="10"/>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Char"/>
    <w:link w:val="4"/>
    <w:autoRedefine/>
    <w:qFormat/>
    <w:uiPriority w:val="0"/>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Char"/>
    <w:link w:val="2"/>
    <w:autoRedefine/>
    <w:qFormat/>
    <w:uiPriority w:val="0"/>
    <w:rPr>
      <w:rFonts w:ascii="Tahoma" w:hAnsi="Tahoma"/>
      <w:b/>
      <w:bCs/>
      <w:kern w:val="44"/>
      <w:sz w:val="24"/>
      <w:szCs w:val="44"/>
    </w:rPr>
  </w:style>
  <w:style w:type="character" w:customStyle="1" w:styleId="123">
    <w:name w:val="页眉 Char"/>
    <w:link w:val="34"/>
    <w:autoRedefine/>
    <w:qFormat/>
    <w:uiPriority w:val="99"/>
    <w:rPr>
      <w:rFonts w:ascii="Tahoma" w:hAnsi="Tahoma"/>
      <w:kern w:val="2"/>
      <w:sz w:val="18"/>
      <w:szCs w:val="18"/>
    </w:rPr>
  </w:style>
  <w:style w:type="character" w:customStyle="1" w:styleId="124">
    <w:name w:val="标题 7 Char"/>
    <w:link w:val="9"/>
    <w:autoRedefine/>
    <w:qFormat/>
    <w:uiPriority w:val="99"/>
    <w:rPr>
      <w:b/>
      <w:bCs/>
      <w:kern w:val="2"/>
      <w:sz w:val="24"/>
      <w:szCs w:val="28"/>
    </w:rPr>
  </w:style>
  <w:style w:type="character" w:customStyle="1" w:styleId="125">
    <w:name w:val="标题 Char"/>
    <w:link w:val="46"/>
    <w:autoRedefine/>
    <w:qFormat/>
    <w:uiPriority w:val="99"/>
    <w:rPr>
      <w:rFonts w:ascii="Cambria" w:hAnsi="Cambria"/>
      <w:b/>
      <w:bCs/>
      <w:kern w:val="2"/>
      <w:sz w:val="32"/>
      <w:szCs w:val="32"/>
    </w:rPr>
  </w:style>
  <w:style w:type="character" w:customStyle="1" w:styleId="126">
    <w:name w:val="标题 9 Char"/>
    <w:link w:val="11"/>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2"/>
    <w:autoRedefine/>
    <w:qFormat/>
    <w:uiPriority w:val="0"/>
  </w:style>
  <w:style w:type="character" w:customStyle="1" w:styleId="129">
    <w:name w:val="批注主题 Char"/>
    <w:link w:val="47"/>
    <w:autoRedefine/>
    <w:qFormat/>
    <w:uiPriority w:val="99"/>
    <w:rPr>
      <w:rFonts w:ascii="Tahoma" w:hAnsi="Tahoma"/>
      <w:b/>
      <w:bCs/>
      <w:kern w:val="2"/>
      <w:sz w:val="24"/>
      <w:szCs w:val="28"/>
    </w:rPr>
  </w:style>
  <w:style w:type="character" w:customStyle="1" w:styleId="130">
    <w:name w:val="pagebanner"/>
    <w:basedOn w:val="52"/>
    <w:autoRedefine/>
    <w:qFormat/>
    <w:uiPriority w:val="0"/>
  </w:style>
  <w:style w:type="character" w:customStyle="1" w:styleId="131">
    <w:name w:val="文档结构图 Char"/>
    <w:link w:val="17"/>
    <w:autoRedefine/>
    <w:qFormat/>
    <w:uiPriority w:val="99"/>
    <w:rPr>
      <w:rFonts w:ascii="宋体"/>
      <w:kern w:val="2"/>
      <w:sz w:val="18"/>
      <w:szCs w:val="18"/>
    </w:rPr>
  </w:style>
  <w:style w:type="character" w:customStyle="1" w:styleId="132">
    <w:name w:val="正文首行缩进 Char"/>
    <w:link w:val="48"/>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Char"/>
    <w:link w:val="8"/>
    <w:autoRedefine/>
    <w:qFormat/>
    <w:uiPriority w:val="99"/>
    <w:rPr>
      <w:rFonts w:ascii="Arial" w:hAnsi="Arial" w:eastAsia="黑体"/>
      <w:b/>
      <w:bCs/>
      <w:kern w:val="2"/>
      <w:sz w:val="24"/>
      <w:szCs w:val="28"/>
    </w:rPr>
  </w:style>
  <w:style w:type="character" w:customStyle="1" w:styleId="135">
    <w:name w:val="正文文本 Char"/>
    <w:link w:val="22"/>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Char"/>
    <w:link w:val="5"/>
    <w:autoRedefine/>
    <w:qFormat/>
    <w:uiPriority w:val="0"/>
    <w:rPr>
      <w:kern w:val="2"/>
      <w:sz w:val="24"/>
    </w:rPr>
  </w:style>
  <w:style w:type="character" w:customStyle="1" w:styleId="138">
    <w:name w:val="页脚 Char"/>
    <w:link w:val="33"/>
    <w:autoRedefine/>
    <w:qFormat/>
    <w:uiPriority w:val="99"/>
    <w:rPr>
      <w:rFonts w:ascii="Tahoma" w:hAnsi="Tahoma"/>
      <w:kern w:val="2"/>
      <w:sz w:val="18"/>
      <w:szCs w:val="18"/>
    </w:rPr>
  </w:style>
  <w:style w:type="character" w:customStyle="1" w:styleId="139">
    <w:name w:val="mod"/>
    <w:basedOn w:val="52"/>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Char"/>
    <w:link w:val="6"/>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autoRedefine/>
    <w:qFormat/>
    <w:uiPriority w:val="0"/>
    <w:rPr>
      <w:color w:val="BA2636"/>
      <w:sz w:val="12"/>
      <w:szCs w:val="12"/>
    </w:rPr>
  </w:style>
  <w:style w:type="character" w:customStyle="1" w:styleId="144">
    <w:name w:val="gjfg"/>
    <w:basedOn w:val="52"/>
    <w:autoRedefine/>
    <w:qFormat/>
    <w:uiPriority w:val="0"/>
  </w:style>
  <w:style w:type="character" w:customStyle="1" w:styleId="145">
    <w:name w:val="redfilenumber"/>
    <w:basedOn w:val="52"/>
    <w:autoRedefine/>
    <w:qFormat/>
    <w:uiPriority w:val="0"/>
    <w:rPr>
      <w:color w:val="BA2636"/>
      <w:sz w:val="12"/>
      <w:szCs w:val="12"/>
    </w:rPr>
  </w:style>
  <w:style w:type="character" w:customStyle="1" w:styleId="146">
    <w:name w:val="qxdate"/>
    <w:basedOn w:val="52"/>
    <w:autoRedefine/>
    <w:qFormat/>
    <w:uiPriority w:val="0"/>
    <w:rPr>
      <w:color w:val="333333"/>
      <w:sz w:val="12"/>
      <w:szCs w:val="12"/>
    </w:rPr>
  </w:style>
  <w:style w:type="character" w:customStyle="1" w:styleId="147">
    <w:name w:val="prev"/>
    <w:basedOn w:val="52"/>
    <w:autoRedefine/>
    <w:qFormat/>
    <w:uiPriority w:val="0"/>
    <w:rPr>
      <w:rFonts w:ascii="微软雅黑" w:hAnsi="微软雅黑" w:eastAsia="微软雅黑" w:cs="微软雅黑"/>
      <w:sz w:val="14"/>
      <w:szCs w:val="14"/>
    </w:rPr>
  </w:style>
  <w:style w:type="character" w:customStyle="1" w:styleId="148">
    <w:name w:val="cfdate"/>
    <w:basedOn w:val="52"/>
    <w:autoRedefine/>
    <w:qFormat/>
    <w:uiPriority w:val="0"/>
    <w:rPr>
      <w:color w:val="333333"/>
      <w:sz w:val="12"/>
      <w:szCs w:val="12"/>
    </w:rPr>
  </w:style>
  <w:style w:type="character" w:customStyle="1" w:styleId="149">
    <w:name w:val="displayarti"/>
    <w:basedOn w:val="52"/>
    <w:autoRedefine/>
    <w:qFormat/>
    <w:uiPriority w:val="0"/>
    <w:rPr>
      <w:color w:val="FFFFFF"/>
      <w:shd w:val="clear" w:color="auto" w:fill="A00000"/>
    </w:rPr>
  </w:style>
  <w:style w:type="character" w:customStyle="1" w:styleId="150">
    <w:name w:val="next2"/>
    <w:basedOn w:val="52"/>
    <w:autoRedefine/>
    <w:qFormat/>
    <w:uiPriority w:val="0"/>
    <w:rPr>
      <w:rFonts w:hint="eastAsia" w:ascii="微软雅黑" w:hAnsi="微软雅黑" w:eastAsia="微软雅黑" w:cs="微软雅黑"/>
      <w:sz w:val="14"/>
      <w:szCs w:val="14"/>
    </w:rPr>
  </w:style>
  <w:style w:type="character" w:customStyle="1" w:styleId="151">
    <w:name w:val="next3"/>
    <w:basedOn w:val="52"/>
    <w:autoRedefine/>
    <w:qFormat/>
    <w:uiPriority w:val="0"/>
    <w:rPr>
      <w:color w:val="888888"/>
    </w:rPr>
  </w:style>
  <w:style w:type="character" w:customStyle="1" w:styleId="152">
    <w:name w:val="next"/>
    <w:basedOn w:val="52"/>
    <w:autoRedefine/>
    <w:qFormat/>
    <w:uiPriority w:val="0"/>
    <w:rPr>
      <w:rFonts w:ascii="微软雅黑" w:hAnsi="微软雅黑" w:eastAsia="微软雅黑" w:cs="微软雅黑"/>
      <w:sz w:val="14"/>
      <w:szCs w:val="14"/>
    </w:rPr>
  </w:style>
  <w:style w:type="character" w:customStyle="1" w:styleId="153">
    <w:name w:val="prev1"/>
    <w:basedOn w:val="52"/>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Char"/>
    <w:basedOn w:val="52"/>
    <w:link w:val="31"/>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Char"/>
    <w:basedOn w:val="52"/>
    <w:link w:val="23"/>
    <w:autoRedefine/>
    <w:qFormat/>
    <w:uiPriority w:val="99"/>
    <w:rPr>
      <w:rFonts w:ascii="Tahoma" w:hAnsi="Tahoma" w:eastAsia="Arial Unicode MS" w:cs="Times New Roman"/>
      <w:kern w:val="2"/>
      <w:sz w:val="21"/>
      <w:szCs w:val="24"/>
    </w:rPr>
  </w:style>
  <w:style w:type="character" w:customStyle="1" w:styleId="168">
    <w:name w:val="正文首行缩进 2 Char"/>
    <w:basedOn w:val="167"/>
    <w:link w:val="49"/>
    <w:autoRedefine/>
    <w:qFormat/>
    <w:uiPriority w:val="0"/>
    <w:rPr>
      <w:rFonts w:ascii="Times New Roman" w:hAnsi="Times New Roman" w:eastAsia="宋体" w:cs="Times New Roman"/>
      <w:kern w:val="2"/>
      <w:sz w:val="21"/>
      <w:szCs w:val="24"/>
    </w:rPr>
  </w:style>
  <w:style w:type="character" w:customStyle="1" w:styleId="169">
    <w:name w:val="正文文本 2 Char"/>
    <w:basedOn w:val="52"/>
    <w:link w:val="42"/>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样式1"/>
    <w:basedOn w:val="1"/>
    <w:next w:val="4"/>
    <w:autoRedefine/>
    <w:qFormat/>
    <w:uiPriority w:val="99"/>
    <w:rPr>
      <w:rFonts w:eastAsia="宋体"/>
      <w:sz w:val="24"/>
      <w:szCs w:val="20"/>
    </w:rPr>
  </w:style>
  <w:style w:type="paragraph" w:customStyle="1" w:styleId="175">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6">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7">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9">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7">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8">
    <w:name w:val="日期 Char"/>
    <w:link w:val="30"/>
    <w:autoRedefine/>
    <w:qFormat/>
    <w:uiPriority w:val="99"/>
    <w:rPr>
      <w:rFonts w:ascii="Tahoma" w:hAnsi="Tahoma" w:eastAsia="Arial Unicode MS" w:cs="Times New Roman"/>
      <w:kern w:val="2"/>
      <w:sz w:val="21"/>
      <w:szCs w:val="24"/>
    </w:rPr>
  </w:style>
  <w:style w:type="character" w:customStyle="1" w:styleId="199">
    <w:name w:val="Char Char"/>
    <w:autoRedefine/>
    <w:qFormat/>
    <w:uiPriority w:val="0"/>
    <w:rPr>
      <w:rFonts w:eastAsia="宋体"/>
      <w:kern w:val="2"/>
      <w:sz w:val="24"/>
      <w:lang w:val="en-US" w:eastAsia="zh-CN" w:bidi="ar-SA"/>
    </w:rPr>
  </w:style>
  <w:style w:type="character" w:customStyle="1" w:styleId="200">
    <w:name w:val="称呼 Char"/>
    <w:basedOn w:val="52"/>
    <w:link w:val="20"/>
    <w:autoRedefine/>
    <w:qFormat/>
    <w:uiPriority w:val="0"/>
    <w:rPr>
      <w:rFonts w:ascii="..ì." w:hAnsi="Times New Roman" w:eastAsia="..ì." w:cs="Times New Roman"/>
      <w:sz w:val="24"/>
    </w:rPr>
  </w:style>
  <w:style w:type="character" w:customStyle="1" w:styleId="201">
    <w:name w:val="注释标题 Char"/>
    <w:basedOn w:val="52"/>
    <w:link w:val="13"/>
    <w:autoRedefine/>
    <w:qFormat/>
    <w:uiPriority w:val="0"/>
    <w:rPr>
      <w:rFonts w:ascii="..ì." w:hAnsi="Times New Roman" w:eastAsia="..ì." w:cs="Times New Roman"/>
      <w:sz w:val="24"/>
    </w:rPr>
  </w:style>
  <w:style w:type="paragraph" w:customStyle="1" w:styleId="202">
    <w:name w:val="1 Char Char Char Char"/>
    <w:basedOn w:val="1"/>
    <w:autoRedefine/>
    <w:qFormat/>
    <w:uiPriority w:val="0"/>
    <w:rPr>
      <w:rFonts w:ascii="Tahoma" w:hAnsi="Tahoma" w:eastAsia="宋体"/>
      <w:sz w:val="24"/>
      <w:szCs w:val="20"/>
    </w:rPr>
  </w:style>
  <w:style w:type="paragraph" w:customStyle="1" w:styleId="20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4">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5">
    <w:name w:val="标题 1 Char1"/>
    <w:autoRedefine/>
    <w:qFormat/>
    <w:uiPriority w:val="99"/>
    <w:rPr>
      <w:rFonts w:ascii="黑体" w:eastAsia="黑体"/>
      <w:sz w:val="52"/>
      <w:lang w:bidi="ar-SA"/>
    </w:rPr>
  </w:style>
  <w:style w:type="paragraph" w:customStyle="1" w:styleId="206">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7">
    <w:name w:val="3"/>
    <w:basedOn w:val="1"/>
    <w:next w:val="21"/>
    <w:autoRedefine/>
    <w:qFormat/>
    <w:uiPriority w:val="99"/>
    <w:rPr>
      <w:rFonts w:ascii="宋体" w:eastAsia="宋体"/>
      <w:sz w:val="24"/>
      <w:szCs w:val="20"/>
    </w:rPr>
  </w:style>
  <w:style w:type="character" w:customStyle="1" w:styleId="208">
    <w:name w:val="正文文本 3 Char"/>
    <w:basedOn w:val="52"/>
    <w:link w:val="21"/>
    <w:autoRedefine/>
    <w:qFormat/>
    <w:uiPriority w:val="99"/>
    <w:rPr>
      <w:rFonts w:ascii="Times New Roman" w:hAnsi="Times New Roman" w:eastAsia="宋体" w:cs="Times New Roman"/>
      <w:kern w:val="2"/>
      <w:sz w:val="16"/>
      <w:szCs w:val="16"/>
    </w:rPr>
  </w:style>
  <w:style w:type="paragraph" w:customStyle="1" w:styleId="209">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0">
    <w:name w:val="2"/>
    <w:basedOn w:val="1"/>
    <w:next w:val="23"/>
    <w:autoRedefine/>
    <w:qFormat/>
    <w:uiPriority w:val="99"/>
    <w:pPr>
      <w:ind w:left="432"/>
    </w:pPr>
    <w:rPr>
      <w:rFonts w:eastAsia="宋体"/>
      <w:szCs w:val="20"/>
    </w:rPr>
  </w:style>
  <w:style w:type="character" w:customStyle="1" w:styleId="211">
    <w:name w:val="正文文本缩进 3 Char"/>
    <w:link w:val="39"/>
    <w:autoRedefine/>
    <w:qFormat/>
    <w:uiPriority w:val="99"/>
    <w:rPr>
      <w:rFonts w:ascii="Times New Roman" w:hAnsi="Times New Roman" w:eastAsia="Arial Unicode MS" w:cs="Times New Roman"/>
      <w:kern w:val="2"/>
      <w:sz w:val="16"/>
      <w:szCs w:val="16"/>
    </w:rPr>
  </w:style>
  <w:style w:type="paragraph" w:customStyle="1" w:styleId="212">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3">
    <w:name w:val="Char1111"/>
    <w:basedOn w:val="1"/>
    <w:autoRedefine/>
    <w:qFormat/>
    <w:uiPriority w:val="0"/>
    <w:rPr>
      <w:rFonts w:ascii="Tahoma" w:hAnsi="Tahoma" w:eastAsia="宋体"/>
      <w:sz w:val="24"/>
      <w:szCs w:val="20"/>
    </w:rPr>
  </w:style>
  <w:style w:type="character" w:customStyle="1" w:styleId="214">
    <w:name w:val="font161"/>
    <w:autoRedefine/>
    <w:qFormat/>
    <w:uiPriority w:val="99"/>
    <w:rPr>
      <w:b/>
      <w:bCs/>
      <w:sz w:val="32"/>
      <w:szCs w:val="32"/>
    </w:rPr>
  </w:style>
  <w:style w:type="paragraph" w:customStyle="1" w:styleId="215">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6">
    <w:name w:val="表格"/>
    <w:basedOn w:val="1"/>
    <w:autoRedefine/>
    <w:qFormat/>
    <w:uiPriority w:val="99"/>
    <w:pPr>
      <w:jc w:val="center"/>
      <w:textAlignment w:val="center"/>
    </w:pPr>
    <w:rPr>
      <w:rFonts w:ascii="华文细黑" w:hAnsi="华文细黑" w:eastAsia="宋体"/>
      <w:kern w:val="0"/>
      <w:szCs w:val="20"/>
    </w:rPr>
  </w:style>
  <w:style w:type="paragraph" w:customStyle="1" w:styleId="217">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8">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9">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0">
    <w:name w:val="样式 粉红"/>
    <w:autoRedefine/>
    <w:qFormat/>
    <w:uiPriority w:val="99"/>
    <w:rPr>
      <w:color w:val="auto"/>
      <w:u w:val="none"/>
    </w:rPr>
  </w:style>
  <w:style w:type="character" w:customStyle="1" w:styleId="221">
    <w:name w:val="Char Char1"/>
    <w:autoRedefine/>
    <w:qFormat/>
    <w:uiPriority w:val="0"/>
    <w:rPr>
      <w:rFonts w:eastAsia="宋体"/>
      <w:kern w:val="2"/>
      <w:sz w:val="24"/>
      <w:lang w:val="en-US" w:eastAsia="zh-CN" w:bidi="ar-SA"/>
    </w:rPr>
  </w:style>
  <w:style w:type="character" w:customStyle="1" w:styleId="222">
    <w:name w:val="纯文本 Char"/>
    <w:link w:val="28"/>
    <w:autoRedefine/>
    <w:qFormat/>
    <w:uiPriority w:val="0"/>
    <w:rPr>
      <w:rFonts w:ascii="宋体" w:hAnsi="Courier New" w:eastAsia="Arial Unicode MS" w:cs="Times New Roman"/>
      <w:kern w:val="2"/>
      <w:sz w:val="21"/>
      <w:szCs w:val="21"/>
    </w:rPr>
  </w:style>
  <w:style w:type="paragraph" w:customStyle="1" w:styleId="223">
    <w:name w:val="Char Char Char Char"/>
    <w:basedOn w:val="1"/>
    <w:autoRedefine/>
    <w:qFormat/>
    <w:uiPriority w:val="0"/>
    <w:pPr>
      <w:widowControl/>
      <w:spacing w:after="160" w:line="240" w:lineRule="exact"/>
      <w:jc w:val="left"/>
    </w:pPr>
    <w:rPr>
      <w:rFonts w:eastAsia="宋体"/>
      <w:szCs w:val="20"/>
    </w:rPr>
  </w:style>
  <w:style w:type="paragraph" w:customStyle="1" w:styleId="224">
    <w:name w:val="p17"/>
    <w:basedOn w:val="1"/>
    <w:autoRedefine/>
    <w:qFormat/>
    <w:uiPriority w:val="99"/>
    <w:pPr>
      <w:widowControl/>
    </w:pPr>
    <w:rPr>
      <w:rFonts w:eastAsia="宋体"/>
      <w:kern w:val="0"/>
      <w:szCs w:val="21"/>
    </w:rPr>
  </w:style>
  <w:style w:type="character" w:customStyle="1" w:styleId="225">
    <w:name w:val="H4 Char"/>
    <w:autoRedefine/>
    <w:qFormat/>
    <w:uiPriority w:val="0"/>
    <w:rPr>
      <w:b/>
      <w:sz w:val="28"/>
    </w:rPr>
  </w:style>
  <w:style w:type="character" w:customStyle="1" w:styleId="226">
    <w:name w:val="Char Char2"/>
    <w:autoRedefine/>
    <w:qFormat/>
    <w:uiPriority w:val="0"/>
    <w:rPr>
      <w:rFonts w:eastAsia="宋体"/>
      <w:kern w:val="2"/>
      <w:sz w:val="24"/>
      <w:lang w:val="en-US" w:eastAsia="zh-CN" w:bidi="ar-SA"/>
    </w:rPr>
  </w:style>
  <w:style w:type="character" w:customStyle="1" w:styleId="227">
    <w:name w:val="Char Char111"/>
    <w:autoRedefine/>
    <w:qFormat/>
    <w:uiPriority w:val="99"/>
    <w:rPr>
      <w:rFonts w:eastAsia="宋体"/>
      <w:kern w:val="2"/>
      <w:sz w:val="24"/>
      <w:lang w:val="en-US" w:eastAsia="zh-CN" w:bidi="ar-SA"/>
    </w:rPr>
  </w:style>
  <w:style w:type="paragraph" w:customStyle="1" w:styleId="228">
    <w:name w:val="Char Char Char Char111"/>
    <w:basedOn w:val="1"/>
    <w:autoRedefine/>
    <w:qFormat/>
    <w:uiPriority w:val="0"/>
    <w:pPr>
      <w:widowControl/>
      <w:spacing w:after="160" w:line="240" w:lineRule="exact"/>
      <w:jc w:val="left"/>
    </w:pPr>
    <w:rPr>
      <w:rFonts w:eastAsia="宋体"/>
      <w:szCs w:val="20"/>
    </w:rPr>
  </w:style>
  <w:style w:type="paragraph" w:customStyle="1" w:styleId="229">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0">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2">
    <w:name w:val="章标题"/>
    <w:next w:val="1"/>
    <w:link w:val="249"/>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3">
    <w:name w:val="一级条标题"/>
    <w:basedOn w:val="242"/>
    <w:next w:val="1"/>
    <w:link w:val="250"/>
    <w:autoRedefine/>
    <w:qFormat/>
    <w:uiPriority w:val="0"/>
    <w:pPr>
      <w:numPr>
        <w:ilvl w:val="2"/>
      </w:numPr>
      <w:tabs>
        <w:tab w:val="left" w:pos="360"/>
      </w:tabs>
      <w:spacing w:beforeLines="0" w:afterLines="0"/>
      <w:ind w:left="315"/>
      <w:outlineLvl w:val="2"/>
    </w:pPr>
  </w:style>
  <w:style w:type="paragraph" w:customStyle="1" w:styleId="244">
    <w:name w:val="二级条标题"/>
    <w:basedOn w:val="243"/>
    <w:next w:val="1"/>
    <w:link w:val="251"/>
    <w:autoRedefine/>
    <w:qFormat/>
    <w:uiPriority w:val="0"/>
    <w:pPr>
      <w:numPr>
        <w:ilvl w:val="3"/>
      </w:numPr>
      <w:ind w:left="315"/>
      <w:outlineLvl w:val="3"/>
    </w:pPr>
  </w:style>
  <w:style w:type="paragraph" w:customStyle="1" w:styleId="245">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6">
    <w:name w:val="三级条标题"/>
    <w:basedOn w:val="244"/>
    <w:next w:val="1"/>
    <w:autoRedefine/>
    <w:qFormat/>
    <w:uiPriority w:val="0"/>
    <w:pPr>
      <w:numPr>
        <w:ilvl w:val="4"/>
      </w:numPr>
      <w:tabs>
        <w:tab w:val="left" w:pos="1680"/>
        <w:tab w:val="left" w:pos="2100"/>
      </w:tabs>
      <w:ind w:left="2100" w:hanging="420"/>
      <w:outlineLvl w:val="4"/>
    </w:pPr>
  </w:style>
  <w:style w:type="paragraph" w:customStyle="1" w:styleId="247">
    <w:name w:val="四级条标题"/>
    <w:basedOn w:val="246"/>
    <w:next w:val="1"/>
    <w:autoRedefine/>
    <w:qFormat/>
    <w:uiPriority w:val="0"/>
    <w:pPr>
      <w:numPr>
        <w:ilvl w:val="5"/>
      </w:numPr>
      <w:tabs>
        <w:tab w:val="left" w:pos="2520"/>
      </w:tabs>
      <w:ind w:left="2520" w:hanging="420"/>
      <w:outlineLvl w:val="5"/>
    </w:pPr>
  </w:style>
  <w:style w:type="paragraph" w:customStyle="1" w:styleId="248">
    <w:name w:val="五级条标题"/>
    <w:basedOn w:val="247"/>
    <w:next w:val="1"/>
    <w:autoRedefine/>
    <w:qFormat/>
    <w:uiPriority w:val="0"/>
    <w:pPr>
      <w:numPr>
        <w:ilvl w:val="6"/>
      </w:numPr>
      <w:tabs>
        <w:tab w:val="left" w:pos="2940"/>
      </w:tabs>
      <w:ind w:left="2940" w:hanging="420"/>
      <w:outlineLvl w:val="6"/>
    </w:pPr>
  </w:style>
  <w:style w:type="character" w:customStyle="1" w:styleId="249">
    <w:name w:val="章标题 Char"/>
    <w:link w:val="242"/>
    <w:autoRedefine/>
    <w:qFormat/>
    <w:uiPriority w:val="0"/>
    <w:rPr>
      <w:rFonts w:ascii="黑体" w:hAnsi="Times New Roman" w:eastAsia="黑体" w:cs="Times New Roman"/>
      <w:sz w:val="21"/>
    </w:rPr>
  </w:style>
  <w:style w:type="character" w:customStyle="1" w:styleId="250">
    <w:name w:val="一级条标题 Char"/>
    <w:link w:val="243"/>
    <w:autoRedefine/>
    <w:qFormat/>
    <w:uiPriority w:val="0"/>
    <w:rPr>
      <w:rFonts w:ascii="黑体" w:hAnsi="Times New Roman" w:eastAsia="黑体" w:cs="Times New Roman"/>
      <w:sz w:val="21"/>
    </w:rPr>
  </w:style>
  <w:style w:type="character" w:customStyle="1" w:styleId="251">
    <w:name w:val="二级条标题 Char"/>
    <w:link w:val="244"/>
    <w:autoRedefine/>
    <w:qFormat/>
    <w:uiPriority w:val="0"/>
    <w:rPr>
      <w:rFonts w:ascii="黑体" w:hAnsi="Times New Roman" w:eastAsia="黑体" w:cs="Times New Roman"/>
      <w:sz w:val="21"/>
    </w:rPr>
  </w:style>
  <w:style w:type="character" w:customStyle="1" w:styleId="252">
    <w:name w:val="Heading 1 Char"/>
    <w:autoRedefine/>
    <w:qFormat/>
    <w:locked/>
    <w:uiPriority w:val="0"/>
    <w:rPr>
      <w:rFonts w:ascii="黑体" w:hAnsi="Times New Roman" w:eastAsia="黑体" w:cs="Times New Roman"/>
      <w:kern w:val="0"/>
      <w:sz w:val="20"/>
      <w:szCs w:val="20"/>
    </w:rPr>
  </w:style>
  <w:style w:type="character" w:customStyle="1" w:styleId="253">
    <w:name w:val="Heading 2 Char"/>
    <w:autoRedefine/>
    <w:qFormat/>
    <w:locked/>
    <w:uiPriority w:val="0"/>
    <w:rPr>
      <w:rFonts w:ascii="Times New Roman" w:hAnsi="Times New Roman" w:eastAsia="宋体" w:cs="Times New Roman"/>
      <w:b/>
      <w:kern w:val="0"/>
      <w:sz w:val="32"/>
      <w:szCs w:val="32"/>
    </w:rPr>
  </w:style>
  <w:style w:type="character" w:customStyle="1" w:styleId="254">
    <w:name w:val="标题 3 Char1"/>
    <w:autoRedefine/>
    <w:qFormat/>
    <w:locked/>
    <w:uiPriority w:val="99"/>
    <w:rPr>
      <w:rFonts w:eastAsia="宋体"/>
      <w:b/>
      <w:sz w:val="32"/>
      <w:lang w:val="en-US" w:eastAsia="zh-CN" w:bidi="ar-SA"/>
    </w:rPr>
  </w:style>
  <w:style w:type="character" w:customStyle="1" w:styleId="255">
    <w:name w:val="Heading 4 Char"/>
    <w:autoRedefine/>
    <w:qFormat/>
    <w:locked/>
    <w:uiPriority w:val="0"/>
    <w:rPr>
      <w:rFonts w:ascii="Times New Roman" w:hAnsi="Times New Roman" w:eastAsia="宋体" w:cs="Times New Roman"/>
      <w:b/>
      <w:kern w:val="0"/>
      <w:sz w:val="20"/>
      <w:szCs w:val="20"/>
    </w:rPr>
  </w:style>
  <w:style w:type="character" w:customStyle="1" w:styleId="256">
    <w:name w:val="Heading 5 Char"/>
    <w:autoRedefine/>
    <w:qFormat/>
    <w:locked/>
    <w:uiPriority w:val="0"/>
    <w:rPr>
      <w:rFonts w:ascii="Times New Roman" w:hAnsi="Times New Roman" w:eastAsia="宋体" w:cs="Times New Roman"/>
      <w:b/>
      <w:bCs/>
      <w:sz w:val="28"/>
      <w:szCs w:val="28"/>
    </w:rPr>
  </w:style>
  <w:style w:type="character" w:customStyle="1" w:styleId="257">
    <w:name w:val="Heading 6 Char"/>
    <w:autoRedefine/>
    <w:qFormat/>
    <w:locked/>
    <w:uiPriority w:val="0"/>
    <w:rPr>
      <w:rFonts w:ascii="Arial" w:hAnsi="Arial" w:eastAsia="黑体" w:cs="Times New Roman"/>
      <w:b/>
      <w:bCs/>
      <w:kern w:val="0"/>
      <w:sz w:val="24"/>
      <w:szCs w:val="24"/>
    </w:rPr>
  </w:style>
  <w:style w:type="character" w:customStyle="1" w:styleId="258">
    <w:name w:val="Heading 7 Char"/>
    <w:autoRedefine/>
    <w:qFormat/>
    <w:locked/>
    <w:uiPriority w:val="0"/>
    <w:rPr>
      <w:rFonts w:ascii="Times New Roman" w:hAnsi="Times New Roman" w:eastAsia="宋体" w:cs="Times New Roman"/>
      <w:b/>
      <w:bCs/>
      <w:kern w:val="0"/>
      <w:sz w:val="24"/>
      <w:szCs w:val="24"/>
    </w:rPr>
  </w:style>
  <w:style w:type="character" w:customStyle="1" w:styleId="259">
    <w:name w:val="Heading 8 Char"/>
    <w:autoRedefine/>
    <w:qFormat/>
    <w:locked/>
    <w:uiPriority w:val="0"/>
    <w:rPr>
      <w:rFonts w:ascii="Arial" w:hAnsi="Arial" w:eastAsia="黑体" w:cs="Times New Roman"/>
      <w:kern w:val="0"/>
      <w:sz w:val="24"/>
      <w:szCs w:val="24"/>
    </w:rPr>
  </w:style>
  <w:style w:type="character" w:customStyle="1" w:styleId="260">
    <w:name w:val="Heading 9 Char"/>
    <w:autoRedefine/>
    <w:qFormat/>
    <w:locked/>
    <w:uiPriority w:val="0"/>
    <w:rPr>
      <w:rFonts w:ascii="Arial" w:hAnsi="Arial" w:eastAsia="黑体" w:cs="Times New Roman"/>
      <w:kern w:val="0"/>
      <w:sz w:val="21"/>
      <w:szCs w:val="21"/>
    </w:rPr>
  </w:style>
  <w:style w:type="character" w:customStyle="1" w:styleId="261">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2">
    <w:name w:val="Date Char"/>
    <w:autoRedefine/>
    <w:qFormat/>
    <w:locked/>
    <w:uiPriority w:val="0"/>
    <w:rPr>
      <w:rFonts w:ascii="Times New Roman" w:hAnsi="Times New Roman" w:eastAsia="宋体" w:cs="Times New Roman"/>
      <w:sz w:val="20"/>
      <w:szCs w:val="20"/>
    </w:rPr>
  </w:style>
  <w:style w:type="character" w:customStyle="1" w:styleId="263">
    <w:name w:val="Header Char"/>
    <w:autoRedefine/>
    <w:qFormat/>
    <w:locked/>
    <w:uiPriority w:val="0"/>
    <w:rPr>
      <w:rFonts w:ascii="Times New Roman" w:hAnsi="Times New Roman" w:eastAsia="宋体" w:cs="Times New Roman"/>
      <w:kern w:val="0"/>
      <w:sz w:val="20"/>
      <w:szCs w:val="20"/>
    </w:rPr>
  </w:style>
  <w:style w:type="character" w:customStyle="1" w:styleId="264">
    <w:name w:val="Footer Char"/>
    <w:autoRedefine/>
    <w:qFormat/>
    <w:locked/>
    <w:uiPriority w:val="0"/>
    <w:rPr>
      <w:rFonts w:ascii="Times New Roman" w:hAnsi="Times New Roman" w:eastAsia="宋体" w:cs="Times New Roman"/>
      <w:kern w:val="0"/>
      <w:sz w:val="20"/>
      <w:szCs w:val="20"/>
    </w:rPr>
  </w:style>
  <w:style w:type="character" w:customStyle="1" w:styleId="265">
    <w:name w:val="Plain Text Char"/>
    <w:autoRedefine/>
    <w:qFormat/>
    <w:locked/>
    <w:uiPriority w:val="0"/>
    <w:rPr>
      <w:rFonts w:ascii="宋体" w:hAnsi="Courier New" w:eastAsia="宋体" w:cs="Times New Roman"/>
      <w:sz w:val="20"/>
      <w:szCs w:val="20"/>
    </w:rPr>
  </w:style>
  <w:style w:type="character" w:customStyle="1" w:styleId="266">
    <w:name w:val="Body Text Indent 2 Char"/>
    <w:autoRedefine/>
    <w:qFormat/>
    <w:locked/>
    <w:uiPriority w:val="0"/>
    <w:rPr>
      <w:rFonts w:ascii="Times New Roman" w:hAnsi="Times New Roman" w:eastAsia="宋体" w:cs="Times New Roman"/>
      <w:sz w:val="30"/>
      <w:szCs w:val="30"/>
    </w:rPr>
  </w:style>
  <w:style w:type="character" w:customStyle="1" w:styleId="267">
    <w:name w:val="Body Text Indent 3 Char"/>
    <w:autoRedefine/>
    <w:qFormat/>
    <w:locked/>
    <w:uiPriority w:val="0"/>
    <w:rPr>
      <w:rFonts w:ascii="Times New Roman" w:hAnsi="Times New Roman" w:eastAsia="宋体" w:cs="Times New Roman"/>
      <w:sz w:val="30"/>
      <w:szCs w:val="30"/>
    </w:rPr>
  </w:style>
  <w:style w:type="character" w:customStyle="1" w:styleId="268">
    <w:name w:val="Body Text First Indent 2 Char"/>
    <w:autoRedefine/>
    <w:qFormat/>
    <w:locked/>
    <w:uiPriority w:val="0"/>
    <w:rPr>
      <w:rFonts w:ascii="Times New Roman" w:hAnsi="Times New Roman" w:eastAsia="宋体" w:cs="Times New Roman"/>
      <w:kern w:val="2"/>
      <w:sz w:val="24"/>
      <w:szCs w:val="24"/>
    </w:rPr>
  </w:style>
  <w:style w:type="character" w:customStyle="1" w:styleId="269">
    <w:name w:val="Body Text 2 Char"/>
    <w:autoRedefine/>
    <w:qFormat/>
    <w:locked/>
    <w:uiPriority w:val="0"/>
    <w:rPr>
      <w:rFonts w:ascii="宋体" w:hAnsi="Times New Roman" w:eastAsia="宋体" w:cs="Times New Roman"/>
      <w:sz w:val="20"/>
      <w:szCs w:val="20"/>
    </w:rPr>
  </w:style>
  <w:style w:type="character" w:customStyle="1" w:styleId="270">
    <w:name w:val="Balloon Text Char"/>
    <w:autoRedefine/>
    <w:qFormat/>
    <w:locked/>
    <w:uiPriority w:val="0"/>
    <w:rPr>
      <w:rFonts w:ascii="Times New Roman" w:hAnsi="Times New Roman" w:eastAsia="宋体" w:cs="Times New Roman"/>
      <w:sz w:val="18"/>
      <w:szCs w:val="18"/>
    </w:rPr>
  </w:style>
  <w:style w:type="character" w:customStyle="1" w:styleId="271">
    <w:name w:val="Salutation Char"/>
    <w:autoRedefine/>
    <w:qFormat/>
    <w:locked/>
    <w:uiPriority w:val="0"/>
    <w:rPr>
      <w:rFonts w:ascii="..ì." w:hAnsi="Times New Roman" w:eastAsia="..ì." w:cs="Times New Roman"/>
      <w:kern w:val="0"/>
      <w:sz w:val="20"/>
      <w:szCs w:val="20"/>
    </w:rPr>
  </w:style>
  <w:style w:type="character" w:customStyle="1" w:styleId="272">
    <w:name w:val="Note Heading Char"/>
    <w:autoRedefine/>
    <w:qFormat/>
    <w:locked/>
    <w:uiPriority w:val="0"/>
    <w:rPr>
      <w:rFonts w:ascii="..ì." w:hAnsi="Times New Roman" w:eastAsia="..ì." w:cs="Times New Roman"/>
      <w:kern w:val="0"/>
      <w:sz w:val="20"/>
      <w:szCs w:val="20"/>
    </w:rPr>
  </w:style>
  <w:style w:type="paragraph" w:customStyle="1" w:styleId="273">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4">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5">
    <w:name w:val="Body Text 3 Char"/>
    <w:autoRedefine/>
    <w:qFormat/>
    <w:locked/>
    <w:uiPriority w:val="0"/>
    <w:rPr>
      <w:rFonts w:ascii="Times New Roman" w:hAnsi="Times New Roman" w:eastAsia="宋体" w:cs="Times New Roman"/>
      <w:sz w:val="16"/>
      <w:szCs w:val="16"/>
    </w:rPr>
  </w:style>
  <w:style w:type="character" w:customStyle="1" w:styleId="276">
    <w:name w:val="Title Char"/>
    <w:autoRedefine/>
    <w:qFormat/>
    <w:locked/>
    <w:uiPriority w:val="0"/>
    <w:rPr>
      <w:rFonts w:ascii="Arial" w:hAnsi="Arial" w:eastAsia="宋体" w:cs="Times New Roman"/>
      <w:b/>
      <w:kern w:val="0"/>
      <w:sz w:val="20"/>
      <w:szCs w:val="20"/>
    </w:rPr>
  </w:style>
  <w:style w:type="character" w:customStyle="1" w:styleId="277">
    <w:name w:val="Comment Subject Char"/>
    <w:autoRedefine/>
    <w:qFormat/>
    <w:locked/>
    <w:uiPriority w:val="0"/>
    <w:rPr>
      <w:rFonts w:ascii="Times New Roman" w:hAnsi="Times New Roman" w:eastAsia="宋体" w:cs="Times New Roman"/>
      <w:b/>
      <w:bCs/>
      <w:sz w:val="24"/>
      <w:szCs w:val="24"/>
    </w:rPr>
  </w:style>
  <w:style w:type="character" w:customStyle="1" w:styleId="278">
    <w:name w:val="Comment Text Char"/>
    <w:autoRedefine/>
    <w:qFormat/>
    <w:locked/>
    <w:uiPriority w:val="0"/>
    <w:rPr>
      <w:rFonts w:ascii="Times New Roman" w:hAnsi="Times New Roman" w:eastAsia="宋体"/>
      <w:sz w:val="24"/>
    </w:rPr>
  </w:style>
  <w:style w:type="paragraph" w:customStyle="1" w:styleId="279">
    <w:name w:val="List Paragraph1"/>
    <w:basedOn w:val="1"/>
    <w:autoRedefine/>
    <w:qFormat/>
    <w:uiPriority w:val="0"/>
    <w:pPr>
      <w:ind w:firstLine="420" w:firstLineChars="200"/>
    </w:pPr>
    <w:rPr>
      <w:rFonts w:eastAsia="宋体"/>
    </w:rPr>
  </w:style>
  <w:style w:type="paragraph" w:customStyle="1" w:styleId="280">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1">
    <w:name w:val="未处理的提及"/>
    <w:autoRedefine/>
    <w:unhideWhenUsed/>
    <w:qFormat/>
    <w:uiPriority w:val="99"/>
    <w:rPr>
      <w:color w:val="605E5C"/>
      <w:shd w:val="clear" w:color="auto" w:fill="E1DFDD"/>
    </w:rPr>
  </w:style>
  <w:style w:type="character" w:customStyle="1" w:styleId="282">
    <w:name w:val="Char Char11"/>
    <w:autoRedefine/>
    <w:qFormat/>
    <w:uiPriority w:val="99"/>
    <w:rPr>
      <w:rFonts w:eastAsia="宋体"/>
      <w:kern w:val="2"/>
      <w:sz w:val="24"/>
      <w:lang w:val="en-US" w:eastAsia="zh-CN"/>
    </w:rPr>
  </w:style>
  <w:style w:type="character" w:customStyle="1" w:styleId="283">
    <w:name w:val="正文文本 Char1"/>
    <w:autoRedefine/>
    <w:semiHidden/>
    <w:qFormat/>
    <w:uiPriority w:val="0"/>
    <w:rPr>
      <w:rFonts w:ascii="Times New Roman" w:hAnsi="Times New Roman" w:eastAsia="宋体" w:cs="Times New Roman"/>
      <w:szCs w:val="24"/>
    </w:rPr>
  </w:style>
  <w:style w:type="paragraph" w:customStyle="1" w:styleId="284">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Char11"/>
    <w:basedOn w:val="1"/>
    <w:autoRedefine/>
    <w:qFormat/>
    <w:uiPriority w:val="99"/>
    <w:rPr>
      <w:rFonts w:ascii="Tahoma" w:hAnsi="Tahoma" w:eastAsia="宋体"/>
      <w:sz w:val="24"/>
      <w:szCs w:val="20"/>
    </w:rPr>
  </w:style>
  <w:style w:type="paragraph" w:customStyle="1" w:styleId="286">
    <w:name w:val="Char Char Char Char1"/>
    <w:basedOn w:val="1"/>
    <w:autoRedefine/>
    <w:qFormat/>
    <w:uiPriority w:val="99"/>
    <w:pPr>
      <w:widowControl/>
      <w:spacing w:after="160" w:line="240" w:lineRule="exact"/>
      <w:jc w:val="left"/>
    </w:pPr>
    <w:rPr>
      <w:rFonts w:eastAsia="宋体"/>
      <w:szCs w:val="20"/>
    </w:rPr>
  </w:style>
  <w:style w:type="paragraph" w:customStyle="1" w:styleId="287">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8">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Char Char Char Char11"/>
    <w:basedOn w:val="1"/>
    <w:autoRedefine/>
    <w:qFormat/>
    <w:uiPriority w:val="99"/>
    <w:pPr>
      <w:widowControl/>
      <w:spacing w:after="160" w:line="240" w:lineRule="exact"/>
      <w:jc w:val="left"/>
    </w:pPr>
    <w:rPr>
      <w:rFonts w:eastAsia="宋体"/>
      <w:szCs w:val="20"/>
    </w:rPr>
  </w:style>
  <w:style w:type="paragraph" w:customStyle="1" w:styleId="290">
    <w:name w:val="Char12"/>
    <w:basedOn w:val="1"/>
    <w:autoRedefine/>
    <w:qFormat/>
    <w:uiPriority w:val="99"/>
    <w:rPr>
      <w:rFonts w:ascii="Tahoma" w:hAnsi="Tahoma" w:eastAsia="宋体"/>
      <w:sz w:val="24"/>
      <w:szCs w:val="20"/>
    </w:rPr>
  </w:style>
  <w:style w:type="paragraph" w:customStyle="1" w:styleId="291">
    <w:name w:val="Char111"/>
    <w:basedOn w:val="1"/>
    <w:autoRedefine/>
    <w:qFormat/>
    <w:uiPriority w:val="99"/>
    <w:rPr>
      <w:rFonts w:ascii="Tahoma" w:hAnsi="Tahoma" w:eastAsia="宋体"/>
      <w:sz w:val="24"/>
      <w:szCs w:val="20"/>
    </w:rPr>
  </w:style>
  <w:style w:type="paragraph" w:customStyle="1" w:styleId="292">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 Char Char Char2"/>
    <w:basedOn w:val="1"/>
    <w:autoRedefine/>
    <w:qFormat/>
    <w:uiPriority w:val="99"/>
    <w:pPr>
      <w:widowControl/>
      <w:spacing w:after="160" w:line="240" w:lineRule="exact"/>
      <w:jc w:val="left"/>
    </w:pPr>
    <w:rPr>
      <w:rFonts w:eastAsia="宋体"/>
      <w:szCs w:val="20"/>
    </w:rPr>
  </w:style>
  <w:style w:type="character" w:customStyle="1" w:styleId="294">
    <w:name w:val="正文文本 字符"/>
    <w:autoRedefine/>
    <w:qFormat/>
    <w:uiPriority w:val="0"/>
    <w:rPr>
      <w:b/>
      <w:i/>
      <w:szCs w:val="24"/>
    </w:rPr>
  </w:style>
  <w:style w:type="paragraph" w:customStyle="1" w:styleId="295">
    <w:name w:val="纯文本2"/>
    <w:basedOn w:val="1"/>
    <w:autoRedefine/>
    <w:qFormat/>
    <w:uiPriority w:val="0"/>
    <w:rPr>
      <w:rFonts w:ascii="宋体" w:hAnsi="Courier New" w:cs="Courier New"/>
      <w:szCs w:val="21"/>
    </w:rPr>
  </w:style>
  <w:style w:type="paragraph" w:customStyle="1" w:styleId="296">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297">
    <w:name w:val="_Style 1"/>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298">
    <w:name w:val="2 heading"/>
    <w:basedOn w:val="1"/>
    <w:autoRedefine/>
    <w:qFormat/>
    <w:uiPriority w:val="0"/>
    <w:pPr>
      <w:numPr>
        <w:ilvl w:val="0"/>
        <w:numId w:val="5"/>
      </w:numPr>
      <w:ind w:left="360"/>
    </w:pPr>
    <w:rPr>
      <w:rFonts w:cs="Tahoma"/>
      <w:b/>
      <w:szCs w:val="21"/>
    </w:rPr>
  </w:style>
  <w:style w:type="paragraph" w:customStyle="1" w:styleId="299">
    <w:name w:val="正表头"/>
    <w:basedOn w:val="1"/>
    <w:autoRedefine/>
    <w:qFormat/>
    <w:uiPriority w:val="0"/>
    <w:pPr>
      <w:widowControl/>
      <w:tabs>
        <w:tab w:val="left" w:pos="480"/>
      </w:tabs>
      <w:autoSpaceDE w:val="0"/>
      <w:autoSpaceDN w:val="0"/>
      <w:adjustRightInd w:val="0"/>
      <w:jc w:val="center"/>
      <w:textAlignment w:val="bottom"/>
    </w:pPr>
    <w:rPr>
      <w:rFonts w:ascii="宋体" w:hAnsi="Calibri"/>
      <w:kern w:val="0"/>
      <w:szCs w:val="20"/>
    </w:rPr>
  </w:style>
  <w:style w:type="paragraph" w:customStyle="1" w:styleId="300">
    <w:name w:val="样式 设计说明书第三级 + 首行缩进:  2 字符"/>
    <w:basedOn w:val="1"/>
    <w:autoRedefine/>
    <w:qFormat/>
    <w:uiPriority w:val="99"/>
    <w:pPr>
      <w:keepNext/>
      <w:keepLines/>
      <w:spacing w:line="500" w:lineRule="exact"/>
      <w:ind w:firstLine="200" w:firstLineChars="200"/>
      <w:jc w:val="left"/>
      <w:outlineLvl w:val="2"/>
    </w:pPr>
    <w:rPr>
      <w:b/>
      <w:bCs/>
      <w:kern w:val="44"/>
      <w:szCs w:val="28"/>
    </w:rPr>
  </w:style>
  <w:style w:type="character" w:customStyle="1" w:styleId="301">
    <w:name w:val="font51"/>
    <w:basedOn w:val="52"/>
    <w:autoRedefine/>
    <w:qFormat/>
    <w:uiPriority w:val="0"/>
    <w:rPr>
      <w:rFonts w:hint="eastAsia" w:ascii="仿宋" w:hAnsi="仿宋" w:eastAsia="仿宋" w:cs="仿宋"/>
      <w:color w:val="000000"/>
      <w:sz w:val="22"/>
      <w:szCs w:val="22"/>
      <w:u w:val="none"/>
    </w:rPr>
  </w:style>
  <w:style w:type="character" w:customStyle="1" w:styleId="302">
    <w:name w:val="font141"/>
    <w:basedOn w:val="52"/>
    <w:autoRedefine/>
    <w:qFormat/>
    <w:uiPriority w:val="0"/>
    <w:rPr>
      <w:rFonts w:hint="eastAsia" w:ascii="宋体" w:hAnsi="宋体" w:eastAsia="宋体" w:cs="宋体"/>
      <w:color w:val="000000"/>
      <w:sz w:val="22"/>
      <w:szCs w:val="22"/>
      <w:u w:val="none"/>
    </w:rPr>
  </w:style>
  <w:style w:type="paragraph" w:customStyle="1" w:styleId="303">
    <w:name w:val="正文1"/>
    <w:autoRedefine/>
    <w:qFormat/>
    <w:uiPriority w:val="0"/>
    <w:pPr>
      <w:framePr w:wrap="around" w:vAnchor="margin" w:hAnchor="text" w:y="1"/>
    </w:pPr>
    <w:rPr>
      <w:rFonts w:ascii="Helvetica" w:hAnsi="Helvetica" w:eastAsia="Arial Unicode MS" w:cs="Arial Unicode MS"/>
      <w:color w:val="000000"/>
      <w:sz w:val="22"/>
      <w:szCs w:val="22"/>
      <w:lang w:val="en-US" w:eastAsia="zh-CN" w:bidi="ar-SA"/>
    </w:rPr>
  </w:style>
  <w:style w:type="table" w:customStyle="1" w:styleId="30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BBE86-C315-4CB7-9BFB-9673051F107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66</Pages>
  <Words>29161</Words>
  <Characters>33007</Characters>
  <Lines>215</Lines>
  <Paragraphs>60</Paragraphs>
  <TotalTime>8</TotalTime>
  <ScaleCrop>false</ScaleCrop>
  <LinksUpToDate>false</LinksUpToDate>
  <CharactersWithSpaces>37322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尚智</cp:lastModifiedBy>
  <cp:lastPrinted>2021-01-08T03:30:00Z</cp:lastPrinted>
  <dcterms:modified xsi:type="dcterms:W3CDTF">2024-04-23T02:41:20Z</dcterms:modified>
  <dc:title>_x0001_</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75EE5013B1C14FACA526A157D6A245A0_13</vt:lpwstr>
  </property>
</Properties>
</file>