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版本号：YYZFCG竞争性磋商（2025）32号20250403001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榆阳区巴小路（红石桥至王圪堵段）改建工程无定河省级重要湿地选址选线意见论证报告编制服务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YYZFCG竞争性磋商（2025）32号</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榆阳区巴小路（红石桥至王圪堵段）改建工程无定河省级重要湿地选址选线意见论证报告编制服务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YYZFCG竞争性磋商（2025）32号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榆阳区巴小路（红石桥至王圪堵段）改建工程无定河省级重要湿地选址选线意见论证报告编制服务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榆阳区巴小路（红石桥至王圪堵段）改建工程无定河省级重要湿地选址选线意见论证报告编制服务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采购包1（榆阳区巴小路（红石桥至王圪堵段）改建工程无定河省级重要湿地选址选线意见论证报告编制服务）：属于专门面向小微企业采购。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1、本采购包专门面向中小企业采购：参与的供应商（联合体）工程的施工单位全部为符合政策要求的小微企业。</w:t>
      </w:r>
    </w:p>
    <w:p>
      <w:pPr>
        <w:pStyle w:val="null3"/>
      </w:pPr>
      <w:r>
        <w:rPr>
          <w:rFonts w:ascii="仿宋_GB2312" w:hAnsi="仿宋_GB2312" w:cs="仿宋_GB2312" w:eastAsia="仿宋_GB2312"/>
        </w:rPr>
        <w:t>2、拟派项目负责人资质和专业要求。：证书等级： 专业： 补充说明：</w:t>
      </w:r>
    </w:p>
    <w:p>
      <w:pPr>
        <w:pStyle w:val="null3"/>
      </w:pPr>
      <w:r>
        <w:rPr>
          <w:rFonts w:ascii="仿宋_GB2312" w:hAnsi="仿宋_GB2312" w:cs="仿宋_GB2312" w:eastAsia="仿宋_GB2312"/>
        </w:rPr>
        <w:t>3、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4、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5、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乔震宇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采购包1：449,650.00元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联系人：乔震宇</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项目起于红石桥镇北头，与现有巴小路顺接，沿旧路布设途经红石桥镇、杨窑湾、王连圪堵村，止于王连圪堵水库，路线全长12.278公里。本项目投资估算5144万元，建设资金由省配套和区财政解决。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449,650.00</w:t>
      </w:r>
    </w:p>
    <w:p>
      <w:pPr>
        <w:pStyle w:val="null3"/>
      </w:pPr>
      <w:r>
        <w:rPr>
          <w:rFonts w:ascii="仿宋_GB2312" w:hAnsi="仿宋_GB2312" w:cs="仿宋_GB2312" w:eastAsia="仿宋_GB2312"/>
        </w:rPr>
        <w:t>采购包最高限价（元）: 449,650.00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榆阳区巴小路（红石桥至王圪堵段）改建工程无定河省级重要湿地选址选线意见论证报告编制服务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449,650.00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标的名称：榆阳区巴小路（红石桥至王圪堵段）改建工程无定河省级重要湿地选址选线意见论证报告编制服务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满足环评部门要求即可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 专业： 补充说明：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商务应答表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响应文件封面 服务内容及服务邀请应答表 服务方案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响应文件封面 服务方案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响应文件封面 服务内容及服务邀请应答表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响应文件封面 服务内容及服务邀请应答表 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残疾人福利性单位声明函 商务应答表 服务方案 标的清单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一、对采购需求的响应程度（8分）：1.服务方案覆盖范围，考察是否涵盖采购文件所有技术要求和服务内容，有无重大遗漏。完全覆盖采购需求，细节详尽，风险预案完善，资源匹配度完全得8分。主要需求覆盖，但部分细节描述不足得6分；存在非核心内容遗漏得4分；关键内容缺失得0分。二、技术路线合理性（8分）：技术路线描述完整清楚、采用的技术/方法是行业通用或主流技术的得3分；技术路线描述完整清楚、采用非主流、非行业通用技术/方法得得2分；技术路线模糊（如仅描述“使用先进技术”但无具体说明）得1分、技术路线模糊或采用未经验证的实验性技术的得0分。2.可操作性强，实施步骤是清晰可行（如调研→设计→试运行→验收的阶段性划分）的得1分。3.方案具有创新性，提出优化方案且不过度超前导致风险的得1分。4.技术方案与采购人现有系统/流程兼容（如数据接口标准、文件格式）的得2分。5.具有可持续性，方案中考虑长期维护和升级扩展的得1分。三、项目管理机构设立、运作流程、管理计划完整、详细，优于采购需求得6分、一般的得4分、差的得2分、无响应的得0分。四、工作人员培训管理及福利待遇（8分）：培训体系科学合理、详细完整、切实可行，员工福利待遇保障齐全，优于采购需求得8分;培训体系科学合理、详细完整、切实可行，员工福利待遇保障一般满足采购需求得4分;其他无响应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服务项目经理（10分）：1.具有相关专业硕士及以上学历，具有相关职业资格证书(技能等级证书)每提供一项得1分，最高得3分;2.具有相关行业管理工作三年以上经历得2分，6年以上最高得4分，不提供得0分;3.具有本行业正高级以上职称得3分、高级职称得2分、中级职称得1分、中级以下职称得0分。根据提供的相应证明资料进行评分:(1)上述证书扫描件或技能人才评价证书全国联网查询系统截图。(2)项目负责人在投标截止日之前六个月以内任意月份的代缴个税税单或参加社会保险的《投保单》或《社会保险参保人员证明》和提供相关工作证明。二、项目服务团队人员（13分）：1.具有相关专业本科及以上学历，具有相关职业资格证书(技能等级证书)每提供一项得2分，最高得6分;2.具有相关行业管理工作三年以上经历得2分、5年以上最高得3分、5年以上得4分、不提供得0分;3.具有本行业正高级以上职称得3分、高级职称得2分、中级职称得1分、中级以下职称得0分。须提供以下材料，不提供不得分:(1)上述证书扫描件或技能人才评价证书全国联网查询系统截图。(2)上述人员在投标截止日之前六个月以内任意月份的代缴个税税单或参加社会保险的《投保单》或《社会保险参保人员证明》。</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如实填报近期投标人基本信息表（2分） 如实提供近期财务报表（2分） 如实提供近期税务机关出具的完税证明（2分）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 提供同类项目的业绩证明≥三份（5分） 提供同类项目的业绩证明≥二份（3分） 提供同类项目的业绩证明≥一份（1分） 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实质性满足竞争性磋商文件的要求且为最终磋商报价进行计算：最后磋商报价（20分）：满足磋商文件要求且最后磋商报价最低的供应商的价格为磋商基准价，其价格分为满分。 其他供应商的价格分按照下列公式计算： 磋商报价得分=（磋商基准价/最后磋商报价）×20 评审委员会发现某一供应商的最后报价明显低于其他供应商的最后报价，使得其报价可能低于其成本的，应当要求该供应商作出书面说明并提供相应的证明材料。供应商不能合理说明或者不能提供相应证明材料的，由评审委员会认定该供应商以低于成本报价竞标，其供应商的最后报价不予认可，作无效响应处理视为自动放弃。</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详见附件：巴小路湿地合同（模板）(1).docx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