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版本号：YYZFCG竞争性磋商（2025）12号20250307001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榆阳区流水沟公租房、安置房项目附属工程设计服务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YYZFCG竞争性磋商（2025）12号</w:t>
      </w:r>
      <w:r>
        <w:br/>
      </w:r>
      <w:r>
        <w:br/>
      </w:r>
      <w:r>
        <w:br/>
      </w:r>
    </w:p>
    <w:p>
      <w:pPr>
        <w:pStyle w:val="null3"/>
        <w:jc w:val="center"/>
        <w:outlineLvl w:val="2"/>
      </w:pPr>
      <w:r>
        <w:rPr>
          <w:rFonts w:ascii="仿宋_GB2312" w:hAnsi="仿宋_GB2312" w:cs="仿宋_GB2312" w:eastAsia="仿宋_GB2312"/>
          <w:sz w:val="28"/>
          <w:b/>
        </w:rPr>
        <w:t>榆林市榆阳区住房和城乡建设局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榆林市榆阳区住房和城乡建设局</w:t>
      </w:r>
      <w:r>
        <w:rPr>
          <w:rFonts w:ascii="仿宋_GB2312" w:hAnsi="仿宋_GB2312" w:cs="仿宋_GB2312" w:eastAsia="仿宋_GB2312"/>
        </w:rPr>
        <w:t>委托，拟对</w:t>
      </w:r>
      <w:r>
        <w:rPr>
          <w:rFonts w:ascii="仿宋_GB2312" w:hAnsi="仿宋_GB2312" w:cs="仿宋_GB2312" w:eastAsia="仿宋_GB2312"/>
        </w:rPr>
        <w:t>榆阳区流水沟公租房、安置房项目附属工程设计服务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YYZFCG竞争性磋商（2025）12号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榆阳区流水沟公租房、安置房项目附属工程设计服务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榆阳区流水沟公租房、安置房项目附属工程设计服务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采购包1（榆阳区流水沟公租房、安置房项目附属工程设计服务）：属于专门面向小微企业采购。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1、拟派项目负责人资质和专业要求。：拟派项目负责人需具备中华人民共和国二级注册建筑师资格。</w:t>
      </w:r>
    </w:p>
    <w:p>
      <w:pPr>
        <w:pStyle w:val="null3"/>
      </w:pPr>
      <w:r>
        <w:rPr>
          <w:rFonts w:ascii="仿宋_GB2312" w:hAnsi="仿宋_GB2312" w:cs="仿宋_GB2312" w:eastAsia="仿宋_GB2312"/>
        </w:rPr>
        <w:t>2、主体资格：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3、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的证明。</w:t>
      </w:r>
    </w:p>
    <w:p>
      <w:pPr>
        <w:pStyle w:val="null3"/>
      </w:pPr>
      <w:r>
        <w:rPr>
          <w:rFonts w:ascii="仿宋_GB2312" w:hAnsi="仿宋_GB2312" w:cs="仿宋_GB2312" w:eastAsia="仿宋_GB2312"/>
        </w:rPr>
        <w:t>4、设计资质：供应商须具有建设行政主管部门颁发的建筑行业乙级及以上</w:t>
      </w:r>
    </w:p>
    <w:p>
      <w:pPr>
        <w:pStyle w:val="null3"/>
      </w:pPr>
      <w:r>
        <w:rPr>
          <w:rFonts w:ascii="仿宋_GB2312" w:hAnsi="仿宋_GB2312" w:cs="仿宋_GB2312" w:eastAsia="仿宋_GB2312"/>
        </w:rPr>
        <w:t>5、财务状况报告：供应商提供2023年或2024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6、社会保障资金缴纳证明：供应商提供上一年度至开标前已缴存的至少三个月的社会保障资金缴存单据或社保机构开具的社会保险参保等费情况证明。依法不需要缴纳社会保障资金的供应商应提供相关文件证明。</w:t>
      </w:r>
    </w:p>
    <w:p>
      <w:pPr>
        <w:pStyle w:val="null3"/>
      </w:pPr>
      <w:r>
        <w:rPr>
          <w:rFonts w:ascii="仿宋_GB2312" w:hAnsi="仿宋_GB2312" w:cs="仿宋_GB2312" w:eastAsia="仿宋_GB2312"/>
        </w:rPr>
        <w:t>7、税收缴纳证明：供应商提供上一年度至开标前已缴纳的至少三个月的纳税证明或完税证明，纳税证明或完税证明上应有代收机构或税务机关的公章。依法免税的供应商应提供相关文件证明。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商业信用：供应商应具备良好的商业信蕾，提供参加政府采购活动前3年内在经营活动中没有重大违法记录的书面声明，须通过“信用中国”网站…cxeuitchins.go.c)和中国政府采购网(-.ccap.8o4.c)查询相关主体信用记录(查询日期为从招标文件发售之日起至投标截止日前)，以网页载图加盖投标人公章为准，对列入失信被执行人、重大税收违法案当事人名单、政府采队严重违法朱信行为记录名单及其他不符合《中华人民共和国政府采购法》第二十二条规定条件的将拒绝其参与欢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榆阳区政府410</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13891262052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13289723300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榆林市榆阳区住房和城乡建设局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联系电话：13289723300</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新建10KV高压供电线路工程、天然气工程、电梯护套工程、车位划线和标志工程、换热站房设备及管道安装工程以及监控、室外应急安全广播系统工程等设计。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355,400.00</w:t>
      </w:r>
    </w:p>
    <w:p>
      <w:pPr>
        <w:pStyle w:val="null3"/>
      </w:pPr>
      <w:r>
        <w:rPr>
          <w:rFonts w:ascii="仿宋_GB2312" w:hAnsi="仿宋_GB2312" w:cs="仿宋_GB2312" w:eastAsia="仿宋_GB2312"/>
        </w:rPr>
        <w:t>采购包最高限价（元）: 355,400.00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榆阳区流水沟公租房、安置房项目附属工程设计服务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标的名称：榆阳区流水沟公租房、安置房项目附属工程设计服务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设计服务</w:t>
            </w:r>
          </w:p>
        </w:tc>
        <w:tc>
          <w:tcPr>
            <w:tcW w:type="dxa" w:w="2076"/>
          </w:tcPr>
          <w:p>
            <w:pPr>
              <w:pStyle w:val="null3"/>
              <w:jc w:val="both"/>
            </w:pPr>
            <w:r>
              <w:rPr>
                <w:rFonts w:ascii="仿宋_GB2312" w:hAnsi="仿宋_GB2312" w:cs="仿宋_GB2312" w:eastAsia="仿宋_GB2312"/>
                <w:sz w:val="21"/>
              </w:rPr>
              <w:t>符合国家现行行业规范，满足施工需求。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新建10KV高压供电线路工程、天然气工程、电梯护套工程、车位划线和标志工程、换热站房设备及管道安装工程以及监控、室外应急安全广播系统工程等设计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符合规范，满足需求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采购包1： 付款条件说明： 设计进度及工程进度 ，达到付款条件起 20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新建10KV高压供电线路工程、天然气工程、电梯护套工程、车位划线和标志工程、换热站房设备及管道安装工程以及监控、室外应急安全广播系统工程等设计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具备《中华人民共和国政府采购法》第二十二条规定的条件包括：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法律、行政法规规定的其他条件。 《政府采购法》第二十二条的具体内容如下：第二十二条供应商参加政府采购活动应当具备下列条件：（一）具有独立承担民事责任的能力；（二）具有良好的商业信誉和健全的财务会计制度；（三）具有履行合同所必需的设备和专业技术能力；供应商须具有建设行政主管部门颁发的建筑行业乙级及以上（四）有依法缴纳税收和社会保障资金的良好记录；（五）参加政府采购活动前三年内，在经营活动中没有重大违法记录；</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供应商应提供2023年度或2024年度的财务审计报告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拟派项目负责人需具备中华人民共和国二级注册建筑师资格。</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的证明。</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设计资质</w:t>
            </w:r>
          </w:p>
        </w:tc>
        <w:tc>
          <w:tcPr>
            <w:tcW w:type="dxa" w:w="3322"/>
          </w:tcPr>
          <w:p>
            <w:pPr>
              <w:pStyle w:val="null3"/>
            </w:pPr>
            <w:r>
              <w:rPr>
                <w:rFonts w:ascii="仿宋_GB2312" w:hAnsi="仿宋_GB2312" w:cs="仿宋_GB2312" w:eastAsia="仿宋_GB2312"/>
              </w:rPr>
              <w:t>供应商须具有建设行政主管部门颁发的建筑行业乙级及以上</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或2024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供应商提供上一年度至开标前已缴存的至少三个月的社会保障资金缴存单据或社保机构开具的社会保险参保等费情况证明。依法不需要缴纳社会保障资金的供应商应提供相关文件证明。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商业信用</w:t>
            </w:r>
          </w:p>
        </w:tc>
        <w:tc>
          <w:tcPr>
            <w:tcW w:type="dxa" w:w="3322"/>
          </w:tcPr>
          <w:p>
            <w:pPr>
              <w:pStyle w:val="null3"/>
            </w:pPr>
            <w:r>
              <w:rPr>
                <w:rFonts w:ascii="仿宋_GB2312" w:hAnsi="仿宋_GB2312" w:cs="仿宋_GB2312" w:eastAsia="仿宋_GB2312"/>
              </w:rPr>
              <w:t>供应商应具备良好的商业信蕾，提供参加政府采购活动前3年内在经营活动中没有重大违法记录的书面声明，须通过“信用中国”网站…cxeuitchins.go.c)和中国政府采购网(-.ccap.8o4.c)查询相关主体信用记录(查询日期为从招标文件发售之日起至投标截止日前)，以网页载图加盖投标人公章为准，对列入失信被执行人、重大税收违法案当事人名单、政府采队严重违法朱信行为记录名单及其他不符合《中华人民共和国政府采购法》第二十二条规定条件的将拒绝其参与欢府采购活动。</w:t>
            </w:r>
          </w:p>
        </w:tc>
        <w:tc>
          <w:tcPr>
            <w:tcW w:type="dxa" w:w="1661"/>
          </w:tcPr>
          <w:p>
            <w:pPr>
              <w:pStyle w:val="null3"/>
            </w:pPr>
            <w:r>
              <w:rPr>
                <w:rFonts w:ascii="仿宋_GB2312" w:hAnsi="仿宋_GB2312" w:cs="仿宋_GB2312" w:eastAsia="仿宋_GB2312"/>
              </w:rPr>
              <w:t>响应文件封面 商务应答表 服务方案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w:t>
            </w:r>
          </w:p>
        </w:tc>
        <w:tc>
          <w:tcPr>
            <w:tcW w:type="dxa" w:w="3322"/>
          </w:tcPr>
          <w:p>
            <w:pPr>
              <w:pStyle w:val="null3"/>
            </w:pPr>
            <w:r>
              <w:rPr>
                <w:rFonts w:ascii="仿宋_GB2312" w:hAnsi="仿宋_GB2312" w:cs="仿宋_GB2312" w:eastAsia="仿宋_GB2312"/>
              </w:rPr>
              <w:t>投标文件语言符合招标文件要求。</w:t>
            </w:r>
          </w:p>
        </w:tc>
        <w:tc>
          <w:tcPr>
            <w:tcW w:type="dxa" w:w="1661"/>
          </w:tcPr>
          <w:p>
            <w:pPr>
              <w:pStyle w:val="null3"/>
            </w:pPr>
            <w:r>
              <w:rPr>
                <w:rFonts w:ascii="仿宋_GB2312" w:hAnsi="仿宋_GB2312" w:cs="仿宋_GB2312" w:eastAsia="仿宋_GB2312"/>
              </w:rPr>
              <w:t>响应文件封面 服务方案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中小企业声明函 信用承诺书.docx 商务应答表 服务方案 供应商应提交的相关资格证明材料 标的清单 报价表 响应函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投标文件应包含以下内容： （1）资格证明文件； （2）符合性证明文件； （3）投标方案。</w:t>
            </w:r>
          </w:p>
        </w:tc>
        <w:tc>
          <w:tcPr>
            <w:tcW w:type="dxa" w:w="1661"/>
          </w:tcPr>
          <w:p>
            <w:pPr>
              <w:pStyle w:val="null3"/>
            </w:pPr>
            <w:r>
              <w:rPr>
                <w:rFonts w:ascii="仿宋_GB2312" w:hAnsi="仿宋_GB2312" w:cs="仿宋_GB2312" w:eastAsia="仿宋_GB2312"/>
              </w:rPr>
              <w:t>响应文件封面 信用承诺书.docx 服务方案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完全理解并接受对合格投标人、合格的服务要求，实质性要求没有负偏离。</w:t>
            </w:r>
          </w:p>
        </w:tc>
        <w:tc>
          <w:tcPr>
            <w:tcW w:type="dxa" w:w="1661"/>
          </w:tcPr>
          <w:p>
            <w:pPr>
              <w:pStyle w:val="null3"/>
            </w:pPr>
            <w:r>
              <w:rPr>
                <w:rFonts w:ascii="仿宋_GB2312" w:hAnsi="仿宋_GB2312" w:cs="仿宋_GB2312" w:eastAsia="仿宋_GB2312"/>
              </w:rPr>
              <w:t>响应文件封面 商务应答表 服务方案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信誉业绩</w:t>
            </w:r>
          </w:p>
        </w:tc>
        <w:tc>
          <w:tcPr>
            <w:tcW w:type="dxa" w:w="2492"/>
          </w:tcPr>
          <w:p>
            <w:pPr>
              <w:pStyle w:val="null3"/>
            </w:pPr>
            <w:r>
              <w:rPr>
                <w:rFonts w:ascii="仿宋_GB2312" w:hAnsi="仿宋_GB2312" w:cs="仿宋_GB2312" w:eastAsia="仿宋_GB2312"/>
              </w:rPr>
              <w:t>提供开户银行资信证明《5分)提供同类项目的业绩证明≥三份(5分)提供同类项目的业绩证明≥二份(3分)提供同类项目的业绩证明≥一份(1分)无类似项目业绩单项合同不得分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履约服务</w:t>
            </w:r>
          </w:p>
        </w:tc>
        <w:tc>
          <w:tcPr>
            <w:tcW w:type="dxa" w:w="2492"/>
          </w:tcPr>
          <w:p>
            <w:pPr>
              <w:pStyle w:val="null3"/>
            </w:pPr>
            <w:r>
              <w:rPr>
                <w:rFonts w:ascii="仿宋_GB2312" w:hAnsi="仿宋_GB2312" w:cs="仿宋_GB2312" w:eastAsia="仿宋_GB2312"/>
              </w:rPr>
              <w:t>提供履约服务标准公约，在项目实施、培训、补救措施等方面，具有明确的承诺。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服务标准方案</w:t>
            </w:r>
          </w:p>
        </w:tc>
        <w:tc>
          <w:tcPr>
            <w:tcW w:type="dxa" w:w="2492"/>
          </w:tcPr>
          <w:p>
            <w:pPr>
              <w:pStyle w:val="null3"/>
            </w:pPr>
            <w:r>
              <w:rPr>
                <w:rFonts w:ascii="仿宋_GB2312" w:hAnsi="仿宋_GB2312" w:cs="仿宋_GB2312" w:eastAsia="仿宋_GB2312"/>
              </w:rPr>
              <w:t>投标内容齐全，数量准确无漏项，完全满足招标需求(0-15分)，人员配备(技能、资质及分工等)等情况(0-10分); 主要负责人员资尺)相关管理经验等配备情况(0-5分);项目组织实施计划完整可行，分工明确到位，协调措施有力，具自光成项目的组织能力(0-10分)。服务承诺(0份);管理制度(0-4分);是否设置合理的奖猛、考核制度(0-3分);具有相应的财力、物力、人力保障，能够保证服务正常运转(0-2分）</w:t>
            </w:r>
          </w:p>
        </w:tc>
        <w:tc>
          <w:tcPr>
            <w:tcW w:type="dxa" w:w="831"/>
          </w:tcPr>
          <w:p>
            <w:pPr>
              <w:pStyle w:val="null3"/>
              <w:jc w:val="right"/>
            </w:pPr>
            <w:r>
              <w:rPr>
                <w:rFonts w:ascii="仿宋_GB2312" w:hAnsi="仿宋_GB2312" w:cs="仿宋_GB2312" w:eastAsia="仿宋_GB2312"/>
              </w:rPr>
              <w:t>53.0000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如实提供近期审计报告(3分)如实提供近期税务机关出具的完税证明(3分》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商务响应，逐条响应</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满足磋商文件要求且最后磋商报价最低的供应商的价格为磋商基准价，其价格分为满分。其他供应商的价格分按照下列公式计算:磋商报价得分=(磋商基准价/最后磋商报价)x20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