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0C1099">
      <w:pPr>
        <w:spacing w:line="420" w:lineRule="auto"/>
        <w:jc w:val="left"/>
        <w:rPr>
          <w:rFonts w:hint="default" w:ascii="宋体" w:hAnsi="宋体" w:eastAsia="宋体" w:cs="宋体"/>
          <w:b/>
          <w:sz w:val="2"/>
          <w:szCs w:val="2"/>
          <w:lang w:val="en-US" w:eastAsia="zh-CN"/>
        </w:rPr>
      </w:pPr>
      <w:bookmarkStart w:id="0" w:name="_Toc193702467"/>
      <w:bookmarkStart w:id="1" w:name="_Toc465958085"/>
      <w:bookmarkStart w:id="2" w:name="_Toc6410"/>
      <w:bookmarkStart w:id="3" w:name="_Toc12011"/>
      <w:bookmarkStart w:id="4" w:name="_Toc12260"/>
      <w:bookmarkStart w:id="5" w:name="_Toc246928891"/>
      <w:bookmarkStart w:id="6" w:name="_Toc22392"/>
      <w:bookmarkStart w:id="7" w:name="OLE_LINK18"/>
      <w:r>
        <w:rPr>
          <w:rFonts w:hint="eastAsia" w:ascii="宋体" w:hAnsi="宋体" w:cs="宋体"/>
          <w:b/>
          <w:sz w:val="2"/>
          <w:szCs w:val="2"/>
          <w:lang w:val="en-US" w:eastAsia="zh-CN"/>
        </w:rPr>
        <w:t xml:space="preserve">                                                                                                                                                                                                                                                                    </w:t>
      </w:r>
    </w:p>
    <w:p w14:paraId="0817C6CF">
      <w:pPr>
        <w:spacing w:line="420" w:lineRule="auto"/>
        <w:jc w:val="left"/>
        <w:rPr>
          <w:rFonts w:hint="eastAsia" w:ascii="宋体" w:hAnsi="宋体" w:eastAsia="宋体" w:cs="宋体"/>
          <w:b/>
          <w:sz w:val="28"/>
          <w:szCs w:val="28"/>
          <w:lang w:eastAsia="zh-CN"/>
        </w:rPr>
      </w:pPr>
      <w:r>
        <w:rPr>
          <w:rFonts w:hint="eastAsia" w:ascii="宋体" w:hAnsi="宋体" w:cs="宋体"/>
          <w:b/>
          <w:sz w:val="28"/>
          <w:szCs w:val="28"/>
        </w:rPr>
        <w:t>采购项目编</w:t>
      </w:r>
      <w:r>
        <w:rPr>
          <w:rFonts w:hint="eastAsia" w:ascii="宋体" w:hAnsi="宋体" w:eastAsia="宋体" w:cs="宋体"/>
          <w:b/>
          <w:sz w:val="28"/>
          <w:szCs w:val="28"/>
        </w:rPr>
        <w:t>号：</w:t>
      </w:r>
      <w:r>
        <w:rPr>
          <w:rFonts w:hint="eastAsia" w:ascii="宋体" w:hAnsi="宋体" w:eastAsia="宋体" w:cs="宋体"/>
          <w:b/>
          <w:sz w:val="28"/>
          <w:szCs w:val="28"/>
          <w:lang w:eastAsia="zh-CN"/>
        </w:rPr>
        <w:t>SQZB2024-017</w:t>
      </w:r>
    </w:p>
    <w:p w14:paraId="34BDC397">
      <w:pPr>
        <w:pStyle w:val="3"/>
        <w:spacing w:line="240" w:lineRule="auto"/>
        <w:rPr>
          <w:sz w:val="2"/>
          <w:szCs w:val="2"/>
        </w:rPr>
      </w:pPr>
    </w:p>
    <w:p w14:paraId="64D73E0F">
      <w:pPr>
        <w:jc w:val="center"/>
        <w:rPr>
          <w:rFonts w:hint="eastAsia" w:ascii="宋体" w:hAnsi="宋体" w:cs="宋体"/>
          <w:b/>
          <w:sz w:val="80"/>
          <w:szCs w:val="80"/>
        </w:rPr>
      </w:pPr>
      <w:r>
        <w:rPr>
          <w:rFonts w:hint="eastAsia" w:ascii="宋体" w:hAnsi="宋体" w:cs="宋体"/>
          <w:b/>
          <w:sz w:val="52"/>
          <w:szCs w:val="52"/>
          <w:lang w:eastAsia="zh-CN"/>
        </w:rPr>
        <w:t>榆林市国防动员办公室榆林高新区第二小学人防工程施工用电电气设备货物采购（三次）</w:t>
      </w:r>
    </w:p>
    <w:p w14:paraId="68750CDC">
      <w:pPr>
        <w:jc w:val="center"/>
        <w:rPr>
          <w:rFonts w:hint="eastAsia" w:ascii="宋体" w:hAnsi="宋体" w:cs="宋体"/>
          <w:b/>
          <w:sz w:val="80"/>
          <w:szCs w:val="80"/>
        </w:rPr>
      </w:pPr>
    </w:p>
    <w:p w14:paraId="0A4E8B03">
      <w:pPr>
        <w:jc w:val="center"/>
        <w:rPr>
          <w:rFonts w:hint="eastAsia" w:ascii="宋体" w:hAnsi="宋体" w:eastAsia="宋体" w:cs="宋体"/>
          <w:b/>
          <w:sz w:val="80"/>
          <w:szCs w:val="80"/>
          <w:lang w:val="en-US" w:eastAsia="zh-CN"/>
        </w:rPr>
      </w:pPr>
      <w:r>
        <w:rPr>
          <w:rFonts w:hint="eastAsia" w:ascii="宋体" w:hAnsi="宋体" w:cs="宋体"/>
          <w:b/>
          <w:sz w:val="80"/>
          <w:szCs w:val="80"/>
        </w:rPr>
        <w:t>竞争性谈判文件</w:t>
      </w:r>
    </w:p>
    <w:p w14:paraId="6CE6F322">
      <w:pPr>
        <w:spacing w:line="420" w:lineRule="auto"/>
        <w:rPr>
          <w:rFonts w:ascii="宋体" w:hAnsi="宋体" w:cs="宋体"/>
          <w:bCs/>
          <w:sz w:val="24"/>
          <w:szCs w:val="24"/>
        </w:rPr>
      </w:pPr>
    </w:p>
    <w:p w14:paraId="3DDB2EFA">
      <w:pPr>
        <w:spacing w:line="420" w:lineRule="auto"/>
        <w:rPr>
          <w:rFonts w:ascii="宋体" w:hAnsi="宋体" w:cs="宋体"/>
          <w:bCs/>
          <w:sz w:val="24"/>
          <w:szCs w:val="24"/>
        </w:rPr>
      </w:pPr>
    </w:p>
    <w:p w14:paraId="5E2BEAC4">
      <w:pPr>
        <w:pStyle w:val="6"/>
      </w:pPr>
    </w:p>
    <w:p w14:paraId="6D9534E1"/>
    <w:p w14:paraId="4667C367">
      <w:pPr>
        <w:pStyle w:val="5"/>
        <w:ind w:firstLine="0"/>
        <w:jc w:val="center"/>
        <w:rPr>
          <w:sz w:val="40"/>
          <w:szCs w:val="40"/>
        </w:rPr>
      </w:pPr>
    </w:p>
    <w:p w14:paraId="1BCDA895">
      <w:pPr>
        <w:pStyle w:val="5"/>
        <w:spacing w:line="480" w:lineRule="auto"/>
        <w:ind w:firstLine="0"/>
        <w:jc w:val="center"/>
        <w:rPr>
          <w:rFonts w:hint="eastAsia" w:ascii="宋体" w:hAnsi="宋体" w:eastAsia="宋体" w:cs="宋体"/>
          <w:b/>
          <w:sz w:val="32"/>
          <w:szCs w:val="32"/>
          <w:lang w:eastAsia="zh-CN"/>
        </w:rPr>
      </w:pPr>
      <w:bookmarkStart w:id="8" w:name="OLE_LINK43"/>
      <w:r>
        <w:rPr>
          <w:rFonts w:hint="eastAsia" w:ascii="宋体" w:hAnsi="宋体" w:eastAsia="宋体" w:cs="宋体"/>
          <w:b/>
          <w:sz w:val="32"/>
          <w:szCs w:val="32"/>
          <w:lang w:eastAsia="zh-CN"/>
        </w:rPr>
        <w:t>采购人：榆林市国防动员办公室</w:t>
      </w:r>
    </w:p>
    <w:p w14:paraId="17CF8703">
      <w:pPr>
        <w:pStyle w:val="5"/>
        <w:spacing w:line="480" w:lineRule="auto"/>
        <w:ind w:firstLine="0"/>
        <w:jc w:val="center"/>
        <w:rPr>
          <w:rFonts w:hint="eastAsia" w:ascii="宋体" w:hAnsi="宋体" w:eastAsia="宋体" w:cs="宋体"/>
          <w:b/>
          <w:sz w:val="32"/>
          <w:szCs w:val="32"/>
          <w:lang w:eastAsia="zh-CN"/>
        </w:rPr>
      </w:pPr>
    </w:p>
    <w:p w14:paraId="48FC33C4">
      <w:pPr>
        <w:snapToGrid w:val="0"/>
        <w:spacing w:line="480" w:lineRule="auto"/>
        <w:jc w:val="center"/>
        <w:rPr>
          <w:rFonts w:ascii="宋体" w:hAnsi="宋体" w:cs="宋体"/>
          <w:b/>
          <w:sz w:val="32"/>
          <w:szCs w:val="32"/>
        </w:rPr>
      </w:pPr>
      <w:r>
        <w:rPr>
          <w:rFonts w:hint="eastAsia" w:ascii="宋体" w:hAnsi="宋体" w:cs="宋体"/>
          <w:b/>
          <w:sz w:val="32"/>
          <w:szCs w:val="32"/>
        </w:rPr>
        <w:t xml:space="preserve"> 采购代理机构：陕西三秦大地招标有限责任公司     </w:t>
      </w:r>
    </w:p>
    <w:p w14:paraId="1A922AF5">
      <w:pPr>
        <w:snapToGrid w:val="0"/>
        <w:jc w:val="center"/>
        <w:rPr>
          <w:rFonts w:ascii="宋体" w:hAnsi="宋体" w:cs="宋体"/>
          <w:b/>
          <w:sz w:val="16"/>
          <w:szCs w:val="16"/>
        </w:rPr>
      </w:pPr>
    </w:p>
    <w:p w14:paraId="450B38AA">
      <w:pPr>
        <w:spacing w:line="480" w:lineRule="auto"/>
        <w:jc w:val="center"/>
        <w:rPr>
          <w:rFonts w:ascii="宋体" w:hAnsi="宋体" w:cs="宋体"/>
          <w:b/>
          <w:sz w:val="24"/>
          <w:szCs w:val="24"/>
        </w:rPr>
        <w:sectPr>
          <w:headerReference r:id="rId4" w:type="first"/>
          <w:headerReference r:id="rId3" w:type="default"/>
          <w:footerReference r:id="rId5" w:type="default"/>
          <w:footnotePr>
            <w:pos w:val="beneathText"/>
          </w:footnotePr>
          <w:pgSz w:w="11906" w:h="16838"/>
          <w:pgMar w:top="1418" w:right="1644" w:bottom="1191" w:left="1758" w:header="851" w:footer="992" w:gutter="0"/>
          <w:cols w:space="720" w:num="1"/>
          <w:docGrid w:type="lines" w:linePitch="312" w:charSpace="0"/>
        </w:sectPr>
      </w:pPr>
      <w:r>
        <w:rPr>
          <w:rFonts w:hint="eastAsia" w:ascii="宋体" w:hAnsi="宋体" w:cs="宋体"/>
          <w:b/>
          <w:sz w:val="32"/>
          <w:szCs w:val="32"/>
        </w:rPr>
        <w:t xml:space="preserve">  二零二</w:t>
      </w:r>
      <w:r>
        <w:rPr>
          <w:rFonts w:hint="eastAsia" w:ascii="宋体" w:hAnsi="宋体" w:cs="宋体"/>
          <w:b/>
          <w:sz w:val="32"/>
          <w:szCs w:val="32"/>
          <w:lang w:val="en-US" w:eastAsia="zh-CN"/>
        </w:rPr>
        <w:t>四</w:t>
      </w:r>
      <w:r>
        <w:rPr>
          <w:rFonts w:hint="eastAsia" w:ascii="宋体" w:hAnsi="宋体" w:cs="宋体"/>
          <w:b/>
          <w:sz w:val="32"/>
          <w:szCs w:val="32"/>
        </w:rPr>
        <w:t>年</w:t>
      </w:r>
      <w:r>
        <w:rPr>
          <w:rFonts w:hint="eastAsia" w:ascii="宋体" w:hAnsi="宋体" w:cs="宋体"/>
          <w:b/>
          <w:sz w:val="32"/>
          <w:szCs w:val="32"/>
          <w:u w:val="single"/>
        </w:rPr>
        <w:t xml:space="preserve"> </w:t>
      </w:r>
      <w:r>
        <w:rPr>
          <w:rFonts w:hint="eastAsia" w:ascii="宋体" w:hAnsi="宋体" w:cs="宋体"/>
          <w:b/>
          <w:sz w:val="32"/>
          <w:szCs w:val="32"/>
          <w:u w:val="single"/>
          <w:lang w:val="en-US" w:eastAsia="zh-CN"/>
        </w:rPr>
        <w:t xml:space="preserve">七 </w:t>
      </w:r>
      <w:r>
        <w:rPr>
          <w:rFonts w:hint="eastAsia" w:ascii="宋体" w:hAnsi="宋体" w:cs="宋体"/>
          <w:b/>
          <w:sz w:val="32"/>
          <w:szCs w:val="32"/>
        </w:rPr>
        <w:t>月</w:t>
      </w:r>
    </w:p>
    <w:bookmarkEnd w:id="8"/>
    <w:p w14:paraId="44D5E799">
      <w:pPr>
        <w:pStyle w:val="14"/>
        <w:spacing w:before="0" w:beforeAutospacing="0" w:after="0" w:afterAutospacing="0" w:line="360" w:lineRule="auto"/>
        <w:jc w:val="center"/>
        <w:rPr>
          <w:rFonts w:hint="eastAsia" w:ascii="宋体" w:hAnsi="宋体" w:cs="宋体"/>
          <w:b/>
          <w:color w:val="000000"/>
          <w:sz w:val="32"/>
          <w:szCs w:val="32"/>
        </w:rPr>
      </w:pPr>
      <w:r>
        <w:rPr>
          <w:rFonts w:hint="eastAsia" w:ascii="宋体" w:hAnsi="宋体" w:cs="宋体"/>
          <w:b/>
          <w:color w:val="000000"/>
          <w:kern w:val="2"/>
          <w:sz w:val="32"/>
          <w:szCs w:val="32"/>
        </w:rPr>
        <w:t xml:space="preserve">温馨提示 </w:t>
      </w:r>
    </w:p>
    <w:p w14:paraId="4504287E">
      <w:pPr>
        <w:pStyle w:val="12"/>
        <w:tabs>
          <w:tab w:val="right" w:leader="dot" w:pos="8829"/>
        </w:tabs>
        <w:jc w:val="center"/>
        <w:rPr>
          <w:rFonts w:ascii="宋体" w:hAnsi="宋体"/>
          <w:sz w:val="24"/>
          <w:szCs w:val="24"/>
        </w:rPr>
      </w:pPr>
      <w:r>
        <w:rPr>
          <w:rFonts w:hint="eastAsia" w:ascii="宋体" w:hAnsi="宋体" w:cs="宋体"/>
          <w:b/>
          <w:bCs/>
          <w:color w:val="000000"/>
          <w:sz w:val="32"/>
          <w:szCs w:val="32"/>
        </w:rPr>
        <w:t>请供应商认真阅读供应商须知，避免因此造成的无效投标。</w:t>
      </w:r>
    </w:p>
    <w:p w14:paraId="1E88A72C">
      <w:pPr>
        <w:spacing w:line="600" w:lineRule="auto"/>
        <w:jc w:val="center"/>
        <w:rPr>
          <w:b/>
          <w:bCs/>
          <w:sz w:val="44"/>
          <w:szCs w:val="44"/>
        </w:rPr>
      </w:pPr>
      <w:r>
        <w:rPr>
          <w:rFonts w:ascii="宋体" w:hAnsi="宋体"/>
          <w:b/>
          <w:bCs/>
          <w:sz w:val="44"/>
          <w:szCs w:val="44"/>
        </w:rPr>
        <w:t>目</w:t>
      </w:r>
      <w:r>
        <w:rPr>
          <w:rFonts w:hint="eastAsia" w:ascii="宋体" w:hAnsi="宋体"/>
          <w:b/>
          <w:bCs/>
          <w:sz w:val="44"/>
          <w:szCs w:val="44"/>
        </w:rPr>
        <w:t xml:space="preserve">  </w:t>
      </w:r>
      <w:r>
        <w:rPr>
          <w:rFonts w:ascii="宋体" w:hAnsi="宋体"/>
          <w:b/>
          <w:bCs/>
          <w:sz w:val="44"/>
          <w:szCs w:val="44"/>
        </w:rPr>
        <w:t>录</w:t>
      </w:r>
      <w:r>
        <w:rPr>
          <w:rFonts w:hint="eastAsia" w:ascii="宋体" w:hAnsi="宋体"/>
          <w:b/>
          <w:bCs/>
          <w:sz w:val="44"/>
          <w:szCs w:val="44"/>
        </w:rPr>
        <w:t xml:space="preserve">                          </w:t>
      </w:r>
    </w:p>
    <w:p w14:paraId="35B5C43B">
      <w:pPr>
        <w:pStyle w:val="12"/>
        <w:tabs>
          <w:tab w:val="right" w:leader="dot" w:pos="8504"/>
        </w:tabs>
        <w:rPr>
          <w:sz w:val="28"/>
          <w:szCs w:val="24"/>
        </w:rPr>
      </w:pPr>
      <w:r>
        <w:rPr>
          <w:b/>
          <w:bCs/>
          <w:sz w:val="44"/>
          <w:szCs w:val="40"/>
        </w:rPr>
        <w:fldChar w:fldCharType="begin"/>
      </w:r>
      <w:r>
        <w:rPr>
          <w:b/>
          <w:bCs/>
          <w:sz w:val="44"/>
          <w:szCs w:val="40"/>
        </w:rPr>
        <w:instrText xml:space="preserve">TOC \o "1-3" \h \u </w:instrText>
      </w:r>
      <w:r>
        <w:rPr>
          <w:b/>
          <w:bCs/>
          <w:sz w:val="44"/>
          <w:szCs w:val="40"/>
        </w:rPr>
        <w:fldChar w:fldCharType="separate"/>
      </w:r>
      <w:r>
        <w:rPr>
          <w:bCs/>
          <w:sz w:val="28"/>
          <w:szCs w:val="36"/>
        </w:rPr>
        <w:fldChar w:fldCharType="begin"/>
      </w:r>
      <w:r>
        <w:rPr>
          <w:bCs/>
          <w:sz w:val="28"/>
          <w:szCs w:val="36"/>
        </w:rPr>
        <w:instrText xml:space="preserve"> HYPERLINK \l _Toc12555 </w:instrText>
      </w:r>
      <w:r>
        <w:rPr>
          <w:bCs/>
          <w:sz w:val="28"/>
          <w:szCs w:val="36"/>
        </w:rPr>
        <w:fldChar w:fldCharType="separate"/>
      </w:r>
      <w:r>
        <w:rPr>
          <w:rFonts w:hint="eastAsia" w:ascii="宋体" w:hAnsi="宋体" w:cs="宋体"/>
          <w:sz w:val="28"/>
          <w:szCs w:val="44"/>
        </w:rPr>
        <w:t>第一部分 竞争性谈判公告</w:t>
      </w:r>
      <w:r>
        <w:rPr>
          <w:sz w:val="28"/>
          <w:szCs w:val="24"/>
        </w:rPr>
        <w:tab/>
      </w:r>
      <w:r>
        <w:rPr>
          <w:sz w:val="28"/>
          <w:szCs w:val="24"/>
        </w:rPr>
        <w:fldChar w:fldCharType="begin"/>
      </w:r>
      <w:r>
        <w:rPr>
          <w:sz w:val="28"/>
          <w:szCs w:val="24"/>
        </w:rPr>
        <w:instrText xml:space="preserve"> PAGEREF _Toc12555 \h </w:instrText>
      </w:r>
      <w:r>
        <w:rPr>
          <w:sz w:val="28"/>
          <w:szCs w:val="24"/>
        </w:rPr>
        <w:fldChar w:fldCharType="separate"/>
      </w:r>
      <w:r>
        <w:rPr>
          <w:sz w:val="28"/>
          <w:szCs w:val="24"/>
        </w:rPr>
        <w:t>2</w:t>
      </w:r>
      <w:r>
        <w:rPr>
          <w:sz w:val="28"/>
          <w:szCs w:val="24"/>
        </w:rPr>
        <w:fldChar w:fldCharType="end"/>
      </w:r>
      <w:r>
        <w:rPr>
          <w:bCs/>
          <w:sz w:val="28"/>
          <w:szCs w:val="36"/>
        </w:rPr>
        <w:fldChar w:fldCharType="end"/>
      </w:r>
    </w:p>
    <w:p w14:paraId="7BFB0DC2">
      <w:pPr>
        <w:pStyle w:val="12"/>
        <w:tabs>
          <w:tab w:val="right" w:leader="dot" w:pos="8504"/>
        </w:tabs>
        <w:rPr>
          <w:sz w:val="28"/>
          <w:szCs w:val="24"/>
        </w:rPr>
      </w:pPr>
      <w:r>
        <w:rPr>
          <w:bCs/>
          <w:sz w:val="28"/>
          <w:szCs w:val="36"/>
        </w:rPr>
        <w:fldChar w:fldCharType="begin"/>
      </w:r>
      <w:r>
        <w:rPr>
          <w:bCs/>
          <w:sz w:val="28"/>
          <w:szCs w:val="36"/>
        </w:rPr>
        <w:instrText xml:space="preserve"> HYPERLINK \l _Toc19567 </w:instrText>
      </w:r>
      <w:r>
        <w:rPr>
          <w:bCs/>
          <w:sz w:val="28"/>
          <w:szCs w:val="36"/>
        </w:rPr>
        <w:fldChar w:fldCharType="separate"/>
      </w:r>
      <w:r>
        <w:rPr>
          <w:rFonts w:ascii="宋体" w:hAnsi="宋体" w:cs="宋体"/>
          <w:sz w:val="28"/>
          <w:szCs w:val="44"/>
        </w:rPr>
        <w:t xml:space="preserve">第二部分 </w:t>
      </w:r>
      <w:r>
        <w:rPr>
          <w:rFonts w:hint="eastAsia" w:ascii="宋体" w:hAnsi="宋体" w:cs="宋体"/>
          <w:sz w:val="28"/>
          <w:szCs w:val="44"/>
        </w:rPr>
        <w:t>供应商须知前附表</w:t>
      </w:r>
      <w:r>
        <w:rPr>
          <w:sz w:val="28"/>
          <w:szCs w:val="24"/>
        </w:rPr>
        <w:tab/>
      </w:r>
      <w:r>
        <w:rPr>
          <w:sz w:val="28"/>
          <w:szCs w:val="24"/>
        </w:rPr>
        <w:fldChar w:fldCharType="begin"/>
      </w:r>
      <w:r>
        <w:rPr>
          <w:sz w:val="28"/>
          <w:szCs w:val="24"/>
        </w:rPr>
        <w:instrText xml:space="preserve"> PAGEREF _Toc19567 \h </w:instrText>
      </w:r>
      <w:r>
        <w:rPr>
          <w:sz w:val="28"/>
          <w:szCs w:val="24"/>
        </w:rPr>
        <w:fldChar w:fldCharType="separate"/>
      </w:r>
      <w:r>
        <w:rPr>
          <w:sz w:val="28"/>
          <w:szCs w:val="24"/>
        </w:rPr>
        <w:t>6</w:t>
      </w:r>
      <w:r>
        <w:rPr>
          <w:sz w:val="28"/>
          <w:szCs w:val="24"/>
        </w:rPr>
        <w:fldChar w:fldCharType="end"/>
      </w:r>
      <w:r>
        <w:rPr>
          <w:bCs/>
          <w:sz w:val="28"/>
          <w:szCs w:val="36"/>
        </w:rPr>
        <w:fldChar w:fldCharType="end"/>
      </w:r>
    </w:p>
    <w:p w14:paraId="26AF1922">
      <w:pPr>
        <w:pStyle w:val="12"/>
        <w:tabs>
          <w:tab w:val="right" w:leader="dot" w:pos="8504"/>
        </w:tabs>
        <w:rPr>
          <w:sz w:val="28"/>
          <w:szCs w:val="24"/>
        </w:rPr>
      </w:pPr>
      <w:r>
        <w:rPr>
          <w:bCs/>
          <w:sz w:val="28"/>
          <w:szCs w:val="36"/>
        </w:rPr>
        <w:fldChar w:fldCharType="begin"/>
      </w:r>
      <w:r>
        <w:rPr>
          <w:bCs/>
          <w:sz w:val="28"/>
          <w:szCs w:val="36"/>
        </w:rPr>
        <w:instrText xml:space="preserve"> HYPERLINK \l _Toc26541 </w:instrText>
      </w:r>
      <w:r>
        <w:rPr>
          <w:bCs/>
          <w:sz w:val="28"/>
          <w:szCs w:val="36"/>
        </w:rPr>
        <w:fldChar w:fldCharType="separate"/>
      </w:r>
      <w:r>
        <w:rPr>
          <w:rFonts w:hint="eastAsia" w:ascii="宋体" w:hAnsi="宋体" w:cs="宋体"/>
          <w:sz w:val="28"/>
          <w:szCs w:val="44"/>
        </w:rPr>
        <w:t>第三部分  供应商须知</w:t>
      </w:r>
      <w:r>
        <w:rPr>
          <w:sz w:val="28"/>
          <w:szCs w:val="24"/>
        </w:rPr>
        <w:tab/>
      </w:r>
      <w:r>
        <w:rPr>
          <w:sz w:val="28"/>
          <w:szCs w:val="24"/>
        </w:rPr>
        <w:fldChar w:fldCharType="begin"/>
      </w:r>
      <w:r>
        <w:rPr>
          <w:sz w:val="28"/>
          <w:szCs w:val="24"/>
        </w:rPr>
        <w:instrText xml:space="preserve"> PAGEREF _Toc26541 \h </w:instrText>
      </w:r>
      <w:r>
        <w:rPr>
          <w:sz w:val="28"/>
          <w:szCs w:val="24"/>
        </w:rPr>
        <w:fldChar w:fldCharType="separate"/>
      </w:r>
      <w:r>
        <w:rPr>
          <w:sz w:val="28"/>
          <w:szCs w:val="24"/>
        </w:rPr>
        <w:t>15</w:t>
      </w:r>
      <w:r>
        <w:rPr>
          <w:sz w:val="28"/>
          <w:szCs w:val="24"/>
        </w:rPr>
        <w:fldChar w:fldCharType="end"/>
      </w:r>
      <w:r>
        <w:rPr>
          <w:bCs/>
          <w:sz w:val="28"/>
          <w:szCs w:val="36"/>
        </w:rPr>
        <w:fldChar w:fldCharType="end"/>
      </w:r>
    </w:p>
    <w:p w14:paraId="020B5BA9">
      <w:pPr>
        <w:pStyle w:val="12"/>
        <w:tabs>
          <w:tab w:val="right" w:leader="dot" w:pos="8504"/>
        </w:tabs>
        <w:rPr>
          <w:sz w:val="28"/>
          <w:szCs w:val="24"/>
        </w:rPr>
      </w:pPr>
      <w:r>
        <w:rPr>
          <w:bCs/>
          <w:sz w:val="28"/>
          <w:szCs w:val="36"/>
        </w:rPr>
        <w:fldChar w:fldCharType="begin"/>
      </w:r>
      <w:r>
        <w:rPr>
          <w:bCs/>
          <w:sz w:val="28"/>
          <w:szCs w:val="36"/>
        </w:rPr>
        <w:instrText xml:space="preserve"> HYPERLINK \l _Toc4947 </w:instrText>
      </w:r>
      <w:r>
        <w:rPr>
          <w:bCs/>
          <w:sz w:val="28"/>
          <w:szCs w:val="36"/>
        </w:rPr>
        <w:fldChar w:fldCharType="separate"/>
      </w:r>
      <w:r>
        <w:rPr>
          <w:rFonts w:hint="eastAsia"/>
          <w:bCs/>
          <w:sz w:val="28"/>
          <w:szCs w:val="44"/>
        </w:rPr>
        <w:t xml:space="preserve">第四部分 </w:t>
      </w:r>
      <w:r>
        <w:rPr>
          <w:rFonts w:hint="eastAsia" w:ascii="宋体" w:hAnsi="宋体" w:cs="宋体"/>
          <w:sz w:val="28"/>
          <w:szCs w:val="44"/>
        </w:rPr>
        <w:t xml:space="preserve"> </w:t>
      </w:r>
      <w:r>
        <w:rPr>
          <w:rFonts w:hint="eastAsia"/>
          <w:bCs/>
          <w:sz w:val="28"/>
          <w:szCs w:val="44"/>
        </w:rPr>
        <w:t>政府采购合同</w:t>
      </w:r>
      <w:r>
        <w:rPr>
          <w:sz w:val="28"/>
          <w:szCs w:val="24"/>
        </w:rPr>
        <w:tab/>
      </w:r>
      <w:r>
        <w:rPr>
          <w:sz w:val="28"/>
          <w:szCs w:val="24"/>
        </w:rPr>
        <w:fldChar w:fldCharType="begin"/>
      </w:r>
      <w:r>
        <w:rPr>
          <w:sz w:val="28"/>
          <w:szCs w:val="24"/>
        </w:rPr>
        <w:instrText xml:space="preserve"> PAGEREF _Toc4947 \h </w:instrText>
      </w:r>
      <w:r>
        <w:rPr>
          <w:sz w:val="28"/>
          <w:szCs w:val="24"/>
        </w:rPr>
        <w:fldChar w:fldCharType="separate"/>
      </w:r>
      <w:r>
        <w:rPr>
          <w:sz w:val="28"/>
          <w:szCs w:val="24"/>
        </w:rPr>
        <w:t>32</w:t>
      </w:r>
      <w:r>
        <w:rPr>
          <w:sz w:val="28"/>
          <w:szCs w:val="24"/>
        </w:rPr>
        <w:fldChar w:fldCharType="end"/>
      </w:r>
      <w:r>
        <w:rPr>
          <w:bCs/>
          <w:sz w:val="28"/>
          <w:szCs w:val="36"/>
        </w:rPr>
        <w:fldChar w:fldCharType="end"/>
      </w:r>
    </w:p>
    <w:p w14:paraId="69BDED8C">
      <w:pPr>
        <w:pStyle w:val="12"/>
        <w:tabs>
          <w:tab w:val="right" w:leader="dot" w:pos="8504"/>
        </w:tabs>
        <w:rPr>
          <w:sz w:val="28"/>
          <w:szCs w:val="24"/>
        </w:rPr>
      </w:pPr>
      <w:r>
        <w:rPr>
          <w:bCs/>
          <w:sz w:val="28"/>
          <w:szCs w:val="36"/>
        </w:rPr>
        <w:fldChar w:fldCharType="begin"/>
      </w:r>
      <w:r>
        <w:rPr>
          <w:bCs/>
          <w:sz w:val="28"/>
          <w:szCs w:val="36"/>
        </w:rPr>
        <w:instrText xml:space="preserve"> HYPERLINK \l _Toc8390 </w:instrText>
      </w:r>
      <w:r>
        <w:rPr>
          <w:bCs/>
          <w:sz w:val="28"/>
          <w:szCs w:val="36"/>
        </w:rPr>
        <w:fldChar w:fldCharType="separate"/>
      </w:r>
      <w:r>
        <w:rPr>
          <w:rFonts w:hint="eastAsia" w:ascii="宋体" w:hAnsi="宋体" w:cs="宋体"/>
          <w:sz w:val="28"/>
          <w:szCs w:val="44"/>
        </w:rPr>
        <w:t>第五部分  商务要求</w:t>
      </w:r>
      <w:r>
        <w:rPr>
          <w:sz w:val="28"/>
          <w:szCs w:val="24"/>
        </w:rPr>
        <w:tab/>
      </w:r>
      <w:r>
        <w:rPr>
          <w:sz w:val="28"/>
          <w:szCs w:val="24"/>
        </w:rPr>
        <w:fldChar w:fldCharType="begin"/>
      </w:r>
      <w:r>
        <w:rPr>
          <w:sz w:val="28"/>
          <w:szCs w:val="24"/>
        </w:rPr>
        <w:instrText xml:space="preserve"> PAGEREF _Toc8390 \h </w:instrText>
      </w:r>
      <w:r>
        <w:rPr>
          <w:sz w:val="28"/>
          <w:szCs w:val="24"/>
        </w:rPr>
        <w:fldChar w:fldCharType="separate"/>
      </w:r>
      <w:r>
        <w:rPr>
          <w:sz w:val="28"/>
          <w:szCs w:val="24"/>
        </w:rPr>
        <w:t>32</w:t>
      </w:r>
      <w:r>
        <w:rPr>
          <w:sz w:val="28"/>
          <w:szCs w:val="24"/>
        </w:rPr>
        <w:fldChar w:fldCharType="end"/>
      </w:r>
      <w:r>
        <w:rPr>
          <w:bCs/>
          <w:sz w:val="28"/>
          <w:szCs w:val="36"/>
        </w:rPr>
        <w:fldChar w:fldCharType="end"/>
      </w:r>
    </w:p>
    <w:p w14:paraId="348FC20B">
      <w:pPr>
        <w:pStyle w:val="12"/>
        <w:tabs>
          <w:tab w:val="right" w:leader="dot" w:pos="8504"/>
        </w:tabs>
        <w:rPr>
          <w:sz w:val="28"/>
          <w:szCs w:val="24"/>
        </w:rPr>
      </w:pPr>
      <w:r>
        <w:rPr>
          <w:bCs/>
          <w:sz w:val="28"/>
          <w:szCs w:val="36"/>
        </w:rPr>
        <w:fldChar w:fldCharType="begin"/>
      </w:r>
      <w:r>
        <w:rPr>
          <w:bCs/>
          <w:sz w:val="28"/>
          <w:szCs w:val="36"/>
        </w:rPr>
        <w:instrText xml:space="preserve"> HYPERLINK \l _Toc16909 </w:instrText>
      </w:r>
      <w:r>
        <w:rPr>
          <w:bCs/>
          <w:sz w:val="28"/>
          <w:szCs w:val="36"/>
        </w:rPr>
        <w:fldChar w:fldCharType="separate"/>
      </w:r>
      <w:r>
        <w:rPr>
          <w:rFonts w:hint="eastAsia"/>
          <w:sz w:val="28"/>
          <w:szCs w:val="22"/>
        </w:rPr>
        <w:t>第六部分 采购内容及要求</w:t>
      </w:r>
      <w:r>
        <w:rPr>
          <w:sz w:val="28"/>
          <w:szCs w:val="24"/>
        </w:rPr>
        <w:tab/>
      </w:r>
      <w:r>
        <w:rPr>
          <w:sz w:val="28"/>
          <w:szCs w:val="24"/>
        </w:rPr>
        <w:fldChar w:fldCharType="begin"/>
      </w:r>
      <w:r>
        <w:rPr>
          <w:sz w:val="28"/>
          <w:szCs w:val="24"/>
        </w:rPr>
        <w:instrText xml:space="preserve"> PAGEREF _Toc16909 \h </w:instrText>
      </w:r>
      <w:r>
        <w:rPr>
          <w:sz w:val="28"/>
          <w:szCs w:val="24"/>
        </w:rPr>
        <w:fldChar w:fldCharType="separate"/>
      </w:r>
      <w:r>
        <w:rPr>
          <w:sz w:val="28"/>
          <w:szCs w:val="24"/>
        </w:rPr>
        <w:t>39</w:t>
      </w:r>
      <w:r>
        <w:rPr>
          <w:sz w:val="28"/>
          <w:szCs w:val="24"/>
        </w:rPr>
        <w:fldChar w:fldCharType="end"/>
      </w:r>
      <w:r>
        <w:rPr>
          <w:bCs/>
          <w:sz w:val="28"/>
          <w:szCs w:val="36"/>
        </w:rPr>
        <w:fldChar w:fldCharType="end"/>
      </w:r>
    </w:p>
    <w:p w14:paraId="4E6BED01">
      <w:pPr>
        <w:pStyle w:val="12"/>
        <w:tabs>
          <w:tab w:val="right" w:leader="dot" w:pos="8504"/>
        </w:tabs>
        <w:rPr>
          <w:rFonts w:hint="eastAsia"/>
          <w:sz w:val="28"/>
          <w:szCs w:val="24"/>
        </w:rPr>
      </w:pPr>
      <w:r>
        <w:rPr>
          <w:bCs/>
          <w:sz w:val="28"/>
          <w:szCs w:val="36"/>
        </w:rPr>
        <w:fldChar w:fldCharType="begin"/>
      </w:r>
      <w:r>
        <w:rPr>
          <w:bCs/>
          <w:sz w:val="28"/>
          <w:szCs w:val="36"/>
        </w:rPr>
        <w:instrText xml:space="preserve"> HYPERLINK \l _Toc27488 </w:instrText>
      </w:r>
      <w:r>
        <w:rPr>
          <w:bCs/>
          <w:sz w:val="28"/>
          <w:szCs w:val="36"/>
        </w:rPr>
        <w:fldChar w:fldCharType="separate"/>
      </w:r>
      <w:r>
        <w:rPr>
          <w:rFonts w:hint="eastAsia"/>
          <w:sz w:val="28"/>
          <w:szCs w:val="22"/>
        </w:rPr>
        <w:t>第七部分 评审方法</w:t>
      </w:r>
      <w:r>
        <w:rPr>
          <w:sz w:val="28"/>
          <w:szCs w:val="24"/>
        </w:rPr>
        <w:tab/>
      </w:r>
      <w:r>
        <w:rPr>
          <w:rFonts w:hint="eastAsia"/>
          <w:sz w:val="28"/>
          <w:szCs w:val="24"/>
        </w:rPr>
        <w:t>4</w:t>
      </w:r>
      <w:r>
        <w:rPr>
          <w:bCs/>
          <w:sz w:val="28"/>
          <w:szCs w:val="36"/>
        </w:rPr>
        <w:fldChar w:fldCharType="end"/>
      </w:r>
      <w:r>
        <w:rPr>
          <w:rFonts w:hint="eastAsia"/>
          <w:bCs/>
          <w:sz w:val="28"/>
          <w:szCs w:val="36"/>
        </w:rPr>
        <w:t>3</w:t>
      </w:r>
    </w:p>
    <w:p w14:paraId="542AB911">
      <w:pPr>
        <w:pStyle w:val="12"/>
        <w:tabs>
          <w:tab w:val="right" w:leader="dot" w:pos="8504"/>
        </w:tabs>
        <w:rPr>
          <w:sz w:val="28"/>
          <w:szCs w:val="24"/>
        </w:rPr>
      </w:pPr>
      <w:r>
        <w:rPr>
          <w:bCs/>
          <w:sz w:val="28"/>
          <w:szCs w:val="36"/>
        </w:rPr>
        <w:fldChar w:fldCharType="begin"/>
      </w:r>
      <w:r>
        <w:rPr>
          <w:bCs/>
          <w:sz w:val="28"/>
          <w:szCs w:val="36"/>
        </w:rPr>
        <w:instrText xml:space="preserve"> HYPERLINK \l _Toc13219 </w:instrText>
      </w:r>
      <w:r>
        <w:rPr>
          <w:bCs/>
          <w:sz w:val="28"/>
          <w:szCs w:val="36"/>
        </w:rPr>
        <w:fldChar w:fldCharType="separate"/>
      </w:r>
      <w:r>
        <w:rPr>
          <w:rFonts w:hint="eastAsia"/>
          <w:sz w:val="28"/>
          <w:szCs w:val="22"/>
        </w:rPr>
        <w:t>第八部分  竞争性谈判响应文件格式</w:t>
      </w:r>
      <w:r>
        <w:rPr>
          <w:sz w:val="28"/>
          <w:szCs w:val="24"/>
        </w:rPr>
        <w:tab/>
      </w:r>
      <w:r>
        <w:rPr>
          <w:sz w:val="28"/>
          <w:szCs w:val="24"/>
        </w:rPr>
        <w:fldChar w:fldCharType="begin"/>
      </w:r>
      <w:r>
        <w:rPr>
          <w:sz w:val="28"/>
          <w:szCs w:val="24"/>
        </w:rPr>
        <w:instrText xml:space="preserve"> PAGEREF _Toc13219 \h </w:instrText>
      </w:r>
      <w:r>
        <w:rPr>
          <w:sz w:val="28"/>
          <w:szCs w:val="24"/>
        </w:rPr>
        <w:fldChar w:fldCharType="separate"/>
      </w:r>
      <w:r>
        <w:rPr>
          <w:sz w:val="28"/>
          <w:szCs w:val="24"/>
        </w:rPr>
        <w:t>82</w:t>
      </w:r>
      <w:r>
        <w:rPr>
          <w:sz w:val="28"/>
          <w:szCs w:val="24"/>
        </w:rPr>
        <w:fldChar w:fldCharType="end"/>
      </w:r>
      <w:r>
        <w:rPr>
          <w:bCs/>
          <w:sz w:val="28"/>
          <w:szCs w:val="36"/>
        </w:rPr>
        <w:fldChar w:fldCharType="end"/>
      </w:r>
    </w:p>
    <w:p w14:paraId="2EFCDB7F">
      <w:pPr>
        <w:pStyle w:val="12"/>
        <w:tabs>
          <w:tab w:val="right" w:leader="dot" w:pos="8504"/>
        </w:tabs>
        <w:rPr>
          <w:sz w:val="32"/>
          <w:szCs w:val="28"/>
        </w:rPr>
      </w:pPr>
      <w:r>
        <w:rPr>
          <w:bCs/>
          <w:sz w:val="28"/>
          <w:szCs w:val="36"/>
        </w:rPr>
        <w:fldChar w:fldCharType="begin"/>
      </w:r>
      <w:r>
        <w:rPr>
          <w:bCs/>
          <w:sz w:val="28"/>
          <w:szCs w:val="36"/>
        </w:rPr>
        <w:instrText xml:space="preserve"> HYPERLINK \l _Toc27802 </w:instrText>
      </w:r>
      <w:r>
        <w:rPr>
          <w:bCs/>
          <w:sz w:val="28"/>
          <w:szCs w:val="36"/>
        </w:rPr>
        <w:fldChar w:fldCharType="separate"/>
      </w:r>
      <w:r>
        <w:rPr>
          <w:rFonts w:hint="eastAsia"/>
          <w:sz w:val="28"/>
          <w:szCs w:val="21"/>
        </w:rPr>
        <w:t>第九部分  附件</w:t>
      </w:r>
      <w:r>
        <w:rPr>
          <w:sz w:val="28"/>
          <w:szCs w:val="24"/>
        </w:rPr>
        <w:tab/>
      </w:r>
      <w:r>
        <w:rPr>
          <w:sz w:val="28"/>
          <w:szCs w:val="24"/>
        </w:rPr>
        <w:fldChar w:fldCharType="begin"/>
      </w:r>
      <w:r>
        <w:rPr>
          <w:sz w:val="28"/>
          <w:szCs w:val="24"/>
        </w:rPr>
        <w:instrText xml:space="preserve"> PAGEREF _Toc27802 \h </w:instrText>
      </w:r>
      <w:r>
        <w:rPr>
          <w:sz w:val="28"/>
          <w:szCs w:val="24"/>
        </w:rPr>
        <w:fldChar w:fldCharType="separate"/>
      </w:r>
      <w:r>
        <w:rPr>
          <w:sz w:val="28"/>
          <w:szCs w:val="24"/>
        </w:rPr>
        <w:t>109</w:t>
      </w:r>
      <w:r>
        <w:rPr>
          <w:sz w:val="28"/>
          <w:szCs w:val="24"/>
        </w:rPr>
        <w:fldChar w:fldCharType="end"/>
      </w:r>
      <w:r>
        <w:rPr>
          <w:bCs/>
          <w:sz w:val="28"/>
          <w:szCs w:val="36"/>
        </w:rPr>
        <w:fldChar w:fldCharType="end"/>
      </w:r>
    </w:p>
    <w:p w14:paraId="4EC44B4C">
      <w:pPr>
        <w:pStyle w:val="12"/>
        <w:tabs>
          <w:tab w:val="right" w:leader="dot" w:pos="8504"/>
        </w:tabs>
        <w:rPr>
          <w:sz w:val="32"/>
          <w:szCs w:val="28"/>
        </w:rPr>
      </w:pPr>
    </w:p>
    <w:p w14:paraId="067BACAC">
      <w:pPr>
        <w:rPr>
          <w:sz w:val="24"/>
          <w:szCs w:val="24"/>
        </w:rPr>
      </w:pPr>
      <w:r>
        <w:rPr>
          <w:bCs/>
          <w:sz w:val="32"/>
          <w:szCs w:val="40"/>
        </w:rPr>
        <w:fldChar w:fldCharType="end"/>
      </w:r>
      <w:r>
        <w:rPr>
          <w:rFonts w:hint="eastAsia"/>
          <w:sz w:val="24"/>
          <w:szCs w:val="24"/>
        </w:rPr>
        <w:tab/>
      </w:r>
    </w:p>
    <w:p w14:paraId="51B4F646">
      <w:pPr>
        <w:rPr>
          <w:sz w:val="24"/>
          <w:szCs w:val="24"/>
        </w:rPr>
      </w:pPr>
    </w:p>
    <w:p w14:paraId="31451F81">
      <w:pPr>
        <w:rPr>
          <w:sz w:val="24"/>
          <w:szCs w:val="24"/>
        </w:rPr>
        <w:sectPr>
          <w:headerReference r:id="rId6" w:type="default"/>
          <w:footerReference r:id="rId7" w:type="default"/>
          <w:footnotePr>
            <w:pos w:val="beneathText"/>
          </w:footnotePr>
          <w:pgSz w:w="11906" w:h="16838"/>
          <w:pgMar w:top="1418" w:right="1644" w:bottom="1191" w:left="1758" w:header="851" w:footer="992" w:gutter="0"/>
          <w:pgNumType w:start="1"/>
          <w:cols w:space="720" w:num="1"/>
          <w:docGrid w:type="lines" w:linePitch="312" w:charSpace="0"/>
        </w:sectPr>
      </w:pPr>
    </w:p>
    <w:p w14:paraId="3ED3974C">
      <w:pPr>
        <w:pStyle w:val="2"/>
        <w:adjustRightInd w:val="0"/>
        <w:snapToGrid w:val="0"/>
        <w:spacing w:line="400" w:lineRule="exact"/>
        <w:jc w:val="center"/>
        <w:rPr>
          <w:rFonts w:ascii="宋体" w:hAnsi="宋体" w:cs="宋体"/>
          <w:sz w:val="32"/>
          <w:szCs w:val="32"/>
        </w:rPr>
      </w:pPr>
      <w:bookmarkStart w:id="9" w:name="_Toc12555"/>
      <w:bookmarkStart w:id="10" w:name="_Toc14990"/>
      <w:bookmarkStart w:id="11" w:name="_Toc22608"/>
      <w:bookmarkStart w:id="12" w:name="_Toc22118"/>
      <w:bookmarkStart w:id="13" w:name="_Toc28283"/>
      <w:bookmarkStart w:id="14" w:name="_Toc10778"/>
      <w:bookmarkStart w:id="15" w:name="_Toc4933"/>
      <w:bookmarkStart w:id="16" w:name="_Toc31266"/>
      <w:r>
        <w:rPr>
          <w:rFonts w:hint="eastAsia" w:ascii="宋体" w:hAnsi="宋体" w:cs="宋体"/>
          <w:sz w:val="32"/>
          <w:szCs w:val="32"/>
        </w:rPr>
        <w:t>第一部分</w:t>
      </w:r>
      <w:bookmarkEnd w:id="0"/>
      <w:r>
        <w:rPr>
          <w:rFonts w:hint="eastAsia" w:ascii="宋体" w:hAnsi="宋体" w:cs="宋体"/>
          <w:sz w:val="32"/>
          <w:szCs w:val="32"/>
        </w:rPr>
        <w:t xml:space="preserve">  竞争性谈判公告</w:t>
      </w:r>
      <w:bookmarkEnd w:id="1"/>
      <w:bookmarkEnd w:id="2"/>
      <w:bookmarkEnd w:id="3"/>
      <w:bookmarkEnd w:id="4"/>
      <w:bookmarkEnd w:id="5"/>
      <w:bookmarkEnd w:id="6"/>
      <w:bookmarkEnd w:id="9"/>
      <w:bookmarkEnd w:id="10"/>
      <w:bookmarkEnd w:id="11"/>
      <w:bookmarkEnd w:id="12"/>
      <w:bookmarkEnd w:id="13"/>
      <w:bookmarkEnd w:id="14"/>
      <w:bookmarkEnd w:id="15"/>
      <w:bookmarkEnd w:id="16"/>
    </w:p>
    <w:p w14:paraId="12C805D3">
      <w:pPr>
        <w:adjustRightInd w:val="0"/>
        <w:snapToGrid w:val="0"/>
        <w:spacing w:line="360" w:lineRule="auto"/>
        <w:ind w:firstLine="480" w:firstLineChars="200"/>
        <w:jc w:val="left"/>
        <w:rPr>
          <w:rFonts w:hint="eastAsia" w:ascii="宋体" w:hAnsi="宋体" w:cs="宋体"/>
          <w:color w:val="auto"/>
          <w:sz w:val="24"/>
          <w:szCs w:val="24"/>
        </w:rPr>
      </w:pPr>
      <w:bookmarkStart w:id="17" w:name="OLE_LINK5"/>
      <w:bookmarkStart w:id="18" w:name="OLE_LINK6"/>
      <w:bookmarkStart w:id="19" w:name="_Toc246928892"/>
      <w:bookmarkStart w:id="20" w:name="OLE_LINK15"/>
      <w:r>
        <w:rPr>
          <w:rFonts w:hint="eastAsia" w:ascii="宋体" w:hAnsi="宋体" w:cs="宋体"/>
          <w:sz w:val="24"/>
          <w:szCs w:val="24"/>
          <w:shd w:val="clear" w:color="auto" w:fill="FFFFFF"/>
          <w:lang w:eastAsia="zh-CN"/>
        </w:rPr>
        <w:t>榆林市国防动员办公室榆林高新区第二小学人防工程施工用电电气设备货物采购（三次）</w:t>
      </w:r>
      <w:r>
        <w:rPr>
          <w:rFonts w:hint="eastAsia" w:ascii="宋体" w:hAnsi="宋体" w:cs="宋体"/>
          <w:color w:val="auto"/>
          <w:sz w:val="24"/>
          <w:szCs w:val="24"/>
        </w:rPr>
        <w:t>潜在的供应商可在陕西省公共资源交易平</w:t>
      </w:r>
      <w:r>
        <w:rPr>
          <w:rFonts w:hint="eastAsia" w:ascii="宋体" w:hAnsi="宋体" w:eastAsia="宋体" w:cs="宋体"/>
          <w:color w:val="auto"/>
          <w:sz w:val="24"/>
          <w:szCs w:val="24"/>
        </w:rPr>
        <w:t>台获取采购</w:t>
      </w:r>
      <w:r>
        <w:rPr>
          <w:rFonts w:hint="eastAsia" w:ascii="宋体" w:hAnsi="宋体" w:cs="宋体"/>
          <w:color w:val="auto"/>
          <w:sz w:val="24"/>
          <w:szCs w:val="24"/>
        </w:rPr>
        <w:t>文件，并</w:t>
      </w:r>
      <w:r>
        <w:rPr>
          <w:rFonts w:hint="eastAsia" w:ascii="宋体" w:hAnsi="宋体" w:cs="宋体"/>
          <w:color w:val="auto"/>
          <w:sz w:val="24"/>
          <w:szCs w:val="24"/>
          <w:lang w:eastAsia="zh-CN"/>
        </w:rPr>
        <w:t>于</w:t>
      </w:r>
      <w:r>
        <w:rPr>
          <w:rFonts w:hint="eastAsia" w:ascii="宋体" w:hAnsi="宋体" w:cs="宋体"/>
          <w:color w:val="auto"/>
          <w:sz w:val="24"/>
          <w:szCs w:val="24"/>
          <w:lang w:val="en-US" w:eastAsia="zh-CN"/>
        </w:rPr>
        <w:t>2024</w:t>
      </w:r>
      <w:r>
        <w:rPr>
          <w:rFonts w:hint="eastAsia" w:ascii="宋体" w:hAnsi="宋体" w:cs="宋体"/>
          <w:color w:val="auto"/>
          <w:sz w:val="24"/>
          <w:szCs w:val="24"/>
          <w:lang w:eastAsia="zh-CN"/>
        </w:rPr>
        <w:t>年</w:t>
      </w:r>
      <w:r>
        <w:rPr>
          <w:rFonts w:hint="eastAsia" w:ascii="宋体" w:hAnsi="宋体" w:cs="宋体"/>
          <w:color w:val="auto"/>
          <w:sz w:val="24"/>
          <w:szCs w:val="24"/>
          <w:lang w:val="en-US" w:eastAsia="zh-CN"/>
        </w:rPr>
        <w:t>8</w:t>
      </w:r>
      <w:r>
        <w:rPr>
          <w:rFonts w:hint="eastAsia" w:ascii="宋体" w:hAnsi="宋体" w:cs="宋体"/>
          <w:color w:val="auto"/>
          <w:sz w:val="24"/>
          <w:szCs w:val="24"/>
          <w:lang w:eastAsia="zh-CN"/>
        </w:rPr>
        <w:t>月</w:t>
      </w:r>
      <w:r>
        <w:rPr>
          <w:rFonts w:hint="eastAsia" w:ascii="宋体" w:hAnsi="宋体" w:cs="宋体"/>
          <w:color w:val="auto"/>
          <w:sz w:val="24"/>
          <w:szCs w:val="24"/>
          <w:lang w:val="en-US" w:eastAsia="zh-CN"/>
        </w:rPr>
        <w:t xml:space="preserve">   2</w:t>
      </w:r>
      <w:r>
        <w:rPr>
          <w:rFonts w:hint="eastAsia" w:ascii="宋体" w:hAnsi="宋体" w:cs="宋体"/>
          <w:color w:val="auto"/>
          <w:sz w:val="24"/>
          <w:szCs w:val="24"/>
          <w:lang w:eastAsia="zh-CN"/>
        </w:rPr>
        <w:t>日</w:t>
      </w:r>
      <w:r>
        <w:rPr>
          <w:rFonts w:hint="eastAsia" w:ascii="宋体" w:hAnsi="宋体" w:cs="宋体"/>
          <w:color w:val="auto"/>
          <w:sz w:val="24"/>
          <w:szCs w:val="24"/>
          <w:lang w:val="en-US" w:eastAsia="zh-CN"/>
        </w:rPr>
        <w:t>13:30</w:t>
      </w:r>
      <w:r>
        <w:rPr>
          <w:rFonts w:hint="eastAsia" w:ascii="宋体" w:hAnsi="宋体" w:cs="宋体"/>
          <w:color w:val="auto"/>
          <w:sz w:val="24"/>
          <w:szCs w:val="24"/>
        </w:rPr>
        <w:t>前递交响应文件。</w:t>
      </w:r>
    </w:p>
    <w:p w14:paraId="350F29B9">
      <w:pPr>
        <w:adjustRightInd w:val="0"/>
        <w:snapToGrid w:val="0"/>
        <w:spacing w:line="360" w:lineRule="auto"/>
        <w:ind w:firstLine="482" w:firstLineChars="200"/>
        <w:jc w:val="left"/>
        <w:rPr>
          <w:rFonts w:ascii="宋体" w:hAnsi="宋体" w:cs="宋体"/>
          <w:sz w:val="24"/>
          <w:szCs w:val="24"/>
        </w:rPr>
      </w:pPr>
      <w:r>
        <w:rPr>
          <w:rFonts w:hint="eastAsia" w:ascii="宋体" w:hAnsi="宋体" w:cs="宋体"/>
          <w:b/>
          <w:bCs/>
          <w:sz w:val="24"/>
          <w:szCs w:val="24"/>
        </w:rPr>
        <w:t>一、项目基本情况</w:t>
      </w:r>
    </w:p>
    <w:p w14:paraId="45899DAD">
      <w:pPr>
        <w:adjustRightInd w:val="0"/>
        <w:snapToGrid w:val="0"/>
        <w:spacing w:line="360" w:lineRule="auto"/>
        <w:ind w:firstLine="480" w:firstLineChars="200"/>
        <w:jc w:val="left"/>
        <w:rPr>
          <w:rFonts w:hint="eastAsia" w:ascii="宋体" w:hAnsi="宋体" w:eastAsia="宋体" w:cs="宋体"/>
          <w:sz w:val="24"/>
          <w:szCs w:val="24"/>
          <w:lang w:eastAsia="zh-CN"/>
        </w:rPr>
      </w:pPr>
      <w:r>
        <w:rPr>
          <w:rFonts w:hint="eastAsia" w:ascii="宋体" w:hAnsi="宋体" w:cs="宋体"/>
          <w:sz w:val="24"/>
          <w:szCs w:val="24"/>
        </w:rPr>
        <w:t>1、项目编号：</w:t>
      </w:r>
      <w:r>
        <w:rPr>
          <w:rFonts w:hint="eastAsia" w:ascii="宋体" w:hAnsi="宋体" w:cs="宋体"/>
          <w:sz w:val="24"/>
          <w:szCs w:val="24"/>
          <w:lang w:eastAsia="zh-CN"/>
        </w:rPr>
        <w:t>SQZB2024-017</w:t>
      </w:r>
    </w:p>
    <w:p w14:paraId="6F2E4CC8">
      <w:pPr>
        <w:adjustRightInd w:val="0"/>
        <w:snapToGrid w:val="0"/>
        <w:spacing w:line="360" w:lineRule="auto"/>
        <w:ind w:firstLine="480" w:firstLineChars="200"/>
        <w:jc w:val="left"/>
        <w:rPr>
          <w:rFonts w:hint="eastAsia" w:ascii="宋体" w:hAnsi="宋体" w:cs="宋体"/>
          <w:sz w:val="24"/>
          <w:szCs w:val="24"/>
          <w:shd w:val="clear" w:color="auto" w:fill="FFFFFF"/>
          <w:lang w:eastAsia="zh-CN"/>
        </w:rPr>
      </w:pPr>
      <w:r>
        <w:rPr>
          <w:rFonts w:hint="eastAsia" w:ascii="宋体" w:hAnsi="宋体" w:cs="宋体"/>
          <w:color w:val="000000"/>
          <w:sz w:val="24"/>
          <w:szCs w:val="24"/>
          <w:shd w:val="clear" w:color="auto" w:fill="FFFFFF"/>
        </w:rPr>
        <w:t>2、项目名称：</w:t>
      </w:r>
      <w:r>
        <w:rPr>
          <w:rFonts w:hint="eastAsia" w:ascii="宋体" w:hAnsi="宋体" w:cs="宋体"/>
          <w:sz w:val="24"/>
          <w:szCs w:val="24"/>
          <w:shd w:val="clear" w:color="auto" w:fill="FFFFFF"/>
          <w:lang w:eastAsia="zh-CN"/>
        </w:rPr>
        <w:t>榆林市国防动员办公室榆林高新区第二小学人防工程施工用电电气设备货物采购（三次）</w:t>
      </w:r>
    </w:p>
    <w:p w14:paraId="2BE8219B">
      <w:pPr>
        <w:adjustRightInd w:val="0"/>
        <w:snapToGrid w:val="0"/>
        <w:spacing w:line="360" w:lineRule="auto"/>
        <w:ind w:firstLine="480" w:firstLineChars="200"/>
        <w:jc w:val="left"/>
        <w:rPr>
          <w:rFonts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3、预算金额：</w:t>
      </w:r>
      <w:r>
        <w:rPr>
          <w:rFonts w:hint="eastAsia" w:ascii="宋体" w:hAnsi="宋体" w:cs="宋体"/>
          <w:sz w:val="24"/>
          <w:szCs w:val="24"/>
          <w:lang w:val="en-US" w:eastAsia="zh-CN"/>
        </w:rPr>
        <w:t>635570.54</w:t>
      </w:r>
      <w:r>
        <w:rPr>
          <w:rFonts w:hint="eastAsia" w:ascii="宋体" w:hAnsi="宋体" w:cs="宋体"/>
          <w:color w:val="000000"/>
          <w:sz w:val="24"/>
          <w:szCs w:val="24"/>
          <w:shd w:val="clear" w:color="auto" w:fill="FFFFFF"/>
        </w:rPr>
        <w:t>元</w:t>
      </w:r>
    </w:p>
    <w:p w14:paraId="1E9F066F">
      <w:pPr>
        <w:adjustRightInd w:val="0"/>
        <w:snapToGrid w:val="0"/>
        <w:spacing w:line="360" w:lineRule="auto"/>
        <w:ind w:firstLine="480" w:firstLineChars="200"/>
        <w:jc w:val="left"/>
        <w:rPr>
          <w:rFonts w:hint="eastAsia" w:ascii="宋体" w:hAnsi="宋体" w:eastAsia="宋体" w:cs="宋体"/>
          <w:color w:val="000000"/>
          <w:sz w:val="24"/>
          <w:szCs w:val="24"/>
          <w:shd w:val="clear" w:color="auto" w:fill="FFFFFF"/>
          <w:lang w:eastAsia="zh-CN"/>
        </w:rPr>
      </w:pPr>
      <w:r>
        <w:rPr>
          <w:rFonts w:hint="eastAsia" w:ascii="宋体" w:hAnsi="宋体" w:cs="宋体"/>
          <w:color w:val="000000"/>
          <w:sz w:val="24"/>
          <w:szCs w:val="24"/>
          <w:shd w:val="clear" w:color="auto" w:fill="FFFFFF"/>
        </w:rPr>
        <w:t>4、最高限价：</w:t>
      </w:r>
      <w:r>
        <w:rPr>
          <w:rFonts w:hint="eastAsia" w:ascii="宋体" w:hAnsi="宋体" w:cs="宋体"/>
          <w:sz w:val="24"/>
          <w:szCs w:val="24"/>
          <w:lang w:val="en-US" w:eastAsia="zh-CN"/>
        </w:rPr>
        <w:t>635570.54</w:t>
      </w:r>
      <w:r>
        <w:rPr>
          <w:rFonts w:hint="eastAsia" w:ascii="宋体" w:hAnsi="宋体" w:cs="宋体"/>
          <w:color w:val="000000"/>
          <w:sz w:val="24"/>
          <w:szCs w:val="24"/>
          <w:shd w:val="clear" w:color="auto" w:fill="FFFFFF"/>
        </w:rPr>
        <w:t>元</w:t>
      </w:r>
    </w:p>
    <w:p w14:paraId="04004C04">
      <w:pPr>
        <w:adjustRightInd w:val="0"/>
        <w:snapToGrid w:val="0"/>
        <w:spacing w:line="360" w:lineRule="auto"/>
        <w:ind w:left="719" w:leftChars="228" w:hanging="240" w:hangingChars="100"/>
        <w:jc w:val="left"/>
        <w:rPr>
          <w:rFonts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5、采购需求：</w:t>
      </w:r>
      <w:r>
        <w:rPr>
          <w:rFonts w:hint="eastAsia" w:ascii="宋体" w:hAnsi="宋体" w:cs="宋体"/>
          <w:sz w:val="24"/>
          <w:szCs w:val="24"/>
          <w:shd w:val="clear" w:color="auto" w:fill="FFFFFF"/>
          <w:lang w:eastAsia="zh-CN"/>
        </w:rPr>
        <w:t>榆林高新区第二小学人防工程施工用电电气设备货物</w:t>
      </w:r>
      <w:r>
        <w:rPr>
          <w:rFonts w:hint="eastAsia" w:ascii="宋体" w:hAnsi="宋体" w:cs="宋体"/>
          <w:color w:val="000000"/>
          <w:sz w:val="24"/>
          <w:szCs w:val="24"/>
          <w:shd w:val="clear" w:color="auto" w:fill="FFFFFF"/>
        </w:rPr>
        <w:t>（具体详见竞争性谈判文件）</w:t>
      </w:r>
    </w:p>
    <w:p w14:paraId="45087398">
      <w:pPr>
        <w:adjustRightInd w:val="0"/>
        <w:snapToGrid w:val="0"/>
        <w:spacing w:line="360" w:lineRule="auto"/>
        <w:ind w:firstLine="720" w:firstLineChars="300"/>
        <w:jc w:val="left"/>
        <w:rPr>
          <w:rFonts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采购预算</w:t>
      </w:r>
      <w:r>
        <w:rPr>
          <w:rFonts w:hint="eastAsia" w:ascii="宋体" w:hAnsi="宋体" w:cs="宋体"/>
          <w:sz w:val="24"/>
          <w:szCs w:val="24"/>
        </w:rPr>
        <w:t>：</w:t>
      </w:r>
      <w:r>
        <w:rPr>
          <w:rFonts w:hint="eastAsia" w:ascii="宋体" w:hAnsi="宋体" w:cs="宋体"/>
          <w:sz w:val="24"/>
          <w:szCs w:val="24"/>
          <w:lang w:val="en-US" w:eastAsia="zh-CN"/>
        </w:rPr>
        <w:t>635570.54</w:t>
      </w:r>
      <w:r>
        <w:rPr>
          <w:rFonts w:hint="eastAsia" w:ascii="宋体" w:hAnsi="宋体" w:cs="宋体"/>
          <w:sz w:val="24"/>
          <w:szCs w:val="24"/>
        </w:rPr>
        <w:t xml:space="preserve">元 </w:t>
      </w:r>
      <w:r>
        <w:rPr>
          <w:rFonts w:hint="eastAsia" w:ascii="宋体" w:hAnsi="宋体" w:cs="宋体"/>
          <w:color w:val="000000"/>
          <w:sz w:val="24"/>
          <w:szCs w:val="24"/>
          <w:shd w:val="clear" w:color="auto" w:fill="FFFFFF"/>
        </w:rPr>
        <w:t xml:space="preserve"> </w:t>
      </w:r>
    </w:p>
    <w:p w14:paraId="4B6FE68A">
      <w:pPr>
        <w:adjustRightInd w:val="0"/>
        <w:snapToGrid w:val="0"/>
        <w:spacing w:line="360" w:lineRule="auto"/>
        <w:ind w:firstLine="720" w:firstLineChars="300"/>
        <w:jc w:val="left"/>
        <w:rPr>
          <w:rFonts w:ascii="宋体" w:hAnsi="宋体" w:cs="宋体"/>
          <w:sz w:val="24"/>
          <w:szCs w:val="24"/>
          <w:shd w:val="clear" w:color="auto" w:fill="FFFFFF"/>
        </w:rPr>
      </w:pPr>
      <w:r>
        <w:rPr>
          <w:rFonts w:hint="eastAsia" w:ascii="宋体" w:hAnsi="宋体" w:cs="宋体"/>
          <w:color w:val="000000"/>
          <w:sz w:val="24"/>
          <w:szCs w:val="24"/>
          <w:shd w:val="clear" w:color="auto" w:fill="FFFFFF"/>
        </w:rPr>
        <w:t>项目概况：</w:t>
      </w:r>
      <w:r>
        <w:rPr>
          <w:rFonts w:hint="eastAsia" w:ascii="宋体" w:hAnsi="宋体" w:cs="宋体"/>
          <w:sz w:val="24"/>
          <w:szCs w:val="24"/>
          <w:shd w:val="clear" w:color="auto" w:fill="FFFFFF"/>
          <w:lang w:eastAsia="zh-CN"/>
        </w:rPr>
        <w:t>榆林高新区第二小学人防工程施工用电电气设备货物</w:t>
      </w:r>
    </w:p>
    <w:p w14:paraId="35F001F4">
      <w:pPr>
        <w:numPr>
          <w:ilvl w:val="0"/>
          <w:numId w:val="1"/>
        </w:numPr>
        <w:adjustRightInd w:val="0"/>
        <w:snapToGrid w:val="0"/>
        <w:spacing w:line="360" w:lineRule="auto"/>
        <w:ind w:firstLine="720" w:firstLineChars="300"/>
        <w:jc w:val="left"/>
        <w:rPr>
          <w:rFonts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合同履行期</w:t>
      </w:r>
      <w:r>
        <w:rPr>
          <w:rFonts w:hint="eastAsia" w:ascii="宋体" w:hAnsi="宋体" w:cs="宋体"/>
          <w:sz w:val="24"/>
          <w:szCs w:val="24"/>
          <w:shd w:val="clear" w:color="auto" w:fill="FFFFFF"/>
        </w:rPr>
        <w:t>限：</w:t>
      </w:r>
      <w:r>
        <w:rPr>
          <w:rFonts w:hint="eastAsia" w:ascii="宋体" w:hAnsi="宋体" w:cs="宋体"/>
          <w:color w:val="000000"/>
          <w:sz w:val="24"/>
          <w:szCs w:val="24"/>
          <w:shd w:val="clear" w:color="auto" w:fill="FFFFFF"/>
        </w:rPr>
        <w:t>/</w:t>
      </w:r>
    </w:p>
    <w:p w14:paraId="3C55E9F1">
      <w:pPr>
        <w:numPr>
          <w:ilvl w:val="0"/>
          <w:numId w:val="1"/>
        </w:numPr>
        <w:adjustRightInd w:val="0"/>
        <w:snapToGrid w:val="0"/>
        <w:spacing w:line="360" w:lineRule="auto"/>
        <w:ind w:firstLine="720" w:firstLineChars="300"/>
        <w:jc w:val="left"/>
        <w:rPr>
          <w:rFonts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本项目是否接受联合体投标：否</w:t>
      </w:r>
    </w:p>
    <w:p w14:paraId="64966E07">
      <w:pPr>
        <w:adjustRightInd w:val="0"/>
        <w:snapToGrid w:val="0"/>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二、响应供应商的资格要求</w:t>
      </w:r>
    </w:p>
    <w:p w14:paraId="041E4819">
      <w:pPr>
        <w:adjustRightInd w:val="0"/>
        <w:snapToGrid w:val="0"/>
        <w:spacing w:line="360" w:lineRule="auto"/>
        <w:ind w:firstLine="720" w:firstLineChars="300"/>
        <w:jc w:val="left"/>
        <w:rPr>
          <w:rFonts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（一）、满足《中华人民共和国政府采购法》第二十二条规定</w:t>
      </w:r>
    </w:p>
    <w:p w14:paraId="7C35B0F3">
      <w:pPr>
        <w:adjustRightInd w:val="0"/>
        <w:snapToGrid w:val="0"/>
        <w:spacing w:line="360" w:lineRule="auto"/>
        <w:ind w:firstLine="720" w:firstLineChars="300"/>
        <w:jc w:val="left"/>
        <w:rPr>
          <w:rFonts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（二）、落实政府采购政策需满足的资格要求：</w:t>
      </w:r>
    </w:p>
    <w:p w14:paraId="444774E6">
      <w:pPr>
        <w:adjustRightInd w:val="0"/>
        <w:snapToGrid w:val="0"/>
        <w:spacing w:line="360" w:lineRule="auto"/>
        <w:ind w:firstLine="720" w:firstLineChars="300"/>
        <w:jc w:val="left"/>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1.《节能产品政府采购实施意见》（财库〔2004〕185号）；</w:t>
      </w:r>
    </w:p>
    <w:p w14:paraId="1B9E7B2B">
      <w:pPr>
        <w:adjustRightInd w:val="0"/>
        <w:snapToGrid w:val="0"/>
        <w:spacing w:line="360" w:lineRule="auto"/>
        <w:ind w:firstLine="720" w:firstLineChars="300"/>
        <w:jc w:val="left"/>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2.《环境标志产品政府采购实施的意见》（财库〔2006〕90号）；</w:t>
      </w:r>
    </w:p>
    <w:p w14:paraId="6D357B77">
      <w:pPr>
        <w:adjustRightInd w:val="0"/>
        <w:snapToGrid w:val="0"/>
        <w:spacing w:line="360" w:lineRule="auto"/>
        <w:ind w:firstLine="720" w:firstLineChars="300"/>
        <w:jc w:val="left"/>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3.《国务院办公厅关于建立政府强制采购节能产品制度的通知》（国办发〔2007〕51号）；</w:t>
      </w:r>
    </w:p>
    <w:p w14:paraId="692A2148">
      <w:pPr>
        <w:adjustRightInd w:val="0"/>
        <w:snapToGrid w:val="0"/>
        <w:spacing w:line="360" w:lineRule="auto"/>
        <w:ind w:firstLine="720" w:firstLineChars="300"/>
        <w:jc w:val="left"/>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4.《榆林市财政局关于进一步加大政府采购支持中小企业力度的通知》陕财办采函〔2022〕10号；</w:t>
      </w:r>
    </w:p>
    <w:p w14:paraId="342E9236">
      <w:pPr>
        <w:adjustRightInd w:val="0"/>
        <w:snapToGrid w:val="0"/>
        <w:spacing w:line="360" w:lineRule="auto"/>
        <w:ind w:firstLine="720" w:firstLineChars="300"/>
        <w:jc w:val="left"/>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5.《政府采购促进中小企业发展管理办法》（财库〔2020〕46号）；</w:t>
      </w:r>
    </w:p>
    <w:p w14:paraId="52DE478F">
      <w:pPr>
        <w:adjustRightInd w:val="0"/>
        <w:snapToGrid w:val="0"/>
        <w:spacing w:line="360" w:lineRule="auto"/>
        <w:ind w:firstLine="720" w:firstLineChars="300"/>
        <w:jc w:val="left"/>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6.根据《陕西省财政厅关于进一步加大政府采购支持中小企业力度的通知》（陕财办采〔2022〕5号）；</w:t>
      </w:r>
    </w:p>
    <w:p w14:paraId="470E08DA">
      <w:pPr>
        <w:adjustRightInd w:val="0"/>
        <w:snapToGrid w:val="0"/>
        <w:spacing w:line="440" w:lineRule="exact"/>
        <w:ind w:firstLine="720" w:firstLineChars="300"/>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7.陕西省财政厅关于印发《陕西省中小企业政府采购信用融资办法》（陕财办采〔2018〕23号）相关政策、业务流程、办理平台（http://www.ccgp-shaanxi.gov.cn/zcdservice/zcd/shanxi/）；</w:t>
      </w:r>
    </w:p>
    <w:p w14:paraId="60DA8714">
      <w:pPr>
        <w:adjustRightInd w:val="0"/>
        <w:snapToGrid w:val="0"/>
        <w:spacing w:line="440" w:lineRule="exact"/>
        <w:ind w:firstLine="720" w:firstLineChars="300"/>
        <w:jc w:val="left"/>
        <w:rPr>
          <w:rFonts w:hint="eastAsia" w:ascii="宋体" w:hAnsi="宋体" w:cs="宋体"/>
          <w:color w:val="000000"/>
          <w:sz w:val="24"/>
          <w:szCs w:val="24"/>
          <w:shd w:val="clear" w:color="auto" w:fill="FFFFFF"/>
        </w:rPr>
      </w:pPr>
      <w:r>
        <w:rPr>
          <w:rFonts w:hint="eastAsia" w:ascii="宋体" w:hAnsi="宋体" w:cs="宋体"/>
          <w:color w:val="000000"/>
          <w:sz w:val="24"/>
          <w:szCs w:val="24"/>
          <w:shd w:val="clear" w:color="auto" w:fill="FFFFFF"/>
        </w:rPr>
        <w:t>8.财政部司法部关于政府采购支持监狱企业发展有关问题的通知（财库〔2014〕68号）；</w:t>
      </w:r>
    </w:p>
    <w:p w14:paraId="2DEF4B03">
      <w:pPr>
        <w:widowControl/>
        <w:tabs>
          <w:tab w:val="left" w:pos="1620"/>
        </w:tabs>
        <w:adjustRightInd w:val="0"/>
        <w:snapToGrid w:val="0"/>
        <w:spacing w:line="440" w:lineRule="exact"/>
        <w:ind w:firstLine="720" w:firstLineChars="300"/>
        <w:jc w:val="left"/>
        <w:rPr>
          <w:rFonts w:hint="eastAsia" w:ascii="宋体" w:hAnsi="宋体" w:cs="宋体"/>
          <w:kern w:val="0"/>
          <w:sz w:val="24"/>
          <w:szCs w:val="24"/>
        </w:rPr>
      </w:pPr>
      <w:r>
        <w:rPr>
          <w:rFonts w:hint="eastAsia" w:ascii="宋体" w:hAnsi="宋体" w:cs="宋体"/>
          <w:kern w:val="0"/>
          <w:sz w:val="24"/>
          <w:szCs w:val="24"/>
        </w:rPr>
        <w:t>9.《财政部民政部中国残疾人联合会关于促进残疾人就业政府采购政策的通知》（财库〔2017〕141号）；</w:t>
      </w:r>
    </w:p>
    <w:p w14:paraId="776DA2C5">
      <w:pPr>
        <w:widowControl/>
        <w:tabs>
          <w:tab w:val="left" w:pos="1620"/>
        </w:tabs>
        <w:adjustRightInd w:val="0"/>
        <w:snapToGrid w:val="0"/>
        <w:spacing w:line="440" w:lineRule="exact"/>
        <w:ind w:firstLine="720" w:firstLineChars="300"/>
        <w:jc w:val="left"/>
        <w:rPr>
          <w:rFonts w:ascii="宋体" w:hAnsi="宋体" w:cs="宋体"/>
          <w:color w:val="000000"/>
          <w:sz w:val="24"/>
          <w:szCs w:val="24"/>
          <w:shd w:val="clear" w:color="auto" w:fill="FFFFFF"/>
        </w:rPr>
      </w:pPr>
      <w:r>
        <w:rPr>
          <w:rFonts w:hint="eastAsia" w:ascii="宋体" w:hAnsi="宋体" w:cs="宋体"/>
          <w:kern w:val="0"/>
          <w:sz w:val="24"/>
          <w:szCs w:val="24"/>
        </w:rPr>
        <w:t>10.《关于在政府采购活动中查询及使用信用记录有关问题的通知》（财库〔2016〕125号）；</w:t>
      </w:r>
    </w:p>
    <w:p w14:paraId="2648EE39">
      <w:pPr>
        <w:adjustRightInd w:val="0"/>
        <w:snapToGrid w:val="0"/>
        <w:spacing w:line="360" w:lineRule="auto"/>
        <w:ind w:firstLine="720" w:firstLineChars="300"/>
        <w:jc w:val="left"/>
        <w:rPr>
          <w:rFonts w:ascii="宋体" w:hAnsi="宋体" w:cs="宋体"/>
          <w:kern w:val="0"/>
          <w:sz w:val="24"/>
          <w:szCs w:val="24"/>
        </w:rPr>
      </w:pPr>
      <w:r>
        <w:rPr>
          <w:rFonts w:hint="eastAsia" w:ascii="宋体" w:hAnsi="宋体" w:cs="宋体"/>
          <w:color w:val="000000"/>
          <w:sz w:val="24"/>
          <w:szCs w:val="24"/>
          <w:shd w:val="clear" w:color="auto" w:fill="FFFFFF"/>
        </w:rPr>
        <w:t>11</w:t>
      </w:r>
      <w:r>
        <w:rPr>
          <w:rFonts w:hint="eastAsia" w:ascii="宋体" w:hAnsi="宋体" w:cs="宋体"/>
          <w:kern w:val="0"/>
          <w:sz w:val="24"/>
          <w:szCs w:val="24"/>
        </w:rPr>
        <w:t>.其他需要落实的政府采购政策。</w:t>
      </w:r>
    </w:p>
    <w:p w14:paraId="28A3ADAF">
      <w:pPr>
        <w:widowControl/>
        <w:tabs>
          <w:tab w:val="left" w:pos="1620"/>
        </w:tabs>
        <w:adjustRightInd w:val="0"/>
        <w:snapToGrid w:val="0"/>
        <w:spacing w:line="360" w:lineRule="auto"/>
        <w:ind w:firstLine="241" w:firstLineChars="100"/>
        <w:jc w:val="left"/>
        <w:rPr>
          <w:rFonts w:ascii="宋体" w:hAnsi="宋体" w:cs="宋体"/>
          <w:b/>
          <w:bCs/>
          <w:color w:val="auto"/>
          <w:kern w:val="0"/>
          <w:sz w:val="24"/>
          <w:szCs w:val="24"/>
        </w:rPr>
      </w:pPr>
      <w:r>
        <w:rPr>
          <w:rFonts w:hint="eastAsia" w:ascii="宋体" w:hAnsi="宋体" w:cs="宋体"/>
          <w:b/>
          <w:bCs/>
          <w:color w:val="auto"/>
          <w:kern w:val="0"/>
          <w:sz w:val="24"/>
          <w:szCs w:val="24"/>
        </w:rPr>
        <w:t>三、本项目的特定资格要求：</w:t>
      </w:r>
    </w:p>
    <w:p w14:paraId="6DBE464C">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eastAsia" w:ascii="宋体" w:hAnsi="宋体" w:eastAsia="宋体" w:cs="宋体"/>
          <w:bCs/>
          <w:color w:val="auto"/>
          <w:kern w:val="2"/>
          <w:sz w:val="24"/>
          <w:szCs w:val="24"/>
          <w:highlight w:val="none"/>
          <w:u w:val="none"/>
          <w:lang w:val="en-US" w:eastAsia="zh-CN" w:bidi="ar-SA"/>
        </w:rPr>
      </w:pPr>
      <w:r>
        <w:rPr>
          <w:rFonts w:hint="eastAsia" w:ascii="仿宋" w:hAnsi="仿宋" w:eastAsia="仿宋" w:cs="仿宋"/>
          <w:color w:val="auto"/>
          <w:highlight w:val="none"/>
          <w:lang w:val="en-US" w:eastAsia="zh-CN"/>
        </w:rPr>
        <w:t>1.</w:t>
      </w:r>
      <w:r>
        <w:rPr>
          <w:rFonts w:hint="eastAsia" w:ascii="宋体" w:hAnsi="宋体" w:eastAsia="宋体" w:cs="宋体"/>
          <w:bCs/>
          <w:color w:val="auto"/>
          <w:kern w:val="2"/>
          <w:sz w:val="24"/>
          <w:szCs w:val="24"/>
          <w:highlight w:val="none"/>
          <w:u w:val="none"/>
          <w:lang w:val="en-US" w:eastAsia="zh-CN" w:bidi="ar-SA"/>
        </w:rPr>
        <w:t>具有独立承担民事责任能力的法人、其他组织或自然人，并出具合法有效的营业执照或事业单位法人证书等、国家规定的相关证明,自然人参与的提供其身份证明；</w:t>
      </w:r>
    </w:p>
    <w:p w14:paraId="1F4713DB">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2.须具备电力工程施工总承包三级及以上资质；</w:t>
      </w:r>
    </w:p>
    <w:p w14:paraId="2485E449">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3.税收缴纳证明：提供 2023 年06月至今已缴纳的至少一个月的纳税证明（银行缴费凭证）或完税证明，依法免税的单位应提供相关证明材料；</w:t>
      </w:r>
    </w:p>
    <w:p w14:paraId="06F3EFB8">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4.社保缴纳证明：提供2023年6月份至今已缴纳的至少一个月的社会保障资金银行缴费单据或社保机构开具的社会保险参保缴费情况证明，依法不需要缴纳社会保障资金的单位应提供相关证明材料； </w:t>
      </w:r>
    </w:p>
    <w:p w14:paraId="3A31D283">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5.书面声明：参加本次政府采购活动前三年内在经营活动中没有重大违纪的书面声明；</w:t>
      </w:r>
    </w:p>
    <w:p w14:paraId="055983EE">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6.须提供榆林市政府采购货物类项目供应商信用承诺书；</w:t>
      </w:r>
    </w:p>
    <w:p w14:paraId="76FD3F83">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须提供信用中国网及中国政府采购网相应查询结果的网站截图（查询日期为从招标文件获取之日起至投标截止日前但最终以投标截止日当天评审小组查询结果为准）；</w:t>
      </w:r>
    </w:p>
    <w:p w14:paraId="5472E070">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8.本项目采用信用承诺书代替投标保证金，提供信用中国陕西榆林承诺网页截图（截图须体现项目名称，承诺公示日期为从招标文件获取之日起至投标截止日前）；</w:t>
      </w:r>
    </w:p>
    <w:p w14:paraId="0B3FD494">
      <w:pPr>
        <w:spacing w:line="360" w:lineRule="auto"/>
        <w:ind w:firstLine="480" w:firstLineChars="200"/>
        <w:jc w:val="left"/>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9.本项目不接受联合体投标，须提供非联合体投标声明（单位负责人为同一人或者存在直接控股、管理关系的不同投标人，不得参加同一合同项下的政府采购活动）。</w:t>
      </w:r>
    </w:p>
    <w:p w14:paraId="34F550B7">
      <w:pPr>
        <w:spacing w:line="360" w:lineRule="auto"/>
        <w:jc w:val="left"/>
        <w:rPr>
          <w:rFonts w:ascii="宋体" w:hAnsi="宋体" w:cs="宋体"/>
          <w:b/>
          <w:sz w:val="24"/>
          <w:szCs w:val="24"/>
          <w:shd w:val="clear" w:color="auto" w:fill="FFFFFF"/>
        </w:rPr>
      </w:pPr>
      <w:r>
        <w:rPr>
          <w:rFonts w:hint="eastAsia" w:ascii="宋体" w:hAnsi="宋体" w:cs="宋体"/>
          <w:b/>
          <w:sz w:val="24"/>
          <w:szCs w:val="24"/>
          <w:shd w:val="clear" w:color="auto" w:fill="FFFFFF"/>
        </w:rPr>
        <w:t>四、采购文件的获取方式</w:t>
      </w:r>
    </w:p>
    <w:p w14:paraId="15E47621">
      <w:pPr>
        <w:adjustRightInd w:val="0"/>
        <w:snapToGrid w:val="0"/>
        <w:spacing w:line="440" w:lineRule="exact"/>
        <w:ind w:firstLine="480" w:firstLineChars="200"/>
        <w:jc w:val="left"/>
        <w:rPr>
          <w:rFonts w:hint="eastAsia" w:ascii="宋体" w:hAnsi="宋体" w:eastAsia="宋体" w:cs="宋体"/>
          <w:color w:val="auto"/>
          <w:sz w:val="24"/>
          <w:szCs w:val="24"/>
          <w:highlight w:val="none"/>
          <w:shd w:val="clear" w:color="auto" w:fill="FFFFFF"/>
          <w:lang w:val="en-US" w:eastAsia="zh-CN"/>
        </w:rPr>
      </w:pPr>
      <w:r>
        <w:rPr>
          <w:rFonts w:hint="eastAsia" w:ascii="宋体" w:hAnsi="宋体" w:cs="宋体"/>
          <w:sz w:val="24"/>
        </w:rPr>
        <w:t>时间</w:t>
      </w:r>
      <w:r>
        <w:rPr>
          <w:rFonts w:hint="eastAsia" w:ascii="宋体" w:hAnsi="宋体" w:eastAsia="宋体" w:cs="宋体"/>
          <w:bCs/>
          <w:color w:val="auto"/>
          <w:kern w:val="2"/>
          <w:sz w:val="24"/>
          <w:szCs w:val="24"/>
          <w:highlight w:val="none"/>
          <w:u w:val="none"/>
          <w:lang w:val="en-US" w:eastAsia="zh-CN" w:bidi="ar-SA"/>
        </w:rPr>
        <w:t>：2024年</w:t>
      </w:r>
      <w:r>
        <w:rPr>
          <w:rFonts w:hint="eastAsia" w:ascii="宋体" w:hAnsi="宋体" w:cs="宋体"/>
          <w:bCs/>
          <w:color w:val="auto"/>
          <w:kern w:val="2"/>
          <w:sz w:val="24"/>
          <w:szCs w:val="24"/>
          <w:highlight w:val="none"/>
          <w:u w:val="none"/>
          <w:lang w:val="en-US" w:eastAsia="zh-CN" w:bidi="ar-SA"/>
        </w:rPr>
        <w:t>7</w:t>
      </w:r>
      <w:r>
        <w:rPr>
          <w:rFonts w:hint="eastAsia" w:ascii="宋体" w:hAnsi="宋体" w:eastAsia="宋体" w:cs="宋体"/>
          <w:bCs/>
          <w:color w:val="auto"/>
          <w:kern w:val="2"/>
          <w:sz w:val="24"/>
          <w:szCs w:val="24"/>
          <w:highlight w:val="none"/>
          <w:u w:val="none"/>
          <w:lang w:val="en-US" w:eastAsia="zh-CN" w:bidi="ar-SA"/>
        </w:rPr>
        <w:t>月</w:t>
      </w:r>
      <w:r>
        <w:rPr>
          <w:rFonts w:hint="eastAsia" w:ascii="宋体" w:hAnsi="宋体" w:cs="宋体"/>
          <w:bCs/>
          <w:color w:val="auto"/>
          <w:kern w:val="2"/>
          <w:sz w:val="24"/>
          <w:szCs w:val="24"/>
          <w:highlight w:val="none"/>
          <w:u w:val="none"/>
          <w:lang w:val="en-US" w:eastAsia="zh-CN" w:bidi="ar-SA"/>
        </w:rPr>
        <w:t>30</w:t>
      </w:r>
      <w:r>
        <w:rPr>
          <w:rFonts w:hint="eastAsia" w:ascii="宋体" w:hAnsi="宋体" w:eastAsia="宋体" w:cs="宋体"/>
          <w:bCs/>
          <w:color w:val="auto"/>
          <w:kern w:val="2"/>
          <w:sz w:val="24"/>
          <w:szCs w:val="24"/>
          <w:highlight w:val="none"/>
          <w:u w:val="none"/>
          <w:lang w:val="en-US" w:eastAsia="zh-CN" w:bidi="ar-SA"/>
        </w:rPr>
        <w:t>日至2024年</w:t>
      </w:r>
      <w:r>
        <w:rPr>
          <w:rFonts w:hint="eastAsia" w:ascii="宋体" w:hAnsi="宋体" w:cs="宋体"/>
          <w:bCs/>
          <w:color w:val="auto"/>
          <w:kern w:val="2"/>
          <w:sz w:val="24"/>
          <w:szCs w:val="24"/>
          <w:highlight w:val="none"/>
          <w:u w:val="none"/>
          <w:lang w:val="en-US" w:eastAsia="zh-CN" w:bidi="ar-SA"/>
        </w:rPr>
        <w:t>8</w:t>
      </w:r>
      <w:r>
        <w:rPr>
          <w:rFonts w:hint="eastAsia" w:ascii="宋体" w:hAnsi="宋体" w:eastAsia="宋体" w:cs="宋体"/>
          <w:bCs/>
          <w:color w:val="auto"/>
          <w:kern w:val="2"/>
          <w:sz w:val="24"/>
          <w:szCs w:val="24"/>
          <w:highlight w:val="none"/>
          <w:u w:val="none"/>
          <w:lang w:val="en-US" w:eastAsia="zh-CN" w:bidi="ar-SA"/>
        </w:rPr>
        <w:t>月</w:t>
      </w:r>
      <w:r>
        <w:rPr>
          <w:rFonts w:hint="eastAsia" w:ascii="宋体" w:hAnsi="宋体" w:cs="宋体"/>
          <w:bCs/>
          <w:color w:val="auto"/>
          <w:kern w:val="2"/>
          <w:sz w:val="24"/>
          <w:szCs w:val="24"/>
          <w:highlight w:val="none"/>
          <w:u w:val="none"/>
          <w:lang w:val="en-US" w:eastAsia="zh-CN" w:bidi="ar-SA"/>
        </w:rPr>
        <w:t>1</w:t>
      </w:r>
      <w:r>
        <w:rPr>
          <w:rFonts w:hint="eastAsia" w:ascii="宋体" w:hAnsi="宋体" w:eastAsia="宋体" w:cs="宋体"/>
          <w:bCs/>
          <w:color w:val="auto"/>
          <w:kern w:val="2"/>
          <w:sz w:val="24"/>
          <w:szCs w:val="24"/>
          <w:highlight w:val="none"/>
          <w:u w:val="none"/>
          <w:lang w:val="en-US" w:eastAsia="zh-CN" w:bidi="ar-SA"/>
        </w:rPr>
        <w:t>日，上午</w:t>
      </w:r>
      <w:bookmarkStart w:id="21" w:name="OLE_LINK21"/>
      <w:r>
        <w:rPr>
          <w:rFonts w:hint="eastAsia" w:ascii="宋体" w:hAnsi="宋体" w:eastAsia="宋体" w:cs="宋体"/>
          <w:color w:val="auto"/>
          <w:sz w:val="24"/>
          <w:szCs w:val="24"/>
          <w:highlight w:val="none"/>
          <w:shd w:val="clear" w:color="auto" w:fill="FFFFFF"/>
          <w:lang w:val="en-US" w:eastAsia="zh-CN"/>
        </w:rPr>
        <w:t>9：00至12：00，下午12：00至17：00止</w:t>
      </w:r>
      <w:bookmarkEnd w:id="21"/>
      <w:r>
        <w:rPr>
          <w:rFonts w:hint="eastAsia" w:ascii="宋体" w:hAnsi="宋体" w:eastAsia="宋体" w:cs="宋体"/>
          <w:color w:val="auto"/>
          <w:sz w:val="24"/>
          <w:szCs w:val="24"/>
          <w:highlight w:val="none"/>
          <w:shd w:val="clear" w:color="auto" w:fill="FFFFFF"/>
          <w:lang w:val="en-US" w:eastAsia="zh-CN"/>
        </w:rPr>
        <w:t>（北京时间,法定节假日除外）</w:t>
      </w:r>
    </w:p>
    <w:p w14:paraId="5172CDE2">
      <w:pPr>
        <w:adjustRightInd w:val="0"/>
        <w:snapToGrid w:val="0"/>
        <w:spacing w:line="440" w:lineRule="exact"/>
        <w:ind w:firstLine="480" w:firstLineChars="200"/>
        <w:jc w:val="left"/>
        <w:rPr>
          <w:rFonts w:hint="eastAsia" w:ascii="宋体" w:hAnsi="宋体" w:cs="宋体"/>
          <w:sz w:val="24"/>
        </w:rPr>
      </w:pPr>
      <w:r>
        <w:rPr>
          <w:rFonts w:hint="eastAsia" w:ascii="宋体" w:hAnsi="宋体" w:cs="宋体"/>
          <w:sz w:val="24"/>
        </w:rPr>
        <w:t>地点：陕西省公共资源交易平台</w:t>
      </w:r>
    </w:p>
    <w:p w14:paraId="7CE6D682">
      <w:pPr>
        <w:adjustRightInd w:val="0"/>
        <w:snapToGrid w:val="0"/>
        <w:spacing w:line="450" w:lineRule="exact"/>
        <w:ind w:firstLine="480" w:firstLineChars="200"/>
        <w:jc w:val="left"/>
        <w:rPr>
          <w:rFonts w:ascii="宋体" w:hAnsi="宋体" w:cs="宋体"/>
          <w:sz w:val="24"/>
        </w:rPr>
      </w:pPr>
      <w:r>
        <w:rPr>
          <w:rFonts w:hint="eastAsia" w:ascii="宋体" w:hAnsi="宋体" w:cs="宋体"/>
          <w:sz w:val="24"/>
        </w:rPr>
        <w:t>方式：</w:t>
      </w:r>
      <w:r>
        <w:rPr>
          <w:rFonts w:hint="eastAsia" w:ascii="宋体" w:hAnsi="宋体" w:cs="宋体"/>
          <w:sz w:val="24"/>
          <w:szCs w:val="24"/>
        </w:rPr>
        <w:t>在线获取</w:t>
      </w:r>
    </w:p>
    <w:p w14:paraId="085B1DF1">
      <w:pPr>
        <w:adjustRightInd w:val="0"/>
        <w:snapToGrid w:val="0"/>
        <w:spacing w:line="440" w:lineRule="exact"/>
        <w:ind w:firstLine="480" w:firstLineChars="200"/>
        <w:jc w:val="left"/>
        <w:rPr>
          <w:rFonts w:ascii="宋体" w:hAnsi="宋体" w:cs="宋体"/>
          <w:sz w:val="24"/>
        </w:rPr>
      </w:pPr>
      <w:r>
        <w:rPr>
          <w:rFonts w:hint="eastAsia" w:ascii="宋体" w:hAnsi="宋体" w:cs="宋体"/>
          <w:sz w:val="24"/>
        </w:rPr>
        <w:t>售价：每套0.00元（人民币）</w:t>
      </w:r>
    </w:p>
    <w:p w14:paraId="408A2272">
      <w:pPr>
        <w:adjustRightInd w:val="0"/>
        <w:snapToGrid w:val="0"/>
        <w:spacing w:line="440" w:lineRule="exact"/>
        <w:jc w:val="left"/>
        <w:rPr>
          <w:rFonts w:hint="eastAsia" w:ascii="宋体" w:hAnsi="宋体" w:cs="宋体"/>
          <w:b/>
          <w:sz w:val="24"/>
          <w:szCs w:val="24"/>
          <w:shd w:val="clear" w:color="auto" w:fill="FFFFFF"/>
        </w:rPr>
      </w:pPr>
      <w:r>
        <w:rPr>
          <w:rFonts w:hint="eastAsia" w:ascii="宋体" w:hAnsi="宋体" w:cs="宋体"/>
          <w:b/>
          <w:sz w:val="24"/>
          <w:szCs w:val="24"/>
          <w:shd w:val="clear" w:color="auto" w:fill="FFFFFF"/>
        </w:rPr>
        <w:t>五、响应文件提交</w:t>
      </w:r>
    </w:p>
    <w:p w14:paraId="754C228E">
      <w:pPr>
        <w:adjustRightInd w:val="0"/>
        <w:snapToGrid w:val="0"/>
        <w:spacing w:line="450" w:lineRule="exact"/>
        <w:ind w:firstLine="480" w:firstLineChars="200"/>
        <w:jc w:val="left"/>
        <w:rPr>
          <w:rFonts w:hint="eastAsia" w:ascii="宋体" w:hAnsi="宋体" w:cs="宋体"/>
          <w:color w:val="FF0000"/>
          <w:sz w:val="24"/>
          <w:szCs w:val="24"/>
          <w:lang w:val="en-US" w:eastAsia="zh-CN"/>
        </w:rPr>
      </w:pPr>
      <w:r>
        <w:rPr>
          <w:rFonts w:hint="eastAsia" w:ascii="宋体" w:hAnsi="宋体" w:cs="宋体"/>
          <w:sz w:val="24"/>
        </w:rPr>
        <w:t>截止时间：</w:t>
      </w:r>
      <w:r>
        <w:rPr>
          <w:rFonts w:hint="eastAsia" w:ascii="宋体" w:hAnsi="宋体" w:cs="宋体"/>
          <w:color w:val="auto"/>
          <w:sz w:val="24"/>
          <w:szCs w:val="24"/>
          <w:lang w:val="en-US" w:eastAsia="zh-CN"/>
        </w:rPr>
        <w:t>2024</w:t>
      </w:r>
      <w:r>
        <w:rPr>
          <w:rFonts w:hint="eastAsia" w:ascii="宋体" w:hAnsi="宋体" w:cs="宋体"/>
          <w:color w:val="auto"/>
          <w:sz w:val="24"/>
          <w:szCs w:val="24"/>
          <w:lang w:eastAsia="zh-CN"/>
        </w:rPr>
        <w:t>年</w:t>
      </w:r>
      <w:r>
        <w:rPr>
          <w:rFonts w:hint="eastAsia" w:ascii="宋体" w:hAnsi="宋体" w:cs="宋体"/>
          <w:color w:val="auto"/>
          <w:sz w:val="24"/>
          <w:szCs w:val="24"/>
          <w:lang w:val="en-US" w:eastAsia="zh-CN"/>
        </w:rPr>
        <w:t>8</w:t>
      </w:r>
      <w:r>
        <w:rPr>
          <w:rFonts w:hint="eastAsia" w:ascii="宋体" w:hAnsi="宋体" w:cs="宋体"/>
          <w:color w:val="auto"/>
          <w:sz w:val="24"/>
          <w:szCs w:val="24"/>
          <w:lang w:eastAsia="zh-CN"/>
        </w:rPr>
        <w:t>月</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日</w:t>
      </w:r>
      <w:r>
        <w:rPr>
          <w:rFonts w:hint="eastAsia" w:ascii="宋体" w:hAnsi="宋体" w:cs="宋体"/>
          <w:color w:val="auto"/>
          <w:sz w:val="24"/>
          <w:szCs w:val="24"/>
          <w:lang w:val="en-US" w:eastAsia="zh-CN"/>
        </w:rPr>
        <w:t>13:30</w:t>
      </w:r>
    </w:p>
    <w:p w14:paraId="1E8E8604">
      <w:pPr>
        <w:adjustRightInd w:val="0"/>
        <w:snapToGrid w:val="0"/>
        <w:spacing w:line="450" w:lineRule="exact"/>
        <w:ind w:firstLine="480" w:firstLineChars="200"/>
        <w:jc w:val="left"/>
        <w:rPr>
          <w:rFonts w:hint="eastAsia" w:ascii="宋体" w:hAnsi="宋体" w:cs="宋体"/>
          <w:sz w:val="24"/>
        </w:rPr>
      </w:pPr>
      <w:r>
        <w:rPr>
          <w:rFonts w:hint="eastAsia" w:ascii="宋体" w:hAnsi="宋体" w:cs="宋体"/>
          <w:sz w:val="24"/>
        </w:rPr>
        <w:t>地</w:t>
      </w:r>
      <w:r>
        <w:rPr>
          <w:rFonts w:hint="eastAsia" w:ascii="宋体" w:hAnsi="宋体" w:cs="宋体"/>
          <w:sz w:val="24"/>
          <w:lang w:val="en-US" w:eastAsia="zh-CN"/>
        </w:rPr>
        <w:t xml:space="preserve">    </w:t>
      </w:r>
      <w:r>
        <w:rPr>
          <w:rFonts w:hint="eastAsia" w:ascii="宋体" w:hAnsi="宋体" w:cs="宋体"/>
          <w:sz w:val="24"/>
        </w:rPr>
        <w:t>点：</w:t>
      </w:r>
      <w:r>
        <w:rPr>
          <w:rFonts w:hint="eastAsia" w:ascii="宋体" w:hAnsi="宋体" w:cs="宋体"/>
          <w:sz w:val="24"/>
          <w:szCs w:val="24"/>
        </w:rPr>
        <w:t>陕西省公共资源交易平台递交</w:t>
      </w:r>
    </w:p>
    <w:p w14:paraId="09F0FE09">
      <w:pPr>
        <w:adjustRightInd w:val="0"/>
        <w:snapToGrid w:val="0"/>
        <w:spacing w:line="440" w:lineRule="exact"/>
        <w:jc w:val="left"/>
        <w:rPr>
          <w:rFonts w:hint="eastAsia" w:ascii="宋体" w:hAnsi="宋体" w:cs="宋体"/>
          <w:b/>
          <w:sz w:val="24"/>
          <w:szCs w:val="24"/>
          <w:shd w:val="clear" w:color="auto" w:fill="FFFFFF"/>
        </w:rPr>
      </w:pPr>
      <w:r>
        <w:rPr>
          <w:rFonts w:hint="eastAsia" w:ascii="宋体" w:hAnsi="宋体" w:cs="宋体"/>
          <w:b/>
          <w:sz w:val="24"/>
          <w:szCs w:val="24"/>
          <w:shd w:val="clear" w:color="auto" w:fill="FFFFFF"/>
        </w:rPr>
        <w:t>六、开启</w:t>
      </w:r>
    </w:p>
    <w:p w14:paraId="2ECBDA81">
      <w:pPr>
        <w:adjustRightInd w:val="0"/>
        <w:snapToGrid w:val="0"/>
        <w:spacing w:line="360" w:lineRule="auto"/>
        <w:ind w:firstLine="480" w:firstLineChars="200"/>
        <w:jc w:val="left"/>
        <w:rPr>
          <w:rFonts w:hint="eastAsia" w:ascii="宋体" w:hAnsi="宋体" w:cs="宋体"/>
          <w:sz w:val="24"/>
          <w:lang w:val="en-US" w:eastAsia="zh-CN"/>
        </w:rPr>
      </w:pPr>
      <w:r>
        <w:rPr>
          <w:rFonts w:hint="eastAsia" w:ascii="宋体" w:hAnsi="宋体" w:cs="宋体"/>
          <w:sz w:val="24"/>
        </w:rPr>
        <w:t>时间：</w:t>
      </w:r>
      <w:r>
        <w:rPr>
          <w:rFonts w:hint="eastAsia" w:ascii="宋体" w:hAnsi="宋体" w:cs="宋体"/>
          <w:sz w:val="24"/>
          <w:lang w:val="en-US" w:eastAsia="zh-CN"/>
        </w:rPr>
        <w:t>2024</w:t>
      </w:r>
      <w:r>
        <w:rPr>
          <w:rFonts w:hint="eastAsia" w:ascii="宋体" w:hAnsi="宋体" w:cs="宋体"/>
          <w:sz w:val="24"/>
          <w:lang w:eastAsia="zh-CN"/>
        </w:rPr>
        <w:t>年</w:t>
      </w:r>
      <w:r>
        <w:rPr>
          <w:rFonts w:hint="eastAsia" w:ascii="宋体" w:hAnsi="宋体" w:cs="宋体"/>
          <w:sz w:val="24"/>
          <w:lang w:val="en-US" w:eastAsia="zh-CN"/>
        </w:rPr>
        <w:t>8</w:t>
      </w:r>
      <w:r>
        <w:rPr>
          <w:rFonts w:hint="eastAsia" w:ascii="宋体" w:hAnsi="宋体" w:cs="宋体"/>
          <w:sz w:val="24"/>
          <w:lang w:eastAsia="zh-CN"/>
        </w:rPr>
        <w:t>月</w:t>
      </w:r>
      <w:r>
        <w:rPr>
          <w:rFonts w:hint="eastAsia" w:ascii="宋体" w:hAnsi="宋体" w:cs="宋体"/>
          <w:sz w:val="24"/>
          <w:lang w:val="en-US" w:eastAsia="zh-CN"/>
        </w:rPr>
        <w:t>2</w:t>
      </w:r>
      <w:r>
        <w:rPr>
          <w:rFonts w:hint="eastAsia" w:ascii="宋体" w:hAnsi="宋体" w:cs="宋体"/>
          <w:sz w:val="24"/>
          <w:lang w:eastAsia="zh-CN"/>
        </w:rPr>
        <w:t>日</w:t>
      </w:r>
      <w:r>
        <w:rPr>
          <w:rFonts w:hint="eastAsia" w:ascii="宋体" w:hAnsi="宋体" w:cs="宋体"/>
          <w:sz w:val="24"/>
          <w:lang w:val="en-US" w:eastAsia="zh-CN"/>
        </w:rPr>
        <w:t>13:30</w:t>
      </w:r>
    </w:p>
    <w:p w14:paraId="7872C533">
      <w:pPr>
        <w:adjustRightInd w:val="0"/>
        <w:snapToGrid w:val="0"/>
        <w:spacing w:line="360" w:lineRule="auto"/>
        <w:ind w:firstLine="480" w:firstLineChars="200"/>
        <w:jc w:val="left"/>
        <w:rPr>
          <w:rFonts w:hint="default" w:ascii="宋体" w:hAnsi="宋体" w:cs="宋体"/>
          <w:sz w:val="24"/>
          <w:lang w:val="en-US" w:eastAsia="zh-CN"/>
        </w:rPr>
      </w:pPr>
      <w:r>
        <w:rPr>
          <w:rFonts w:hint="eastAsia" w:ascii="宋体" w:hAnsi="宋体" w:cs="宋体"/>
          <w:sz w:val="24"/>
        </w:rPr>
        <w:t>地点</w:t>
      </w:r>
      <w:r>
        <w:rPr>
          <w:rFonts w:hint="eastAsia" w:ascii="宋体" w:hAnsi="宋体" w:cs="宋体"/>
          <w:sz w:val="24"/>
          <w:lang w:eastAsia="zh-CN"/>
        </w:rPr>
        <w:t>：</w:t>
      </w:r>
      <w:r>
        <w:rPr>
          <w:rFonts w:hint="eastAsia" w:ascii="宋体" w:hAnsi="宋体" w:cs="宋体"/>
          <w:sz w:val="24"/>
          <w:lang w:val="en-US" w:eastAsia="zh-CN"/>
        </w:rPr>
        <w:t>榆林市公共资源交易中心十楼开标室2</w:t>
      </w:r>
    </w:p>
    <w:p w14:paraId="7426330B">
      <w:pPr>
        <w:adjustRightInd w:val="0"/>
        <w:snapToGrid w:val="0"/>
        <w:spacing w:line="360" w:lineRule="auto"/>
        <w:jc w:val="left"/>
        <w:rPr>
          <w:rFonts w:ascii="宋体" w:hAnsi="宋体" w:cs="宋体"/>
          <w:b/>
          <w:sz w:val="24"/>
          <w:szCs w:val="24"/>
          <w:shd w:val="clear" w:color="auto" w:fill="FFFFFF"/>
        </w:rPr>
      </w:pPr>
      <w:r>
        <w:rPr>
          <w:rFonts w:hint="eastAsia" w:ascii="宋体" w:hAnsi="宋体" w:cs="宋体"/>
          <w:b/>
          <w:sz w:val="24"/>
          <w:szCs w:val="24"/>
          <w:shd w:val="clear" w:color="auto" w:fill="FFFFFF"/>
        </w:rPr>
        <w:t>七、公告期限</w:t>
      </w:r>
    </w:p>
    <w:p w14:paraId="3DBA1C2B">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rPr>
        <w:t>自本公告</w:t>
      </w:r>
      <w:r>
        <w:rPr>
          <w:rFonts w:hint="eastAsia" w:ascii="宋体" w:hAnsi="宋体" w:cs="宋体"/>
          <w:sz w:val="24"/>
          <w:szCs w:val="24"/>
        </w:rPr>
        <w:t>发布之日起</w:t>
      </w:r>
      <w:r>
        <w:rPr>
          <w:rFonts w:hint="eastAsia" w:ascii="宋体" w:hAnsi="宋体" w:cs="宋体"/>
          <w:sz w:val="24"/>
          <w:szCs w:val="24"/>
          <w:lang w:val="en-US" w:eastAsia="zh-CN"/>
        </w:rPr>
        <w:t>3</w:t>
      </w:r>
      <w:r>
        <w:rPr>
          <w:rFonts w:hint="eastAsia" w:ascii="宋体" w:hAnsi="宋体" w:cs="宋体"/>
          <w:sz w:val="24"/>
          <w:szCs w:val="24"/>
        </w:rPr>
        <w:t>个工作日。</w:t>
      </w:r>
    </w:p>
    <w:p w14:paraId="4A71DBFF">
      <w:pPr>
        <w:adjustRightInd w:val="0"/>
        <w:snapToGrid w:val="0"/>
        <w:spacing w:line="360" w:lineRule="auto"/>
        <w:jc w:val="left"/>
        <w:rPr>
          <w:rFonts w:hint="eastAsia" w:ascii="宋体" w:hAnsi="宋体" w:cs="宋体"/>
          <w:b/>
          <w:sz w:val="24"/>
          <w:szCs w:val="24"/>
          <w:shd w:val="clear" w:color="auto" w:fill="FFFFFF"/>
        </w:rPr>
      </w:pPr>
      <w:r>
        <w:rPr>
          <w:rFonts w:hint="eastAsia" w:ascii="宋体" w:hAnsi="宋体" w:cs="宋体"/>
          <w:b/>
          <w:sz w:val="24"/>
          <w:szCs w:val="24"/>
          <w:shd w:val="clear" w:color="auto" w:fill="FFFFFF"/>
        </w:rPr>
        <w:t>八、其他补充事宜</w:t>
      </w:r>
    </w:p>
    <w:p w14:paraId="59D8C5E5">
      <w:pPr>
        <w:pStyle w:val="15"/>
        <w:spacing w:line="360" w:lineRule="auto"/>
        <w:ind w:firstLine="482" w:firstLineChars="200"/>
        <w:jc w:val="both"/>
        <w:rPr>
          <w:rFonts w:hint="default" w:eastAsia="宋体"/>
          <w:lang w:val="en-US" w:eastAsia="zh-CN"/>
        </w:rPr>
      </w:pPr>
      <w:r>
        <w:rPr>
          <w:rStyle w:val="20"/>
          <w:rFonts w:hint="eastAsia" w:ascii="宋体" w:hAnsi="宋体" w:cs="宋体"/>
          <w:sz w:val="24"/>
          <w:szCs w:val="24"/>
        </w:rPr>
        <w:t>1、投标人可登录全国公共资源交易中心平台（陕西省） （http://www.sxggzyjy.cn/）,选择“电子交易平台-陕西政府采购交易系统-陕西省公共资源交易平台-投标人”进行登录，登录后选择“交易乙方”身份进入投标人界面进行报名并免费下载招标文件。2、</w:t>
      </w:r>
      <w:r>
        <w:rPr>
          <w:rStyle w:val="20"/>
          <w:rFonts w:hint="eastAsia" w:ascii="宋体" w:hAnsi="宋体" w:eastAsia="宋体" w:cs="宋体"/>
          <w:b/>
          <w:bCs/>
          <w:color w:val="auto"/>
          <w:sz w:val="24"/>
          <w:szCs w:val="24"/>
        </w:rPr>
        <w:t>CA锁购买：</w:t>
      </w:r>
      <w:r>
        <w:rPr>
          <w:rStyle w:val="20"/>
          <w:rFonts w:hint="eastAsia" w:ascii="宋体" w:hAnsi="宋体" w:cs="宋体"/>
          <w:sz w:val="24"/>
          <w:szCs w:val="24"/>
        </w:rPr>
        <w:t>市民大厦3楼，E18、E19窗口，联系电话：0912-3452148</w:t>
      </w:r>
      <w:r>
        <w:rPr>
          <w:rStyle w:val="20"/>
          <w:rFonts w:hint="eastAsia" w:ascii="宋体" w:hAnsi="宋体" w:eastAsia="宋体" w:cs="宋体"/>
          <w:b/>
          <w:bCs/>
          <w:color w:val="auto"/>
          <w:sz w:val="24"/>
          <w:szCs w:val="24"/>
        </w:rPr>
        <w:t>。</w:t>
      </w:r>
      <w:r>
        <w:rPr>
          <w:rStyle w:val="20"/>
          <w:rFonts w:hint="eastAsia" w:ascii="宋体" w:hAnsi="宋体" w:cs="宋体"/>
          <w:sz w:val="24"/>
          <w:szCs w:val="24"/>
        </w:rPr>
        <w:t>3、本项目采用电子化招投标方式和“不见面”开标形式，投标人使用数字认证证书（CA 锁）对投标文件进行签章、加密、递交及开标时解密等相关招投标事宜。投标人应于投标文件递交截止时间前任意时段登录交易平台〖首页〉电子交易平台〉企业端〗在线提交电子投标文件，逾期提交系统将拒绝接收。投标人可登录榆林交易平台〖首页〉不见面开标〗在线参与开评标过程，详见《榆林市不见面开标大厅操作手册（投标人）》（交易平台〖首页〉服务指南〉下载专区〗中的《榆林市不见面开标大厅操作手册（投标人）》）。4、</w:t>
      </w:r>
      <w:r>
        <w:rPr>
          <w:rFonts w:hint="eastAsia" w:ascii="宋体" w:hAnsi="宋体" w:cs="宋体"/>
          <w:b/>
          <w:bCs/>
          <w:sz w:val="24"/>
        </w:rPr>
        <w:t>请投标人按照陕西省财政厅关于政府采购供应商注册登记有关事项的通知中的要求，通过陕西省政府采购网（</w:t>
      </w:r>
      <w:r>
        <w:rPr>
          <w:rStyle w:val="20"/>
          <w:rFonts w:hint="eastAsia" w:ascii="宋体" w:hAnsi="宋体" w:cs="宋体"/>
          <w:sz w:val="24"/>
          <w:szCs w:val="24"/>
        </w:rPr>
        <w:t>http://www.ccgp-shaanxi.gov.cn/）注册登记加入陕西省政府采购供应商库。5、供应商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因投标人未及时关注项目信息造成的后果投标人自行承担。</w:t>
      </w:r>
      <w:r>
        <w:rPr>
          <w:rStyle w:val="20"/>
          <w:rFonts w:hint="eastAsia" w:ascii="宋体" w:hAnsi="宋体" w:cs="宋体"/>
          <w:sz w:val="24"/>
          <w:szCs w:val="24"/>
          <w:lang w:val="en-US" w:eastAsia="zh-CN"/>
        </w:rPr>
        <w:t>6、本项目非专门面向中小企业。</w:t>
      </w:r>
    </w:p>
    <w:p w14:paraId="11015B39">
      <w:pPr>
        <w:adjustRightInd w:val="0"/>
        <w:snapToGrid w:val="0"/>
        <w:spacing w:line="360" w:lineRule="auto"/>
        <w:jc w:val="left"/>
        <w:rPr>
          <w:rFonts w:hint="eastAsia" w:ascii="宋体" w:hAnsi="宋体" w:eastAsia="宋体" w:cs="宋体"/>
          <w:b/>
          <w:sz w:val="24"/>
          <w:szCs w:val="24"/>
          <w:shd w:val="clear" w:color="auto" w:fill="FFFFFF"/>
        </w:rPr>
      </w:pPr>
      <w:r>
        <w:rPr>
          <w:rFonts w:hint="eastAsia" w:ascii="宋体" w:hAnsi="宋体" w:eastAsia="宋体" w:cs="宋体"/>
          <w:b/>
          <w:sz w:val="24"/>
          <w:szCs w:val="24"/>
          <w:shd w:val="clear" w:color="auto" w:fill="FFFFFF"/>
        </w:rPr>
        <w:t>九、对本次采购提出询问，请按以下方式联系。</w:t>
      </w:r>
    </w:p>
    <w:p w14:paraId="40FE3B4F">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rPr>
        <w:t>1、</w:t>
      </w:r>
      <w:r>
        <w:rPr>
          <w:rFonts w:hint="eastAsia" w:ascii="宋体" w:hAnsi="宋体" w:cs="宋体"/>
          <w:sz w:val="24"/>
          <w:szCs w:val="24"/>
        </w:rPr>
        <w:t>采购人信息</w:t>
      </w:r>
    </w:p>
    <w:p w14:paraId="7C6B7321">
      <w:pPr>
        <w:adjustRightInd w:val="0"/>
        <w:snapToGrid w:val="0"/>
        <w:spacing w:line="360" w:lineRule="auto"/>
        <w:ind w:firstLine="480" w:firstLineChars="200"/>
        <w:rPr>
          <w:rFonts w:hint="eastAsia" w:ascii="宋体" w:hAnsi="宋体" w:eastAsia="宋体" w:cs="宋体"/>
          <w:color w:val="auto"/>
          <w:sz w:val="24"/>
          <w:lang w:val="en-US" w:eastAsia="zh-CN"/>
        </w:rPr>
      </w:pPr>
      <w:r>
        <w:rPr>
          <w:rFonts w:hint="eastAsia" w:ascii="宋体" w:hAnsi="宋体" w:eastAsia="宋体" w:cs="宋体"/>
          <w:kern w:val="0"/>
          <w:sz w:val="24"/>
          <w:szCs w:val="24"/>
          <w:lang w:val="en-US" w:eastAsia="zh-CN"/>
        </w:rPr>
        <w:t>名   称：</w:t>
      </w:r>
      <w:r>
        <w:rPr>
          <w:rFonts w:hint="eastAsia" w:ascii="宋体" w:hAnsi="宋体" w:eastAsia="宋体" w:cs="宋体"/>
          <w:color w:val="auto"/>
          <w:sz w:val="24"/>
          <w:lang w:eastAsia="zh-CN"/>
        </w:rPr>
        <w:t>榆林市国防动员办公室</w:t>
      </w:r>
      <w:r>
        <w:rPr>
          <w:rFonts w:hint="eastAsia" w:ascii="宋体" w:hAnsi="宋体" w:eastAsia="宋体" w:cs="宋体"/>
          <w:color w:val="auto"/>
          <w:sz w:val="24"/>
          <w:lang w:val="en-US" w:eastAsia="zh-CN"/>
        </w:rPr>
        <w:t xml:space="preserve">     </w:t>
      </w:r>
    </w:p>
    <w:p w14:paraId="79710530">
      <w:pPr>
        <w:adjustRightInd w:val="0"/>
        <w:snapToGrid w:val="0"/>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color w:val="auto"/>
          <w:sz w:val="24"/>
        </w:rPr>
        <w:t>地     址：</w:t>
      </w:r>
      <w:r>
        <w:rPr>
          <w:rFonts w:hint="eastAsia" w:ascii="宋体" w:hAnsi="宋体" w:eastAsia="宋体" w:cs="宋体"/>
          <w:kern w:val="0"/>
          <w:sz w:val="24"/>
          <w:szCs w:val="24"/>
          <w:lang w:val="en-US" w:eastAsia="zh-CN"/>
        </w:rPr>
        <w:t>榆林市高新区裕华路2号</w:t>
      </w:r>
    </w:p>
    <w:p w14:paraId="15EA9065">
      <w:pPr>
        <w:adjustRightInd w:val="0"/>
        <w:snapToGrid w:val="0"/>
        <w:spacing w:line="360" w:lineRule="auto"/>
        <w:ind w:firstLine="480" w:firstLineChars="200"/>
        <w:rPr>
          <w:rFonts w:hint="default" w:ascii="宋体" w:hAnsi="宋体" w:eastAsia="宋体" w:cs="宋体"/>
          <w:color w:val="auto"/>
          <w:sz w:val="24"/>
          <w:szCs w:val="24"/>
          <w:shd w:val="clear" w:color="auto" w:fill="FFFFFF"/>
          <w:lang w:val="en-US"/>
        </w:rPr>
      </w:pPr>
      <w:r>
        <w:rPr>
          <w:rFonts w:hint="eastAsia" w:ascii="宋体" w:hAnsi="宋体" w:eastAsia="宋体" w:cs="宋体"/>
          <w:color w:val="auto"/>
          <w:sz w:val="24"/>
          <w:szCs w:val="24"/>
          <w:shd w:val="clear" w:color="auto" w:fill="FFFFFF"/>
        </w:rPr>
        <w:t>联  系 人：</w:t>
      </w:r>
      <w:r>
        <w:rPr>
          <w:rFonts w:hint="eastAsia" w:ascii="宋体" w:hAnsi="宋体" w:eastAsia="宋体" w:cs="宋体"/>
          <w:color w:val="auto"/>
          <w:sz w:val="24"/>
          <w:lang w:eastAsia="zh-CN"/>
        </w:rPr>
        <w:t>榆林市国防动员办公室</w:t>
      </w:r>
      <w:r>
        <w:rPr>
          <w:rFonts w:hint="eastAsia" w:ascii="宋体" w:hAnsi="宋体" w:eastAsia="宋体" w:cs="宋体"/>
          <w:color w:val="auto"/>
          <w:sz w:val="24"/>
          <w:lang w:val="en-US" w:eastAsia="zh-CN"/>
        </w:rPr>
        <w:t>经办</w:t>
      </w:r>
    </w:p>
    <w:p w14:paraId="285D952A">
      <w:pPr>
        <w:adjustRightInd w:val="0"/>
        <w:snapToGrid w:val="0"/>
        <w:spacing w:line="360" w:lineRule="auto"/>
        <w:ind w:firstLine="480" w:firstLineChars="200"/>
        <w:rPr>
          <w:rFonts w:hint="eastAsia" w:ascii="宋体" w:hAnsi="宋体" w:eastAsia="宋体" w:cs="宋体"/>
          <w:color w:val="auto"/>
          <w:sz w:val="24"/>
          <w:szCs w:val="24"/>
          <w:shd w:val="clear" w:color="auto" w:fill="FFFFFF"/>
          <w:lang w:val="en-US" w:eastAsia="zh-CN"/>
        </w:rPr>
      </w:pPr>
      <w:r>
        <w:rPr>
          <w:rFonts w:hint="eastAsia" w:ascii="宋体" w:hAnsi="宋体" w:eastAsia="宋体" w:cs="宋体"/>
          <w:color w:val="auto"/>
          <w:sz w:val="24"/>
          <w:szCs w:val="24"/>
          <w:shd w:val="clear" w:color="auto" w:fill="FFFFFF"/>
        </w:rPr>
        <w:t>电     话</w:t>
      </w:r>
      <w:r>
        <w:rPr>
          <w:rFonts w:hint="eastAsia" w:ascii="宋体" w:hAnsi="宋体" w:eastAsia="宋体" w:cs="宋体"/>
          <w:color w:val="auto"/>
          <w:sz w:val="24"/>
          <w:szCs w:val="24"/>
          <w:shd w:val="clear" w:color="auto" w:fill="FFFFFF"/>
          <w:lang w:eastAsia="zh-CN"/>
        </w:rPr>
        <w:t>：</w:t>
      </w:r>
      <w:r>
        <w:rPr>
          <w:rFonts w:hint="eastAsia" w:ascii="宋体" w:hAnsi="宋体" w:eastAsia="宋体" w:cs="宋体"/>
          <w:color w:val="auto"/>
          <w:sz w:val="24"/>
          <w:szCs w:val="24"/>
          <w:shd w:val="clear" w:color="auto" w:fill="FFFFFF"/>
          <w:lang w:val="en-US" w:eastAsia="zh-CN"/>
        </w:rPr>
        <w:t>18809129120</w:t>
      </w:r>
    </w:p>
    <w:p w14:paraId="3DA26028">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2、项目联系方式</w:t>
      </w:r>
    </w:p>
    <w:p w14:paraId="44A9C901">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项目联系人：柴</w:t>
      </w:r>
      <w:r>
        <w:rPr>
          <w:rFonts w:hint="eastAsia" w:ascii="宋体" w:hAnsi="宋体" w:cs="宋体"/>
          <w:sz w:val="24"/>
          <w:szCs w:val="24"/>
          <w:lang w:val="en-US" w:eastAsia="zh-CN"/>
        </w:rPr>
        <w:t>女士</w:t>
      </w:r>
      <w:r>
        <w:rPr>
          <w:rFonts w:hint="eastAsia" w:ascii="宋体" w:hAnsi="宋体" w:cs="宋体"/>
          <w:sz w:val="24"/>
          <w:szCs w:val="24"/>
        </w:rPr>
        <w:t xml:space="preserve"> </w:t>
      </w:r>
    </w:p>
    <w:p w14:paraId="3943F44C">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 xml:space="preserve">电      话：0912-3889050/18821755562 </w:t>
      </w:r>
    </w:p>
    <w:p w14:paraId="5D77B96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传      真：0912-3889050 </w:t>
      </w:r>
    </w:p>
    <w:p w14:paraId="245F7A71">
      <w:pPr>
        <w:adjustRightInd w:val="0"/>
        <w:snapToGrid w:val="0"/>
        <w:spacing w:line="360" w:lineRule="auto"/>
        <w:ind w:firstLine="480" w:firstLineChars="200"/>
        <w:rPr>
          <w:rFonts w:ascii="宋体" w:hAnsi="宋体" w:cs="宋体"/>
          <w:color w:val="333333"/>
          <w:sz w:val="24"/>
          <w:szCs w:val="24"/>
          <w:shd w:val="clear" w:color="auto" w:fill="FFFFFF"/>
        </w:rPr>
      </w:pPr>
      <w:r>
        <w:rPr>
          <w:rFonts w:hint="eastAsia" w:ascii="宋体" w:hAnsi="宋体" w:cs="宋体"/>
          <w:sz w:val="24"/>
          <w:szCs w:val="22"/>
        </w:rPr>
        <w:t>邮      箱：2580266497@qq.com</w:t>
      </w:r>
      <w:r>
        <w:rPr>
          <w:rFonts w:hint="eastAsia" w:ascii="宋体" w:hAnsi="宋体" w:cs="宋体"/>
          <w:color w:val="333333"/>
          <w:sz w:val="24"/>
          <w:szCs w:val="24"/>
          <w:shd w:val="clear" w:color="auto" w:fill="FFFFFF"/>
        </w:rPr>
        <w:t xml:space="preserve"> </w:t>
      </w:r>
    </w:p>
    <w:p w14:paraId="4CE5F594">
      <w:pPr>
        <w:adjustRightInd w:val="0"/>
        <w:snapToGrid w:val="0"/>
        <w:spacing w:line="360" w:lineRule="auto"/>
        <w:ind w:firstLine="480" w:firstLineChars="200"/>
        <w:rPr>
          <w:rFonts w:ascii="宋体" w:hAnsi="宋体" w:cs="宋体"/>
          <w:sz w:val="24"/>
        </w:rPr>
      </w:pPr>
      <w:r>
        <w:rPr>
          <w:rFonts w:hint="eastAsia" w:ascii="宋体" w:hAnsi="宋体" w:cs="宋体"/>
          <w:sz w:val="24"/>
        </w:rPr>
        <w:t>3、采购代理机构信息</w:t>
      </w:r>
    </w:p>
    <w:p w14:paraId="09D29E3A">
      <w:pPr>
        <w:adjustRightInd w:val="0"/>
        <w:snapToGrid w:val="0"/>
        <w:spacing w:line="360" w:lineRule="auto"/>
        <w:ind w:firstLine="480" w:firstLineChars="200"/>
        <w:rPr>
          <w:rFonts w:ascii="宋体" w:hAnsi="宋体" w:cs="宋体"/>
          <w:sz w:val="24"/>
        </w:rPr>
      </w:pPr>
      <w:r>
        <w:rPr>
          <w:rFonts w:hint="eastAsia" w:ascii="宋体" w:hAnsi="宋体" w:cs="宋体"/>
          <w:sz w:val="24"/>
        </w:rPr>
        <w:t xml:space="preserve">名    称：陕西三秦大地招标有限责任公司 </w:t>
      </w:r>
    </w:p>
    <w:p w14:paraId="79F32E8F">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联系地址：榆林市富康西路隆城富康小区3号楼1单元1401室</w:t>
      </w:r>
    </w:p>
    <w:p w14:paraId="5F00419C">
      <w:pPr>
        <w:pStyle w:val="6"/>
      </w:pPr>
    </w:p>
    <w:p w14:paraId="634F1546">
      <w:pPr>
        <w:pStyle w:val="6"/>
      </w:pPr>
    </w:p>
    <w:p w14:paraId="432CE8BB">
      <w:pPr>
        <w:spacing w:line="360" w:lineRule="auto"/>
        <w:ind w:firstLine="4337" w:firstLineChars="1800"/>
        <w:jc w:val="right"/>
        <w:rPr>
          <w:rFonts w:hint="eastAsia" w:ascii="宋体" w:hAnsi="宋体" w:cs="宋体"/>
          <w:b/>
          <w:bCs/>
          <w:sz w:val="24"/>
          <w:lang w:eastAsia="zh-CN"/>
        </w:rPr>
        <w:sectPr>
          <w:headerReference r:id="rId8" w:type="default"/>
          <w:footerReference r:id="rId9" w:type="default"/>
          <w:footnotePr>
            <w:pos w:val="beneathText"/>
          </w:footnotePr>
          <w:pgSz w:w="11906" w:h="16838"/>
          <w:pgMar w:top="1417" w:right="1558" w:bottom="1757" w:left="1417" w:header="851" w:footer="992" w:gutter="0"/>
          <w:cols w:space="720" w:num="1"/>
          <w:docGrid w:type="lines" w:linePitch="312" w:charSpace="0"/>
        </w:sectPr>
      </w:pPr>
      <w:r>
        <w:rPr>
          <w:rFonts w:hint="eastAsia" w:ascii="宋体" w:hAnsi="宋体" w:cs="宋体"/>
          <w:b/>
          <w:bCs/>
          <w:sz w:val="24"/>
        </w:rPr>
        <w:t xml:space="preserve">陕西三秦大地招标有限责任公司           </w:t>
      </w:r>
      <w:r>
        <w:rPr>
          <w:rFonts w:hint="eastAsia" w:ascii="宋体" w:hAnsi="宋体" w:cs="宋体"/>
          <w:b/>
          <w:bCs/>
          <w:color w:val="auto"/>
          <w:sz w:val="24"/>
        </w:rPr>
        <w:t xml:space="preserve"> </w:t>
      </w:r>
      <w:r>
        <w:rPr>
          <w:rFonts w:hint="eastAsia" w:ascii="宋体" w:hAnsi="宋体" w:eastAsia="宋体" w:cs="宋体"/>
          <w:b/>
          <w:bCs/>
          <w:color w:val="auto"/>
          <w:sz w:val="24"/>
        </w:rPr>
        <w:t xml:space="preserve">  </w:t>
      </w:r>
      <w:r>
        <w:rPr>
          <w:rFonts w:hint="eastAsia" w:ascii="宋体" w:hAnsi="宋体" w:cs="宋体"/>
          <w:b/>
          <w:bCs/>
          <w:sz w:val="24"/>
          <w:lang w:eastAsia="zh-CN"/>
        </w:rPr>
        <w:t>202</w:t>
      </w:r>
      <w:r>
        <w:rPr>
          <w:rFonts w:hint="eastAsia" w:ascii="宋体" w:hAnsi="宋体" w:cs="宋体"/>
          <w:b/>
          <w:bCs/>
          <w:sz w:val="24"/>
          <w:lang w:val="en-US" w:eastAsia="zh-CN"/>
        </w:rPr>
        <w:t>4</w:t>
      </w:r>
      <w:r>
        <w:rPr>
          <w:rFonts w:hint="eastAsia" w:ascii="宋体" w:hAnsi="宋体" w:cs="宋体"/>
          <w:b/>
          <w:bCs/>
          <w:sz w:val="24"/>
          <w:lang w:eastAsia="zh-CN"/>
        </w:rPr>
        <w:t>年</w:t>
      </w:r>
      <w:r>
        <w:rPr>
          <w:rFonts w:hint="eastAsia" w:ascii="宋体" w:hAnsi="宋体" w:cs="宋体"/>
          <w:b/>
          <w:bCs/>
          <w:sz w:val="24"/>
          <w:lang w:val="en-US" w:eastAsia="zh-CN"/>
        </w:rPr>
        <w:t>7</w:t>
      </w:r>
      <w:r>
        <w:rPr>
          <w:rFonts w:hint="eastAsia" w:ascii="宋体" w:hAnsi="宋体" w:cs="宋体"/>
          <w:b/>
          <w:bCs/>
          <w:sz w:val="24"/>
          <w:lang w:eastAsia="zh-CN"/>
        </w:rPr>
        <w:t>月</w:t>
      </w:r>
      <w:r>
        <w:rPr>
          <w:rFonts w:hint="eastAsia" w:ascii="宋体" w:hAnsi="宋体" w:cs="宋体"/>
          <w:b/>
          <w:bCs/>
          <w:sz w:val="24"/>
          <w:lang w:val="en-US" w:eastAsia="zh-CN"/>
        </w:rPr>
        <w:t>29</w:t>
      </w:r>
      <w:r>
        <w:rPr>
          <w:rFonts w:hint="eastAsia" w:ascii="宋体" w:hAnsi="宋体" w:cs="宋体"/>
          <w:b/>
          <w:bCs/>
          <w:sz w:val="24"/>
          <w:lang w:eastAsia="zh-CN"/>
        </w:rPr>
        <w:t>日</w:t>
      </w:r>
    </w:p>
    <w:p w14:paraId="10501FF6">
      <w:pPr>
        <w:pStyle w:val="2"/>
        <w:keepNext/>
        <w:keepLines/>
        <w:pageBreakBefore w:val="0"/>
        <w:widowControl w:val="0"/>
        <w:numPr>
          <w:ilvl w:val="0"/>
          <w:numId w:val="2"/>
        </w:numPr>
        <w:kinsoku/>
        <w:wordWrap/>
        <w:overflowPunct/>
        <w:topLinePunct w:val="0"/>
        <w:autoSpaceDE/>
        <w:autoSpaceDN/>
        <w:bidi w:val="0"/>
        <w:adjustRightInd/>
        <w:snapToGrid/>
        <w:spacing w:line="360" w:lineRule="exact"/>
        <w:jc w:val="center"/>
        <w:textAlignment w:val="auto"/>
        <w:rPr>
          <w:rFonts w:ascii="宋体" w:hAnsi="宋体" w:cs="宋体"/>
          <w:sz w:val="32"/>
          <w:szCs w:val="32"/>
        </w:rPr>
      </w:pPr>
      <w:bookmarkStart w:id="22" w:name="_Toc21055"/>
      <w:bookmarkStart w:id="23" w:name="_Toc11309"/>
      <w:bookmarkStart w:id="24" w:name="_Toc19567"/>
      <w:bookmarkStart w:id="25" w:name="_Toc22488"/>
      <w:bookmarkStart w:id="26" w:name="_Toc12632"/>
      <w:bookmarkStart w:id="27" w:name="_Toc15149"/>
      <w:bookmarkStart w:id="28" w:name="_Toc17537"/>
      <w:bookmarkStart w:id="29" w:name="_Toc6594"/>
      <w:r>
        <w:rPr>
          <w:rFonts w:hint="eastAsia" w:ascii="宋体" w:hAnsi="宋体" w:eastAsia="宋体" w:cs="宋体"/>
          <w:sz w:val="32"/>
          <w:szCs w:val="32"/>
        </w:rPr>
        <w:t>供</w:t>
      </w:r>
      <w:r>
        <w:rPr>
          <w:rFonts w:hint="eastAsia" w:ascii="宋体" w:hAnsi="宋体" w:cs="宋体"/>
          <w:sz w:val="32"/>
          <w:szCs w:val="32"/>
        </w:rPr>
        <w:t>应商须知前附表</w:t>
      </w:r>
      <w:bookmarkEnd w:id="22"/>
      <w:bookmarkEnd w:id="23"/>
      <w:bookmarkEnd w:id="24"/>
      <w:bookmarkEnd w:id="25"/>
      <w:bookmarkEnd w:id="26"/>
      <w:bookmarkEnd w:id="27"/>
      <w:bookmarkEnd w:id="28"/>
      <w:bookmarkEnd w:id="29"/>
    </w:p>
    <w:tbl>
      <w:tblPr>
        <w:tblStyle w:val="17"/>
        <w:tblW w:w="11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0295"/>
      </w:tblGrid>
      <w:tr w14:paraId="0C01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19F58FCB">
            <w:pPr>
              <w:spacing w:line="360" w:lineRule="auto"/>
              <w:jc w:val="center"/>
              <w:rPr>
                <w:rFonts w:ascii="宋体" w:hAnsi="宋体" w:cs="宋体"/>
                <w:b/>
                <w:sz w:val="24"/>
                <w:szCs w:val="24"/>
              </w:rPr>
            </w:pPr>
            <w:r>
              <w:rPr>
                <w:rFonts w:hint="eastAsia" w:ascii="宋体" w:hAnsi="宋体" w:cs="宋体"/>
                <w:b/>
                <w:sz w:val="24"/>
                <w:szCs w:val="24"/>
              </w:rPr>
              <w:t>项号</w:t>
            </w:r>
          </w:p>
        </w:tc>
        <w:tc>
          <w:tcPr>
            <w:tcW w:w="10295" w:type="dxa"/>
            <w:noWrap w:val="0"/>
            <w:vAlign w:val="center"/>
          </w:tcPr>
          <w:p w14:paraId="43EC8AF5">
            <w:pPr>
              <w:spacing w:line="360" w:lineRule="auto"/>
              <w:jc w:val="center"/>
              <w:rPr>
                <w:rFonts w:ascii="宋体" w:hAnsi="宋体" w:cs="宋体"/>
                <w:b/>
                <w:sz w:val="24"/>
                <w:szCs w:val="24"/>
              </w:rPr>
            </w:pPr>
            <w:r>
              <w:rPr>
                <w:rFonts w:hint="eastAsia" w:ascii="宋体" w:hAnsi="宋体" w:cs="宋体"/>
                <w:b/>
                <w:sz w:val="24"/>
                <w:szCs w:val="24"/>
              </w:rPr>
              <w:t>编列内容</w:t>
            </w:r>
          </w:p>
        </w:tc>
      </w:tr>
      <w:tr w14:paraId="324B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006A4FEA">
            <w:pPr>
              <w:numPr>
                <w:ilvl w:val="0"/>
                <w:numId w:val="3"/>
              </w:numPr>
              <w:spacing w:line="360" w:lineRule="auto"/>
              <w:jc w:val="center"/>
              <w:rPr>
                <w:rFonts w:ascii="宋体" w:hAnsi="宋体" w:cs="宋体"/>
                <w:sz w:val="24"/>
                <w:szCs w:val="24"/>
              </w:rPr>
            </w:pPr>
          </w:p>
        </w:tc>
        <w:tc>
          <w:tcPr>
            <w:tcW w:w="10295" w:type="dxa"/>
            <w:noWrap w:val="0"/>
            <w:vAlign w:val="center"/>
          </w:tcPr>
          <w:p w14:paraId="02F7EBA8">
            <w:pPr>
              <w:spacing w:line="360" w:lineRule="auto"/>
              <w:ind w:leftChars="-9" w:hanging="19" w:hangingChars="8"/>
              <w:rPr>
                <w:rFonts w:hint="eastAsia" w:ascii="宋体" w:hAnsi="宋体" w:cs="宋体"/>
                <w:sz w:val="24"/>
                <w:szCs w:val="24"/>
                <w:lang w:eastAsia="zh-CN"/>
              </w:rPr>
            </w:pPr>
            <w:r>
              <w:rPr>
                <w:rFonts w:hint="eastAsia" w:ascii="宋体" w:hAnsi="宋体" w:cs="宋体"/>
                <w:sz w:val="24"/>
                <w:szCs w:val="24"/>
              </w:rPr>
              <w:t>采购项目名称：</w:t>
            </w:r>
            <w:r>
              <w:rPr>
                <w:rFonts w:hint="eastAsia" w:ascii="宋体" w:hAnsi="宋体" w:cs="宋体"/>
                <w:sz w:val="24"/>
                <w:szCs w:val="24"/>
                <w:lang w:eastAsia="zh-CN"/>
              </w:rPr>
              <w:t>榆林市国防动员办公室榆林高新区第二小学人防工程施工用电电气设备货物采购（三次）</w:t>
            </w:r>
          </w:p>
          <w:p w14:paraId="50FCC23A">
            <w:pPr>
              <w:spacing w:line="360" w:lineRule="auto"/>
              <w:ind w:leftChars="-9" w:hanging="19" w:hangingChars="8"/>
              <w:rPr>
                <w:rFonts w:hint="eastAsia" w:ascii="宋体" w:hAnsi="宋体" w:eastAsia="宋体" w:cs="宋体"/>
                <w:sz w:val="24"/>
                <w:szCs w:val="24"/>
                <w:lang w:eastAsia="zh-CN"/>
              </w:rPr>
            </w:pPr>
            <w:r>
              <w:rPr>
                <w:rFonts w:hint="eastAsia" w:ascii="宋体" w:hAnsi="宋体" w:cs="宋体"/>
                <w:sz w:val="24"/>
                <w:szCs w:val="24"/>
              </w:rPr>
              <w:t>采购项目编号：</w:t>
            </w:r>
            <w:r>
              <w:rPr>
                <w:rFonts w:hint="eastAsia" w:ascii="宋体" w:hAnsi="宋体" w:cs="宋体"/>
                <w:sz w:val="24"/>
                <w:szCs w:val="24"/>
                <w:lang w:eastAsia="zh-CN"/>
              </w:rPr>
              <w:t>SQZB2024-017</w:t>
            </w:r>
          </w:p>
        </w:tc>
      </w:tr>
      <w:tr w14:paraId="0BD9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763" w:type="dxa"/>
            <w:noWrap w:val="0"/>
            <w:vAlign w:val="center"/>
          </w:tcPr>
          <w:p w14:paraId="1E14A43C">
            <w:pPr>
              <w:numPr>
                <w:ilvl w:val="0"/>
                <w:numId w:val="3"/>
              </w:numPr>
              <w:spacing w:line="360" w:lineRule="auto"/>
              <w:jc w:val="center"/>
              <w:rPr>
                <w:rFonts w:ascii="宋体" w:hAnsi="宋体" w:cs="宋体"/>
                <w:sz w:val="24"/>
                <w:szCs w:val="24"/>
              </w:rPr>
            </w:pPr>
          </w:p>
        </w:tc>
        <w:tc>
          <w:tcPr>
            <w:tcW w:w="10295" w:type="dxa"/>
            <w:noWrap w:val="0"/>
            <w:vAlign w:val="center"/>
          </w:tcPr>
          <w:p w14:paraId="6C467996">
            <w:pPr>
              <w:spacing w:line="360" w:lineRule="auto"/>
              <w:rPr>
                <w:rFonts w:ascii="宋体" w:hAnsi="宋体" w:cs="宋体"/>
                <w:sz w:val="24"/>
                <w:szCs w:val="24"/>
              </w:rPr>
            </w:pPr>
            <w:r>
              <w:rPr>
                <w:rFonts w:hint="eastAsia" w:ascii="宋体" w:hAnsi="宋体" w:cs="宋体"/>
                <w:sz w:val="24"/>
                <w:szCs w:val="24"/>
              </w:rPr>
              <w:t>项目性质：财政拨款</w:t>
            </w:r>
          </w:p>
          <w:p w14:paraId="404CBE34">
            <w:pPr>
              <w:spacing w:line="360" w:lineRule="auto"/>
              <w:rPr>
                <w:rFonts w:hint="eastAsia" w:ascii="宋体" w:hAnsi="宋体" w:eastAsia="宋体" w:cs="宋体"/>
                <w:sz w:val="24"/>
                <w:szCs w:val="24"/>
                <w:lang w:eastAsia="zh-CN"/>
              </w:rPr>
            </w:pPr>
            <w:r>
              <w:rPr>
                <w:rFonts w:hint="eastAsia" w:ascii="宋体" w:hAnsi="宋体" w:cs="宋体"/>
                <w:sz w:val="24"/>
                <w:szCs w:val="24"/>
              </w:rPr>
              <w:t>本项目采购预算</w:t>
            </w:r>
            <w:r>
              <w:rPr>
                <w:rFonts w:hint="eastAsia" w:ascii="宋体" w:hAnsi="宋体" w:eastAsia="宋体" w:cs="宋体"/>
                <w:sz w:val="24"/>
                <w:szCs w:val="24"/>
                <w:lang w:eastAsia="zh-CN"/>
              </w:rPr>
              <w:t>：635570.54元</w:t>
            </w:r>
          </w:p>
          <w:p w14:paraId="47B28462">
            <w:pPr>
              <w:spacing w:line="360" w:lineRule="auto"/>
              <w:rPr>
                <w:rFonts w:ascii="宋体" w:hAnsi="宋体" w:cs="宋体"/>
                <w:sz w:val="24"/>
                <w:szCs w:val="24"/>
              </w:rPr>
            </w:pPr>
            <w:r>
              <w:rPr>
                <w:rFonts w:hint="eastAsia" w:ascii="宋体" w:hAnsi="宋体" w:cs="宋体"/>
                <w:sz w:val="24"/>
                <w:szCs w:val="24"/>
              </w:rPr>
              <w:t>供应商报价超出采购预算，作为不实质响应竞争性谈判文件，按无投标文件处理。</w:t>
            </w:r>
          </w:p>
        </w:tc>
      </w:tr>
      <w:tr w14:paraId="46BB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763" w:type="dxa"/>
            <w:noWrap w:val="0"/>
            <w:vAlign w:val="center"/>
          </w:tcPr>
          <w:p w14:paraId="7995CBE9">
            <w:pPr>
              <w:numPr>
                <w:ilvl w:val="0"/>
                <w:numId w:val="3"/>
              </w:numPr>
              <w:spacing w:line="360" w:lineRule="auto"/>
              <w:jc w:val="center"/>
              <w:rPr>
                <w:rFonts w:ascii="宋体" w:hAnsi="宋体" w:cs="宋体"/>
                <w:sz w:val="24"/>
                <w:szCs w:val="24"/>
              </w:rPr>
            </w:pPr>
          </w:p>
        </w:tc>
        <w:tc>
          <w:tcPr>
            <w:tcW w:w="10295" w:type="dxa"/>
            <w:noWrap w:val="0"/>
            <w:vAlign w:val="center"/>
          </w:tcPr>
          <w:p w14:paraId="382E79F0">
            <w:pPr>
              <w:spacing w:line="360" w:lineRule="auto"/>
              <w:ind w:left="960" w:hanging="960" w:hangingChars="400"/>
              <w:rPr>
                <w:rFonts w:hint="eastAsia" w:ascii="宋体" w:hAnsi="宋体" w:cs="宋体"/>
                <w:sz w:val="24"/>
                <w:szCs w:val="24"/>
                <w:lang w:eastAsia="zh-CN"/>
              </w:rPr>
            </w:pPr>
            <w:r>
              <w:rPr>
                <w:rFonts w:hint="eastAsia" w:ascii="宋体" w:hAnsi="宋体" w:cs="宋体"/>
                <w:sz w:val="24"/>
                <w:szCs w:val="24"/>
              </w:rPr>
              <w:t>采购人：</w:t>
            </w:r>
            <w:r>
              <w:rPr>
                <w:rFonts w:hint="eastAsia" w:ascii="宋体" w:hAnsi="宋体" w:cs="宋体"/>
                <w:sz w:val="24"/>
                <w:szCs w:val="24"/>
                <w:lang w:eastAsia="zh-CN"/>
              </w:rPr>
              <w:t>榆林市国防动员办公室</w:t>
            </w:r>
          </w:p>
          <w:p w14:paraId="4D9B959A">
            <w:pPr>
              <w:spacing w:line="360" w:lineRule="auto"/>
              <w:ind w:left="960" w:hanging="960" w:hangingChars="400"/>
              <w:rPr>
                <w:rFonts w:ascii="宋体" w:hAnsi="宋体" w:cs="宋体"/>
                <w:sz w:val="24"/>
                <w:szCs w:val="24"/>
              </w:rPr>
            </w:pPr>
            <w:r>
              <w:rPr>
                <w:rFonts w:hint="eastAsia" w:ascii="宋体" w:hAnsi="宋体" w:cs="宋体"/>
                <w:sz w:val="24"/>
                <w:szCs w:val="24"/>
              </w:rPr>
              <w:t>采购代理机构：陕西三秦大地招标有限责任公司</w:t>
            </w:r>
          </w:p>
        </w:tc>
      </w:tr>
      <w:tr w14:paraId="393C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2F8EDA17">
            <w:pPr>
              <w:numPr>
                <w:ilvl w:val="0"/>
                <w:numId w:val="3"/>
              </w:numPr>
              <w:spacing w:line="360" w:lineRule="auto"/>
              <w:jc w:val="center"/>
              <w:rPr>
                <w:rFonts w:ascii="宋体" w:hAnsi="宋体" w:cs="宋体"/>
                <w:sz w:val="24"/>
                <w:szCs w:val="24"/>
              </w:rPr>
            </w:pPr>
          </w:p>
        </w:tc>
        <w:tc>
          <w:tcPr>
            <w:tcW w:w="10295" w:type="dxa"/>
            <w:noWrap w:val="0"/>
            <w:vAlign w:val="center"/>
          </w:tcPr>
          <w:p w14:paraId="0C64DED5">
            <w:pPr>
              <w:spacing w:line="360" w:lineRule="auto"/>
              <w:rPr>
                <w:rFonts w:ascii="宋体" w:hAnsi="宋体" w:cs="宋体"/>
                <w:sz w:val="24"/>
                <w:szCs w:val="24"/>
              </w:rPr>
            </w:pPr>
            <w:r>
              <w:rPr>
                <w:rFonts w:hint="eastAsia" w:ascii="宋体" w:hAnsi="宋体" w:cs="宋体"/>
                <w:sz w:val="24"/>
                <w:szCs w:val="24"/>
              </w:rPr>
              <w:t>采购内容具体见竞争性谈判文件第六部分采购内容及要求</w:t>
            </w:r>
          </w:p>
          <w:p w14:paraId="0535E88F">
            <w:pPr>
              <w:spacing w:line="360" w:lineRule="auto"/>
              <w:rPr>
                <w:rFonts w:ascii="宋体" w:hAnsi="宋体" w:cs="宋体"/>
                <w:sz w:val="24"/>
                <w:szCs w:val="24"/>
              </w:rPr>
            </w:pPr>
            <w:r>
              <w:rPr>
                <w:rFonts w:hint="eastAsia" w:ascii="宋体" w:hAnsi="宋体" w:cs="宋体"/>
                <w:sz w:val="24"/>
                <w:szCs w:val="24"/>
              </w:rPr>
              <w:t>本次采购、报价、谈判、评审和合同授予均以项目为单位，供应商必须就整个项目进行响应。</w:t>
            </w:r>
          </w:p>
        </w:tc>
      </w:tr>
      <w:tr w14:paraId="43F46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2E92FA80">
            <w:pPr>
              <w:numPr>
                <w:ilvl w:val="0"/>
                <w:numId w:val="3"/>
              </w:numPr>
              <w:spacing w:line="360" w:lineRule="auto"/>
              <w:jc w:val="center"/>
              <w:rPr>
                <w:rFonts w:ascii="宋体" w:hAnsi="宋体" w:cs="宋体"/>
                <w:sz w:val="24"/>
                <w:szCs w:val="24"/>
              </w:rPr>
            </w:pPr>
          </w:p>
        </w:tc>
        <w:tc>
          <w:tcPr>
            <w:tcW w:w="10295" w:type="dxa"/>
            <w:noWrap w:val="0"/>
            <w:vAlign w:val="center"/>
          </w:tcPr>
          <w:p w14:paraId="6E089830">
            <w:pPr>
              <w:spacing w:line="360" w:lineRule="auto"/>
              <w:rPr>
                <w:rFonts w:hint="eastAsia"/>
              </w:rPr>
            </w:pPr>
            <w:r>
              <w:rPr>
                <w:rFonts w:hint="eastAsia" w:ascii="宋体" w:hAnsi="宋体" w:cs="宋体"/>
                <w:sz w:val="24"/>
                <w:szCs w:val="24"/>
              </w:rPr>
              <w:t>投标报价：报价包含完成本次投标项目所包含的一切相关费用。</w:t>
            </w:r>
          </w:p>
        </w:tc>
      </w:tr>
      <w:tr w14:paraId="0F6C0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027B9D8A">
            <w:pPr>
              <w:numPr>
                <w:ilvl w:val="0"/>
                <w:numId w:val="3"/>
              </w:numPr>
              <w:spacing w:line="360" w:lineRule="auto"/>
              <w:jc w:val="center"/>
              <w:rPr>
                <w:rFonts w:ascii="宋体" w:hAnsi="宋体" w:cs="宋体"/>
                <w:sz w:val="24"/>
                <w:szCs w:val="24"/>
              </w:rPr>
            </w:pPr>
          </w:p>
        </w:tc>
        <w:tc>
          <w:tcPr>
            <w:tcW w:w="10295" w:type="dxa"/>
            <w:noWrap w:val="0"/>
            <w:vAlign w:val="center"/>
          </w:tcPr>
          <w:p w14:paraId="3D739951">
            <w:pPr>
              <w:adjustRightInd w:val="0"/>
              <w:snapToGrid w:val="0"/>
              <w:spacing w:line="450" w:lineRule="exact"/>
              <w:jc w:val="left"/>
              <w:rPr>
                <w:rFonts w:hint="eastAsia" w:ascii="宋体" w:hAnsi="宋体" w:cs="宋体"/>
                <w:color w:val="auto"/>
                <w:sz w:val="24"/>
                <w:szCs w:val="24"/>
                <w:lang w:val="en-US" w:eastAsia="zh-CN"/>
              </w:rPr>
            </w:pPr>
            <w:r>
              <w:rPr>
                <w:rFonts w:hint="eastAsia" w:ascii="宋体" w:hAnsi="宋体" w:eastAsia="宋体" w:cs="宋体"/>
                <w:color w:val="auto"/>
                <w:sz w:val="24"/>
                <w:szCs w:val="24"/>
              </w:rPr>
              <w:t>竞争性谈判响应文件递交截止时间：</w:t>
            </w:r>
            <w:r>
              <w:rPr>
                <w:rFonts w:hint="eastAsia" w:ascii="宋体" w:hAnsi="宋体" w:cs="宋体"/>
                <w:color w:val="auto"/>
                <w:sz w:val="24"/>
                <w:szCs w:val="24"/>
                <w:lang w:val="en-US" w:eastAsia="zh-CN"/>
              </w:rPr>
              <w:t>2024</w:t>
            </w:r>
            <w:r>
              <w:rPr>
                <w:rFonts w:hint="eastAsia" w:ascii="宋体" w:hAnsi="宋体" w:cs="宋体"/>
                <w:color w:val="auto"/>
                <w:sz w:val="24"/>
                <w:szCs w:val="24"/>
                <w:lang w:eastAsia="zh-CN"/>
              </w:rPr>
              <w:t>年</w:t>
            </w:r>
            <w:r>
              <w:rPr>
                <w:rFonts w:hint="eastAsia" w:ascii="宋体" w:hAnsi="宋体" w:cs="宋体"/>
                <w:color w:val="auto"/>
                <w:sz w:val="24"/>
                <w:szCs w:val="24"/>
                <w:lang w:val="en-US" w:eastAsia="zh-CN"/>
              </w:rPr>
              <w:t>8</w:t>
            </w:r>
            <w:r>
              <w:rPr>
                <w:rFonts w:hint="eastAsia" w:ascii="宋体" w:hAnsi="宋体" w:cs="宋体"/>
                <w:color w:val="auto"/>
                <w:sz w:val="24"/>
                <w:szCs w:val="24"/>
                <w:lang w:eastAsia="zh-CN"/>
              </w:rPr>
              <w:t>月</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日</w:t>
            </w:r>
            <w:r>
              <w:rPr>
                <w:rFonts w:hint="eastAsia" w:ascii="宋体" w:hAnsi="宋体" w:cs="宋体"/>
                <w:color w:val="auto"/>
                <w:sz w:val="24"/>
                <w:szCs w:val="24"/>
                <w:lang w:val="en-US" w:eastAsia="zh-CN"/>
              </w:rPr>
              <w:t>13:30</w:t>
            </w:r>
          </w:p>
          <w:p w14:paraId="47DEF61F">
            <w:pPr>
              <w:adjustRightInd w:val="0"/>
              <w:snapToGrid w:val="0"/>
              <w:spacing w:line="450" w:lineRule="exact"/>
              <w:jc w:val="left"/>
              <w:rPr>
                <w:rFonts w:hint="eastAsia" w:ascii="宋体" w:hAnsi="宋体" w:cs="宋体"/>
                <w:color w:val="auto"/>
                <w:sz w:val="24"/>
                <w:szCs w:val="24"/>
                <w:lang w:val="en-US" w:eastAsia="zh-CN"/>
              </w:rPr>
            </w:pPr>
            <w:r>
              <w:rPr>
                <w:rFonts w:hint="eastAsia" w:ascii="宋体" w:hAnsi="宋体" w:eastAsia="宋体" w:cs="宋体"/>
                <w:color w:val="auto"/>
                <w:sz w:val="24"/>
                <w:szCs w:val="24"/>
              </w:rPr>
              <w:t>谈判时间：</w:t>
            </w:r>
            <w:r>
              <w:rPr>
                <w:rFonts w:hint="eastAsia" w:ascii="宋体" w:hAnsi="宋体" w:cs="宋体"/>
                <w:color w:val="auto"/>
                <w:sz w:val="24"/>
                <w:szCs w:val="24"/>
                <w:lang w:val="en-US" w:eastAsia="zh-CN"/>
              </w:rPr>
              <w:t>2024</w:t>
            </w:r>
            <w:r>
              <w:rPr>
                <w:rFonts w:hint="eastAsia" w:ascii="宋体" w:hAnsi="宋体" w:cs="宋体"/>
                <w:color w:val="auto"/>
                <w:sz w:val="24"/>
                <w:szCs w:val="24"/>
                <w:lang w:eastAsia="zh-CN"/>
              </w:rPr>
              <w:t>年</w:t>
            </w:r>
            <w:r>
              <w:rPr>
                <w:rFonts w:hint="eastAsia" w:ascii="宋体" w:hAnsi="宋体" w:cs="宋体"/>
                <w:color w:val="auto"/>
                <w:sz w:val="24"/>
                <w:szCs w:val="24"/>
                <w:lang w:val="en-US" w:eastAsia="zh-CN"/>
              </w:rPr>
              <w:t>8</w:t>
            </w:r>
            <w:r>
              <w:rPr>
                <w:rFonts w:hint="eastAsia" w:ascii="宋体" w:hAnsi="宋体" w:cs="宋体"/>
                <w:color w:val="auto"/>
                <w:sz w:val="24"/>
                <w:szCs w:val="24"/>
                <w:lang w:eastAsia="zh-CN"/>
              </w:rPr>
              <w:t>月</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日</w:t>
            </w:r>
            <w:r>
              <w:rPr>
                <w:rFonts w:hint="eastAsia" w:ascii="宋体" w:hAnsi="宋体" w:cs="宋体"/>
                <w:color w:val="auto"/>
                <w:sz w:val="24"/>
                <w:szCs w:val="24"/>
                <w:lang w:val="en-US" w:eastAsia="zh-CN"/>
              </w:rPr>
              <w:t>13:30</w:t>
            </w:r>
          </w:p>
          <w:p w14:paraId="79BF8EAA">
            <w:pPr>
              <w:spacing w:line="240" w:lineRule="auto"/>
              <w:rPr>
                <w:rFonts w:hint="default" w:ascii="宋体" w:hAnsi="宋体" w:cs="宋体"/>
                <w:sz w:val="24"/>
                <w:szCs w:val="24"/>
                <w:u w:val="single"/>
                <w:lang w:val="en-US"/>
              </w:rPr>
            </w:pPr>
            <w:r>
              <w:rPr>
                <w:rFonts w:hint="eastAsia" w:ascii="宋体" w:hAnsi="宋体" w:eastAsia="宋体" w:cs="宋体"/>
                <w:color w:val="auto"/>
                <w:sz w:val="24"/>
                <w:szCs w:val="24"/>
              </w:rPr>
              <w:t>谈判地点</w:t>
            </w:r>
            <w:r>
              <w:rPr>
                <w:rFonts w:hint="eastAsia" w:ascii="宋体" w:hAnsi="宋体" w:eastAsia="宋体" w:cs="宋体"/>
                <w:color w:val="auto"/>
                <w:sz w:val="24"/>
                <w:szCs w:val="24"/>
                <w:lang w:val="en-US" w:eastAsia="zh-CN"/>
              </w:rPr>
              <w:t>：榆林市公共资源交易中心十楼开标</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val="en-US" w:eastAsia="zh-CN"/>
              </w:rPr>
              <w:t>室</w:t>
            </w:r>
          </w:p>
        </w:tc>
      </w:tr>
      <w:tr w14:paraId="1173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03B7B83B">
            <w:pPr>
              <w:numPr>
                <w:ilvl w:val="0"/>
                <w:numId w:val="3"/>
              </w:numPr>
              <w:spacing w:line="360" w:lineRule="auto"/>
              <w:jc w:val="center"/>
              <w:rPr>
                <w:rFonts w:ascii="宋体" w:hAnsi="宋体" w:cs="宋体"/>
                <w:sz w:val="24"/>
                <w:szCs w:val="24"/>
              </w:rPr>
            </w:pPr>
          </w:p>
        </w:tc>
        <w:tc>
          <w:tcPr>
            <w:tcW w:w="10295" w:type="dxa"/>
            <w:noWrap w:val="0"/>
            <w:vAlign w:val="center"/>
          </w:tcPr>
          <w:p w14:paraId="4CCC71FE">
            <w:pPr>
              <w:spacing w:line="360" w:lineRule="auto"/>
              <w:rPr>
                <w:rFonts w:ascii="宋体" w:hAnsi="宋体" w:cs="宋体"/>
                <w:sz w:val="24"/>
                <w:szCs w:val="24"/>
              </w:rPr>
            </w:pPr>
            <w:r>
              <w:rPr>
                <w:rFonts w:hint="eastAsia" w:ascii="宋体" w:hAnsi="宋体" w:cs="宋体"/>
                <w:sz w:val="24"/>
                <w:szCs w:val="24"/>
              </w:rPr>
              <w:t>是否退还投标文件:</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lang w:eastAsia="zh-CN"/>
              </w:rPr>
              <w:instrText xml:space="preserve">,</w:instrText>
            </w:r>
            <w:r>
              <w:rPr>
                <w:rFonts w:hint="eastAsia" w:ascii="宋体" w:hAnsi="宋体" w:cs="宋体"/>
                <w:position w:val="2"/>
                <w:sz w:val="16"/>
                <w:szCs w:val="24"/>
                <w:lang w:eastAsia="zh-CN"/>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否</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是</w:t>
            </w:r>
          </w:p>
        </w:tc>
      </w:tr>
      <w:tr w14:paraId="697F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6B2D264F">
            <w:pPr>
              <w:numPr>
                <w:ilvl w:val="0"/>
                <w:numId w:val="3"/>
              </w:numPr>
              <w:spacing w:line="360" w:lineRule="auto"/>
              <w:jc w:val="center"/>
              <w:rPr>
                <w:rFonts w:ascii="宋体" w:hAnsi="宋体" w:cs="宋体"/>
                <w:sz w:val="24"/>
                <w:szCs w:val="24"/>
              </w:rPr>
            </w:pPr>
          </w:p>
        </w:tc>
        <w:tc>
          <w:tcPr>
            <w:tcW w:w="10295" w:type="dxa"/>
            <w:noWrap w:val="0"/>
            <w:vAlign w:val="center"/>
          </w:tcPr>
          <w:p w14:paraId="4CF9C8BC">
            <w:pPr>
              <w:spacing w:line="360" w:lineRule="auto"/>
              <w:rPr>
                <w:rFonts w:ascii="宋体" w:hAnsi="宋体" w:cs="宋体"/>
                <w:sz w:val="24"/>
                <w:szCs w:val="24"/>
              </w:rPr>
            </w:pPr>
            <w:r>
              <w:rPr>
                <w:rFonts w:hint="eastAsia" w:ascii="宋体" w:hAnsi="宋体" w:cs="宋体"/>
                <w:sz w:val="24"/>
                <w:szCs w:val="24"/>
              </w:rPr>
              <w:t>不允许提供备选方案。</w:t>
            </w:r>
          </w:p>
        </w:tc>
      </w:tr>
      <w:tr w14:paraId="264C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14827B30">
            <w:pPr>
              <w:numPr>
                <w:ilvl w:val="0"/>
                <w:numId w:val="3"/>
              </w:numPr>
              <w:spacing w:line="360" w:lineRule="auto"/>
              <w:jc w:val="center"/>
              <w:rPr>
                <w:rFonts w:ascii="宋体" w:hAnsi="宋体" w:cs="宋体"/>
                <w:sz w:val="24"/>
                <w:szCs w:val="24"/>
              </w:rPr>
            </w:pPr>
          </w:p>
        </w:tc>
        <w:tc>
          <w:tcPr>
            <w:tcW w:w="10295" w:type="dxa"/>
            <w:noWrap w:val="0"/>
            <w:vAlign w:val="center"/>
          </w:tcPr>
          <w:p w14:paraId="5010BAF2">
            <w:pPr>
              <w:spacing w:line="360" w:lineRule="auto"/>
              <w:rPr>
                <w:rFonts w:ascii="宋体" w:hAnsi="宋体" w:cs="宋体"/>
                <w:sz w:val="24"/>
                <w:szCs w:val="24"/>
              </w:rPr>
            </w:pPr>
            <w:r>
              <w:rPr>
                <w:rFonts w:hint="eastAsia" w:ascii="宋体" w:hAnsi="宋体" w:cs="宋体"/>
                <w:sz w:val="24"/>
                <w:szCs w:val="24"/>
              </w:rPr>
              <w:t>本次招标采用项目整体打包方式，投标人可根据自身的资质情况和经营范围进行投标，但不得将其自行分解或只对本次项目中的品目进行不完全投标，任何不完全的投标将按</w:t>
            </w:r>
            <w:r>
              <w:rPr>
                <w:rFonts w:hint="eastAsia" w:ascii="宋体" w:hAnsi="宋体" w:eastAsia="宋体" w:cs="宋体"/>
                <w:sz w:val="24"/>
                <w:szCs w:val="24"/>
              </w:rPr>
              <w:t>无效</w:t>
            </w:r>
            <w:r>
              <w:rPr>
                <w:rFonts w:hint="eastAsia" w:ascii="宋体" w:hAnsi="宋体" w:cs="宋体"/>
                <w:sz w:val="24"/>
                <w:szCs w:val="24"/>
              </w:rPr>
              <w:t>投标处理。</w:t>
            </w:r>
          </w:p>
        </w:tc>
      </w:tr>
      <w:tr w14:paraId="4E44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39A3C09A">
            <w:pPr>
              <w:spacing w:line="360" w:lineRule="auto"/>
              <w:jc w:val="center"/>
              <w:rPr>
                <w:rFonts w:ascii="宋体" w:hAnsi="宋体" w:cs="宋体"/>
                <w:color w:val="auto"/>
                <w:sz w:val="24"/>
                <w:szCs w:val="24"/>
              </w:rPr>
            </w:pPr>
            <w:r>
              <w:rPr>
                <w:rFonts w:hint="eastAsia" w:ascii="宋体" w:hAnsi="宋体" w:cs="宋体"/>
                <w:color w:val="auto"/>
                <w:sz w:val="24"/>
                <w:szCs w:val="24"/>
              </w:rPr>
              <w:t>10</w:t>
            </w:r>
          </w:p>
        </w:tc>
        <w:tc>
          <w:tcPr>
            <w:tcW w:w="10295" w:type="dxa"/>
            <w:noWrap w:val="0"/>
            <w:vAlign w:val="center"/>
          </w:tcPr>
          <w:p w14:paraId="5B4AA624">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工</w:t>
            </w:r>
            <w:r>
              <w:rPr>
                <w:rFonts w:hint="eastAsia" w:ascii="宋体" w:hAnsi="宋体" w:eastAsia="宋体" w:cs="宋体"/>
                <w:color w:val="auto"/>
                <w:sz w:val="24"/>
                <w:szCs w:val="24"/>
              </w:rPr>
              <w:t>期：合同签订</w:t>
            </w:r>
            <w:r>
              <w:rPr>
                <w:rFonts w:hint="eastAsia" w:ascii="宋体" w:hAnsi="宋体" w:eastAsia="宋体" w:cs="宋体"/>
                <w:color w:val="auto"/>
                <w:sz w:val="24"/>
                <w:szCs w:val="24"/>
                <w:lang w:val="en-US" w:eastAsia="zh-CN"/>
              </w:rPr>
              <w:t xml:space="preserve">后30天 </w:t>
            </w:r>
          </w:p>
          <w:p w14:paraId="53EDC54A">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质保期：1年</w:t>
            </w:r>
          </w:p>
        </w:tc>
      </w:tr>
      <w:tr w14:paraId="6E96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5C47AEC4">
            <w:pPr>
              <w:spacing w:line="360" w:lineRule="auto"/>
              <w:jc w:val="center"/>
              <w:rPr>
                <w:rFonts w:ascii="宋体" w:hAnsi="宋体" w:cs="宋体"/>
                <w:color w:val="auto"/>
                <w:sz w:val="24"/>
                <w:szCs w:val="24"/>
              </w:rPr>
            </w:pPr>
            <w:r>
              <w:rPr>
                <w:rFonts w:hint="eastAsia" w:ascii="宋体" w:hAnsi="宋体" w:cs="宋体"/>
                <w:color w:val="auto"/>
                <w:sz w:val="24"/>
                <w:szCs w:val="24"/>
              </w:rPr>
              <w:t>11</w:t>
            </w:r>
          </w:p>
        </w:tc>
        <w:tc>
          <w:tcPr>
            <w:tcW w:w="10295" w:type="dxa"/>
            <w:noWrap w:val="0"/>
            <w:vAlign w:val="center"/>
          </w:tcPr>
          <w:p w14:paraId="1960F6FA">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rPr>
              <w:t>地点</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榆林高新区第二小学</w:t>
            </w:r>
            <w:r>
              <w:rPr>
                <w:rFonts w:hint="eastAsia" w:ascii="宋体" w:hAnsi="宋体" w:eastAsia="宋体" w:cs="宋体"/>
                <w:color w:val="auto"/>
                <w:sz w:val="24"/>
                <w:szCs w:val="24"/>
                <w:lang w:val="en-US" w:eastAsia="zh-CN"/>
              </w:rPr>
              <w:t>操场</w:t>
            </w:r>
          </w:p>
        </w:tc>
      </w:tr>
      <w:tr w14:paraId="1306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57BEC54E">
            <w:pPr>
              <w:spacing w:line="360" w:lineRule="auto"/>
              <w:jc w:val="center"/>
              <w:rPr>
                <w:rFonts w:ascii="宋体" w:hAnsi="宋体" w:cs="宋体"/>
                <w:color w:val="auto"/>
                <w:sz w:val="24"/>
                <w:szCs w:val="24"/>
              </w:rPr>
            </w:pPr>
            <w:r>
              <w:rPr>
                <w:rFonts w:hint="eastAsia" w:ascii="宋体" w:hAnsi="宋体" w:cs="宋体"/>
                <w:color w:val="auto"/>
                <w:sz w:val="24"/>
                <w:szCs w:val="24"/>
              </w:rPr>
              <w:t>12</w:t>
            </w:r>
          </w:p>
        </w:tc>
        <w:tc>
          <w:tcPr>
            <w:tcW w:w="10295" w:type="dxa"/>
            <w:noWrap w:val="0"/>
            <w:vAlign w:val="center"/>
          </w:tcPr>
          <w:p w14:paraId="0DEC677B">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ascii="宋体" w:hAnsi="宋体" w:cs="宋体"/>
                <w:color w:val="auto"/>
                <w:sz w:val="24"/>
                <w:szCs w:val="24"/>
                <w:highlight w:val="none"/>
              </w:rPr>
            </w:pPr>
            <w:r>
              <w:rPr>
                <w:rFonts w:hint="eastAsia" w:ascii="宋体" w:hAnsi="宋体" w:eastAsia="宋体" w:cs="宋体"/>
                <w:color w:val="auto"/>
                <w:sz w:val="24"/>
                <w:szCs w:val="24"/>
                <w:highlight w:val="none"/>
                <w:lang w:val="en-US" w:eastAsia="zh-CN"/>
              </w:rPr>
              <w:t>付款方式</w:t>
            </w:r>
            <w:r>
              <w:rPr>
                <w:rFonts w:hint="eastAsia" w:ascii="宋体" w:hAnsi="宋体" w:eastAsia="宋体" w:cs="宋体"/>
                <w:color w:val="auto"/>
                <w:sz w:val="24"/>
                <w:szCs w:val="24"/>
                <w:lang w:val="en-US" w:eastAsia="zh-CN"/>
              </w:rPr>
              <w:t>：完成临时用电设备安装调试并通过电力部门验收，一次性付款100%。</w:t>
            </w:r>
          </w:p>
        </w:tc>
      </w:tr>
      <w:tr w14:paraId="2D91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0422F39F">
            <w:pPr>
              <w:spacing w:line="360" w:lineRule="auto"/>
              <w:ind w:left="210"/>
              <w:rPr>
                <w:rFonts w:ascii="宋体" w:hAnsi="宋体" w:cs="宋体"/>
                <w:sz w:val="24"/>
                <w:szCs w:val="24"/>
              </w:rPr>
            </w:pPr>
            <w:r>
              <w:rPr>
                <w:rFonts w:hint="eastAsia" w:ascii="宋体" w:hAnsi="宋体" w:cs="宋体"/>
                <w:sz w:val="24"/>
                <w:szCs w:val="24"/>
              </w:rPr>
              <w:t>13</w:t>
            </w:r>
          </w:p>
        </w:tc>
        <w:tc>
          <w:tcPr>
            <w:tcW w:w="10295" w:type="dxa"/>
            <w:noWrap w:val="0"/>
            <w:vAlign w:val="center"/>
          </w:tcPr>
          <w:p w14:paraId="74B6F564">
            <w:pPr>
              <w:pStyle w:val="22"/>
              <w:spacing w:before="90" w:line="360" w:lineRule="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是否要求投标人递交投标保证金：</w:t>
            </w:r>
          </w:p>
          <w:p w14:paraId="04780A92">
            <w:pPr>
              <w:pStyle w:val="22"/>
              <w:spacing w:line="360" w:lineRule="auto"/>
              <w:jc w:val="left"/>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□要求，投标保证金的金额：/</w:t>
            </w:r>
          </w:p>
          <w:p w14:paraId="7BB88745">
            <w:pPr>
              <w:spacing w:line="360" w:lineRule="auto"/>
              <w:jc w:val="left"/>
              <w:rPr>
                <w:rFonts w:hint="eastAsia" w:ascii="宋体" w:hAnsi="宋体" w:eastAsia="宋体" w:cs="宋体"/>
                <w:kern w:val="2"/>
                <w:sz w:val="24"/>
                <w:szCs w:val="24"/>
                <w:highlight w:val="none"/>
                <w:lang w:val="zh-CN" w:eastAsia="zh-CN" w:bidi="ar-SA"/>
              </w:rPr>
            </w:pPr>
            <w:r>
              <w:rPr>
                <w:rFonts w:hint="eastAsia" w:ascii="宋体" w:hAnsi="宋体" w:eastAsia="宋体" w:cs="宋体"/>
                <w:kern w:val="2"/>
                <w:sz w:val="24"/>
                <w:szCs w:val="24"/>
                <w:highlight w:val="none"/>
                <w:lang w:val="zh-CN" w:eastAsia="zh-CN" w:bidi="ar-SA"/>
              </w:rPr>
              <w:t>☑不要求</w:t>
            </w:r>
          </w:p>
          <w:p w14:paraId="41114D29">
            <w:pPr>
              <w:spacing w:line="360" w:lineRule="auto"/>
            </w:pPr>
            <w:r>
              <w:rPr>
                <w:rFonts w:hint="eastAsia" w:ascii="宋体" w:hAnsi="宋体" w:eastAsia="宋体" w:cs="宋体"/>
                <w:kern w:val="2"/>
                <w:sz w:val="24"/>
                <w:szCs w:val="24"/>
                <w:highlight w:val="none"/>
                <w:lang w:val="en-US" w:eastAsia="zh-CN" w:bidi="ar-SA"/>
              </w:rPr>
              <w:t>根据榆林市财政局下发的榆政财采发【2023】8号文件规定，各投标人采用“投标信用承诺书”代替保证金。投标人须将“投标信用承诺书”按要求签字盖章后上传至信用中国（陕西榆林）进行承诺公示，将公示后的截图附在投标文件中（截图须体现项目名称）。</w:t>
            </w:r>
            <w:r>
              <w:rPr>
                <w:rFonts w:hint="default" w:ascii="宋体" w:hAnsi="宋体" w:eastAsia="宋体" w:cs="宋体"/>
                <w:kern w:val="2"/>
                <w:sz w:val="24"/>
                <w:szCs w:val="24"/>
                <w:highlight w:val="none"/>
                <w:lang w:val="en-US" w:eastAsia="zh-CN" w:bidi="ar-SA"/>
              </w:rPr>
              <w:t>（格式详见</w:t>
            </w:r>
            <w:r>
              <w:rPr>
                <w:rFonts w:hint="eastAsia" w:ascii="宋体" w:hAnsi="宋体" w:eastAsia="宋体" w:cs="宋体"/>
                <w:kern w:val="2"/>
                <w:sz w:val="24"/>
                <w:szCs w:val="24"/>
                <w:highlight w:val="none"/>
                <w:lang w:val="en-US" w:eastAsia="zh-CN" w:bidi="ar-SA"/>
              </w:rPr>
              <w:t>招标</w:t>
            </w:r>
            <w:r>
              <w:rPr>
                <w:rFonts w:hint="default" w:ascii="宋体" w:hAnsi="宋体" w:eastAsia="宋体" w:cs="宋体"/>
                <w:kern w:val="2"/>
                <w:sz w:val="24"/>
                <w:szCs w:val="24"/>
                <w:highlight w:val="none"/>
                <w:lang w:val="en-US" w:eastAsia="zh-CN" w:bidi="ar-SA"/>
              </w:rPr>
              <w:t>文件第</w:t>
            </w:r>
            <w:r>
              <w:rPr>
                <w:rFonts w:hint="eastAsia" w:ascii="宋体" w:hAnsi="宋体" w:eastAsia="宋体" w:cs="宋体"/>
                <w:kern w:val="2"/>
                <w:sz w:val="24"/>
                <w:szCs w:val="24"/>
                <w:highlight w:val="none"/>
                <w:lang w:val="en-US" w:eastAsia="zh-CN" w:bidi="ar-SA"/>
              </w:rPr>
              <w:t>九</w:t>
            </w:r>
            <w:r>
              <w:rPr>
                <w:rFonts w:hint="default" w:ascii="宋体" w:hAnsi="宋体" w:eastAsia="宋体" w:cs="宋体"/>
                <w:kern w:val="2"/>
                <w:sz w:val="24"/>
                <w:szCs w:val="24"/>
                <w:highlight w:val="none"/>
                <w:lang w:val="en-US" w:eastAsia="zh-CN" w:bidi="ar-SA"/>
              </w:rPr>
              <w:t>部分附件3）</w:t>
            </w:r>
          </w:p>
        </w:tc>
      </w:tr>
      <w:tr w14:paraId="1E36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58663C6C">
            <w:pPr>
              <w:spacing w:line="360" w:lineRule="auto"/>
              <w:ind w:left="210"/>
              <w:rPr>
                <w:rFonts w:hint="eastAsia" w:ascii="宋体" w:hAnsi="宋体" w:cs="宋体"/>
                <w:sz w:val="24"/>
                <w:szCs w:val="24"/>
              </w:rPr>
            </w:pPr>
            <w:r>
              <w:rPr>
                <w:rFonts w:hint="eastAsia" w:ascii="宋体" w:hAnsi="宋体" w:cs="宋体"/>
                <w:sz w:val="24"/>
                <w:szCs w:val="24"/>
              </w:rPr>
              <w:t>14</w:t>
            </w:r>
          </w:p>
        </w:tc>
        <w:tc>
          <w:tcPr>
            <w:tcW w:w="10295" w:type="dxa"/>
            <w:noWrap w:val="0"/>
            <w:vAlign w:val="center"/>
          </w:tcPr>
          <w:p w14:paraId="3C04D911">
            <w:pPr>
              <w:spacing w:line="360" w:lineRule="auto"/>
              <w:rPr>
                <w:rFonts w:ascii="宋体" w:hAnsi="宋体" w:cs="宋体"/>
                <w:sz w:val="24"/>
                <w:szCs w:val="24"/>
              </w:rPr>
            </w:pPr>
            <w:r>
              <w:rPr>
                <w:rFonts w:hint="eastAsia" w:ascii="宋体" w:hAnsi="宋体" w:cs="宋体"/>
                <w:sz w:val="24"/>
                <w:szCs w:val="24"/>
              </w:rPr>
              <w:t>谈判有效期：</w:t>
            </w:r>
            <w:bookmarkStart w:id="30" w:name="OLE_LINK10"/>
            <w:bookmarkStart w:id="31" w:name="OLE_LINK9"/>
            <w:r>
              <w:rPr>
                <w:rFonts w:hint="eastAsia" w:ascii="宋体" w:hAnsi="宋体" w:cs="宋体"/>
                <w:sz w:val="24"/>
                <w:szCs w:val="24"/>
              </w:rPr>
              <w:t>投标文件从投标截止日起，投标有效期为90天</w:t>
            </w:r>
            <w:bookmarkEnd w:id="30"/>
            <w:bookmarkEnd w:id="31"/>
            <w:r>
              <w:rPr>
                <w:rFonts w:hint="eastAsia" w:ascii="宋体" w:hAnsi="宋体" w:cs="宋体"/>
                <w:sz w:val="24"/>
                <w:szCs w:val="24"/>
              </w:rPr>
              <w:t>，投标有效期短于此规定期限的投标文件，视为无效文件。中标供应商的投标文件有效期延长至合同执行完毕。</w:t>
            </w:r>
          </w:p>
        </w:tc>
      </w:tr>
      <w:tr w14:paraId="4CA68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29631973">
            <w:pPr>
              <w:spacing w:line="360" w:lineRule="auto"/>
              <w:ind w:left="210"/>
              <w:rPr>
                <w:rFonts w:hint="eastAsia" w:ascii="宋体" w:hAnsi="宋体" w:cs="宋体"/>
                <w:sz w:val="24"/>
                <w:szCs w:val="24"/>
              </w:rPr>
            </w:pPr>
            <w:r>
              <w:rPr>
                <w:rFonts w:hint="eastAsia" w:ascii="宋体" w:hAnsi="宋体" w:cs="宋体"/>
                <w:sz w:val="24"/>
                <w:szCs w:val="24"/>
              </w:rPr>
              <w:t>15</w:t>
            </w:r>
          </w:p>
        </w:tc>
        <w:tc>
          <w:tcPr>
            <w:tcW w:w="10295" w:type="dxa"/>
            <w:noWrap w:val="0"/>
            <w:vAlign w:val="center"/>
          </w:tcPr>
          <w:p w14:paraId="3D7AF5E9">
            <w:pPr>
              <w:spacing w:line="360" w:lineRule="auto"/>
              <w:rPr>
                <w:rFonts w:hint="eastAsia" w:ascii="宋体" w:hAnsi="宋体" w:eastAsia="宋体" w:cs="宋体"/>
                <w:b/>
                <w:bCs/>
                <w:sz w:val="24"/>
                <w:szCs w:val="24"/>
                <w:lang w:val="en-US" w:eastAsia="zh-CN"/>
              </w:rPr>
            </w:pPr>
            <w:r>
              <w:rPr>
                <w:rFonts w:hint="eastAsia" w:ascii="宋体" w:hAnsi="宋体" w:cs="宋体"/>
                <w:b/>
                <w:bCs/>
                <w:sz w:val="24"/>
                <w:szCs w:val="24"/>
              </w:rPr>
              <w:t>不见面开标</w:t>
            </w:r>
          </w:p>
          <w:p w14:paraId="66EAD635">
            <w:pPr>
              <w:spacing w:line="360" w:lineRule="auto"/>
              <w:ind w:firstLine="480" w:firstLineChars="200"/>
              <w:rPr>
                <w:rFonts w:ascii="宋体" w:hAnsi="宋体" w:cs="宋体"/>
                <w:sz w:val="24"/>
                <w:szCs w:val="24"/>
              </w:rPr>
            </w:pPr>
            <w:r>
              <w:rPr>
                <w:rFonts w:hint="eastAsia" w:ascii="宋体" w:hAnsi="宋体" w:cs="宋体"/>
                <w:sz w:val="24"/>
                <w:szCs w:val="24"/>
              </w:rPr>
              <w:t>疫情防控期间，为减少人员流动、避免交叉感染，该项目将采取“不见面”开标的形式，投标人无须到达开标现场，即可在网上直接参与开标活动。相关注意事项如下：</w:t>
            </w:r>
          </w:p>
          <w:p w14:paraId="18539787">
            <w:pPr>
              <w:numPr>
                <w:ilvl w:val="0"/>
                <w:numId w:val="0"/>
              </w:numPr>
              <w:spacing w:line="360" w:lineRule="auto"/>
              <w:rPr>
                <w:rFonts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lang w:val="en-US" w:eastAsia="zh-CN"/>
              </w:rPr>
              <w:t>1、</w:t>
            </w:r>
            <w:r>
              <w:rPr>
                <w:rFonts w:hint="eastAsia" w:ascii="思源宋体 CN Light" w:hAnsi="思源宋体 CN Light" w:eastAsia="思源宋体 CN Light" w:cs="思源宋体 CN Light"/>
                <w:sz w:val="24"/>
                <w:szCs w:val="24"/>
              </w:rPr>
              <w:t>开标当日，请各供应商在开标截止时间前至少提前半小时登录“不见面”开标系统登录方式有以下几种：</w:t>
            </w:r>
          </w:p>
          <w:p w14:paraId="13F2B011">
            <w:pPr>
              <w:numPr>
                <w:ilvl w:val="0"/>
                <w:numId w:val="4"/>
              </w:numPr>
              <w:spacing w:line="360" w:lineRule="auto"/>
              <w:rPr>
                <w:rFonts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IE浏览器输入网址：</w:t>
            </w:r>
          </w:p>
          <w:p w14:paraId="4922D1EA">
            <w:pPr>
              <w:spacing w:line="360" w:lineRule="auto"/>
              <w:jc w:val="both"/>
              <w:rPr>
                <w:rFonts w:ascii="思源宋体 CN Light" w:hAnsi="思源宋体 CN Light" w:eastAsia="思源宋体 CN Light" w:cs="思源宋体 CN Light"/>
                <w:sz w:val="24"/>
                <w:szCs w:val="24"/>
              </w:rPr>
            </w:pPr>
            <w:r>
              <w:fldChar w:fldCharType="begin"/>
            </w:r>
            <w:r>
              <w:instrText xml:space="preserve"> HYPERLINK "http://219.145.120.168:8082/BidOpeningHall/bidhall/default/login），" </w:instrText>
            </w:r>
            <w:r>
              <w:fldChar w:fldCharType="separate"/>
            </w:r>
            <w:r>
              <w:rPr>
                <w:rStyle w:val="21"/>
                <w:rFonts w:hint="default" w:ascii="思源宋体 CN Light" w:hAnsi="思源宋体 CN Light" w:eastAsia="思源宋体 CN Light" w:cs="思源宋体 CN Light"/>
                <w:sz w:val="24"/>
                <w:szCs w:val="24"/>
              </w:rPr>
              <w:t>http://111.20.184.126:8081/BidOpeningHallCS/bidhall/default/login</w:t>
            </w:r>
            <w:r>
              <w:rPr>
                <w:rStyle w:val="21"/>
                <w:rFonts w:hint="default" w:ascii="思源宋体 CN Light" w:hAnsi="思源宋体 CN Light" w:eastAsia="思源宋体 CN Light" w:cs="思源宋体 CN Light"/>
                <w:color w:val="auto"/>
                <w:sz w:val="24"/>
                <w:szCs w:val="24"/>
              </w:rPr>
              <w:t>；</w:t>
            </w:r>
            <w:r>
              <w:rPr>
                <w:rStyle w:val="21"/>
                <w:rFonts w:hint="default" w:ascii="思源宋体 CN Light" w:hAnsi="思源宋体 CN Light" w:eastAsia="思源宋体 CN Light" w:cs="思源宋体 CN Light"/>
                <w:color w:val="auto"/>
                <w:sz w:val="24"/>
                <w:szCs w:val="24"/>
              </w:rPr>
              <w:fldChar w:fldCharType="end"/>
            </w:r>
          </w:p>
          <w:p w14:paraId="26D33911">
            <w:pPr>
              <w:numPr>
                <w:ilvl w:val="0"/>
                <w:numId w:val="4"/>
              </w:numPr>
              <w:spacing w:line="360" w:lineRule="auto"/>
              <w:rPr>
                <w:rFonts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在【全国公共资源交易平台（陕西省·榆林市）】网站首页点击不见面开标模块进入；</w:t>
            </w:r>
          </w:p>
          <w:p w14:paraId="4D04F24D">
            <w:pPr>
              <w:numPr>
                <w:ilvl w:val="0"/>
                <w:numId w:val="4"/>
              </w:numPr>
              <w:spacing w:line="360" w:lineRule="auto"/>
              <w:rPr>
                <w:rFonts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在【全国公共资源交易平台（陕西省）】网站首页点击不见面开标模块选择榆林市进入。</w:t>
            </w:r>
          </w:p>
          <w:p w14:paraId="209A06D4">
            <w:pPr>
              <w:spacing w:line="360" w:lineRule="auto"/>
              <w:rPr>
                <w:rFonts w:ascii="思源宋体 CN Light" w:hAnsi="思源宋体 CN Light" w:eastAsia="思源宋体 CN Light" w:cs="思源宋体 CN Light"/>
                <w:b/>
                <w:bCs/>
                <w:sz w:val="24"/>
                <w:szCs w:val="24"/>
              </w:rPr>
            </w:pPr>
            <w:r>
              <w:rPr>
                <w:rFonts w:hint="eastAsia" w:ascii="思源宋体 CN Light" w:hAnsi="思源宋体 CN Light" w:eastAsia="思源宋体 CN Light" w:cs="思源宋体 CN Light"/>
                <w:b/>
                <w:bCs/>
                <w:sz w:val="24"/>
                <w:szCs w:val="24"/>
              </w:rPr>
              <w:t>注：登录不见面开标系统请选择IE11浏览器</w:t>
            </w:r>
          </w:p>
          <w:p w14:paraId="358D8C49">
            <w:pPr>
              <w:spacing w:line="360" w:lineRule="auto"/>
              <w:rPr>
                <w:rFonts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2、供应商应按要求及时签到</w:t>
            </w:r>
            <w:r>
              <w:rPr>
                <w:rFonts w:hint="eastAsia" w:ascii="思源宋体 CN Light" w:hAnsi="思源宋体 CN Light" w:eastAsia="思源宋体 CN Light" w:cs="思源宋体 CN Light"/>
                <w:b/>
                <w:bCs/>
                <w:sz w:val="24"/>
                <w:szCs w:val="24"/>
              </w:rPr>
              <w:t>（签到时间为投标截止时间前1小时内，如果未签到将视为放弃投标资格）</w:t>
            </w:r>
            <w:r>
              <w:rPr>
                <w:rFonts w:hint="eastAsia" w:ascii="思源宋体 CN Light" w:hAnsi="思源宋体 CN Light" w:eastAsia="思源宋体 CN Light" w:cs="思源宋体 CN Light"/>
                <w:sz w:val="24"/>
                <w:szCs w:val="24"/>
              </w:rPr>
              <w:t>，评审过程中，谈判小组可能会就某些问题要求供应商进行在线澄清，请供应商保持在线直到评审结束；</w:t>
            </w:r>
          </w:p>
          <w:p w14:paraId="3B3D0578">
            <w:pPr>
              <w:spacing w:line="360" w:lineRule="auto"/>
              <w:rPr>
                <w:rFonts w:ascii="思源宋体 CN Light" w:hAnsi="思源宋体 CN Light" w:eastAsia="思源宋体 CN Light" w:cs="思源宋体 CN Light"/>
                <w:b/>
                <w:bCs/>
                <w:sz w:val="24"/>
                <w:szCs w:val="24"/>
              </w:rPr>
            </w:pPr>
            <w:r>
              <w:rPr>
                <w:rFonts w:hint="eastAsia" w:ascii="思源宋体 CN Light" w:hAnsi="思源宋体 CN Light" w:eastAsia="思源宋体 CN Light" w:cs="思源宋体 CN Light"/>
                <w:sz w:val="24"/>
                <w:szCs w:val="24"/>
              </w:rPr>
              <w:t>3、投标供应商在开标时无需提交纸质投标文件，待开标结束后，需邮寄补交一正两幅纸质投标文件及谈判文件要求需要单独邮寄的资料</w:t>
            </w:r>
            <w:r>
              <w:rPr>
                <w:rFonts w:hint="eastAsia" w:ascii="思源宋体 CN Light" w:hAnsi="思源宋体 CN Light" w:eastAsia="思源宋体 CN Light" w:cs="思源宋体 CN Light"/>
                <w:b/>
                <w:bCs/>
                <w:sz w:val="24"/>
                <w:szCs w:val="24"/>
              </w:rPr>
              <w:t>（公示结果公告及备案用）特别提醒：纸质投标文件及谈判文件要求需要单独邮寄的资料收到的时间直接影响结果公告时间）。</w:t>
            </w:r>
          </w:p>
          <w:p w14:paraId="1B2488B1">
            <w:pPr>
              <w:spacing w:line="360" w:lineRule="auto"/>
              <w:rPr>
                <w:rFonts w:ascii="思源宋体 CN Light" w:hAnsi="思源宋体 CN Light" w:eastAsia="思源宋体 CN Light" w:cs="思源宋体 CN Light"/>
                <w:b/>
                <w:bCs/>
                <w:sz w:val="24"/>
                <w:szCs w:val="24"/>
              </w:rPr>
            </w:pPr>
            <w:r>
              <w:rPr>
                <w:rFonts w:hint="eastAsia" w:ascii="思源宋体 CN Light" w:hAnsi="思源宋体 CN Light" w:eastAsia="思源宋体 CN Light" w:cs="思源宋体 CN Light"/>
                <w:sz w:val="24"/>
                <w:szCs w:val="24"/>
              </w:rPr>
              <w:t>4、开标过程中，供应商在收到工作人员“开始解密”指令后，请及时使用CA对电子投标文件进行解密。解密时所用CA应与加密投标文件时所用CA相同；</w:t>
            </w:r>
            <w:r>
              <w:rPr>
                <w:rFonts w:hint="eastAsia" w:ascii="思源宋体 CN Light" w:hAnsi="思源宋体 CN Light" w:eastAsia="思源宋体 CN Light" w:cs="思源宋体 CN Light"/>
                <w:b/>
                <w:bCs/>
                <w:sz w:val="24"/>
                <w:szCs w:val="24"/>
              </w:rPr>
              <w:t>注：解密时间为30分钟，在解密时间内供应商全部解密完成后，可提前进入开标下一阶段。</w:t>
            </w:r>
          </w:p>
          <w:p w14:paraId="3D0D4CFF">
            <w:pPr>
              <w:spacing w:line="360" w:lineRule="auto"/>
              <w:rPr>
                <w:rFonts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5、相关技术问题，请咨询软件开发商：</w:t>
            </w:r>
          </w:p>
          <w:p w14:paraId="142A6C6A">
            <w:pPr>
              <w:spacing w:line="360" w:lineRule="auto"/>
              <w:rPr>
                <w:rFonts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（1）技术支持热线：400-998-0000/400-928-0095</w:t>
            </w:r>
          </w:p>
          <w:p w14:paraId="6A7A3DA5">
            <w:pPr>
              <w:spacing w:line="360" w:lineRule="auto"/>
              <w:rPr>
                <w:rFonts w:ascii="宋体" w:hAnsi="宋体" w:cs="宋体"/>
                <w:sz w:val="24"/>
                <w:szCs w:val="24"/>
              </w:rPr>
            </w:pPr>
            <w:r>
              <w:rPr>
                <w:rFonts w:hint="eastAsia" w:ascii="思源宋体 CN Light" w:hAnsi="思源宋体 CN Light" w:eastAsia="思源宋体 CN Light" w:cs="思源宋体 CN Light"/>
                <w:sz w:val="24"/>
                <w:szCs w:val="24"/>
              </w:rPr>
              <w:t>6、榆林不见面开标系统操作手册下载方式：登录【全国公共资源交易平台（陕西省·榆林市）】网站首页选择【服务指南】-【下载专区】-点击【</w:t>
            </w:r>
            <w:r>
              <w:fldChar w:fldCharType="begin"/>
            </w:r>
            <w:r>
              <w:instrText xml:space="preserve"> HYPERLINK "http://yl.sxggzyjy.cn/BigFileUpLoadStorage/temp/2021-12-10/2583610f-1c5d-49b2-a314-0c1c4faeec6a/%E6%A6%86%E6%9E%97%E4%B8%8D%E8%A7%81%E9%9D%A2%E5%BC%80%E6%A0%87%E5%A4%A7%E5%8E%85%E6%93%8D%E4%BD%9C%E6%89%8B%E5%86%8C%EF%BC%88%E6%8A%95%E6%A0%87%E4%BA%BA%EF%BC%89.docx" \t "http://yl.sxggzyjy.cn/fwzn/_blank" \o "榆林不见面开标系统操作手册（投标人）" </w:instrText>
            </w:r>
            <w:r>
              <w:fldChar w:fldCharType="separate"/>
            </w:r>
            <w:r>
              <w:rPr>
                <w:rFonts w:hint="eastAsia" w:ascii="思源宋体 CN Light" w:hAnsi="思源宋体 CN Light" w:eastAsia="思源宋体 CN Light" w:cs="思源宋体 CN Light"/>
                <w:sz w:val="24"/>
                <w:szCs w:val="24"/>
              </w:rPr>
              <w:t>榆林不见面开标系统操作手册（投标人）</w:t>
            </w:r>
            <w:r>
              <w:rPr>
                <w:rFonts w:hint="eastAsia" w:ascii="思源宋体 CN Light" w:hAnsi="思源宋体 CN Light" w:eastAsia="思源宋体 CN Light" w:cs="思源宋体 CN Light"/>
                <w:sz w:val="24"/>
                <w:szCs w:val="24"/>
              </w:rPr>
              <w:fldChar w:fldCharType="end"/>
            </w:r>
            <w:r>
              <w:rPr>
                <w:rFonts w:hint="eastAsia" w:ascii="思源宋体 CN Light" w:hAnsi="思源宋体 CN Light" w:eastAsia="思源宋体 CN Light" w:cs="思源宋体 CN Light"/>
                <w:sz w:val="24"/>
                <w:szCs w:val="24"/>
              </w:rPr>
              <w:t>】进行下载。</w:t>
            </w:r>
          </w:p>
        </w:tc>
      </w:tr>
      <w:tr w14:paraId="1825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628112EE">
            <w:pPr>
              <w:spacing w:line="360" w:lineRule="auto"/>
              <w:ind w:left="210"/>
              <w:rPr>
                <w:rFonts w:hint="eastAsia" w:ascii="宋体" w:hAnsi="宋体" w:cs="宋体"/>
                <w:sz w:val="24"/>
                <w:szCs w:val="24"/>
              </w:rPr>
            </w:pPr>
            <w:r>
              <w:rPr>
                <w:rFonts w:hint="eastAsia" w:ascii="宋体" w:hAnsi="宋体" w:cs="宋体"/>
                <w:sz w:val="24"/>
                <w:szCs w:val="24"/>
              </w:rPr>
              <w:t>16</w:t>
            </w:r>
          </w:p>
        </w:tc>
        <w:tc>
          <w:tcPr>
            <w:tcW w:w="10295" w:type="dxa"/>
            <w:noWrap w:val="0"/>
            <w:vAlign w:val="center"/>
          </w:tcPr>
          <w:p w14:paraId="5D788FBF">
            <w:pPr>
              <w:widowControl/>
              <w:spacing w:line="360" w:lineRule="auto"/>
              <w:ind w:right="-150"/>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1、供应商应于提交投标文件截止时间前任意时段登录交易平台〖首页〉电子交易平台〉企业端〗在线提交电子投标文件，逾期提交系统间拒绝接收。</w:t>
            </w:r>
          </w:p>
          <w:p w14:paraId="376AC669">
            <w:pPr>
              <w:spacing w:line="360" w:lineRule="auto"/>
              <w:rPr>
                <w:rFonts w:ascii="宋体" w:hAnsi="宋体" w:cs="宋体"/>
                <w:sz w:val="24"/>
                <w:szCs w:val="24"/>
              </w:rPr>
            </w:pPr>
            <w:r>
              <w:rPr>
                <w:rFonts w:hint="eastAsia" w:ascii="思源宋体 CN Light" w:hAnsi="思源宋体 CN Light" w:eastAsia="思源宋体 CN Light" w:cs="思源宋体 CN Light"/>
                <w:sz w:val="24"/>
                <w:szCs w:val="24"/>
              </w:rPr>
              <w:t>2、本项目采用“不见面”开标形式，供应商可登录榆林交易平台〖首页〉不见面开标〗在线参与开评标过程，详见招标文件以及交易平台〖首页〉服务指南〉下载专区〗中的《榆林市不见面开标大厅操作手册（投标人）》。</w:t>
            </w:r>
          </w:p>
        </w:tc>
      </w:tr>
      <w:tr w14:paraId="3A80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6B320E4B">
            <w:pPr>
              <w:spacing w:line="360" w:lineRule="auto"/>
              <w:ind w:left="210"/>
              <w:rPr>
                <w:rFonts w:hint="eastAsia" w:ascii="宋体" w:hAnsi="宋体" w:cs="宋体"/>
                <w:sz w:val="24"/>
                <w:szCs w:val="24"/>
              </w:rPr>
            </w:pPr>
            <w:r>
              <w:rPr>
                <w:rFonts w:hint="eastAsia" w:ascii="宋体" w:hAnsi="宋体" w:cs="宋体"/>
                <w:sz w:val="24"/>
                <w:szCs w:val="24"/>
              </w:rPr>
              <w:t>17</w:t>
            </w:r>
          </w:p>
        </w:tc>
        <w:tc>
          <w:tcPr>
            <w:tcW w:w="10295" w:type="dxa"/>
            <w:noWrap w:val="0"/>
            <w:vAlign w:val="center"/>
          </w:tcPr>
          <w:p w14:paraId="2B9D18E1">
            <w:pPr>
              <w:spacing w:line="360" w:lineRule="auto"/>
              <w:rPr>
                <w:rFonts w:hint="eastAsia" w:ascii="宋体" w:hAnsi="宋体" w:cs="宋体"/>
                <w:sz w:val="24"/>
                <w:szCs w:val="24"/>
              </w:rPr>
            </w:pPr>
            <w:r>
              <w:rPr>
                <w:rFonts w:hint="eastAsia" w:ascii="宋体" w:hAnsi="宋体" w:cs="宋体"/>
                <w:sz w:val="24"/>
                <w:szCs w:val="24"/>
              </w:rPr>
              <w:t>1、本项目采用电子化投标文件与纸质投标文件并行的方式。投标人须使用数字认证证书对电子化投标文件进行签章、加密、递交及开标时解密等相关招投标事宜。</w:t>
            </w:r>
          </w:p>
          <w:p w14:paraId="0376F293">
            <w:pPr>
              <w:spacing w:line="360" w:lineRule="auto"/>
              <w:rPr>
                <w:rFonts w:hint="eastAsia" w:ascii="思源宋体 CN Light" w:hAnsi="思源宋体 CN Light" w:eastAsia="思源宋体 CN Light" w:cs="思源宋体 CN Light"/>
                <w:sz w:val="24"/>
                <w:szCs w:val="24"/>
              </w:rPr>
            </w:pPr>
            <w:r>
              <w:rPr>
                <w:rFonts w:hint="eastAsia" w:ascii="宋体" w:hAnsi="宋体" w:cs="宋体"/>
                <w:sz w:val="24"/>
                <w:szCs w:val="24"/>
              </w:rPr>
              <w:t>2、</w:t>
            </w:r>
            <w:r>
              <w:rPr>
                <w:rFonts w:hint="eastAsia" w:ascii="宋体" w:hAnsi="宋体" w:cs="宋体"/>
                <w:b/>
                <w:bCs/>
                <w:sz w:val="24"/>
                <w:szCs w:val="24"/>
              </w:rPr>
              <w:t>纸质投标文件：</w:t>
            </w:r>
            <w:r>
              <w:rPr>
                <w:rFonts w:hint="eastAsia" w:ascii="思源宋体 CN Light" w:hAnsi="思源宋体 CN Light" w:eastAsia="思源宋体 CN Light" w:cs="思源宋体 CN Light"/>
                <w:sz w:val="24"/>
                <w:szCs w:val="24"/>
                <w:lang w:val="en-US" w:eastAsia="zh-CN"/>
              </w:rPr>
              <w:t>为便于采购人归档和向监管部门备案，中标人须提交</w:t>
            </w:r>
            <w:r>
              <w:rPr>
                <w:rFonts w:hint="eastAsia" w:ascii="宋体" w:hAnsi="宋体" w:cs="宋体"/>
                <w:sz w:val="24"/>
                <w:szCs w:val="24"/>
              </w:rPr>
              <w:t>正本壹份、副本贰份、电子版（word版U盘）壹份</w:t>
            </w:r>
            <w:r>
              <w:rPr>
                <w:rFonts w:hint="eastAsia" w:ascii="思源宋体 CN Light" w:hAnsi="思源宋体 CN Light" w:eastAsia="思源宋体 CN Light" w:cs="思源宋体 CN Light"/>
                <w:sz w:val="24"/>
                <w:szCs w:val="24"/>
                <w:lang w:val="en-US" w:eastAsia="zh-CN"/>
              </w:rPr>
              <w:t>、</w:t>
            </w:r>
            <w:r>
              <w:rPr>
                <w:rFonts w:hint="eastAsia" w:ascii="宋体" w:hAnsi="宋体" w:eastAsia="宋体" w:cs="宋体"/>
                <w:kern w:val="2"/>
                <w:sz w:val="24"/>
                <w:szCs w:val="24"/>
                <w:lang w:val="en-US" w:eastAsia="zh-CN" w:bidi="ar-SA"/>
              </w:rPr>
              <w:t>投标信用承诺书原件壹份（</w:t>
            </w:r>
            <w:r>
              <w:rPr>
                <w:rFonts w:hint="default" w:ascii="宋体" w:hAnsi="宋体" w:eastAsia="宋体" w:cs="宋体"/>
                <w:kern w:val="2"/>
                <w:sz w:val="24"/>
                <w:szCs w:val="24"/>
                <w:highlight w:val="none"/>
                <w:lang w:val="en-US" w:eastAsia="zh-CN" w:bidi="ar-SA"/>
              </w:rPr>
              <w:t>格式详见</w:t>
            </w:r>
            <w:r>
              <w:rPr>
                <w:rFonts w:hint="eastAsia" w:ascii="宋体" w:hAnsi="宋体" w:eastAsia="宋体" w:cs="宋体"/>
                <w:kern w:val="2"/>
                <w:sz w:val="24"/>
                <w:szCs w:val="24"/>
                <w:highlight w:val="none"/>
                <w:lang w:val="en-US" w:eastAsia="zh-CN" w:bidi="ar-SA"/>
              </w:rPr>
              <w:t>招标</w:t>
            </w:r>
            <w:r>
              <w:rPr>
                <w:rFonts w:hint="default" w:ascii="宋体" w:hAnsi="宋体" w:eastAsia="宋体" w:cs="宋体"/>
                <w:kern w:val="2"/>
                <w:sz w:val="24"/>
                <w:szCs w:val="24"/>
                <w:highlight w:val="none"/>
                <w:lang w:val="en-US" w:eastAsia="zh-CN" w:bidi="ar-SA"/>
              </w:rPr>
              <w:t>文件第</w:t>
            </w:r>
            <w:r>
              <w:rPr>
                <w:rFonts w:hint="eastAsia" w:ascii="宋体" w:hAnsi="宋体" w:eastAsia="宋体" w:cs="宋体"/>
                <w:kern w:val="2"/>
                <w:sz w:val="24"/>
                <w:szCs w:val="24"/>
                <w:highlight w:val="none"/>
                <w:lang w:val="en-US" w:eastAsia="zh-CN" w:bidi="ar-SA"/>
              </w:rPr>
              <w:t>九</w:t>
            </w:r>
            <w:r>
              <w:rPr>
                <w:rFonts w:hint="default" w:ascii="宋体" w:hAnsi="宋体" w:eastAsia="宋体" w:cs="宋体"/>
                <w:kern w:val="2"/>
                <w:sz w:val="24"/>
                <w:szCs w:val="24"/>
                <w:highlight w:val="none"/>
                <w:lang w:val="en-US" w:eastAsia="zh-CN" w:bidi="ar-SA"/>
              </w:rPr>
              <w:t>部分附件3</w:t>
            </w:r>
            <w:r>
              <w:rPr>
                <w:rFonts w:hint="eastAsia" w:ascii="宋体" w:hAnsi="宋体" w:eastAsia="宋体" w:cs="宋体"/>
                <w:kern w:val="2"/>
                <w:sz w:val="24"/>
                <w:szCs w:val="24"/>
                <w:lang w:val="en-US" w:eastAsia="zh-CN" w:bidi="ar-SA"/>
              </w:rPr>
              <w:t>）。</w:t>
            </w:r>
            <w:r>
              <w:rPr>
                <w:rFonts w:hint="eastAsia" w:ascii="思源宋体 CN Light" w:hAnsi="思源宋体 CN Light" w:eastAsia="思源宋体 CN Light" w:cs="思源宋体 CN Light"/>
                <w:sz w:val="24"/>
                <w:szCs w:val="24"/>
                <w:lang w:val="en-US" w:eastAsia="zh-CN"/>
              </w:rPr>
              <w:t>投标文件可采用系统上传的</w:t>
            </w:r>
            <w:r>
              <w:rPr>
                <w:rFonts w:hint="eastAsia" w:ascii="思源宋体 CN Light" w:hAnsi="思源宋体 CN Light" w:eastAsia="思源宋体 CN Light" w:cs="思源宋体 CN Light"/>
                <w:sz w:val="24"/>
                <w:szCs w:val="24"/>
              </w:rPr>
              <w:t>电子投标文件</w:t>
            </w:r>
            <w:r>
              <w:rPr>
                <w:rFonts w:hint="eastAsia" w:ascii="思源宋体 CN Light" w:hAnsi="思源宋体 CN Light" w:eastAsia="思源宋体 CN Light" w:cs="思源宋体 CN Light"/>
                <w:sz w:val="24"/>
                <w:szCs w:val="24"/>
                <w:lang w:val="en-US" w:eastAsia="zh-CN"/>
              </w:rPr>
              <w:t>的打印件，</w:t>
            </w:r>
            <w:r>
              <w:rPr>
                <w:rFonts w:hint="eastAsia" w:ascii="宋体" w:hAnsi="宋体" w:cs="宋体"/>
                <w:sz w:val="24"/>
                <w:szCs w:val="24"/>
              </w:rPr>
              <w:t>投标文件正、副本须各自装订成册，统一编码（要求胶装、不得出现活页）。</w:t>
            </w:r>
            <w:r>
              <w:rPr>
                <w:rFonts w:hint="eastAsia" w:ascii="思源宋体 CN Light" w:hAnsi="思源宋体 CN Light" w:eastAsia="思源宋体 CN Light" w:cs="思源宋体 CN Light"/>
                <w:sz w:val="24"/>
                <w:szCs w:val="24"/>
                <w:lang w:val="en-US" w:eastAsia="zh-CN"/>
              </w:rPr>
              <w:t>每份投标文件封皮须清楚地标明“正本”或“副本”。</w:t>
            </w:r>
          </w:p>
          <w:p w14:paraId="1D497AA6">
            <w:pPr>
              <w:spacing w:line="360" w:lineRule="auto"/>
              <w:ind w:firstLine="480" w:firstLineChars="200"/>
              <w:rPr>
                <w:rFonts w:hint="eastAsia" w:ascii="宋体" w:hAnsi="宋体" w:cs="宋体"/>
                <w:sz w:val="24"/>
                <w:szCs w:val="24"/>
                <w:lang w:eastAsia="zh-CN"/>
              </w:rPr>
            </w:pPr>
            <w:r>
              <w:rPr>
                <w:rFonts w:hint="eastAsia" w:ascii="思源宋体 CN Light" w:hAnsi="思源宋体 CN Light" w:eastAsia="思源宋体 CN Light" w:cs="思源宋体 CN Light"/>
                <w:sz w:val="24"/>
                <w:szCs w:val="24"/>
                <w:lang w:val="en-US" w:eastAsia="zh-CN"/>
              </w:rPr>
              <w:t>未中标人须邮寄投标文件</w:t>
            </w:r>
            <w:r>
              <w:rPr>
                <w:rFonts w:hint="eastAsia" w:ascii="宋体" w:hAnsi="宋体" w:cs="宋体"/>
                <w:sz w:val="24"/>
                <w:szCs w:val="24"/>
              </w:rPr>
              <w:t>电子版（</w:t>
            </w:r>
            <w:r>
              <w:rPr>
                <w:rFonts w:hint="eastAsia" w:ascii="宋体" w:hAnsi="宋体" w:cs="宋体"/>
                <w:sz w:val="24"/>
                <w:szCs w:val="24"/>
                <w:lang w:val="en-US" w:eastAsia="zh-CN"/>
              </w:rPr>
              <w:t>投标文件</w:t>
            </w:r>
            <w:r>
              <w:rPr>
                <w:rFonts w:hint="eastAsia" w:ascii="宋体" w:hAnsi="宋体" w:cs="宋体"/>
                <w:sz w:val="24"/>
                <w:szCs w:val="24"/>
              </w:rPr>
              <w:t>word版</w:t>
            </w:r>
            <w:r>
              <w:rPr>
                <w:rFonts w:hint="eastAsia" w:ascii="宋体" w:hAnsi="宋体" w:cs="宋体"/>
                <w:sz w:val="24"/>
                <w:szCs w:val="24"/>
                <w:lang w:val="en-US" w:eastAsia="zh-CN"/>
              </w:rPr>
              <w:t>及上传电子投标文件签字盖章的PDF版本的</w:t>
            </w:r>
            <w:r>
              <w:rPr>
                <w:rFonts w:hint="eastAsia" w:ascii="宋体" w:hAnsi="宋体" w:cs="宋体"/>
                <w:sz w:val="24"/>
                <w:szCs w:val="24"/>
              </w:rPr>
              <w:t>U盘）壹份</w:t>
            </w:r>
            <w:r>
              <w:rPr>
                <w:rFonts w:hint="eastAsia" w:ascii="宋体" w:hAnsi="宋体" w:cs="宋体"/>
                <w:sz w:val="24"/>
                <w:szCs w:val="24"/>
                <w:lang w:eastAsia="zh-CN"/>
              </w:rPr>
              <w:t>、</w:t>
            </w:r>
            <w:r>
              <w:rPr>
                <w:rFonts w:hint="eastAsia" w:ascii="宋体" w:hAnsi="宋体" w:eastAsia="宋体" w:cs="宋体"/>
                <w:kern w:val="2"/>
                <w:sz w:val="24"/>
                <w:szCs w:val="24"/>
                <w:lang w:val="en-US" w:eastAsia="zh-CN" w:bidi="ar-SA"/>
              </w:rPr>
              <w:t>投标信用承诺书原件壹份（</w:t>
            </w:r>
            <w:r>
              <w:rPr>
                <w:rFonts w:hint="default" w:ascii="宋体" w:hAnsi="宋体" w:eastAsia="宋体" w:cs="宋体"/>
                <w:kern w:val="2"/>
                <w:sz w:val="24"/>
                <w:szCs w:val="24"/>
                <w:highlight w:val="none"/>
                <w:lang w:val="en-US" w:eastAsia="zh-CN" w:bidi="ar-SA"/>
              </w:rPr>
              <w:t>格式详见</w:t>
            </w:r>
            <w:r>
              <w:rPr>
                <w:rFonts w:hint="eastAsia" w:ascii="宋体" w:hAnsi="宋体" w:eastAsia="宋体" w:cs="宋体"/>
                <w:kern w:val="2"/>
                <w:sz w:val="24"/>
                <w:szCs w:val="24"/>
                <w:highlight w:val="none"/>
                <w:lang w:val="en-US" w:eastAsia="zh-CN" w:bidi="ar-SA"/>
              </w:rPr>
              <w:t>招标</w:t>
            </w:r>
            <w:r>
              <w:rPr>
                <w:rFonts w:hint="default" w:ascii="宋体" w:hAnsi="宋体" w:eastAsia="宋体" w:cs="宋体"/>
                <w:kern w:val="2"/>
                <w:sz w:val="24"/>
                <w:szCs w:val="24"/>
                <w:highlight w:val="none"/>
                <w:lang w:val="en-US" w:eastAsia="zh-CN" w:bidi="ar-SA"/>
              </w:rPr>
              <w:t>文件第八部分附件3</w:t>
            </w:r>
            <w:r>
              <w:rPr>
                <w:rFonts w:hint="eastAsia" w:ascii="宋体" w:hAnsi="宋体" w:eastAsia="宋体" w:cs="宋体"/>
                <w:kern w:val="2"/>
                <w:sz w:val="24"/>
                <w:szCs w:val="24"/>
                <w:lang w:val="en-US" w:eastAsia="zh-CN" w:bidi="ar-SA"/>
              </w:rPr>
              <w:t>）</w:t>
            </w:r>
            <w:r>
              <w:rPr>
                <w:rFonts w:hint="eastAsia" w:ascii="宋体" w:hAnsi="宋体" w:cs="宋体"/>
                <w:sz w:val="24"/>
                <w:szCs w:val="24"/>
                <w:lang w:eastAsia="zh-CN"/>
              </w:rPr>
              <w:t>。</w:t>
            </w:r>
          </w:p>
          <w:p w14:paraId="7DE50C6F">
            <w:pPr>
              <w:spacing w:line="360" w:lineRule="auto"/>
              <w:ind w:firstLine="482" w:firstLineChars="200"/>
              <w:rPr>
                <w:rFonts w:hint="eastAsia" w:ascii="宋体" w:hAnsi="宋体" w:cs="宋体"/>
                <w:b/>
                <w:bCs/>
                <w:sz w:val="24"/>
                <w:szCs w:val="24"/>
                <w:lang w:eastAsia="zh-CN"/>
              </w:rPr>
            </w:pPr>
            <w:r>
              <w:rPr>
                <w:rFonts w:hint="eastAsia" w:ascii="思源宋体 CN Light" w:hAnsi="思源宋体 CN Light" w:eastAsia="思源宋体 CN Light" w:cs="思源宋体 CN Light"/>
                <w:b/>
                <w:bCs/>
                <w:sz w:val="24"/>
                <w:szCs w:val="24"/>
                <w:lang w:val="en-US" w:eastAsia="zh-CN"/>
              </w:rPr>
              <w:t>递交方式：纸质版投标文件</w:t>
            </w:r>
            <w:r>
              <w:rPr>
                <w:rFonts w:hint="eastAsia" w:ascii="思源宋体 CN Light" w:hAnsi="思源宋体 CN Light" w:eastAsia="思源宋体 CN Light" w:cs="思源宋体 CN Light"/>
                <w:b/>
                <w:bCs/>
                <w:sz w:val="24"/>
                <w:szCs w:val="24"/>
              </w:rPr>
              <w:t>在开标时无需提交，待开标结束后，</w:t>
            </w:r>
            <w:r>
              <w:rPr>
                <w:rFonts w:hint="eastAsia" w:ascii="思源宋体 CN Light" w:hAnsi="思源宋体 CN Light" w:eastAsia="思源宋体 CN Light" w:cs="思源宋体 CN Light"/>
                <w:b/>
                <w:bCs/>
                <w:sz w:val="24"/>
                <w:szCs w:val="24"/>
                <w:lang w:val="en-US" w:eastAsia="zh-CN"/>
              </w:rPr>
              <w:t>中标人须</w:t>
            </w:r>
            <w:r>
              <w:rPr>
                <w:rFonts w:hint="eastAsia" w:ascii="思源宋体 CN Light" w:hAnsi="思源宋体 CN Light" w:eastAsia="思源宋体 CN Light" w:cs="思源宋体 CN Light"/>
                <w:b/>
                <w:bCs/>
                <w:sz w:val="24"/>
                <w:szCs w:val="24"/>
              </w:rPr>
              <w:t>邮寄</w:t>
            </w:r>
            <w:r>
              <w:rPr>
                <w:rFonts w:hint="eastAsia" w:ascii="宋体" w:hAnsi="宋体" w:cs="宋体"/>
                <w:b/>
                <w:bCs/>
                <w:sz w:val="24"/>
                <w:szCs w:val="24"/>
              </w:rPr>
              <w:t>正本壹份、副本贰份、电子版（word版U盘）壹份</w:t>
            </w:r>
            <w:r>
              <w:rPr>
                <w:rFonts w:hint="eastAsia" w:ascii="宋体" w:hAnsi="宋体" w:cs="宋体"/>
                <w:b/>
                <w:bCs/>
                <w:sz w:val="24"/>
                <w:szCs w:val="24"/>
                <w:lang w:eastAsia="zh-CN"/>
              </w:rPr>
              <w:t>、</w:t>
            </w:r>
            <w:r>
              <w:rPr>
                <w:rFonts w:hint="eastAsia" w:ascii="宋体" w:hAnsi="宋体" w:eastAsia="宋体" w:cs="宋体"/>
                <w:b/>
                <w:bCs/>
                <w:kern w:val="2"/>
                <w:sz w:val="24"/>
                <w:szCs w:val="24"/>
                <w:lang w:val="en-US" w:eastAsia="zh-CN" w:bidi="ar-SA"/>
              </w:rPr>
              <w:t>投标信用承诺书原件壹份（格式详见招标文件第八部分附件3）</w:t>
            </w:r>
            <w:r>
              <w:rPr>
                <w:rFonts w:hint="eastAsia" w:ascii="宋体" w:hAnsi="宋体" w:cs="宋体"/>
                <w:b/>
                <w:bCs/>
                <w:sz w:val="24"/>
                <w:szCs w:val="24"/>
                <w:lang w:eastAsia="zh-CN"/>
              </w:rPr>
              <w:t>；</w:t>
            </w:r>
          </w:p>
          <w:p w14:paraId="6245B43E">
            <w:pPr>
              <w:spacing w:line="360" w:lineRule="auto"/>
              <w:ind w:firstLine="482" w:firstLineChars="200"/>
              <w:rPr>
                <w:rFonts w:hint="eastAsia" w:ascii="宋体" w:hAnsi="宋体" w:cs="宋体"/>
                <w:b/>
                <w:bCs/>
                <w:sz w:val="24"/>
                <w:szCs w:val="24"/>
                <w:lang w:eastAsia="zh-CN"/>
              </w:rPr>
            </w:pPr>
            <w:r>
              <w:rPr>
                <w:rFonts w:hint="eastAsia" w:ascii="思源宋体 CN Light" w:hAnsi="思源宋体 CN Light" w:eastAsia="思源宋体 CN Light" w:cs="思源宋体 CN Light"/>
                <w:b/>
                <w:bCs/>
                <w:sz w:val="24"/>
                <w:szCs w:val="24"/>
                <w:lang w:val="en-US" w:eastAsia="zh-CN"/>
              </w:rPr>
              <w:t>未中标人须邮寄投标文件</w:t>
            </w:r>
            <w:r>
              <w:rPr>
                <w:rFonts w:hint="eastAsia" w:ascii="宋体" w:hAnsi="宋体" w:cs="宋体"/>
                <w:b/>
                <w:bCs/>
                <w:sz w:val="24"/>
                <w:szCs w:val="24"/>
              </w:rPr>
              <w:t>电子版（</w:t>
            </w:r>
            <w:r>
              <w:rPr>
                <w:rFonts w:hint="eastAsia" w:ascii="宋体" w:hAnsi="宋体" w:cs="宋体"/>
                <w:b/>
                <w:bCs/>
                <w:sz w:val="24"/>
                <w:szCs w:val="24"/>
                <w:lang w:val="en-US" w:eastAsia="zh-CN"/>
              </w:rPr>
              <w:t>投标文件</w:t>
            </w:r>
            <w:r>
              <w:rPr>
                <w:rFonts w:hint="eastAsia" w:ascii="宋体" w:hAnsi="宋体" w:cs="宋体"/>
                <w:b/>
                <w:bCs/>
                <w:sz w:val="24"/>
                <w:szCs w:val="24"/>
              </w:rPr>
              <w:t>word版</w:t>
            </w:r>
            <w:r>
              <w:rPr>
                <w:rFonts w:hint="eastAsia" w:ascii="宋体" w:hAnsi="宋体" w:cs="宋体"/>
                <w:b/>
                <w:bCs/>
                <w:sz w:val="24"/>
                <w:szCs w:val="24"/>
                <w:lang w:val="en-US" w:eastAsia="zh-CN"/>
              </w:rPr>
              <w:t>及上传电子投标文件签字盖章的PDF版本的</w:t>
            </w:r>
            <w:r>
              <w:rPr>
                <w:rFonts w:hint="eastAsia" w:ascii="宋体" w:hAnsi="宋体" w:cs="宋体"/>
                <w:b/>
                <w:bCs/>
                <w:sz w:val="24"/>
                <w:szCs w:val="24"/>
              </w:rPr>
              <w:t>U盘）壹份</w:t>
            </w:r>
            <w:r>
              <w:rPr>
                <w:rFonts w:hint="eastAsia" w:ascii="宋体" w:hAnsi="宋体" w:cs="宋体"/>
                <w:b/>
                <w:bCs/>
                <w:sz w:val="24"/>
                <w:szCs w:val="24"/>
                <w:lang w:eastAsia="zh-CN"/>
              </w:rPr>
              <w:t>、</w:t>
            </w:r>
            <w:r>
              <w:rPr>
                <w:rFonts w:hint="eastAsia" w:ascii="宋体" w:hAnsi="宋体" w:eastAsia="宋体" w:cs="宋体"/>
                <w:b/>
                <w:bCs/>
                <w:kern w:val="2"/>
                <w:sz w:val="24"/>
                <w:szCs w:val="24"/>
                <w:lang w:val="en-US" w:eastAsia="zh-CN" w:bidi="ar-SA"/>
              </w:rPr>
              <w:t>投标信用承诺书原件壹份（格式详见招标文件第九部分附件3）</w:t>
            </w:r>
            <w:r>
              <w:rPr>
                <w:rFonts w:hint="eastAsia" w:ascii="宋体" w:hAnsi="宋体" w:cs="宋体"/>
                <w:b/>
                <w:bCs/>
                <w:sz w:val="24"/>
                <w:szCs w:val="24"/>
                <w:lang w:eastAsia="zh-CN"/>
              </w:rPr>
              <w:t>。</w:t>
            </w:r>
          </w:p>
          <w:p w14:paraId="0698D442">
            <w:pPr>
              <w:spacing w:line="360" w:lineRule="auto"/>
              <w:ind w:firstLine="482" w:firstLineChars="200"/>
              <w:rPr>
                <w:rFonts w:hint="eastAsia"/>
                <w:lang w:eastAsia="zh-CN"/>
              </w:rPr>
            </w:pPr>
            <w:r>
              <w:rPr>
                <w:rFonts w:hint="eastAsia" w:ascii="宋体" w:hAnsi="宋体" w:cs="宋体"/>
                <w:b/>
                <w:bCs/>
                <w:sz w:val="24"/>
                <w:szCs w:val="24"/>
                <w:lang w:val="en-US" w:eastAsia="zh-CN"/>
              </w:rPr>
              <w:t>以电报、传真、电子邮件形式递交的投标文件将不予接受。</w:t>
            </w:r>
          </w:p>
          <w:p w14:paraId="1631606A">
            <w:pPr>
              <w:spacing w:line="360" w:lineRule="auto"/>
              <w:ind w:firstLine="482" w:firstLineChars="200"/>
              <w:rPr>
                <w:rFonts w:ascii="宋体" w:hAnsi="宋体" w:cs="仿宋_GB2312"/>
                <w:b/>
                <w:sz w:val="24"/>
                <w:szCs w:val="22"/>
              </w:rPr>
            </w:pPr>
            <w:r>
              <w:rPr>
                <w:rFonts w:hint="eastAsia" w:ascii="宋体" w:hAnsi="宋体" w:cs="仿宋_GB2312"/>
                <w:b/>
                <w:sz w:val="24"/>
                <w:szCs w:val="22"/>
              </w:rPr>
              <w:t xml:space="preserve">收件人：陕西三秦大地招标有限责任公司                       </w:t>
            </w:r>
          </w:p>
          <w:p w14:paraId="4049CCFE">
            <w:pPr>
              <w:spacing w:line="360" w:lineRule="auto"/>
              <w:ind w:firstLine="482" w:firstLineChars="200"/>
              <w:rPr>
                <w:rFonts w:ascii="宋体" w:hAnsi="宋体" w:cs="仿宋_GB2312"/>
                <w:b/>
                <w:sz w:val="24"/>
                <w:szCs w:val="22"/>
              </w:rPr>
            </w:pPr>
            <w:r>
              <w:rPr>
                <w:rFonts w:hint="eastAsia" w:ascii="宋体" w:hAnsi="宋体" w:cs="仿宋_GB2312"/>
                <w:b/>
                <w:sz w:val="24"/>
                <w:szCs w:val="22"/>
              </w:rPr>
              <w:t>收件电话：</w:t>
            </w:r>
            <w:r>
              <w:rPr>
                <w:rFonts w:hint="eastAsia" w:ascii="宋体" w:hAnsi="宋体" w:cs="仿宋_GB2312"/>
                <w:b/>
                <w:sz w:val="24"/>
                <w:szCs w:val="22"/>
                <w:lang w:val="en-US" w:eastAsia="zh-CN"/>
              </w:rPr>
              <w:t>18821755562/</w:t>
            </w:r>
            <w:r>
              <w:rPr>
                <w:rFonts w:hint="eastAsia" w:ascii="宋体" w:hAnsi="宋体" w:cs="仿宋_GB2312"/>
                <w:b/>
                <w:sz w:val="24"/>
                <w:szCs w:val="22"/>
              </w:rPr>
              <w:t>09123889050</w:t>
            </w:r>
          </w:p>
          <w:p w14:paraId="549C69CD">
            <w:pPr>
              <w:pStyle w:val="13"/>
              <w:spacing w:line="360" w:lineRule="auto"/>
              <w:ind w:firstLine="482" w:firstLineChars="200"/>
              <w:rPr>
                <w:rFonts w:hint="eastAsia" w:ascii="思源宋体 CN Light" w:hAnsi="思源宋体 CN Light" w:eastAsia="思源宋体 CN Light" w:cs="思源宋体 CN Light"/>
                <w:sz w:val="24"/>
                <w:szCs w:val="24"/>
                <w:lang w:val="en-US" w:eastAsia="zh-CN"/>
              </w:rPr>
            </w:pPr>
            <w:r>
              <w:rPr>
                <w:rFonts w:ascii="宋体" w:hAnsi="宋体" w:eastAsia="宋体" w:cs="仿宋_GB2312"/>
                <w:b/>
                <w:kern w:val="2"/>
                <w:sz w:val="24"/>
                <w:szCs w:val="22"/>
              </w:rPr>
              <w:t>收件地址：榆林市富康西路隆城富康小区3号楼1单元1401室</w:t>
            </w:r>
            <w:r>
              <w:rPr>
                <w:rFonts w:hint="eastAsia" w:ascii="思源宋体 CN Light" w:hAnsi="思源宋体 CN Light" w:eastAsia="思源宋体 CN Light" w:cs="思源宋体 CN Light"/>
                <w:sz w:val="24"/>
                <w:szCs w:val="24"/>
                <w:lang w:val="en-US" w:eastAsia="zh-CN"/>
              </w:rPr>
              <w:t xml:space="preserve">  </w:t>
            </w:r>
          </w:p>
          <w:p w14:paraId="43D31832">
            <w:pPr>
              <w:spacing w:line="360" w:lineRule="auto"/>
              <w:ind w:firstLine="482" w:firstLineChars="200"/>
              <w:rPr>
                <w:rFonts w:ascii="宋体" w:hAnsi="宋体" w:cs="宋体"/>
                <w:sz w:val="24"/>
                <w:szCs w:val="24"/>
              </w:rPr>
            </w:pPr>
            <w:r>
              <w:rPr>
                <w:rFonts w:hint="eastAsia" w:ascii="宋体" w:hAnsi="宋体" w:cs="宋体"/>
                <w:b/>
                <w:bCs/>
                <w:sz w:val="24"/>
              </w:rPr>
              <w:t>无论投标人成交与否，其</w:t>
            </w:r>
            <w:r>
              <w:rPr>
                <w:rFonts w:hint="eastAsia" w:ascii="宋体" w:hAnsi="宋体" w:cs="宋体"/>
                <w:b/>
                <w:bCs/>
                <w:sz w:val="24"/>
                <w:lang w:val="en-US" w:eastAsia="zh-CN"/>
              </w:rPr>
              <w:t>以上</w:t>
            </w:r>
            <w:r>
              <w:rPr>
                <w:rFonts w:hint="eastAsia" w:ascii="宋体" w:hAnsi="宋体" w:cs="宋体"/>
                <w:b/>
                <w:bCs/>
                <w:sz w:val="24"/>
              </w:rPr>
              <w:t>要求的资料都必须邮寄</w:t>
            </w:r>
            <w:r>
              <w:rPr>
                <w:rFonts w:hint="eastAsia" w:ascii="宋体" w:hAnsi="宋体" w:cs="宋体"/>
                <w:b/>
                <w:bCs/>
                <w:sz w:val="24"/>
                <w:lang w:eastAsia="zh-CN"/>
              </w:rPr>
              <w:t>。</w:t>
            </w:r>
            <w:r>
              <w:rPr>
                <w:rFonts w:hint="eastAsia" w:ascii="思源宋体 CN Light" w:hAnsi="思源宋体 CN Light" w:eastAsia="思源宋体 CN Light" w:cs="思源宋体 CN Light"/>
                <w:b/>
                <w:bCs/>
                <w:sz w:val="24"/>
                <w:szCs w:val="24"/>
                <w:lang w:val="en-US" w:eastAsia="zh-CN"/>
              </w:rPr>
              <w:t>各投标单位未按要求递交以上要求的资料，由此产生的后果均由投标单位自行承担</w:t>
            </w:r>
            <w:r>
              <w:rPr>
                <w:rFonts w:hint="eastAsia" w:ascii="宋体" w:hAnsi="宋体" w:eastAsia="宋体" w:cs="宋体"/>
                <w:b/>
                <w:bCs/>
                <w:color w:val="auto"/>
                <w:sz w:val="24"/>
                <w:szCs w:val="24"/>
              </w:rPr>
              <w:t>。</w:t>
            </w:r>
          </w:p>
        </w:tc>
      </w:tr>
      <w:tr w14:paraId="1651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01CA1542">
            <w:pPr>
              <w:spacing w:line="360" w:lineRule="auto"/>
              <w:ind w:left="210"/>
              <w:rPr>
                <w:rFonts w:hint="eastAsia" w:ascii="宋体" w:hAnsi="宋体" w:cs="宋体"/>
                <w:sz w:val="24"/>
                <w:szCs w:val="24"/>
              </w:rPr>
            </w:pPr>
            <w:r>
              <w:rPr>
                <w:rFonts w:hint="eastAsia" w:ascii="宋体" w:hAnsi="宋体" w:cs="宋体"/>
                <w:sz w:val="24"/>
                <w:szCs w:val="24"/>
              </w:rPr>
              <w:t>18</w:t>
            </w:r>
          </w:p>
        </w:tc>
        <w:tc>
          <w:tcPr>
            <w:tcW w:w="10295" w:type="dxa"/>
            <w:noWrap w:val="0"/>
            <w:vAlign w:val="center"/>
          </w:tcPr>
          <w:p w14:paraId="69CF8752">
            <w:pPr>
              <w:spacing w:line="360" w:lineRule="auto"/>
              <w:rPr>
                <w:rFonts w:ascii="宋体" w:hAnsi="宋体" w:cs="宋体"/>
                <w:sz w:val="24"/>
                <w:szCs w:val="24"/>
              </w:rPr>
            </w:pPr>
            <w:r>
              <w:rPr>
                <w:rFonts w:hint="eastAsia" w:ascii="宋体" w:hAnsi="宋体" w:cs="宋体"/>
                <w:sz w:val="24"/>
                <w:szCs w:val="24"/>
              </w:rPr>
              <w:t xml:space="preserve">    </w:t>
            </w:r>
            <w:r>
              <w:rPr>
                <w:rFonts w:hint="eastAsia" w:ascii="宋体" w:hAnsi="宋体" w:cs="宋体"/>
                <w:b/>
                <w:bCs/>
                <w:sz w:val="24"/>
                <w:szCs w:val="24"/>
              </w:rPr>
              <w:t>供应商的法定代表人（负责人）或其授权人应当参加谈判，须提交以下资质及招标文件要求的其他证明材料。</w:t>
            </w:r>
          </w:p>
          <w:p w14:paraId="02485ED5">
            <w:pPr>
              <w:adjustRightInd w:val="0"/>
              <w:snapToGrid w:val="0"/>
              <w:spacing w:line="360" w:lineRule="auto"/>
              <w:ind w:left="8" w:firstLine="410" w:firstLineChars="171"/>
              <w:rPr>
                <w:rFonts w:ascii="宋体" w:hAnsi="宋体" w:cs="宋体"/>
                <w:sz w:val="24"/>
              </w:rPr>
            </w:pPr>
            <w:r>
              <w:rPr>
                <w:rFonts w:hint="eastAsia" w:ascii="宋体" w:hAnsi="宋体" w:cs="宋体"/>
                <w:sz w:val="24"/>
              </w:rPr>
              <w:t>（一）基本资格条件：符合《中华人民共和国政府采购法》第二十二条的规定。</w:t>
            </w:r>
          </w:p>
          <w:p w14:paraId="6521FDF0">
            <w:pPr>
              <w:pStyle w:val="6"/>
              <w:adjustRightInd w:val="0"/>
              <w:snapToGrid w:val="0"/>
              <w:spacing w:after="0" w:line="360" w:lineRule="auto"/>
              <w:ind w:firstLine="420" w:firstLineChars="175"/>
              <w:rPr>
                <w:rFonts w:ascii="宋体" w:hAnsi="宋体" w:cs="宋体"/>
                <w:sz w:val="24"/>
                <w:szCs w:val="22"/>
              </w:rPr>
            </w:pPr>
            <w:r>
              <w:rPr>
                <w:rFonts w:hint="eastAsia" w:ascii="宋体" w:hAnsi="宋体" w:cs="宋体"/>
                <w:sz w:val="24"/>
                <w:szCs w:val="22"/>
              </w:rPr>
              <w:t>（二）特定资格条件：</w:t>
            </w:r>
          </w:p>
          <w:p w14:paraId="28B2D84F">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eastAsia" w:ascii="宋体" w:hAnsi="宋体" w:eastAsia="宋体" w:cs="宋体"/>
                <w:bCs/>
                <w:color w:val="auto"/>
                <w:kern w:val="2"/>
                <w:sz w:val="24"/>
                <w:szCs w:val="24"/>
                <w:highlight w:val="none"/>
                <w:u w:val="none"/>
                <w:lang w:val="en-US" w:eastAsia="zh-CN" w:bidi="ar-SA"/>
              </w:rPr>
            </w:pPr>
            <w:r>
              <w:rPr>
                <w:rFonts w:hint="eastAsia" w:ascii="仿宋" w:hAnsi="仿宋" w:eastAsia="仿宋" w:cs="仿宋"/>
                <w:color w:val="auto"/>
                <w:highlight w:val="none"/>
                <w:lang w:val="en-US" w:eastAsia="zh-CN"/>
              </w:rPr>
              <w:t>1.</w:t>
            </w:r>
            <w:r>
              <w:rPr>
                <w:rFonts w:hint="eastAsia" w:ascii="宋体" w:hAnsi="宋体" w:eastAsia="宋体" w:cs="宋体"/>
                <w:bCs/>
                <w:color w:val="auto"/>
                <w:kern w:val="2"/>
                <w:sz w:val="24"/>
                <w:szCs w:val="24"/>
                <w:highlight w:val="none"/>
                <w:u w:val="none"/>
                <w:lang w:val="en-US" w:eastAsia="zh-CN" w:bidi="ar-SA"/>
              </w:rPr>
              <w:t>具有独立承担民事责任能力的法人、其他组织或自然人，并出具合法有效的营业执照或事业单位法人证书等、国家规定的相关证明,自然人参与的提供其身份证明；</w:t>
            </w:r>
          </w:p>
          <w:p w14:paraId="2DEB4B08">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2.须具备电力工程施工总承包三级及以上资质；</w:t>
            </w:r>
          </w:p>
          <w:p w14:paraId="47C0ECB8">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3.税收缴纳证明：提供 2023 年06月至今已缴纳的至少一个月的纳税证明（银行缴费凭证）或完税证明，依法免税的单位应提供相关证明材料；</w:t>
            </w:r>
          </w:p>
          <w:p w14:paraId="1C157407">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4.社保缴纳证明：提供2023年6月份至今已缴纳的至少一个月的社会保障资金银行缴费单据或社保机构开具的社会保险参保缴费情况证明，依法不需要缴纳社会保障资金的单位应提供相关证明材料； </w:t>
            </w:r>
          </w:p>
          <w:p w14:paraId="4DA75647">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5.书面声明：参加本次政府采购活动前三年内在经营活动中没有重大违纪的书面声明；</w:t>
            </w:r>
          </w:p>
          <w:p w14:paraId="1E345A4E">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6.须提供榆林市政府采购货物类项目供应商信用承诺书；</w:t>
            </w:r>
          </w:p>
          <w:p w14:paraId="01073836">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7.投标人提供在投标截止日前在信用中国网（www.creditchina.gov.cn）未被列入失信被执行人、重大税收违法失信主体和在中国政府采购网（www.ccgp.gov.cn）未被列入政府采购严重违法失信行为记录名单（处罚期限届满的除外，如相关失信记录已失效，投标人需提供相关证明资料）；须提供信用中国网及中国政府采购网相应查询结果的网站截图（查询日期为从招标文件获取之日起至投标截止日前但最终以投标截止日当天评审小组查询结果为准）；</w:t>
            </w:r>
          </w:p>
          <w:p w14:paraId="6A039253">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baseline"/>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8.本项目采用信用承诺书代替投标保证金，提供信用中国陕西榆林承诺网页截图（截图须体现项目名称，承诺公示日期为从招标文件获取之日起至投标截止日前）；</w:t>
            </w:r>
          </w:p>
          <w:p w14:paraId="3292C35E">
            <w:pPr>
              <w:spacing w:line="360" w:lineRule="auto"/>
              <w:ind w:firstLine="480" w:firstLineChars="200"/>
              <w:jc w:val="left"/>
              <w:rPr>
                <w:rFonts w:ascii="宋体" w:hAnsi="宋体" w:cs="宋体"/>
                <w:sz w:val="24"/>
                <w:szCs w:val="24"/>
              </w:rPr>
            </w:pPr>
            <w:r>
              <w:rPr>
                <w:rFonts w:hint="eastAsia" w:ascii="宋体" w:hAnsi="宋体" w:eastAsia="宋体" w:cs="宋体"/>
                <w:bCs/>
                <w:color w:val="auto"/>
                <w:kern w:val="2"/>
                <w:sz w:val="24"/>
                <w:szCs w:val="24"/>
                <w:highlight w:val="none"/>
                <w:u w:val="none"/>
                <w:lang w:val="en-US" w:eastAsia="zh-CN" w:bidi="ar-SA"/>
              </w:rPr>
              <w:t>9.本项目不接受联合体投标，须提供非联合体投标声明（单位负责人为同一人或者存在直接控股、管理关系的不同投标人，不得参加同一合同项下的政府采购活动）。</w:t>
            </w:r>
          </w:p>
        </w:tc>
      </w:tr>
      <w:tr w14:paraId="228C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3417EC03">
            <w:pPr>
              <w:spacing w:line="360" w:lineRule="auto"/>
              <w:ind w:left="210"/>
              <w:rPr>
                <w:rFonts w:ascii="宋体" w:hAnsi="宋体" w:cs="宋体"/>
                <w:sz w:val="24"/>
                <w:szCs w:val="24"/>
              </w:rPr>
            </w:pPr>
            <w:r>
              <w:rPr>
                <w:rFonts w:hint="eastAsia" w:ascii="宋体" w:hAnsi="宋体" w:cs="宋体"/>
                <w:sz w:val="24"/>
                <w:szCs w:val="24"/>
              </w:rPr>
              <w:t>19</w:t>
            </w:r>
          </w:p>
        </w:tc>
        <w:tc>
          <w:tcPr>
            <w:tcW w:w="10295" w:type="dxa"/>
            <w:noWrap w:val="0"/>
            <w:vAlign w:val="center"/>
          </w:tcPr>
          <w:p w14:paraId="062DA5D0">
            <w:pPr>
              <w:adjustRightInd w:val="0"/>
              <w:snapToGrid w:val="0"/>
              <w:spacing w:line="360" w:lineRule="auto"/>
              <w:rPr>
                <w:rFonts w:hint="eastAsia" w:ascii="宋体" w:hAnsi="宋体" w:cs="宋体"/>
                <w:sz w:val="24"/>
                <w:highlight w:val="none"/>
              </w:rPr>
            </w:pPr>
            <w:r>
              <w:rPr>
                <w:rFonts w:hint="eastAsia" w:ascii="宋体" w:hAnsi="宋体" w:cs="宋体"/>
                <w:sz w:val="24"/>
                <w:highlight w:val="none"/>
              </w:rPr>
              <w:t>支持中小企业发展：</w:t>
            </w:r>
          </w:p>
          <w:p w14:paraId="57582320">
            <w:pPr>
              <w:adjustRightInd w:val="0"/>
              <w:snapToGrid w:val="0"/>
              <w:spacing w:line="360" w:lineRule="auto"/>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sz w:val="24"/>
              </w:rPr>
              <w:fldChar w:fldCharType="end"/>
            </w:r>
            <w:r>
              <w:rPr>
                <w:rFonts w:hint="eastAsia" w:ascii="宋体" w:hAnsi="宋体" w:cs="宋体"/>
                <w:sz w:val="24"/>
              </w:rPr>
              <w:t>专门面向中小企业采购项目</w:t>
            </w:r>
          </w:p>
          <w:p w14:paraId="18FCC3A0">
            <w:pPr>
              <w:pStyle w:val="16"/>
              <w:spacing w:line="360" w:lineRule="auto"/>
              <w:rPr>
                <w:rFonts w:hint="default" w:eastAsia="宋体"/>
                <w:lang w:val="en-US" w:eastAsia="zh-CN"/>
              </w:rPr>
            </w:pPr>
            <w:r>
              <w:rPr>
                <w:rFonts w:hint="eastAsia" w:cs="宋体"/>
                <w:sz w:val="24"/>
                <w:lang w:val="en-US" w:eastAsia="zh-CN"/>
              </w:rPr>
              <w:t>本项目专门面向中小企业，故不参与价格扣除。</w:t>
            </w:r>
          </w:p>
          <w:p w14:paraId="5A23C28D">
            <w:pPr>
              <w:adjustRightInd w:val="0"/>
              <w:snapToGrid w:val="0"/>
              <w:spacing w:line="360" w:lineRule="auto"/>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sz w:val="24"/>
                <w:lang w:eastAsia="zh-CN"/>
              </w:rPr>
              <w:instrText xml:space="preserve">,</w:instrText>
            </w:r>
            <w:r>
              <w:rPr>
                <w:rFonts w:hint="eastAsia" w:ascii="宋体" w:hAnsi="宋体" w:cs="宋体"/>
                <w:position w:val="2"/>
                <w:sz w:val="16"/>
                <w:lang w:eastAsia="zh-CN"/>
              </w:rPr>
              <w:instrText xml:space="preserve">√</w:instrText>
            </w:r>
            <w:r>
              <w:rPr>
                <w:rFonts w:hint="eastAsia" w:ascii="宋体" w:hAnsi="宋体" w:cs="宋体"/>
                <w:sz w:val="24"/>
              </w:rPr>
              <w:instrText xml:space="preserve">)</w:instrText>
            </w:r>
            <w:r>
              <w:rPr>
                <w:rFonts w:hint="eastAsia" w:ascii="宋体" w:hAnsi="宋体" w:cs="宋体"/>
                <w:sz w:val="24"/>
              </w:rPr>
              <w:fldChar w:fldCharType="end"/>
            </w:r>
            <w:r>
              <w:rPr>
                <w:rFonts w:hint="eastAsia" w:ascii="宋体" w:hAnsi="宋体" w:cs="宋体"/>
                <w:sz w:val="24"/>
              </w:rPr>
              <w:t>非专门面向中小企业采购项目（价格扣除）：</w:t>
            </w:r>
          </w:p>
          <w:p w14:paraId="6CDA4779">
            <w:pPr>
              <w:adjustRightInd w:val="0"/>
              <w:snapToGrid w:val="0"/>
              <w:spacing w:line="360" w:lineRule="auto"/>
              <w:rPr>
                <w:rFonts w:hint="eastAsia" w:ascii="宋体" w:hAnsi="宋体" w:cs="宋体"/>
                <w:sz w:val="24"/>
              </w:rPr>
            </w:pPr>
            <w:r>
              <w:rPr>
                <w:rFonts w:hint="eastAsia" w:ascii="宋体" w:hAnsi="宋体" w:eastAsia="宋体" w:cs="宋体"/>
                <w:kern w:val="2"/>
                <w:sz w:val="24"/>
                <w:lang w:val="en-US" w:eastAsia="zh-CN" w:bidi="ar-SA"/>
              </w:rPr>
              <w:t>①对</w:t>
            </w:r>
            <w:r>
              <w:rPr>
                <w:rFonts w:hint="eastAsia" w:ascii="宋体" w:hAnsi="宋体" w:cs="宋体"/>
                <w:sz w:val="24"/>
              </w:rPr>
              <w:t>小微型企业产品的价格给与10%~20%的扣除，用扣除后的价格参与评审。项目的扣除比例为：小微企业扣除20%。</w:t>
            </w:r>
          </w:p>
          <w:p w14:paraId="664FA2B2">
            <w:pPr>
              <w:adjustRightInd w:val="0"/>
              <w:snapToGrid w:val="0"/>
              <w:spacing w:line="360" w:lineRule="auto"/>
              <w:rPr>
                <w:rFonts w:hint="eastAsia" w:ascii="宋体" w:hAnsi="宋体" w:cs="宋体"/>
                <w:sz w:val="24"/>
              </w:rPr>
            </w:pPr>
            <w:r>
              <w:rPr>
                <w:rFonts w:hint="eastAsia" w:ascii="宋体" w:hAnsi="宋体" w:cs="宋体"/>
                <w:sz w:val="24"/>
                <w:lang w:val="en-US" w:eastAsia="zh-CN"/>
              </w:rPr>
              <w:t>②</w:t>
            </w:r>
            <w:r>
              <w:rPr>
                <w:rFonts w:hint="eastAsia" w:ascii="宋体" w:hAnsi="宋体" w:cs="宋体"/>
                <w:sz w:val="24"/>
              </w:rPr>
              <w:t>项目接受联合体投标的，若小微企业的协议合同金额占到联合体协议合同金额30%以上的，可给予联合体4% ~6%的扣除，用扣除后的价格参与评审。项目的扣除比例为：6%。</w:t>
            </w:r>
          </w:p>
          <w:p w14:paraId="764AAFF7">
            <w:pPr>
              <w:adjustRightInd w:val="0"/>
              <w:snapToGrid w:val="0"/>
              <w:spacing w:line="360" w:lineRule="auto"/>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sz w:val="24"/>
              </w:rPr>
              <w:fldChar w:fldCharType="end"/>
            </w:r>
            <w:r>
              <w:rPr>
                <w:rFonts w:hint="eastAsia" w:ascii="宋体" w:hAnsi="宋体" w:cs="宋体"/>
                <w:sz w:val="24"/>
              </w:rPr>
              <w:t>非专门面向中小企业采购项目，工程类（价格扣除）：</w:t>
            </w:r>
            <w:r>
              <w:rPr>
                <w:rFonts w:hint="eastAsia" w:ascii="宋体" w:hAnsi="宋体" w:cs="宋体"/>
                <w:sz w:val="24"/>
              </w:rPr>
              <w:sym w:font="Wingdings" w:char="F081"/>
            </w:r>
            <w:r>
              <w:rPr>
                <w:rFonts w:hint="eastAsia" w:ascii="宋体" w:hAnsi="宋体" w:cs="宋体"/>
                <w:sz w:val="24"/>
              </w:rPr>
              <w:t>对小型和微型企业投标的价格给与3%~5%的扣除，用扣除后的价格参与评审。项目的扣除比例为：小型企业扣除5%，微型企业扣除5%。</w:t>
            </w:r>
          </w:p>
          <w:p w14:paraId="09CBEE1A">
            <w:pPr>
              <w:adjustRightInd w:val="0"/>
              <w:snapToGrid w:val="0"/>
              <w:spacing w:line="360" w:lineRule="auto"/>
            </w:pPr>
            <w:r>
              <w:rPr>
                <w:rFonts w:hint="eastAsia" w:ascii="宋体" w:hAnsi="宋体" w:cs="宋体"/>
                <w:sz w:val="24"/>
                <w:lang w:val="en-US" w:eastAsia="zh-CN"/>
              </w:rPr>
              <w:t>③</w:t>
            </w:r>
            <w:r>
              <w:rPr>
                <w:rFonts w:hint="eastAsia" w:ascii="宋体" w:hAnsi="宋体" w:cs="宋体"/>
                <w:sz w:val="24"/>
              </w:rPr>
              <w:t>项目接收联合体投标的，若小型和微型企业的协议合同金额占到联合体协议合同金额30%以上的，可给予联合体1% ~2%的扣除，用扣除后的价格参与评审。项目的扣除比例为：2%。</w:t>
            </w:r>
          </w:p>
        </w:tc>
      </w:tr>
      <w:tr w14:paraId="46014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670FECAD">
            <w:pPr>
              <w:spacing w:line="360" w:lineRule="auto"/>
              <w:ind w:left="210"/>
              <w:rPr>
                <w:rFonts w:hint="eastAsia" w:ascii="宋体" w:hAnsi="宋体" w:cs="宋体"/>
                <w:sz w:val="24"/>
                <w:szCs w:val="24"/>
              </w:rPr>
            </w:pPr>
          </w:p>
        </w:tc>
        <w:tc>
          <w:tcPr>
            <w:tcW w:w="10295" w:type="dxa"/>
            <w:noWrap w:val="0"/>
            <w:vAlign w:val="center"/>
          </w:tcPr>
          <w:p w14:paraId="3BFFAACD">
            <w:pPr>
              <w:adjustRightInd w:val="0"/>
              <w:snapToGrid w:val="0"/>
              <w:spacing w:line="360" w:lineRule="auto"/>
              <w:rPr>
                <w:rFonts w:hint="eastAsia" w:ascii="宋体" w:hAnsi="宋体" w:cs="宋体"/>
                <w:sz w:val="24"/>
              </w:rPr>
            </w:pPr>
            <w:r>
              <w:rPr>
                <w:rFonts w:hint="eastAsia" w:ascii="宋体" w:hAnsi="宋体" w:cs="宋体"/>
                <w:sz w:val="24"/>
              </w:rPr>
              <w:t>各行业划分标准具体为</w:t>
            </w:r>
          </w:p>
          <w:p w14:paraId="55F57966">
            <w:pPr>
              <w:adjustRightInd w:val="0"/>
              <w:snapToGrid w:val="0"/>
              <w:spacing w:line="360" w:lineRule="auto"/>
              <w:rPr>
                <w:rFonts w:hint="eastAsia" w:ascii="宋体" w:hAnsi="宋体" w:cs="宋体"/>
                <w:sz w:val="24"/>
              </w:rPr>
            </w:pPr>
            <w:r>
              <w:rPr>
                <w:rFonts w:hint="eastAsia" w:ascii="宋体" w:hAnsi="宋体" w:cs="宋体"/>
                <w:sz w:val="24"/>
              </w:rPr>
              <w:t>1、农、林、牧、渔业。营业收入20000万元以下的为中小微型企业。其中，营业收入500万元及以上的为中型企业,营业收入50万元及以上的为小型企业，营业收入50万元以下的为微型企业。　　</w:t>
            </w:r>
          </w:p>
          <w:p w14:paraId="69316F8E">
            <w:pPr>
              <w:adjustRightInd w:val="0"/>
              <w:snapToGrid w:val="0"/>
              <w:spacing w:line="360" w:lineRule="auto"/>
              <w:rPr>
                <w:rFonts w:hint="eastAsia" w:ascii="宋体" w:hAnsi="宋体" w:cs="宋体"/>
                <w:sz w:val="24"/>
              </w:rPr>
            </w:pPr>
            <w:r>
              <w:rPr>
                <w:rFonts w:hint="eastAsia" w:ascii="宋体" w:hAnsi="宋体" w:cs="宋体"/>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6F0EAAE8">
            <w:pPr>
              <w:adjustRightInd w:val="0"/>
              <w:snapToGrid w:val="0"/>
              <w:spacing w:line="360" w:lineRule="auto"/>
              <w:rPr>
                <w:rFonts w:hint="eastAsia" w:ascii="宋体" w:hAnsi="宋体" w:cs="宋体"/>
                <w:sz w:val="24"/>
              </w:rPr>
            </w:pPr>
            <w:r>
              <w:rPr>
                <w:rFonts w:hint="eastAsia" w:ascii="宋体" w:hAnsi="宋体" w:cs="宋体"/>
                <w:sz w:val="24"/>
              </w:rPr>
              <w:t>3、建筑业</w:t>
            </w:r>
            <w:r>
              <w:rPr>
                <w:rFonts w:hint="eastAsia" w:ascii="宋体" w:hAnsi="宋体" w:cs="宋体"/>
                <w:sz w:val="24"/>
                <w:lang w:eastAsia="zh-CN"/>
              </w:rPr>
              <w:t>。</w:t>
            </w:r>
            <w:r>
              <w:rPr>
                <w:rFonts w:hint="eastAsia" w:ascii="宋体" w:hAnsi="宋体" w:cs="宋体"/>
                <w:sz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p>
          <w:p w14:paraId="1B8FE64A">
            <w:pPr>
              <w:adjustRightInd w:val="0"/>
              <w:snapToGrid w:val="0"/>
              <w:spacing w:line="360" w:lineRule="auto"/>
              <w:rPr>
                <w:rFonts w:hint="eastAsia" w:ascii="宋体" w:hAnsi="宋体" w:cs="宋体"/>
                <w:sz w:val="24"/>
              </w:rPr>
            </w:pPr>
            <w:r>
              <w:rPr>
                <w:rFonts w:hint="eastAsia" w:ascii="宋体" w:hAnsi="宋体" w:cs="宋体"/>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549CCE07">
            <w:pPr>
              <w:adjustRightInd w:val="0"/>
              <w:snapToGrid w:val="0"/>
              <w:spacing w:line="360" w:lineRule="auto"/>
              <w:rPr>
                <w:rFonts w:hint="eastAsia" w:ascii="宋体" w:hAnsi="宋体" w:cs="宋体"/>
                <w:sz w:val="24"/>
              </w:rPr>
            </w:pPr>
            <w:r>
              <w:rPr>
                <w:rFonts w:hint="eastAsia" w:ascii="宋体" w:hAnsi="宋体" w:cs="宋体"/>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50857A3F">
            <w:pPr>
              <w:adjustRightInd w:val="0"/>
              <w:snapToGrid w:val="0"/>
              <w:spacing w:line="360" w:lineRule="auto"/>
              <w:rPr>
                <w:rFonts w:hint="eastAsia" w:ascii="宋体" w:hAnsi="宋体" w:cs="宋体"/>
                <w:sz w:val="24"/>
              </w:rPr>
            </w:pPr>
            <w:r>
              <w:rPr>
                <w:rFonts w:hint="eastAsia" w:ascii="宋体" w:hAnsi="宋体" w:cs="宋体"/>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6D7C0E69">
            <w:pPr>
              <w:adjustRightInd w:val="0"/>
              <w:snapToGrid w:val="0"/>
              <w:spacing w:line="360" w:lineRule="auto"/>
              <w:rPr>
                <w:rFonts w:hint="eastAsia" w:ascii="宋体" w:hAnsi="宋体" w:cs="宋体"/>
                <w:sz w:val="24"/>
              </w:rPr>
            </w:pPr>
            <w:r>
              <w:rPr>
                <w:rFonts w:hint="eastAsia" w:ascii="宋体" w:hAnsi="宋体" w:cs="宋体"/>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06CD3E28">
            <w:pPr>
              <w:adjustRightInd w:val="0"/>
              <w:snapToGrid w:val="0"/>
              <w:spacing w:line="360" w:lineRule="auto"/>
              <w:rPr>
                <w:rFonts w:hint="eastAsia" w:ascii="宋体" w:hAnsi="宋体" w:cs="宋体"/>
                <w:sz w:val="24"/>
              </w:rPr>
            </w:pPr>
            <w:r>
              <w:rPr>
                <w:rFonts w:hint="eastAsia" w:ascii="宋体" w:hAnsi="宋体" w:cs="宋体"/>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53CBB5CF">
            <w:pPr>
              <w:adjustRightInd w:val="0"/>
              <w:snapToGrid w:val="0"/>
              <w:spacing w:line="360" w:lineRule="auto"/>
              <w:rPr>
                <w:rFonts w:hint="eastAsia" w:ascii="宋体" w:hAnsi="宋体" w:cs="宋体"/>
                <w:sz w:val="24"/>
              </w:rPr>
            </w:pPr>
            <w:r>
              <w:rPr>
                <w:rFonts w:hint="eastAsia" w:ascii="宋体" w:hAnsi="宋体" w:cs="宋体"/>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29550895">
            <w:pPr>
              <w:adjustRightInd w:val="0"/>
              <w:snapToGrid w:val="0"/>
              <w:spacing w:line="360" w:lineRule="auto"/>
              <w:rPr>
                <w:rFonts w:hint="eastAsia" w:ascii="宋体" w:hAnsi="宋体" w:cs="宋体"/>
                <w:sz w:val="24"/>
              </w:rPr>
            </w:pPr>
            <w:r>
              <w:rPr>
                <w:rFonts w:hint="eastAsia" w:ascii="宋体" w:hAnsi="宋体" w:cs="宋体"/>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63429E84">
            <w:pPr>
              <w:adjustRightInd w:val="0"/>
              <w:snapToGrid w:val="0"/>
              <w:spacing w:line="360" w:lineRule="auto"/>
              <w:rPr>
                <w:rFonts w:hint="eastAsia" w:ascii="宋体" w:hAnsi="宋体" w:cs="宋体"/>
                <w:sz w:val="24"/>
              </w:rPr>
            </w:pPr>
            <w:r>
              <w:rPr>
                <w:rFonts w:hint="eastAsia" w:ascii="宋体" w:hAnsi="宋体" w:cs="宋体"/>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541F971B">
            <w:pPr>
              <w:adjustRightInd w:val="0"/>
              <w:snapToGrid w:val="0"/>
              <w:spacing w:line="360" w:lineRule="auto"/>
              <w:rPr>
                <w:rFonts w:hint="eastAsia" w:ascii="宋体" w:hAnsi="宋体" w:cs="宋体"/>
                <w:sz w:val="24"/>
              </w:rPr>
            </w:pPr>
            <w:r>
              <w:rPr>
                <w:rFonts w:hint="eastAsia" w:ascii="宋体" w:hAnsi="宋体" w:cs="宋体"/>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468DCACA">
            <w:pPr>
              <w:adjustRightInd w:val="0"/>
              <w:snapToGrid w:val="0"/>
              <w:spacing w:line="360" w:lineRule="auto"/>
              <w:rPr>
                <w:rFonts w:hint="eastAsia" w:ascii="宋体" w:hAnsi="宋体" w:cs="宋体"/>
                <w:sz w:val="24"/>
              </w:rPr>
            </w:pPr>
            <w:r>
              <w:rPr>
                <w:rFonts w:hint="eastAsia" w:ascii="宋体" w:hAnsi="宋体" w:cs="宋体"/>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087DA1F5">
            <w:pPr>
              <w:adjustRightInd w:val="0"/>
              <w:snapToGrid w:val="0"/>
              <w:spacing w:line="360" w:lineRule="auto"/>
              <w:rPr>
                <w:rFonts w:hint="eastAsia" w:ascii="宋体" w:hAnsi="宋体" w:cs="宋体"/>
                <w:sz w:val="24"/>
              </w:rPr>
            </w:pPr>
            <w:r>
              <w:rPr>
                <w:rFonts w:hint="eastAsia" w:ascii="宋体" w:hAnsi="宋体" w:cs="宋体"/>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2C8E6939">
            <w:pPr>
              <w:adjustRightInd w:val="0"/>
              <w:snapToGrid w:val="0"/>
              <w:spacing w:line="360" w:lineRule="auto"/>
              <w:rPr>
                <w:rFonts w:hint="eastAsia" w:ascii="宋体" w:hAnsi="宋体" w:cs="宋体"/>
                <w:sz w:val="24"/>
              </w:rPr>
            </w:pPr>
            <w:r>
              <w:rPr>
                <w:rFonts w:hint="eastAsia" w:ascii="宋体" w:hAnsi="宋体" w:cs="宋体"/>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1F829F43">
            <w:pPr>
              <w:adjustRightInd w:val="0"/>
              <w:snapToGrid w:val="0"/>
              <w:spacing w:line="360" w:lineRule="auto"/>
              <w:rPr>
                <w:rFonts w:hint="eastAsia"/>
              </w:rPr>
            </w:pPr>
            <w:r>
              <w:rPr>
                <w:rFonts w:hint="eastAsia" w:ascii="宋体" w:hAnsi="宋体" w:cs="宋体"/>
                <w:sz w:val="24"/>
              </w:rPr>
              <w:t>16、其他未列明行业.从业人员300人以下的为中小微型企业。其中，从业人员100人及以上的为中型企业;从业人员10人及以上的为小型企业；从业人员10人以下的为微型企业。</w:t>
            </w:r>
          </w:p>
          <w:p w14:paraId="6A34AFE3">
            <w:pPr>
              <w:adjustRightInd w:val="0"/>
              <w:snapToGrid w:val="0"/>
              <w:spacing w:line="360" w:lineRule="auto"/>
              <w:rPr>
                <w:rFonts w:hint="eastAsia" w:ascii="宋体" w:hAnsi="宋体" w:eastAsia="宋体" w:cs="宋体"/>
                <w:sz w:val="24"/>
                <w:lang w:eastAsia="zh-CN"/>
              </w:rPr>
            </w:pPr>
            <w:r>
              <w:rPr>
                <w:rFonts w:hint="eastAsia" w:ascii="宋体" w:hAnsi="宋体" w:cs="宋体"/>
                <w:b w:val="0"/>
                <w:bCs w:val="0"/>
                <w:color w:val="auto"/>
                <w:sz w:val="24"/>
                <w:szCs w:val="24"/>
                <w:highlight w:val="none"/>
              </w:rPr>
              <w:t>本项目属于</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工业</w:t>
            </w:r>
          </w:p>
        </w:tc>
      </w:tr>
      <w:tr w14:paraId="6A27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5A1D9ED0">
            <w:pPr>
              <w:spacing w:line="360" w:lineRule="auto"/>
              <w:ind w:left="210"/>
              <w:rPr>
                <w:rFonts w:hint="eastAsia" w:ascii="宋体" w:hAnsi="宋体" w:cs="宋体"/>
                <w:sz w:val="24"/>
                <w:szCs w:val="24"/>
              </w:rPr>
            </w:pPr>
            <w:r>
              <w:rPr>
                <w:rFonts w:hint="eastAsia" w:ascii="宋体" w:hAnsi="宋体" w:cs="宋体"/>
                <w:sz w:val="24"/>
                <w:szCs w:val="24"/>
              </w:rPr>
              <w:t>20</w:t>
            </w:r>
          </w:p>
        </w:tc>
        <w:tc>
          <w:tcPr>
            <w:tcW w:w="10295" w:type="dxa"/>
            <w:noWrap w:val="0"/>
            <w:vAlign w:val="center"/>
          </w:tcPr>
          <w:p w14:paraId="4E3A294A">
            <w:pPr>
              <w:spacing w:line="360" w:lineRule="auto"/>
              <w:rPr>
                <w:rFonts w:ascii="宋体" w:hAnsi="宋体" w:cs="宋体"/>
                <w:sz w:val="24"/>
                <w:szCs w:val="24"/>
              </w:rPr>
            </w:pPr>
            <w:r>
              <w:rPr>
                <w:rFonts w:hint="eastAsia" w:ascii="宋体" w:hAnsi="宋体" w:cs="宋体"/>
                <w:sz w:val="24"/>
                <w:szCs w:val="24"/>
              </w:rPr>
              <w:t>支持监狱企业发展：</w:t>
            </w:r>
          </w:p>
          <w:p w14:paraId="19058F74">
            <w:pPr>
              <w:adjustRightInd w:val="0"/>
              <w:snapToGrid w:val="0"/>
              <w:spacing w:line="360" w:lineRule="auto"/>
              <w:rPr>
                <w:rFonts w:hint="eastAsia"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sz w:val="24"/>
              </w:rPr>
              <w:fldChar w:fldCharType="end"/>
            </w:r>
            <w:r>
              <w:rPr>
                <w:rFonts w:hint="eastAsia" w:ascii="宋体" w:hAnsi="宋体" w:cs="宋体"/>
                <w:sz w:val="24"/>
              </w:rPr>
              <w:t>专门面向监狱企业采购项目</w:t>
            </w:r>
          </w:p>
          <w:p w14:paraId="74C9B33C">
            <w:pPr>
              <w:adjustRightInd w:val="0"/>
              <w:snapToGrid w:val="0"/>
              <w:spacing w:line="360" w:lineRule="auto"/>
              <w:rPr>
                <w:rFonts w:hint="default" w:ascii="宋体" w:hAnsi="宋体" w:eastAsia="宋体" w:cs="宋体"/>
                <w:sz w:val="24"/>
                <w:szCs w:val="24"/>
                <w:lang w:val="en-US" w:eastAsia="zh-CN"/>
              </w:rPr>
            </w:pPr>
            <w:r>
              <w:rPr>
                <w:rFonts w:hint="eastAsia" w:ascii="宋体" w:hAnsi="宋体" w:cs="宋体"/>
                <w:sz w:val="24"/>
              </w:rPr>
              <w:fldChar w:fldCharType="begin"/>
            </w:r>
            <w:r>
              <w:rPr>
                <w:rFonts w:hint="eastAsia" w:ascii="宋体" w:hAnsi="宋体" w:cs="宋体"/>
                <w:sz w:val="24"/>
              </w:rPr>
              <w:instrText xml:space="preserve"> eq \o\ac(□,</w:instrText>
            </w:r>
            <w:r>
              <w:rPr>
                <w:rFonts w:hint="eastAsia" w:ascii="宋体" w:hAnsi="宋体" w:cs="宋体"/>
                <w:position w:val="2"/>
                <w:sz w:val="16"/>
              </w:rPr>
              <w:instrText xml:space="preserve">√</w:instrText>
            </w:r>
            <w:r>
              <w:rPr>
                <w:rFonts w:hint="eastAsia" w:ascii="宋体" w:hAnsi="宋体" w:cs="宋体"/>
                <w:sz w:val="24"/>
              </w:rPr>
              <w:instrText xml:space="preserve">)</w:instrText>
            </w:r>
            <w:r>
              <w:rPr>
                <w:rFonts w:hint="eastAsia" w:ascii="宋体" w:hAnsi="宋体" w:cs="宋体"/>
                <w:sz w:val="24"/>
              </w:rPr>
              <w:fldChar w:fldCharType="end"/>
            </w:r>
            <w:r>
              <w:rPr>
                <w:rFonts w:hint="eastAsia" w:ascii="宋体" w:hAnsi="宋体" w:cs="宋体"/>
                <w:sz w:val="24"/>
              </w:rPr>
              <w:t>非专门面向监狱企业采购项目（价格扣除）：</w:t>
            </w:r>
            <w:r>
              <w:rPr>
                <w:rFonts w:hint="eastAsia" w:ascii="宋体" w:hAnsi="宋体" w:cs="宋体"/>
                <w:sz w:val="24"/>
                <w:lang w:val="en-US" w:eastAsia="zh-CN"/>
              </w:rPr>
              <w:t>视同小微企业</w:t>
            </w:r>
          </w:p>
        </w:tc>
      </w:tr>
      <w:tr w14:paraId="5A4A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763" w:type="dxa"/>
            <w:noWrap w:val="0"/>
            <w:vAlign w:val="center"/>
          </w:tcPr>
          <w:p w14:paraId="1D3721B7">
            <w:pPr>
              <w:spacing w:line="360" w:lineRule="auto"/>
              <w:ind w:left="210"/>
              <w:rPr>
                <w:rFonts w:hint="eastAsia" w:ascii="宋体" w:hAnsi="宋体" w:cs="宋体"/>
                <w:sz w:val="24"/>
                <w:szCs w:val="24"/>
              </w:rPr>
            </w:pPr>
            <w:r>
              <w:rPr>
                <w:rFonts w:hint="eastAsia" w:ascii="宋体" w:hAnsi="宋体" w:cs="宋体"/>
                <w:sz w:val="24"/>
                <w:szCs w:val="24"/>
              </w:rPr>
              <w:t>21</w:t>
            </w:r>
          </w:p>
        </w:tc>
        <w:tc>
          <w:tcPr>
            <w:tcW w:w="10295" w:type="dxa"/>
            <w:noWrap w:val="0"/>
            <w:vAlign w:val="center"/>
          </w:tcPr>
          <w:p w14:paraId="2BBC1A1B">
            <w:pPr>
              <w:spacing w:line="360" w:lineRule="auto"/>
              <w:rPr>
                <w:rFonts w:ascii="宋体" w:hAnsi="宋体" w:cs="宋体"/>
                <w:sz w:val="24"/>
                <w:szCs w:val="24"/>
              </w:rPr>
            </w:pPr>
            <w:r>
              <w:rPr>
                <w:rFonts w:hint="eastAsia" w:ascii="宋体" w:hAnsi="宋体" w:cs="宋体"/>
                <w:sz w:val="24"/>
                <w:szCs w:val="24"/>
              </w:rPr>
              <w:t>踏勘现场:</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不组织</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组织，本项目采购人及采购代理机构不集中组织踏勘现场；需要现场踏勘的，由投标人自行踏勘，安全责任由投标人自负，费用自理。如需踏勘，请按招标公告中的联系方式联系采购人。</w:t>
            </w:r>
          </w:p>
        </w:tc>
      </w:tr>
      <w:tr w14:paraId="24F4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63" w:type="dxa"/>
            <w:noWrap w:val="0"/>
            <w:vAlign w:val="center"/>
          </w:tcPr>
          <w:p w14:paraId="4AC52358">
            <w:pPr>
              <w:spacing w:line="360" w:lineRule="auto"/>
              <w:ind w:left="210"/>
              <w:rPr>
                <w:rFonts w:hint="eastAsia" w:ascii="宋体" w:hAnsi="宋体" w:cs="宋体"/>
                <w:sz w:val="24"/>
                <w:szCs w:val="24"/>
              </w:rPr>
            </w:pPr>
            <w:r>
              <w:rPr>
                <w:rFonts w:hint="eastAsia" w:ascii="宋体" w:hAnsi="宋体" w:cs="宋体"/>
                <w:sz w:val="24"/>
                <w:szCs w:val="24"/>
              </w:rPr>
              <w:t>22</w:t>
            </w:r>
          </w:p>
        </w:tc>
        <w:tc>
          <w:tcPr>
            <w:tcW w:w="10295" w:type="dxa"/>
            <w:noWrap w:val="0"/>
            <w:vAlign w:val="center"/>
          </w:tcPr>
          <w:p w14:paraId="4FC46C20">
            <w:pPr>
              <w:spacing w:line="360" w:lineRule="auto"/>
              <w:rPr>
                <w:rFonts w:ascii="宋体" w:hAnsi="宋体" w:cs="宋体"/>
                <w:sz w:val="24"/>
                <w:szCs w:val="24"/>
              </w:rPr>
            </w:pPr>
            <w:r>
              <w:rPr>
                <w:rFonts w:hint="eastAsia" w:ascii="宋体" w:hAnsi="宋体" w:cs="宋体"/>
                <w:sz w:val="24"/>
                <w:szCs w:val="24"/>
              </w:rPr>
              <w:t>投标答疑会:</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不召开</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召开，招标代理机构将对供应商所提出的问题予以解答，并出具书面答疑纪要。答疑纪要为招标文件的组成部分，与招标文件具有同等法律效力。</w:t>
            </w:r>
          </w:p>
        </w:tc>
      </w:tr>
      <w:tr w14:paraId="49F0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763" w:type="dxa"/>
            <w:noWrap w:val="0"/>
            <w:vAlign w:val="center"/>
          </w:tcPr>
          <w:p w14:paraId="3FE8754A">
            <w:pPr>
              <w:spacing w:line="360" w:lineRule="auto"/>
              <w:ind w:left="210"/>
              <w:rPr>
                <w:rFonts w:hint="eastAsia" w:ascii="宋体" w:hAnsi="宋体" w:cs="宋体"/>
                <w:sz w:val="24"/>
                <w:szCs w:val="24"/>
              </w:rPr>
            </w:pPr>
            <w:r>
              <w:rPr>
                <w:rFonts w:hint="eastAsia" w:ascii="宋体" w:hAnsi="宋体" w:cs="宋体"/>
                <w:sz w:val="24"/>
                <w:szCs w:val="24"/>
              </w:rPr>
              <w:t>23</w:t>
            </w:r>
          </w:p>
        </w:tc>
        <w:tc>
          <w:tcPr>
            <w:tcW w:w="10295" w:type="dxa"/>
            <w:noWrap w:val="0"/>
            <w:vAlign w:val="center"/>
          </w:tcPr>
          <w:p w14:paraId="6BFA8A0F">
            <w:pPr>
              <w:spacing w:line="360" w:lineRule="auto"/>
              <w:rPr>
                <w:rFonts w:ascii="宋体" w:hAnsi="宋体" w:cs="宋体"/>
                <w:color w:val="FF0000"/>
                <w:sz w:val="24"/>
                <w:szCs w:val="24"/>
              </w:rPr>
            </w:pPr>
            <w:r>
              <w:rPr>
                <w:rFonts w:hint="eastAsia" w:ascii="宋体" w:hAnsi="宋体" w:cs="宋体"/>
                <w:sz w:val="24"/>
                <w:szCs w:val="24"/>
              </w:rPr>
              <w:t>分包：</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position w:val="2"/>
                <w:sz w:val="16"/>
                <w:szCs w:val="24"/>
              </w:rPr>
              <w:instrText xml:space="preserve">√</w:instrText>
            </w:r>
            <w:r>
              <w:rPr>
                <w:rFonts w:hint="eastAsia" w:ascii="宋体" w:hAnsi="宋体" w:cs="宋体"/>
                <w:sz w:val="24"/>
                <w:szCs w:val="24"/>
              </w:rPr>
              <w:instrText xml:space="preserve">)</w:instrText>
            </w:r>
            <w:r>
              <w:rPr>
                <w:rFonts w:hint="eastAsia" w:ascii="宋体" w:hAnsi="宋体" w:cs="宋体"/>
                <w:sz w:val="24"/>
                <w:szCs w:val="24"/>
              </w:rPr>
              <w:fldChar w:fldCharType="end"/>
            </w:r>
            <w:r>
              <w:rPr>
                <w:rFonts w:hint="eastAsia" w:ascii="宋体" w:hAnsi="宋体" w:cs="宋体"/>
                <w:sz w:val="24"/>
                <w:szCs w:val="24"/>
              </w:rPr>
              <w:t>不允许:</w:t>
            </w:r>
            <w:r>
              <w:rPr>
                <w:rFonts w:hint="eastAsia" w:ascii="宋体" w:hAnsi="宋体" w:cs="宋体"/>
                <w:sz w:val="24"/>
                <w:szCs w:val="24"/>
              </w:rPr>
              <w:fldChar w:fldCharType="begin"/>
            </w:r>
            <w:r>
              <w:rPr>
                <w:rFonts w:hint="eastAsia" w:ascii="宋体" w:hAnsi="宋体" w:cs="宋体"/>
                <w:sz w:val="24"/>
                <w:szCs w:val="24"/>
              </w:rPr>
              <w:instrText xml:space="preserve"> eq \o\ac(□)</w:instrText>
            </w:r>
            <w:r>
              <w:rPr>
                <w:rFonts w:hint="eastAsia" w:ascii="宋体" w:hAnsi="宋体" w:cs="宋体"/>
                <w:sz w:val="24"/>
                <w:szCs w:val="24"/>
              </w:rPr>
              <w:fldChar w:fldCharType="end"/>
            </w:r>
            <w:r>
              <w:rPr>
                <w:rFonts w:hint="eastAsia" w:ascii="宋体" w:hAnsi="宋体" w:cs="宋体"/>
                <w:sz w:val="24"/>
                <w:szCs w:val="24"/>
              </w:rPr>
              <w:t>允许，分包内容要求：在征得招标人同意后，承包人可以将本项目的专业工程进行分包。分包金额要求：接受分包的第三人资质要求；符合施工拟分包的专业工程国家相关强制规定。</w:t>
            </w:r>
          </w:p>
        </w:tc>
      </w:tr>
      <w:tr w14:paraId="18E9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4CE5B4F6">
            <w:pPr>
              <w:spacing w:line="360" w:lineRule="auto"/>
              <w:ind w:left="210"/>
              <w:rPr>
                <w:rFonts w:hint="eastAsia" w:ascii="宋体" w:hAnsi="宋体" w:cs="宋体"/>
                <w:sz w:val="24"/>
                <w:szCs w:val="24"/>
              </w:rPr>
            </w:pPr>
            <w:r>
              <w:rPr>
                <w:rFonts w:hint="eastAsia" w:ascii="宋体" w:hAnsi="宋体" w:cs="宋体"/>
                <w:sz w:val="24"/>
                <w:szCs w:val="24"/>
              </w:rPr>
              <w:t>24</w:t>
            </w:r>
          </w:p>
        </w:tc>
        <w:tc>
          <w:tcPr>
            <w:tcW w:w="10295" w:type="dxa"/>
            <w:noWrap w:val="0"/>
            <w:vAlign w:val="center"/>
          </w:tcPr>
          <w:p w14:paraId="7BCB7E3F">
            <w:pPr>
              <w:widowControl/>
              <w:wordWrap w:val="0"/>
              <w:topLinePunct/>
              <w:adjustRightInd w:val="0"/>
              <w:snapToGrid w:val="0"/>
              <w:spacing w:line="360" w:lineRule="auto"/>
              <w:jc w:val="left"/>
              <w:textAlignment w:val="center"/>
              <w:rPr>
                <w:rFonts w:ascii="宋体" w:hAnsi="宋体" w:cs="宋体"/>
                <w:color w:val="000000"/>
                <w:sz w:val="24"/>
                <w:szCs w:val="24"/>
                <w:lang w:val="zh-TW"/>
              </w:rPr>
            </w:pPr>
            <w:r>
              <w:rPr>
                <w:rFonts w:hint="eastAsia" w:ascii="宋体" w:hAnsi="宋体" w:cs="宋体"/>
                <w:b/>
                <w:bCs/>
                <w:color w:val="000000"/>
                <w:sz w:val="24"/>
                <w:szCs w:val="24"/>
              </w:rPr>
              <w:t>公共资源信用承诺:</w:t>
            </w:r>
            <w:r>
              <w:rPr>
                <w:rFonts w:hint="eastAsia" w:ascii="宋体" w:hAnsi="宋体" w:cs="宋体"/>
                <w:color w:val="000000"/>
                <w:sz w:val="24"/>
                <w:szCs w:val="24"/>
                <w:lang w:val="zh-TW"/>
              </w:rPr>
              <w:t>进入公共资源交易平台的各投标人，均应在“信用中国（陕西榆林）”网站进行注册、登录、自主上报信用承诺书（网址：</w:t>
            </w:r>
            <w:r>
              <w:fldChar w:fldCharType="begin"/>
            </w:r>
            <w:r>
              <w:instrText xml:space="preserve"> HYPERLINK "https://credit.yl.gov.cn/）。各投标人注册、登录后根据承诺事项选择相应的模板填写《信用承诺书》，并载明承诺事由，投标人、投标人委托代理人员、投标信用的承诺事由为“项目名称及标段”。操作指南见附件。" </w:instrText>
            </w:r>
            <w:r>
              <w:fldChar w:fldCharType="separate"/>
            </w:r>
            <w:r>
              <w:rPr>
                <w:rFonts w:hint="eastAsia" w:ascii="宋体" w:hAnsi="宋体" w:cs="宋体"/>
                <w:color w:val="000000"/>
                <w:sz w:val="24"/>
                <w:szCs w:val="24"/>
              </w:rPr>
              <w:t>https://credit.yl.gov.cn/</w:t>
            </w:r>
            <w:r>
              <w:rPr>
                <w:rFonts w:hint="eastAsia" w:ascii="宋体" w:hAnsi="宋体" w:cs="宋体"/>
                <w:color w:val="000000"/>
                <w:sz w:val="24"/>
                <w:szCs w:val="24"/>
                <w:lang w:val="zh-TW"/>
              </w:rPr>
              <w:t>）。各投标人注册、登录后根据承诺事项选择相应的模板填写《信用承诺书》，并载明承诺事由，投标人、投标人委托代理人员、投标信用的承诺事由为“项目名称及标段”。操作指南见附件。</w:t>
            </w:r>
            <w:r>
              <w:rPr>
                <w:rFonts w:hint="eastAsia" w:ascii="宋体" w:hAnsi="宋体" w:cs="宋体"/>
                <w:color w:val="000000"/>
                <w:sz w:val="24"/>
                <w:szCs w:val="24"/>
                <w:lang w:val="zh-TW"/>
              </w:rPr>
              <w:fldChar w:fldCharType="end"/>
            </w:r>
          </w:p>
          <w:p w14:paraId="0EC8F11E">
            <w:pPr>
              <w:spacing w:line="360" w:lineRule="auto"/>
              <w:rPr>
                <w:rFonts w:ascii="宋体" w:hAnsi="宋体" w:cs="宋体"/>
                <w:sz w:val="24"/>
                <w:szCs w:val="24"/>
              </w:rPr>
            </w:pPr>
            <w:r>
              <w:rPr>
                <w:rFonts w:hint="eastAsia" w:ascii="宋体" w:hAnsi="宋体" w:cs="宋体"/>
                <w:b/>
                <w:bCs/>
                <w:color w:val="000000"/>
                <w:sz w:val="24"/>
                <w:szCs w:val="24"/>
              </w:rPr>
              <w:t>投标人请将申报截图附在投标文件中。</w:t>
            </w:r>
          </w:p>
        </w:tc>
      </w:tr>
      <w:tr w14:paraId="24FD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jc w:val="center"/>
        </w:trPr>
        <w:tc>
          <w:tcPr>
            <w:tcW w:w="763" w:type="dxa"/>
            <w:noWrap w:val="0"/>
            <w:vAlign w:val="center"/>
          </w:tcPr>
          <w:p w14:paraId="2D23522D">
            <w:pPr>
              <w:spacing w:line="360" w:lineRule="auto"/>
              <w:ind w:left="210"/>
              <w:rPr>
                <w:rFonts w:hint="eastAsia" w:ascii="宋体" w:hAnsi="宋体" w:cs="宋体"/>
                <w:sz w:val="24"/>
                <w:szCs w:val="24"/>
              </w:rPr>
            </w:pPr>
            <w:r>
              <w:rPr>
                <w:rFonts w:hint="eastAsia" w:ascii="宋体" w:hAnsi="宋体" w:cs="宋体"/>
                <w:sz w:val="24"/>
                <w:szCs w:val="24"/>
              </w:rPr>
              <w:t>25</w:t>
            </w:r>
          </w:p>
        </w:tc>
        <w:tc>
          <w:tcPr>
            <w:tcW w:w="10295" w:type="dxa"/>
            <w:noWrap w:val="0"/>
            <w:vAlign w:val="center"/>
          </w:tcPr>
          <w:p w14:paraId="3CFDE63D">
            <w:pPr>
              <w:spacing w:line="360" w:lineRule="auto"/>
              <w:rPr>
                <w:rFonts w:ascii="宋体" w:hAnsi="宋体" w:cs="宋体"/>
                <w:color w:val="FF0000"/>
                <w:sz w:val="24"/>
                <w:szCs w:val="24"/>
              </w:rPr>
            </w:pPr>
            <w:r>
              <w:rPr>
                <w:rFonts w:hint="eastAsia" w:ascii="宋体" w:hAnsi="宋体" w:cs="宋体"/>
                <w:sz w:val="24"/>
                <w:szCs w:val="24"/>
              </w:rPr>
              <w:t>投标文件中的复印件（含扫描件）必须加盖供应商公章（鲜章），否则按无效文件处理。所有复印件应是最新、有效、清晰的。因复印件不清晰而可能导致资料无效，由投标供应商自行负责。</w:t>
            </w:r>
          </w:p>
        </w:tc>
      </w:tr>
      <w:tr w14:paraId="6502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763" w:type="dxa"/>
            <w:noWrap w:val="0"/>
            <w:vAlign w:val="center"/>
          </w:tcPr>
          <w:p w14:paraId="1D6B56C0">
            <w:pPr>
              <w:spacing w:line="360" w:lineRule="auto"/>
              <w:ind w:left="210"/>
              <w:rPr>
                <w:rFonts w:hint="eastAsia" w:ascii="宋体" w:hAnsi="宋体" w:cs="宋体"/>
                <w:sz w:val="24"/>
                <w:szCs w:val="24"/>
              </w:rPr>
            </w:pPr>
            <w:r>
              <w:rPr>
                <w:rFonts w:hint="eastAsia" w:ascii="宋体" w:hAnsi="宋体" w:cs="宋体"/>
                <w:sz w:val="24"/>
                <w:szCs w:val="24"/>
              </w:rPr>
              <w:t>26</w:t>
            </w:r>
          </w:p>
        </w:tc>
        <w:tc>
          <w:tcPr>
            <w:tcW w:w="10295" w:type="dxa"/>
            <w:noWrap w:val="0"/>
            <w:vAlign w:val="center"/>
          </w:tcPr>
          <w:p w14:paraId="24B9AD8A">
            <w:pPr>
              <w:spacing w:line="360" w:lineRule="auto"/>
              <w:rPr>
                <w:rFonts w:ascii="宋体" w:hAnsi="宋体" w:cs="宋体"/>
                <w:sz w:val="24"/>
                <w:szCs w:val="24"/>
              </w:rPr>
            </w:pPr>
            <w:r>
              <w:rPr>
                <w:rFonts w:hint="eastAsia" w:ascii="宋体" w:hAnsi="宋体" w:cs="宋体"/>
                <w:sz w:val="24"/>
                <w:szCs w:val="24"/>
              </w:rPr>
              <w:t>合同签订：成交供应商和采购人签订合同。</w:t>
            </w:r>
          </w:p>
        </w:tc>
      </w:tr>
      <w:tr w14:paraId="2D8E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324914B1">
            <w:pPr>
              <w:spacing w:line="360" w:lineRule="auto"/>
              <w:ind w:left="210"/>
              <w:rPr>
                <w:rFonts w:hint="eastAsia" w:ascii="宋体" w:hAnsi="宋体" w:cs="宋体"/>
                <w:sz w:val="24"/>
                <w:szCs w:val="24"/>
              </w:rPr>
            </w:pPr>
            <w:r>
              <w:rPr>
                <w:rFonts w:hint="eastAsia" w:ascii="宋体" w:hAnsi="宋体" w:cs="宋体"/>
                <w:sz w:val="24"/>
                <w:szCs w:val="24"/>
              </w:rPr>
              <w:t>27</w:t>
            </w:r>
          </w:p>
        </w:tc>
        <w:tc>
          <w:tcPr>
            <w:tcW w:w="10295" w:type="dxa"/>
            <w:noWrap w:val="0"/>
            <w:vAlign w:val="center"/>
          </w:tcPr>
          <w:p w14:paraId="0E2B55A1">
            <w:pPr>
              <w:spacing w:line="360" w:lineRule="auto"/>
              <w:rPr>
                <w:rFonts w:ascii="宋体" w:hAnsi="宋体" w:cs="仿宋_GB2312"/>
                <w:sz w:val="24"/>
                <w:szCs w:val="24"/>
              </w:rPr>
            </w:pPr>
            <w:r>
              <w:rPr>
                <w:rFonts w:hint="eastAsia" w:ascii="宋体" w:hAnsi="宋体" w:cs="仿宋_GB2312"/>
                <w:sz w:val="24"/>
                <w:szCs w:val="24"/>
              </w:rPr>
              <w:t>招标代理服务费：</w:t>
            </w:r>
          </w:p>
          <w:p w14:paraId="3A14DEEA">
            <w:pPr>
              <w:spacing w:line="360" w:lineRule="auto"/>
              <w:rPr>
                <w:rFonts w:ascii="宋体" w:hAnsi="宋体" w:cs="仿宋_GB2312"/>
                <w:sz w:val="24"/>
                <w:szCs w:val="24"/>
              </w:rPr>
            </w:pPr>
            <w:r>
              <w:rPr>
                <w:rFonts w:hint="eastAsia" w:ascii="宋体" w:hAnsi="宋体" w:cs="宋体"/>
                <w:sz w:val="24"/>
                <w:szCs w:val="24"/>
              </w:rPr>
              <w:t>1、采购代理机构参照国家计委关于印发《招标代理服务收费管理暂行办法》的通知（计价格〔2002〕1980号）、《国家发展和改革委员会办公厅关于招标代理服务收费有关问题的通知》（发改办价格〔2003〕857号）规定向</w:t>
            </w:r>
            <w:r>
              <w:rPr>
                <w:rFonts w:hint="eastAsia" w:ascii="宋体" w:hAnsi="宋体" w:cs="宋体"/>
                <w:sz w:val="24"/>
                <w:szCs w:val="24"/>
                <w:lang w:val="en-US" w:eastAsia="zh-CN"/>
              </w:rPr>
              <w:t>采购人</w:t>
            </w:r>
            <w:r>
              <w:rPr>
                <w:rFonts w:hint="eastAsia" w:ascii="宋体" w:hAnsi="宋体" w:cs="宋体"/>
                <w:sz w:val="24"/>
                <w:szCs w:val="24"/>
              </w:rPr>
              <w:t>收取代理服务费</w:t>
            </w:r>
            <w:r>
              <w:rPr>
                <w:rFonts w:hint="eastAsia" w:ascii="宋体" w:hAnsi="宋体" w:cs="宋体"/>
                <w:sz w:val="24"/>
              </w:rPr>
              <w:t>。</w:t>
            </w:r>
          </w:p>
          <w:p w14:paraId="6FB2FF69">
            <w:pPr>
              <w:spacing w:line="360" w:lineRule="auto"/>
              <w:rPr>
                <w:rFonts w:ascii="宋体" w:hAnsi="宋体" w:cs="宋体"/>
                <w:sz w:val="24"/>
                <w:szCs w:val="24"/>
              </w:rPr>
            </w:pPr>
            <w:r>
              <w:rPr>
                <w:rFonts w:hint="eastAsia" w:ascii="宋体" w:hAnsi="宋体" w:cs="宋体"/>
                <w:sz w:val="24"/>
                <w:szCs w:val="24"/>
              </w:rPr>
              <w:t>2、采购代理服务费按差额定率累进法计算：</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9"/>
              <w:gridCol w:w="1214"/>
              <w:gridCol w:w="1444"/>
              <w:gridCol w:w="1445"/>
            </w:tblGrid>
            <w:tr w14:paraId="458F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049" w:type="dxa"/>
                  <w:noWrap w:val="0"/>
                  <w:vAlign w:val="top"/>
                </w:tcPr>
                <w:p w14:paraId="1DF6F810">
                  <w:pPr>
                    <w:spacing w:line="360" w:lineRule="auto"/>
                    <w:rPr>
                      <w:rFonts w:ascii="宋体" w:hAnsi="宋体" w:cs="宋体"/>
                      <w:sz w:val="24"/>
                      <w:szCs w:val="24"/>
                    </w:rPr>
                  </w:pPr>
                  <w:r>
                    <w:rPr>
                      <w:rFonts w:hint="eastAsia" w:ascii="宋体" w:hAnsi="宋体" w:cs="宋体"/>
                      <w:sz w:val="24"/>
                      <w:szCs w:val="24"/>
                    </w:rPr>
                    <w:t>服务类型/费率/中标金额（万元）</w:t>
                  </w:r>
                </w:p>
              </w:tc>
              <w:tc>
                <w:tcPr>
                  <w:tcW w:w="1214" w:type="dxa"/>
                  <w:noWrap w:val="0"/>
                  <w:vAlign w:val="center"/>
                </w:tcPr>
                <w:p w14:paraId="42CBB590">
                  <w:pPr>
                    <w:spacing w:line="360" w:lineRule="auto"/>
                    <w:rPr>
                      <w:rFonts w:ascii="宋体" w:hAnsi="宋体" w:cs="宋体"/>
                      <w:sz w:val="24"/>
                      <w:szCs w:val="24"/>
                    </w:rPr>
                  </w:pPr>
                  <w:r>
                    <w:rPr>
                      <w:rFonts w:hint="eastAsia" w:ascii="宋体" w:hAnsi="宋体" w:cs="宋体"/>
                      <w:sz w:val="24"/>
                      <w:szCs w:val="24"/>
                    </w:rPr>
                    <w:t>货物招标</w:t>
                  </w:r>
                </w:p>
              </w:tc>
              <w:tc>
                <w:tcPr>
                  <w:tcW w:w="1444" w:type="dxa"/>
                  <w:noWrap w:val="0"/>
                  <w:vAlign w:val="center"/>
                </w:tcPr>
                <w:p w14:paraId="162E32EB">
                  <w:pPr>
                    <w:spacing w:line="360" w:lineRule="auto"/>
                    <w:rPr>
                      <w:rFonts w:ascii="宋体" w:hAnsi="宋体" w:cs="宋体"/>
                      <w:sz w:val="24"/>
                      <w:szCs w:val="24"/>
                    </w:rPr>
                  </w:pPr>
                  <w:r>
                    <w:rPr>
                      <w:rFonts w:hint="eastAsia" w:ascii="宋体" w:hAnsi="宋体" w:cs="宋体"/>
                      <w:sz w:val="24"/>
                      <w:szCs w:val="24"/>
                    </w:rPr>
                    <w:t>服务招标</w:t>
                  </w:r>
                </w:p>
              </w:tc>
              <w:tc>
                <w:tcPr>
                  <w:tcW w:w="1445" w:type="dxa"/>
                  <w:noWrap w:val="0"/>
                  <w:vAlign w:val="center"/>
                </w:tcPr>
                <w:p w14:paraId="081639C6">
                  <w:pPr>
                    <w:spacing w:line="360" w:lineRule="auto"/>
                    <w:rPr>
                      <w:rFonts w:ascii="宋体" w:hAnsi="宋体" w:cs="宋体"/>
                      <w:sz w:val="24"/>
                      <w:szCs w:val="24"/>
                    </w:rPr>
                  </w:pPr>
                  <w:r>
                    <w:rPr>
                      <w:rFonts w:hint="eastAsia" w:ascii="宋体" w:hAnsi="宋体" w:cs="宋体"/>
                      <w:sz w:val="24"/>
                      <w:szCs w:val="24"/>
                    </w:rPr>
                    <w:t>工程招标</w:t>
                  </w:r>
                </w:p>
              </w:tc>
            </w:tr>
            <w:tr w14:paraId="34F5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049" w:type="dxa"/>
                  <w:noWrap w:val="0"/>
                  <w:vAlign w:val="top"/>
                </w:tcPr>
                <w:p w14:paraId="378E6F63">
                  <w:pPr>
                    <w:spacing w:line="360" w:lineRule="auto"/>
                    <w:rPr>
                      <w:rFonts w:ascii="宋体" w:hAnsi="宋体" w:cs="宋体"/>
                      <w:sz w:val="24"/>
                      <w:szCs w:val="24"/>
                    </w:rPr>
                  </w:pPr>
                  <w:r>
                    <w:rPr>
                      <w:rFonts w:hint="eastAsia" w:ascii="宋体" w:hAnsi="宋体" w:cs="宋体"/>
                      <w:sz w:val="24"/>
                      <w:szCs w:val="24"/>
                    </w:rPr>
                    <w:t>100以下</w:t>
                  </w:r>
                </w:p>
              </w:tc>
              <w:tc>
                <w:tcPr>
                  <w:tcW w:w="1214" w:type="dxa"/>
                  <w:noWrap w:val="0"/>
                  <w:vAlign w:val="top"/>
                </w:tcPr>
                <w:p w14:paraId="776E7B2A">
                  <w:pPr>
                    <w:spacing w:line="360" w:lineRule="auto"/>
                    <w:rPr>
                      <w:rFonts w:ascii="宋体" w:hAnsi="宋体" w:cs="宋体"/>
                      <w:sz w:val="24"/>
                      <w:szCs w:val="24"/>
                    </w:rPr>
                  </w:pPr>
                  <w:r>
                    <w:rPr>
                      <w:rFonts w:hint="eastAsia" w:ascii="宋体" w:hAnsi="宋体" w:cs="宋体"/>
                      <w:sz w:val="24"/>
                      <w:szCs w:val="24"/>
                    </w:rPr>
                    <w:t>1.5%</w:t>
                  </w:r>
                </w:p>
              </w:tc>
              <w:tc>
                <w:tcPr>
                  <w:tcW w:w="1444" w:type="dxa"/>
                  <w:noWrap w:val="0"/>
                  <w:vAlign w:val="top"/>
                </w:tcPr>
                <w:p w14:paraId="557A1FD0">
                  <w:pPr>
                    <w:spacing w:line="360" w:lineRule="auto"/>
                    <w:rPr>
                      <w:rFonts w:ascii="宋体" w:hAnsi="宋体" w:cs="宋体"/>
                      <w:sz w:val="24"/>
                      <w:szCs w:val="24"/>
                    </w:rPr>
                  </w:pPr>
                  <w:r>
                    <w:rPr>
                      <w:rFonts w:hint="eastAsia" w:ascii="宋体" w:hAnsi="宋体" w:cs="宋体"/>
                      <w:sz w:val="24"/>
                      <w:szCs w:val="24"/>
                    </w:rPr>
                    <w:t>1.5%</w:t>
                  </w:r>
                </w:p>
              </w:tc>
              <w:tc>
                <w:tcPr>
                  <w:tcW w:w="1445" w:type="dxa"/>
                  <w:noWrap w:val="0"/>
                  <w:vAlign w:val="top"/>
                </w:tcPr>
                <w:p w14:paraId="50A45C02">
                  <w:pPr>
                    <w:spacing w:line="360" w:lineRule="auto"/>
                    <w:rPr>
                      <w:rFonts w:ascii="宋体" w:hAnsi="宋体" w:cs="宋体"/>
                      <w:sz w:val="24"/>
                      <w:szCs w:val="24"/>
                    </w:rPr>
                  </w:pPr>
                  <w:r>
                    <w:rPr>
                      <w:rFonts w:hint="eastAsia" w:ascii="宋体" w:hAnsi="宋体" w:cs="宋体"/>
                      <w:sz w:val="24"/>
                      <w:szCs w:val="24"/>
                    </w:rPr>
                    <w:t>1.0%</w:t>
                  </w:r>
                </w:p>
              </w:tc>
            </w:tr>
            <w:tr w14:paraId="6608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1940F456">
                  <w:pPr>
                    <w:spacing w:line="360" w:lineRule="auto"/>
                    <w:rPr>
                      <w:rFonts w:ascii="宋体" w:hAnsi="宋体" w:cs="宋体"/>
                      <w:sz w:val="24"/>
                      <w:szCs w:val="24"/>
                    </w:rPr>
                  </w:pPr>
                  <w:r>
                    <w:rPr>
                      <w:rFonts w:hint="eastAsia" w:ascii="宋体" w:hAnsi="宋体" w:cs="宋体"/>
                      <w:sz w:val="24"/>
                      <w:szCs w:val="24"/>
                    </w:rPr>
                    <w:t>100-500</w:t>
                  </w:r>
                </w:p>
              </w:tc>
              <w:tc>
                <w:tcPr>
                  <w:tcW w:w="1214" w:type="dxa"/>
                  <w:noWrap w:val="0"/>
                  <w:vAlign w:val="top"/>
                </w:tcPr>
                <w:p w14:paraId="26C65C79">
                  <w:pPr>
                    <w:spacing w:line="360" w:lineRule="auto"/>
                    <w:rPr>
                      <w:rFonts w:ascii="宋体" w:hAnsi="宋体" w:cs="宋体"/>
                      <w:sz w:val="24"/>
                      <w:szCs w:val="24"/>
                    </w:rPr>
                  </w:pPr>
                  <w:r>
                    <w:rPr>
                      <w:rFonts w:hint="eastAsia" w:ascii="宋体" w:hAnsi="宋体" w:cs="宋体"/>
                      <w:sz w:val="24"/>
                      <w:szCs w:val="24"/>
                    </w:rPr>
                    <w:t>1.1%</w:t>
                  </w:r>
                </w:p>
              </w:tc>
              <w:tc>
                <w:tcPr>
                  <w:tcW w:w="1444" w:type="dxa"/>
                  <w:noWrap w:val="0"/>
                  <w:vAlign w:val="top"/>
                </w:tcPr>
                <w:p w14:paraId="77850251">
                  <w:pPr>
                    <w:spacing w:line="360" w:lineRule="auto"/>
                    <w:rPr>
                      <w:rFonts w:ascii="宋体" w:hAnsi="宋体" w:cs="宋体"/>
                      <w:sz w:val="24"/>
                      <w:szCs w:val="24"/>
                    </w:rPr>
                  </w:pPr>
                  <w:r>
                    <w:rPr>
                      <w:rFonts w:hint="eastAsia" w:ascii="宋体" w:hAnsi="宋体" w:cs="宋体"/>
                      <w:sz w:val="24"/>
                      <w:szCs w:val="24"/>
                    </w:rPr>
                    <w:t>0.8%</w:t>
                  </w:r>
                </w:p>
              </w:tc>
              <w:tc>
                <w:tcPr>
                  <w:tcW w:w="1445" w:type="dxa"/>
                  <w:noWrap w:val="0"/>
                  <w:vAlign w:val="top"/>
                </w:tcPr>
                <w:p w14:paraId="32E1F2FD">
                  <w:pPr>
                    <w:spacing w:line="360" w:lineRule="auto"/>
                    <w:rPr>
                      <w:rFonts w:ascii="宋体" w:hAnsi="宋体" w:cs="宋体"/>
                      <w:sz w:val="24"/>
                      <w:szCs w:val="24"/>
                    </w:rPr>
                  </w:pPr>
                  <w:r>
                    <w:rPr>
                      <w:rFonts w:hint="eastAsia" w:ascii="宋体" w:hAnsi="宋体" w:cs="宋体"/>
                      <w:sz w:val="24"/>
                      <w:szCs w:val="24"/>
                    </w:rPr>
                    <w:t>0.7%</w:t>
                  </w:r>
                </w:p>
              </w:tc>
            </w:tr>
            <w:tr w14:paraId="685E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5E28499E">
                  <w:pPr>
                    <w:spacing w:line="360" w:lineRule="auto"/>
                    <w:rPr>
                      <w:rFonts w:ascii="宋体" w:hAnsi="宋体" w:cs="宋体"/>
                      <w:sz w:val="24"/>
                      <w:szCs w:val="24"/>
                    </w:rPr>
                  </w:pPr>
                  <w:r>
                    <w:rPr>
                      <w:rFonts w:hint="eastAsia" w:ascii="宋体" w:hAnsi="宋体" w:cs="宋体"/>
                      <w:sz w:val="24"/>
                      <w:szCs w:val="24"/>
                    </w:rPr>
                    <w:t>500-1000</w:t>
                  </w:r>
                </w:p>
              </w:tc>
              <w:tc>
                <w:tcPr>
                  <w:tcW w:w="1214" w:type="dxa"/>
                  <w:noWrap w:val="0"/>
                  <w:vAlign w:val="top"/>
                </w:tcPr>
                <w:p w14:paraId="22699927">
                  <w:pPr>
                    <w:spacing w:line="360" w:lineRule="auto"/>
                    <w:rPr>
                      <w:rFonts w:ascii="宋体" w:hAnsi="宋体" w:cs="宋体"/>
                      <w:sz w:val="24"/>
                      <w:szCs w:val="24"/>
                    </w:rPr>
                  </w:pPr>
                  <w:r>
                    <w:rPr>
                      <w:rFonts w:hint="eastAsia" w:ascii="宋体" w:hAnsi="宋体" w:cs="宋体"/>
                      <w:sz w:val="24"/>
                      <w:szCs w:val="24"/>
                    </w:rPr>
                    <w:t>0.8%</w:t>
                  </w:r>
                </w:p>
              </w:tc>
              <w:tc>
                <w:tcPr>
                  <w:tcW w:w="1444" w:type="dxa"/>
                  <w:noWrap w:val="0"/>
                  <w:vAlign w:val="top"/>
                </w:tcPr>
                <w:p w14:paraId="26EA30F4">
                  <w:pPr>
                    <w:spacing w:line="360" w:lineRule="auto"/>
                    <w:rPr>
                      <w:rFonts w:ascii="宋体" w:hAnsi="宋体" w:cs="宋体"/>
                      <w:sz w:val="24"/>
                      <w:szCs w:val="24"/>
                    </w:rPr>
                  </w:pPr>
                  <w:r>
                    <w:rPr>
                      <w:rFonts w:hint="eastAsia" w:ascii="宋体" w:hAnsi="宋体" w:cs="宋体"/>
                      <w:sz w:val="24"/>
                      <w:szCs w:val="24"/>
                    </w:rPr>
                    <w:t>0.45%</w:t>
                  </w:r>
                </w:p>
              </w:tc>
              <w:tc>
                <w:tcPr>
                  <w:tcW w:w="1445" w:type="dxa"/>
                  <w:noWrap w:val="0"/>
                  <w:vAlign w:val="top"/>
                </w:tcPr>
                <w:p w14:paraId="43098210">
                  <w:pPr>
                    <w:spacing w:line="360" w:lineRule="auto"/>
                    <w:rPr>
                      <w:rFonts w:ascii="宋体" w:hAnsi="宋体" w:cs="宋体"/>
                      <w:sz w:val="24"/>
                      <w:szCs w:val="24"/>
                    </w:rPr>
                  </w:pPr>
                  <w:r>
                    <w:rPr>
                      <w:rFonts w:hint="eastAsia" w:ascii="宋体" w:hAnsi="宋体" w:cs="宋体"/>
                      <w:sz w:val="24"/>
                      <w:szCs w:val="24"/>
                    </w:rPr>
                    <w:t>0.55%</w:t>
                  </w:r>
                </w:p>
              </w:tc>
            </w:tr>
            <w:tr w14:paraId="585B8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743F2283">
                  <w:pPr>
                    <w:spacing w:line="360" w:lineRule="auto"/>
                    <w:rPr>
                      <w:rFonts w:ascii="宋体" w:hAnsi="宋体" w:cs="宋体"/>
                      <w:sz w:val="24"/>
                      <w:szCs w:val="24"/>
                    </w:rPr>
                  </w:pPr>
                  <w:r>
                    <w:rPr>
                      <w:rFonts w:hint="eastAsia" w:ascii="宋体" w:hAnsi="宋体" w:cs="宋体"/>
                      <w:sz w:val="24"/>
                      <w:szCs w:val="24"/>
                    </w:rPr>
                    <w:t>1000-5000</w:t>
                  </w:r>
                </w:p>
              </w:tc>
              <w:tc>
                <w:tcPr>
                  <w:tcW w:w="1214" w:type="dxa"/>
                  <w:noWrap w:val="0"/>
                  <w:vAlign w:val="top"/>
                </w:tcPr>
                <w:p w14:paraId="499CDA19">
                  <w:pPr>
                    <w:spacing w:line="360" w:lineRule="auto"/>
                    <w:rPr>
                      <w:rFonts w:ascii="宋体" w:hAnsi="宋体" w:cs="宋体"/>
                      <w:sz w:val="24"/>
                      <w:szCs w:val="24"/>
                    </w:rPr>
                  </w:pPr>
                  <w:r>
                    <w:rPr>
                      <w:rFonts w:hint="eastAsia" w:ascii="宋体" w:hAnsi="宋体" w:cs="宋体"/>
                      <w:sz w:val="24"/>
                      <w:szCs w:val="24"/>
                    </w:rPr>
                    <w:t>0.5%</w:t>
                  </w:r>
                </w:p>
              </w:tc>
              <w:tc>
                <w:tcPr>
                  <w:tcW w:w="1444" w:type="dxa"/>
                  <w:noWrap w:val="0"/>
                  <w:vAlign w:val="top"/>
                </w:tcPr>
                <w:p w14:paraId="39E47366">
                  <w:pPr>
                    <w:spacing w:line="360" w:lineRule="auto"/>
                    <w:rPr>
                      <w:rFonts w:ascii="宋体" w:hAnsi="宋体" w:cs="宋体"/>
                      <w:sz w:val="24"/>
                      <w:szCs w:val="24"/>
                    </w:rPr>
                  </w:pPr>
                  <w:r>
                    <w:rPr>
                      <w:rFonts w:hint="eastAsia" w:ascii="宋体" w:hAnsi="宋体" w:cs="宋体"/>
                      <w:sz w:val="24"/>
                      <w:szCs w:val="24"/>
                    </w:rPr>
                    <w:t>0.25%</w:t>
                  </w:r>
                </w:p>
              </w:tc>
              <w:tc>
                <w:tcPr>
                  <w:tcW w:w="1445" w:type="dxa"/>
                  <w:noWrap w:val="0"/>
                  <w:vAlign w:val="top"/>
                </w:tcPr>
                <w:p w14:paraId="596DB38D">
                  <w:pPr>
                    <w:spacing w:line="360" w:lineRule="auto"/>
                    <w:rPr>
                      <w:rFonts w:ascii="宋体" w:hAnsi="宋体" w:cs="宋体"/>
                      <w:sz w:val="24"/>
                      <w:szCs w:val="24"/>
                    </w:rPr>
                  </w:pPr>
                  <w:r>
                    <w:rPr>
                      <w:rFonts w:hint="eastAsia" w:ascii="宋体" w:hAnsi="宋体" w:cs="宋体"/>
                      <w:sz w:val="24"/>
                      <w:szCs w:val="24"/>
                    </w:rPr>
                    <w:t>0.35%</w:t>
                  </w:r>
                </w:p>
              </w:tc>
            </w:tr>
            <w:tr w14:paraId="44E2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14B2D020">
                  <w:pPr>
                    <w:spacing w:line="360" w:lineRule="auto"/>
                    <w:rPr>
                      <w:rFonts w:ascii="宋体" w:hAnsi="宋体" w:cs="宋体"/>
                      <w:sz w:val="24"/>
                      <w:szCs w:val="24"/>
                    </w:rPr>
                  </w:pPr>
                  <w:r>
                    <w:rPr>
                      <w:rFonts w:hint="eastAsia" w:ascii="宋体" w:hAnsi="宋体" w:cs="宋体"/>
                      <w:sz w:val="24"/>
                      <w:szCs w:val="24"/>
                    </w:rPr>
                    <w:t>5000-10000</w:t>
                  </w:r>
                </w:p>
              </w:tc>
              <w:tc>
                <w:tcPr>
                  <w:tcW w:w="1214" w:type="dxa"/>
                  <w:noWrap w:val="0"/>
                  <w:vAlign w:val="top"/>
                </w:tcPr>
                <w:p w14:paraId="2FB6965A">
                  <w:pPr>
                    <w:spacing w:line="360" w:lineRule="auto"/>
                    <w:rPr>
                      <w:rFonts w:ascii="宋体" w:hAnsi="宋体" w:cs="宋体"/>
                      <w:sz w:val="24"/>
                      <w:szCs w:val="24"/>
                    </w:rPr>
                  </w:pPr>
                  <w:r>
                    <w:rPr>
                      <w:rFonts w:hint="eastAsia" w:ascii="宋体" w:hAnsi="宋体" w:cs="宋体"/>
                      <w:sz w:val="24"/>
                      <w:szCs w:val="24"/>
                    </w:rPr>
                    <w:t>0.25%</w:t>
                  </w:r>
                </w:p>
              </w:tc>
              <w:tc>
                <w:tcPr>
                  <w:tcW w:w="1444" w:type="dxa"/>
                  <w:noWrap w:val="0"/>
                  <w:vAlign w:val="top"/>
                </w:tcPr>
                <w:p w14:paraId="314222C7">
                  <w:pPr>
                    <w:spacing w:line="360" w:lineRule="auto"/>
                    <w:rPr>
                      <w:rFonts w:ascii="宋体" w:hAnsi="宋体" w:cs="宋体"/>
                      <w:sz w:val="24"/>
                      <w:szCs w:val="24"/>
                    </w:rPr>
                  </w:pPr>
                  <w:r>
                    <w:rPr>
                      <w:rFonts w:hint="eastAsia" w:ascii="宋体" w:hAnsi="宋体" w:cs="宋体"/>
                      <w:sz w:val="24"/>
                      <w:szCs w:val="24"/>
                    </w:rPr>
                    <w:t>0.1%</w:t>
                  </w:r>
                </w:p>
              </w:tc>
              <w:tc>
                <w:tcPr>
                  <w:tcW w:w="1445" w:type="dxa"/>
                  <w:noWrap w:val="0"/>
                  <w:vAlign w:val="top"/>
                </w:tcPr>
                <w:p w14:paraId="1C98A770">
                  <w:pPr>
                    <w:spacing w:line="360" w:lineRule="auto"/>
                    <w:rPr>
                      <w:rFonts w:ascii="宋体" w:hAnsi="宋体" w:cs="宋体"/>
                      <w:sz w:val="24"/>
                      <w:szCs w:val="24"/>
                    </w:rPr>
                  </w:pPr>
                  <w:r>
                    <w:rPr>
                      <w:rFonts w:hint="eastAsia" w:ascii="宋体" w:hAnsi="宋体" w:cs="宋体"/>
                      <w:sz w:val="24"/>
                      <w:szCs w:val="24"/>
                    </w:rPr>
                    <w:t>0.2%</w:t>
                  </w:r>
                </w:p>
              </w:tc>
            </w:tr>
            <w:tr w14:paraId="4624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2049" w:type="dxa"/>
                  <w:noWrap w:val="0"/>
                  <w:vAlign w:val="top"/>
                </w:tcPr>
                <w:p w14:paraId="032A7A15">
                  <w:pPr>
                    <w:spacing w:line="360" w:lineRule="auto"/>
                    <w:rPr>
                      <w:rFonts w:ascii="宋体" w:hAnsi="宋体" w:cs="宋体"/>
                      <w:sz w:val="24"/>
                      <w:szCs w:val="24"/>
                    </w:rPr>
                  </w:pPr>
                  <w:r>
                    <w:rPr>
                      <w:rFonts w:hint="eastAsia" w:ascii="宋体" w:hAnsi="宋体" w:cs="宋体"/>
                      <w:sz w:val="24"/>
                      <w:szCs w:val="24"/>
                    </w:rPr>
                    <w:t>10000-100000</w:t>
                  </w:r>
                </w:p>
              </w:tc>
              <w:tc>
                <w:tcPr>
                  <w:tcW w:w="1214" w:type="dxa"/>
                  <w:noWrap w:val="0"/>
                  <w:vAlign w:val="top"/>
                </w:tcPr>
                <w:p w14:paraId="490C8895">
                  <w:pPr>
                    <w:spacing w:line="360" w:lineRule="auto"/>
                    <w:rPr>
                      <w:rFonts w:ascii="宋体" w:hAnsi="宋体" w:cs="宋体"/>
                      <w:sz w:val="24"/>
                      <w:szCs w:val="24"/>
                    </w:rPr>
                  </w:pPr>
                  <w:r>
                    <w:rPr>
                      <w:rFonts w:hint="eastAsia" w:ascii="宋体" w:hAnsi="宋体" w:cs="宋体"/>
                      <w:sz w:val="24"/>
                      <w:szCs w:val="24"/>
                    </w:rPr>
                    <w:t>0.05%</w:t>
                  </w:r>
                </w:p>
              </w:tc>
              <w:tc>
                <w:tcPr>
                  <w:tcW w:w="1444" w:type="dxa"/>
                  <w:noWrap w:val="0"/>
                  <w:vAlign w:val="top"/>
                </w:tcPr>
                <w:p w14:paraId="6A0E6E96">
                  <w:pPr>
                    <w:spacing w:line="360" w:lineRule="auto"/>
                    <w:rPr>
                      <w:rFonts w:ascii="宋体" w:hAnsi="宋体" w:cs="宋体"/>
                      <w:sz w:val="24"/>
                      <w:szCs w:val="24"/>
                    </w:rPr>
                  </w:pPr>
                  <w:r>
                    <w:rPr>
                      <w:rFonts w:hint="eastAsia" w:ascii="宋体" w:hAnsi="宋体" w:cs="宋体"/>
                      <w:sz w:val="24"/>
                      <w:szCs w:val="24"/>
                    </w:rPr>
                    <w:t>0.05%</w:t>
                  </w:r>
                </w:p>
              </w:tc>
              <w:tc>
                <w:tcPr>
                  <w:tcW w:w="1445" w:type="dxa"/>
                  <w:noWrap w:val="0"/>
                  <w:vAlign w:val="top"/>
                </w:tcPr>
                <w:p w14:paraId="0BAE6D39">
                  <w:pPr>
                    <w:spacing w:line="360" w:lineRule="auto"/>
                    <w:rPr>
                      <w:rFonts w:ascii="宋体" w:hAnsi="宋体" w:cs="宋体"/>
                      <w:sz w:val="24"/>
                      <w:szCs w:val="24"/>
                    </w:rPr>
                  </w:pPr>
                  <w:r>
                    <w:rPr>
                      <w:rFonts w:hint="eastAsia" w:ascii="宋体" w:hAnsi="宋体" w:cs="宋体"/>
                      <w:sz w:val="24"/>
                      <w:szCs w:val="24"/>
                    </w:rPr>
                    <w:t>0.05%</w:t>
                  </w:r>
                </w:p>
              </w:tc>
            </w:tr>
            <w:tr w14:paraId="471F8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2049" w:type="dxa"/>
                  <w:noWrap w:val="0"/>
                  <w:vAlign w:val="top"/>
                </w:tcPr>
                <w:p w14:paraId="063A2545">
                  <w:pPr>
                    <w:spacing w:line="360" w:lineRule="auto"/>
                    <w:rPr>
                      <w:rFonts w:ascii="宋体" w:hAnsi="宋体" w:cs="宋体"/>
                      <w:sz w:val="24"/>
                      <w:szCs w:val="24"/>
                    </w:rPr>
                  </w:pPr>
                  <w:r>
                    <w:rPr>
                      <w:rFonts w:hint="eastAsia" w:ascii="宋体" w:hAnsi="宋体" w:cs="宋体"/>
                      <w:sz w:val="24"/>
                      <w:szCs w:val="24"/>
                    </w:rPr>
                    <w:t>1000000以上</w:t>
                  </w:r>
                </w:p>
              </w:tc>
              <w:tc>
                <w:tcPr>
                  <w:tcW w:w="1214" w:type="dxa"/>
                  <w:noWrap w:val="0"/>
                  <w:vAlign w:val="top"/>
                </w:tcPr>
                <w:p w14:paraId="4ED624CD">
                  <w:pPr>
                    <w:spacing w:line="360" w:lineRule="auto"/>
                    <w:rPr>
                      <w:rFonts w:ascii="宋体" w:hAnsi="宋体" w:cs="宋体"/>
                      <w:sz w:val="24"/>
                      <w:szCs w:val="24"/>
                    </w:rPr>
                  </w:pPr>
                  <w:r>
                    <w:rPr>
                      <w:rFonts w:hint="eastAsia" w:ascii="宋体" w:hAnsi="宋体" w:cs="宋体"/>
                      <w:sz w:val="24"/>
                      <w:szCs w:val="24"/>
                    </w:rPr>
                    <w:t>0.01%</w:t>
                  </w:r>
                </w:p>
              </w:tc>
              <w:tc>
                <w:tcPr>
                  <w:tcW w:w="1444" w:type="dxa"/>
                  <w:noWrap w:val="0"/>
                  <w:vAlign w:val="top"/>
                </w:tcPr>
                <w:p w14:paraId="1FD7ACB2">
                  <w:pPr>
                    <w:spacing w:line="360" w:lineRule="auto"/>
                    <w:rPr>
                      <w:rFonts w:ascii="宋体" w:hAnsi="宋体" w:cs="宋体"/>
                      <w:sz w:val="24"/>
                      <w:szCs w:val="24"/>
                    </w:rPr>
                  </w:pPr>
                  <w:r>
                    <w:rPr>
                      <w:rFonts w:hint="eastAsia" w:ascii="宋体" w:hAnsi="宋体" w:cs="宋体"/>
                      <w:sz w:val="24"/>
                      <w:szCs w:val="24"/>
                    </w:rPr>
                    <w:t>0.01%</w:t>
                  </w:r>
                </w:p>
              </w:tc>
              <w:tc>
                <w:tcPr>
                  <w:tcW w:w="1445" w:type="dxa"/>
                  <w:noWrap w:val="0"/>
                  <w:vAlign w:val="top"/>
                </w:tcPr>
                <w:p w14:paraId="4F171865">
                  <w:pPr>
                    <w:spacing w:line="360" w:lineRule="auto"/>
                    <w:rPr>
                      <w:rFonts w:ascii="宋体" w:hAnsi="宋体" w:cs="宋体"/>
                      <w:sz w:val="24"/>
                      <w:szCs w:val="24"/>
                    </w:rPr>
                  </w:pPr>
                  <w:r>
                    <w:rPr>
                      <w:rFonts w:hint="eastAsia" w:ascii="宋体" w:hAnsi="宋体" w:cs="宋体"/>
                      <w:sz w:val="24"/>
                      <w:szCs w:val="24"/>
                    </w:rPr>
                    <w:t>0.01%</w:t>
                  </w:r>
                </w:p>
              </w:tc>
            </w:tr>
          </w:tbl>
          <w:p w14:paraId="51B8D1C1">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某货物招标成交金额为678.2万元，采购代理服务费计算如下：</w:t>
            </w:r>
          </w:p>
          <w:p w14:paraId="27FCDF5F">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100万元*1.5%=1.50万元 01(500-100)*1.1%=4.40万元</w:t>
            </w:r>
          </w:p>
          <w:p w14:paraId="79222741">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(678.2-500)*0.8%=1.4256万元</w:t>
            </w:r>
          </w:p>
          <w:p w14:paraId="74BA804D">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服务费=1.50+4.40+1.4256=7.3256万元。</w:t>
            </w:r>
          </w:p>
          <w:p w14:paraId="79D72920">
            <w:pPr>
              <w:spacing w:line="360" w:lineRule="auto"/>
              <w:rPr>
                <w:rFonts w:ascii="宋体" w:hAnsi="宋体" w:cs="宋体"/>
                <w:sz w:val="24"/>
                <w:szCs w:val="24"/>
              </w:rPr>
            </w:pPr>
            <w:r>
              <w:rPr>
                <w:rFonts w:hint="eastAsia" w:ascii="宋体" w:hAnsi="宋体" w:eastAsia="宋体" w:cs="宋体"/>
                <w:b w:val="0"/>
                <w:bCs w:val="0"/>
                <w:color w:val="000000"/>
                <w:sz w:val="24"/>
                <w:szCs w:val="24"/>
                <w:lang w:val="en-US" w:eastAsia="zh-CN"/>
              </w:rPr>
              <w:t>3、本项目项目属性：货物招标。</w:t>
            </w:r>
          </w:p>
        </w:tc>
      </w:tr>
      <w:tr w14:paraId="7A4DF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054431EB">
            <w:pPr>
              <w:spacing w:line="360" w:lineRule="auto"/>
              <w:jc w:val="center"/>
              <w:rPr>
                <w:rFonts w:hint="eastAsia" w:ascii="宋体" w:hAnsi="宋体" w:cs="仿宋_GB2312"/>
                <w:sz w:val="24"/>
                <w:szCs w:val="24"/>
              </w:rPr>
            </w:pPr>
            <w:r>
              <w:rPr>
                <w:rFonts w:hint="eastAsia" w:ascii="宋体" w:hAnsi="宋体" w:cs="仿宋_GB2312"/>
                <w:sz w:val="24"/>
                <w:szCs w:val="24"/>
              </w:rPr>
              <w:t>28</w:t>
            </w:r>
          </w:p>
        </w:tc>
        <w:tc>
          <w:tcPr>
            <w:tcW w:w="10295" w:type="dxa"/>
            <w:noWrap w:val="0"/>
            <w:vAlign w:val="center"/>
          </w:tcPr>
          <w:p w14:paraId="1C097A1D">
            <w:pPr>
              <w:spacing w:line="360" w:lineRule="auto"/>
              <w:rPr>
                <w:rFonts w:ascii="宋体" w:hAnsi="宋体" w:cs="宋体"/>
                <w:sz w:val="24"/>
                <w:szCs w:val="24"/>
              </w:rPr>
            </w:pPr>
            <w:r>
              <w:rPr>
                <w:rFonts w:hint="eastAsia" w:ascii="宋体" w:hAnsi="宋体" w:cs="宋体"/>
                <w:sz w:val="24"/>
                <w:szCs w:val="24"/>
              </w:rPr>
              <w:t>谈判报价轮次：</w:t>
            </w:r>
            <w:r>
              <w:rPr>
                <w:rFonts w:hint="eastAsia" w:ascii="思源宋体 CN Light" w:hAnsi="思源宋体 CN Light" w:eastAsia="思源宋体 CN Light" w:cs="思源宋体 CN Light"/>
                <w:sz w:val="24"/>
                <w:szCs w:val="24"/>
              </w:rPr>
              <w:t>供应商保持在线直到评审结束</w:t>
            </w:r>
          </w:p>
          <w:p w14:paraId="39E72518">
            <w:pPr>
              <w:spacing w:line="360" w:lineRule="auto"/>
              <w:rPr>
                <w:rFonts w:ascii="宋体" w:hAnsi="宋体" w:cs="宋体"/>
                <w:sz w:val="24"/>
                <w:szCs w:val="24"/>
              </w:rPr>
            </w:pPr>
            <w:r>
              <w:rPr>
                <w:rFonts w:hint="eastAsia" w:ascii="宋体" w:hAnsi="宋体" w:cs="宋体"/>
                <w:sz w:val="24"/>
                <w:szCs w:val="24"/>
              </w:rPr>
              <w:t>多轮（投标文件中报价为第一轮，谈判不见面开标会议为第二轮）</w:t>
            </w:r>
          </w:p>
          <w:p w14:paraId="27D13124">
            <w:pPr>
              <w:spacing w:line="360" w:lineRule="auto"/>
              <w:rPr>
                <w:rFonts w:ascii="宋体" w:hAnsi="宋体" w:cs="宋体"/>
                <w:sz w:val="24"/>
                <w:szCs w:val="24"/>
              </w:rPr>
            </w:pPr>
            <w:r>
              <w:rPr>
                <w:rFonts w:hint="eastAsia" w:ascii="宋体" w:hAnsi="宋体" w:cs="宋体"/>
                <w:sz w:val="24"/>
                <w:szCs w:val="24"/>
              </w:rPr>
              <w:t>最后一轮报价时间：开标会议</w:t>
            </w:r>
            <w:r>
              <w:rPr>
                <w:rFonts w:hint="eastAsia" w:ascii="思源宋体 CN Light" w:hAnsi="思源宋体 CN Light" w:eastAsia="思源宋体 CN Light" w:cs="思源宋体 CN Light"/>
                <w:sz w:val="24"/>
                <w:szCs w:val="24"/>
              </w:rPr>
              <w:t>在线</w:t>
            </w:r>
            <w:r>
              <w:rPr>
                <w:rFonts w:hint="eastAsia" w:ascii="宋体" w:hAnsi="宋体" w:cs="宋体"/>
                <w:sz w:val="24"/>
                <w:szCs w:val="24"/>
              </w:rPr>
              <w:t>或手机通知</w:t>
            </w:r>
            <w:r>
              <w:rPr>
                <w:rFonts w:hint="eastAsia" w:ascii="宋体" w:hAnsi="宋体" w:cs="宋体"/>
                <w:b/>
                <w:bCs/>
                <w:sz w:val="24"/>
                <w:szCs w:val="24"/>
              </w:rPr>
              <w:t>（供应商保持在线直到评审结束，请投标单位本项目授权委托人或法人代表保持手机畅通，以便于接收最后报价通知，各供应商在CA锁-网上报价进行最后报价。）</w:t>
            </w:r>
          </w:p>
        </w:tc>
      </w:tr>
      <w:tr w14:paraId="0CCC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4AD80182">
            <w:pPr>
              <w:spacing w:line="360" w:lineRule="auto"/>
              <w:jc w:val="center"/>
              <w:rPr>
                <w:rFonts w:ascii="宋体" w:hAnsi="宋体" w:cs="仿宋_GB2312"/>
                <w:sz w:val="24"/>
                <w:szCs w:val="24"/>
              </w:rPr>
            </w:pPr>
            <w:r>
              <w:rPr>
                <w:rFonts w:hint="eastAsia" w:ascii="宋体" w:hAnsi="宋体" w:cs="仿宋_GB2312"/>
                <w:sz w:val="24"/>
                <w:szCs w:val="24"/>
              </w:rPr>
              <w:t>29</w:t>
            </w:r>
          </w:p>
        </w:tc>
        <w:tc>
          <w:tcPr>
            <w:tcW w:w="10295" w:type="dxa"/>
            <w:noWrap w:val="0"/>
            <w:vAlign w:val="center"/>
          </w:tcPr>
          <w:p w14:paraId="716A976F">
            <w:pPr>
              <w:spacing w:line="360" w:lineRule="auto"/>
              <w:ind w:firstLine="480" w:firstLineChars="200"/>
              <w:rPr>
                <w:rFonts w:ascii="宋体" w:hAnsi="宋体" w:cs="宋体"/>
                <w:sz w:val="24"/>
                <w:szCs w:val="24"/>
              </w:rPr>
            </w:pPr>
            <w:r>
              <w:rPr>
                <w:rFonts w:hint="eastAsia" w:ascii="宋体" w:hAnsi="宋体" w:eastAsia="宋体" w:cs="宋体"/>
                <w:bCs/>
                <w:kern w:val="0"/>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Cs/>
                <w:kern w:val="0"/>
                <w:sz w:val="24"/>
                <w:szCs w:val="24"/>
                <w:lang w:val="en-US" w:eastAsia="zh-CN"/>
              </w:rPr>
              <w:t xml:space="preserve"> </w:t>
            </w:r>
            <w:r>
              <w:rPr>
                <w:rFonts w:hint="eastAsia" w:ascii="宋体" w:hAnsi="宋体" w:eastAsia="宋体" w:cs="宋体"/>
                <w:bCs/>
                <w:kern w:val="0"/>
                <w:sz w:val="24"/>
                <w:szCs w:val="24"/>
              </w:rPr>
              <w:t>国办《关于促进中小企业健康发展的指导意见》、财政部</w:t>
            </w:r>
            <w:r>
              <w:rPr>
                <w:rFonts w:hint="eastAsia" w:ascii="宋体" w:hAnsi="宋体" w:eastAsia="宋体" w:cs="宋体"/>
                <w:bCs/>
                <w:kern w:val="0"/>
                <w:sz w:val="24"/>
                <w:szCs w:val="24"/>
                <w:lang w:val="en-US" w:eastAsia="zh-CN"/>
              </w:rPr>
              <w:t xml:space="preserve"> </w:t>
            </w:r>
            <w:r>
              <w:rPr>
                <w:rFonts w:hint="eastAsia" w:ascii="宋体" w:hAnsi="宋体" w:eastAsia="宋体" w:cs="宋体"/>
                <w:bCs/>
                <w:kern w:val="0"/>
                <w:sz w:val="24"/>
                <w:szCs w:val="24"/>
              </w:rPr>
              <w:t>工信部《政府采购促进中小企业发展</w:t>
            </w:r>
            <w:r>
              <w:rPr>
                <w:rFonts w:hint="eastAsia" w:ascii="宋体" w:hAnsi="宋体" w:eastAsia="宋体" w:cs="宋体"/>
                <w:bCs/>
                <w:kern w:val="0"/>
                <w:sz w:val="24"/>
                <w:szCs w:val="24"/>
                <w:lang w:val="en-US" w:eastAsia="zh-CN"/>
              </w:rPr>
              <w:t>管理</w:t>
            </w:r>
            <w:r>
              <w:rPr>
                <w:rFonts w:hint="eastAsia" w:ascii="宋体" w:hAnsi="宋体" w:eastAsia="宋体" w:cs="宋体"/>
                <w:bCs/>
                <w:kern w:val="0"/>
                <w:sz w:val="24"/>
                <w:szCs w:val="24"/>
              </w:rPr>
              <w:t>办法》（财库〔20</w:t>
            </w:r>
            <w:r>
              <w:rPr>
                <w:rFonts w:hint="eastAsia" w:ascii="宋体" w:hAnsi="宋体" w:eastAsia="宋体" w:cs="宋体"/>
                <w:bCs/>
                <w:kern w:val="0"/>
                <w:sz w:val="24"/>
                <w:szCs w:val="24"/>
                <w:lang w:val="en-US" w:eastAsia="zh-CN"/>
              </w:rPr>
              <w:t>20</w:t>
            </w:r>
            <w:r>
              <w:rPr>
                <w:rFonts w:hint="eastAsia" w:ascii="宋体" w:hAnsi="宋体" w:eastAsia="宋体" w:cs="宋体"/>
                <w:bCs/>
                <w:kern w:val="0"/>
                <w:sz w:val="24"/>
                <w:szCs w:val="24"/>
              </w:rPr>
              <w:t>〕</w:t>
            </w:r>
            <w:r>
              <w:rPr>
                <w:rFonts w:hint="eastAsia" w:ascii="宋体" w:hAnsi="宋体" w:eastAsia="宋体" w:cs="宋体"/>
                <w:bCs/>
                <w:kern w:val="0"/>
                <w:sz w:val="24"/>
                <w:szCs w:val="24"/>
                <w:lang w:val="en-US" w:eastAsia="zh-CN"/>
              </w:rPr>
              <w:t>46</w:t>
            </w:r>
            <w:r>
              <w:rPr>
                <w:rFonts w:hint="eastAsia" w:ascii="宋体" w:hAnsi="宋体" w:eastAsia="宋体" w:cs="宋体"/>
                <w:bCs/>
                <w:kern w:val="0"/>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Cs/>
                <w:kern w:val="0"/>
                <w:sz w:val="24"/>
                <w:szCs w:val="24"/>
                <w:lang w:eastAsia="zh-CN"/>
              </w:rPr>
              <w:t>、</w:t>
            </w:r>
            <w:r>
              <w:rPr>
                <w:rFonts w:hint="eastAsia" w:ascii="宋体" w:hAnsi="宋体" w:eastAsia="宋体" w:cs="宋体"/>
                <w:bCs/>
                <w:kern w:val="0"/>
                <w:sz w:val="24"/>
                <w:szCs w:val="24"/>
                <w:lang w:val="en-US" w:eastAsia="zh-CN"/>
              </w:rPr>
              <w:t>《陕西省财政厅 中国人民银行西安分行关于深入推进政府采购信用融资业务</w:t>
            </w:r>
            <w:r>
              <w:rPr>
                <w:rFonts w:hint="default" w:ascii="宋体" w:hAnsi="宋体" w:eastAsia="宋体" w:cs="宋体"/>
                <w:bCs/>
                <w:kern w:val="0"/>
                <w:sz w:val="24"/>
                <w:szCs w:val="24"/>
                <w:lang w:val="en-US" w:eastAsia="zh-CN"/>
              </w:rPr>
              <w:t>的通知</w:t>
            </w:r>
            <w:r>
              <w:rPr>
                <w:rFonts w:hint="eastAsia" w:ascii="宋体" w:hAnsi="宋体" w:eastAsia="宋体" w:cs="宋体"/>
                <w:bCs/>
                <w:kern w:val="0"/>
                <w:sz w:val="24"/>
                <w:szCs w:val="24"/>
                <w:lang w:val="en-US" w:eastAsia="zh-CN"/>
              </w:rPr>
              <w:t>》</w:t>
            </w:r>
            <w:r>
              <w:rPr>
                <w:rFonts w:hint="eastAsia" w:ascii="宋体" w:hAnsi="宋体" w:eastAsia="宋体" w:cs="宋体"/>
                <w:bCs/>
                <w:kern w:val="0"/>
                <w:sz w:val="24"/>
                <w:szCs w:val="24"/>
              </w:rPr>
              <w:t>（陕财办采〔202</w:t>
            </w:r>
            <w:r>
              <w:rPr>
                <w:rFonts w:hint="eastAsia" w:ascii="宋体" w:hAnsi="宋体" w:eastAsia="宋体" w:cs="宋体"/>
                <w:bCs/>
                <w:kern w:val="0"/>
                <w:sz w:val="24"/>
                <w:szCs w:val="24"/>
                <w:lang w:val="en-US" w:eastAsia="zh-CN"/>
              </w:rPr>
              <w:t>3</w:t>
            </w:r>
            <w:r>
              <w:rPr>
                <w:rFonts w:hint="eastAsia" w:ascii="宋体" w:hAnsi="宋体" w:eastAsia="宋体" w:cs="宋体"/>
                <w:bCs/>
                <w:kern w:val="0"/>
                <w:sz w:val="24"/>
                <w:szCs w:val="24"/>
              </w:rPr>
              <w:t>〕5号）等有关规定，按照</w:t>
            </w:r>
            <w:r>
              <w:rPr>
                <w:rFonts w:hint="eastAsia" w:ascii="宋体" w:hAnsi="宋体" w:eastAsia="宋体" w:cs="宋体"/>
                <w:bCs/>
                <w:kern w:val="0"/>
                <w:sz w:val="24"/>
                <w:szCs w:val="24"/>
                <w:lang w:val="en-US" w:eastAsia="zh-CN"/>
              </w:rPr>
              <w:t>政府</w:t>
            </w:r>
            <w:r>
              <w:rPr>
                <w:rFonts w:hint="eastAsia" w:ascii="宋体" w:hAnsi="宋体" w:eastAsia="宋体" w:cs="宋体"/>
                <w:bCs/>
                <w:kern w:val="0"/>
                <w:sz w:val="24"/>
                <w:szCs w:val="24"/>
              </w:rPr>
              <w:t>引导、</w:t>
            </w:r>
            <w:r>
              <w:rPr>
                <w:rFonts w:hint="eastAsia" w:ascii="宋体" w:hAnsi="宋体" w:eastAsia="宋体" w:cs="宋体"/>
                <w:bCs/>
                <w:kern w:val="0"/>
                <w:sz w:val="24"/>
                <w:szCs w:val="24"/>
                <w:lang w:val="en-US" w:eastAsia="zh-CN"/>
              </w:rPr>
              <w:t>市场运作、银企</w:t>
            </w:r>
            <w:r>
              <w:rPr>
                <w:rFonts w:hint="eastAsia" w:ascii="宋体" w:hAnsi="宋体" w:eastAsia="宋体" w:cs="宋体"/>
                <w:bCs/>
                <w:kern w:val="0"/>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bCs/>
                <w:kern w:val="0"/>
                <w:sz w:val="24"/>
                <w:szCs w:val="24"/>
                <w:lang w:val="en-US" w:eastAsia="zh-CN"/>
              </w:rPr>
              <w:t>或中征平台（https://www.crcrfsp.com）</w:t>
            </w:r>
            <w:r>
              <w:rPr>
                <w:rFonts w:hint="eastAsia" w:ascii="宋体" w:hAnsi="宋体" w:eastAsia="宋体" w:cs="宋体"/>
                <w:bCs/>
                <w:kern w:val="0"/>
                <w:sz w:val="24"/>
                <w:szCs w:val="24"/>
              </w:rPr>
              <w:t>在线申请，依法参加政府采购信用融资活动。</w:t>
            </w:r>
          </w:p>
        </w:tc>
      </w:tr>
      <w:tr w14:paraId="5E8F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63" w:type="dxa"/>
            <w:noWrap w:val="0"/>
            <w:vAlign w:val="center"/>
          </w:tcPr>
          <w:p w14:paraId="04CB7C98">
            <w:pPr>
              <w:spacing w:line="360" w:lineRule="auto"/>
              <w:jc w:val="center"/>
              <w:rPr>
                <w:rFonts w:hint="eastAsia" w:ascii="宋体" w:hAnsi="宋体" w:cs="仿宋_GB2312"/>
                <w:sz w:val="24"/>
                <w:szCs w:val="24"/>
              </w:rPr>
            </w:pPr>
            <w:r>
              <w:rPr>
                <w:rFonts w:hint="eastAsia" w:ascii="宋体" w:hAnsi="宋体" w:cs="仿宋_GB2312"/>
                <w:sz w:val="24"/>
                <w:szCs w:val="24"/>
              </w:rPr>
              <w:t>30</w:t>
            </w:r>
          </w:p>
        </w:tc>
        <w:tc>
          <w:tcPr>
            <w:tcW w:w="10295" w:type="dxa"/>
            <w:noWrap w:val="0"/>
            <w:vAlign w:val="center"/>
          </w:tcPr>
          <w:p w14:paraId="5C92E768">
            <w:pPr>
              <w:widowControl/>
              <w:spacing w:line="360" w:lineRule="auto"/>
              <w:jc w:val="left"/>
            </w:pPr>
            <w:r>
              <w:rPr>
                <w:rFonts w:hint="eastAsia" w:ascii="宋体" w:hAnsi="宋体" w:cs="宋体"/>
                <w:b/>
                <w:bCs/>
                <w:kern w:val="0"/>
                <w:sz w:val="24"/>
                <w:szCs w:val="24"/>
                <w:lang w:bidi="ar"/>
              </w:rPr>
              <w:t>特别提醒：本项目采用电子化投标文件与纸质投标文件并行的方式。</w:t>
            </w:r>
          </w:p>
          <w:p w14:paraId="0C689577">
            <w:pPr>
              <w:widowControl/>
              <w:spacing w:line="360" w:lineRule="auto"/>
              <w:ind w:firstLine="480" w:firstLineChars="200"/>
              <w:jc w:val="left"/>
            </w:pPr>
            <w:r>
              <w:rPr>
                <w:rFonts w:hint="eastAsia" w:ascii="宋体" w:hAnsi="宋体" w:cs="宋体"/>
                <w:kern w:val="0"/>
                <w:sz w:val="24"/>
                <w:szCs w:val="24"/>
                <w:lang w:bidi="ar"/>
              </w:rPr>
              <w:t xml:space="preserve">1、投标人须使用数字认证证书对电子谈判响应文件进行签章、加密、递交及开标时解密等相关招投标事宜。如投标人数字认证证书无法解密谈判响应文件，按无效投标对待。 </w:t>
            </w:r>
          </w:p>
          <w:p w14:paraId="008AD661">
            <w:pPr>
              <w:widowControl/>
              <w:spacing w:line="360" w:lineRule="auto"/>
              <w:ind w:firstLine="480" w:firstLineChars="200"/>
              <w:jc w:val="left"/>
            </w:pPr>
            <w:r>
              <w:rPr>
                <w:rFonts w:hint="eastAsia" w:ascii="宋体" w:hAnsi="宋体" w:cs="宋体"/>
                <w:kern w:val="0"/>
                <w:sz w:val="24"/>
                <w:szCs w:val="24"/>
                <w:lang w:bidi="ar"/>
              </w:rPr>
              <w:t xml:space="preserve">2、制作电子谈判响应文件。投标人须在“全国公共资源交易中心平台（陕西省）（http://www.sxggzyjy.cn/）”的“服务指南”栏目“下载专区”中，免费下载“陕西省公共资源交易平台政府采购电子标书制作工具”及“政府采购投标单位操作手册”，并使用该客户端制作电子谈判响应文件，制作扩展名为“.SXSTF”的电子谈判响应文件。 </w:t>
            </w:r>
          </w:p>
          <w:p w14:paraId="5E6CCB6F">
            <w:pPr>
              <w:widowControl/>
              <w:spacing w:line="360" w:lineRule="auto"/>
              <w:ind w:firstLine="480" w:firstLineChars="200"/>
            </w:pPr>
            <w:r>
              <w:rPr>
                <w:rFonts w:hint="eastAsia" w:ascii="宋体" w:hAnsi="宋体" w:cs="宋体"/>
                <w:kern w:val="0"/>
                <w:sz w:val="24"/>
                <w:szCs w:val="24"/>
                <w:lang w:bidi="ar"/>
              </w:rPr>
              <w:t xml:space="preserve">3、递交电子谈判响应文件。登录陕西省公共资源交易中心平台（http://xxxq.sxggzyjy.cn/），选择“电子交易平台-陕西政府采购交易系统-陕西省公共资源交易平台-供应商”进行登录，登录后选择“交易乙方”身份进入，选择“上传谈判响应文件”菜单页面，上传加密的电子谈判响应文件。上传成功后，电子化平台将予以记录。 </w:t>
            </w:r>
          </w:p>
          <w:p w14:paraId="1778F2EB">
            <w:pPr>
              <w:spacing w:line="360" w:lineRule="auto"/>
              <w:ind w:firstLine="480" w:firstLineChars="200"/>
              <w:rPr>
                <w:rFonts w:ascii="宋体" w:hAnsi="宋体" w:cs="宋体"/>
                <w:sz w:val="24"/>
                <w:szCs w:val="24"/>
              </w:rPr>
            </w:pPr>
            <w:r>
              <w:rPr>
                <w:rFonts w:hint="eastAsia" w:ascii="宋体" w:hAnsi="宋体" w:cs="宋体"/>
                <w:kern w:val="0"/>
                <w:sz w:val="24"/>
                <w:szCs w:val="24"/>
                <w:lang w:bidi="ar"/>
              </w:rPr>
              <w:t>4、谈判响应文件中所有涉及签字、盖章的，各投标单位须将所有签字盖章完成后上传。</w:t>
            </w:r>
          </w:p>
        </w:tc>
      </w:tr>
    </w:tbl>
    <w:p w14:paraId="712CCBA7">
      <w:pPr>
        <w:rPr>
          <w:sz w:val="24"/>
          <w:szCs w:val="24"/>
        </w:rPr>
        <w:sectPr>
          <w:footnotePr>
            <w:pos w:val="beneathText"/>
          </w:footnotePr>
          <w:pgSz w:w="11906" w:h="16838"/>
          <w:pgMar w:top="1417" w:right="1558" w:bottom="1757" w:left="1417" w:header="851" w:footer="992" w:gutter="0"/>
          <w:cols w:space="720" w:num="1"/>
          <w:docGrid w:type="lines" w:linePitch="312" w:charSpace="0"/>
        </w:sectPr>
      </w:pPr>
    </w:p>
    <w:bookmarkEnd w:id="7"/>
    <w:bookmarkEnd w:id="17"/>
    <w:bookmarkEnd w:id="18"/>
    <w:bookmarkEnd w:id="19"/>
    <w:bookmarkEnd w:id="20"/>
    <w:p w14:paraId="49983F89">
      <w:pPr>
        <w:pStyle w:val="2"/>
        <w:spacing w:line="460" w:lineRule="exact"/>
        <w:jc w:val="center"/>
        <w:rPr>
          <w:rFonts w:hint="eastAsia" w:ascii="宋体" w:hAnsi="宋体" w:eastAsia="宋体" w:cs="宋体"/>
          <w:b/>
          <w:kern w:val="2"/>
          <w:sz w:val="36"/>
          <w:szCs w:val="24"/>
          <w:lang w:val="en-US" w:eastAsia="zh-CN" w:bidi="ar-SA"/>
        </w:rPr>
      </w:pPr>
      <w:bookmarkStart w:id="32" w:name="_Toc7404"/>
      <w:bookmarkStart w:id="33" w:name="_Toc23518"/>
      <w:bookmarkStart w:id="34" w:name="_Toc16531"/>
      <w:bookmarkStart w:id="35" w:name="_Toc31369"/>
      <w:bookmarkStart w:id="36" w:name="_Toc4754"/>
      <w:bookmarkStart w:id="37" w:name="_Toc11351"/>
      <w:bookmarkStart w:id="38" w:name="_Toc26541"/>
      <w:bookmarkStart w:id="39" w:name="_Toc12300"/>
      <w:bookmarkStart w:id="40" w:name="_Toc30436"/>
      <w:bookmarkStart w:id="41" w:name="_Toc29457"/>
      <w:bookmarkStart w:id="42" w:name="_Toc246928894"/>
      <w:bookmarkStart w:id="43" w:name="_Toc17129"/>
      <w:bookmarkStart w:id="44" w:name="_Toc8259"/>
      <w:bookmarkStart w:id="45" w:name="_Toc465958087"/>
      <w:r>
        <w:rPr>
          <w:rFonts w:hint="eastAsia" w:ascii="宋体" w:hAnsi="宋体" w:eastAsia="宋体" w:cs="宋体"/>
          <w:b/>
          <w:kern w:val="2"/>
          <w:sz w:val="36"/>
          <w:szCs w:val="24"/>
          <w:lang w:val="en-US" w:eastAsia="zh-CN" w:bidi="ar-SA"/>
        </w:rPr>
        <w:t>第三部分  供应商须知</w:t>
      </w:r>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054167DF">
      <w:pPr>
        <w:pStyle w:val="3"/>
        <w:spacing w:before="0" w:after="0" w:line="460" w:lineRule="exact"/>
        <w:jc w:val="center"/>
        <w:rPr>
          <w:rFonts w:ascii="宋体" w:hAnsi="宋体" w:eastAsia="宋体" w:cs="宋体"/>
          <w:sz w:val="36"/>
          <w:szCs w:val="24"/>
        </w:rPr>
      </w:pPr>
      <w:bookmarkStart w:id="46" w:name="_Toc30345"/>
      <w:bookmarkStart w:id="47" w:name="_Toc31058"/>
      <w:bookmarkStart w:id="48" w:name="_Toc1381"/>
      <w:bookmarkStart w:id="49" w:name="_Toc10690"/>
      <w:bookmarkStart w:id="50" w:name="_Toc246928895"/>
      <w:bookmarkStart w:id="51" w:name="_Toc465958088"/>
      <w:bookmarkStart w:id="52" w:name="_Toc32198"/>
      <w:bookmarkStart w:id="53" w:name="_Toc23623"/>
      <w:r>
        <w:rPr>
          <w:rFonts w:hint="eastAsia" w:ascii="宋体" w:hAnsi="宋体" w:eastAsia="宋体" w:cs="宋体"/>
          <w:sz w:val="36"/>
          <w:szCs w:val="24"/>
        </w:rPr>
        <w:t>A 总则</w:t>
      </w:r>
      <w:bookmarkEnd w:id="46"/>
      <w:bookmarkEnd w:id="47"/>
      <w:bookmarkEnd w:id="48"/>
      <w:bookmarkEnd w:id="49"/>
      <w:bookmarkEnd w:id="50"/>
      <w:bookmarkEnd w:id="51"/>
      <w:bookmarkEnd w:id="52"/>
      <w:bookmarkEnd w:id="53"/>
    </w:p>
    <w:p w14:paraId="00CA0335">
      <w:pPr>
        <w:pStyle w:val="4"/>
        <w:spacing w:before="156" w:beforeLines="50" w:after="156" w:afterLines="50" w:line="460" w:lineRule="exact"/>
        <w:rPr>
          <w:rFonts w:ascii="宋体" w:hAnsi="宋体" w:cs="宋体"/>
          <w:szCs w:val="24"/>
        </w:rPr>
      </w:pPr>
      <w:bookmarkStart w:id="54" w:name="_Toc31417"/>
      <w:bookmarkStart w:id="55" w:name="_Toc30424"/>
      <w:bookmarkStart w:id="56" w:name="_Toc21639"/>
      <w:bookmarkStart w:id="57" w:name="_Toc465958089"/>
      <w:bookmarkStart w:id="58" w:name="_Toc246928896"/>
      <w:bookmarkStart w:id="59" w:name="_Toc4811"/>
      <w:bookmarkStart w:id="60" w:name="_Toc13194"/>
      <w:bookmarkStart w:id="61" w:name="_Toc15325"/>
      <w:bookmarkStart w:id="62" w:name="_Toc7587"/>
      <w:r>
        <w:rPr>
          <w:rFonts w:hint="eastAsia" w:ascii="宋体" w:hAnsi="宋体" w:cs="宋体"/>
          <w:szCs w:val="24"/>
        </w:rPr>
        <w:t>1 适用范围</w:t>
      </w:r>
      <w:bookmarkEnd w:id="54"/>
      <w:bookmarkEnd w:id="55"/>
      <w:bookmarkEnd w:id="56"/>
      <w:bookmarkEnd w:id="57"/>
      <w:bookmarkEnd w:id="58"/>
      <w:bookmarkEnd w:id="59"/>
      <w:bookmarkEnd w:id="60"/>
      <w:bookmarkEnd w:id="61"/>
      <w:bookmarkEnd w:id="62"/>
    </w:p>
    <w:p w14:paraId="7F08BC31">
      <w:pPr>
        <w:spacing w:line="460" w:lineRule="exact"/>
        <w:rPr>
          <w:rFonts w:ascii="宋体" w:hAnsi="宋体" w:cs="宋体"/>
          <w:sz w:val="24"/>
          <w:szCs w:val="24"/>
        </w:rPr>
      </w:pPr>
      <w:r>
        <w:rPr>
          <w:rFonts w:hint="eastAsia" w:ascii="宋体" w:hAnsi="宋体" w:cs="宋体"/>
          <w:sz w:val="24"/>
          <w:szCs w:val="24"/>
        </w:rPr>
        <w:t>1.1本竞争性谈判文件仅适用于本谈判公告中所叙述项目的</w:t>
      </w:r>
      <w:r>
        <w:rPr>
          <w:rFonts w:hint="eastAsia" w:ascii="宋体" w:hAnsi="宋体" w:cs="宋体"/>
          <w:sz w:val="24"/>
        </w:rPr>
        <w:t>货物及服务采购</w:t>
      </w:r>
      <w:r>
        <w:rPr>
          <w:rFonts w:hint="eastAsia" w:ascii="宋体" w:hAnsi="宋体" w:cs="宋体"/>
          <w:sz w:val="24"/>
          <w:szCs w:val="24"/>
        </w:rPr>
        <w:t>。</w:t>
      </w:r>
    </w:p>
    <w:p w14:paraId="5B2316DA">
      <w:pPr>
        <w:spacing w:line="460" w:lineRule="exact"/>
        <w:rPr>
          <w:rFonts w:ascii="宋体" w:hAnsi="宋体" w:cs="宋体"/>
          <w:sz w:val="24"/>
          <w:szCs w:val="24"/>
        </w:rPr>
      </w:pPr>
      <w:r>
        <w:rPr>
          <w:rFonts w:hint="eastAsia" w:ascii="宋体" w:hAnsi="宋体" w:cs="宋体"/>
          <w:sz w:val="24"/>
          <w:szCs w:val="24"/>
        </w:rPr>
        <w:t>1.2本次采购属政府采购，采购人，采购代理机构、供应商、谈判小组的相关行为均受《中华人民共和国政府采购法》、财政部规章及政府采购项目所在地有关法规、规章的约束，其权利受到上述法律法规的保护。</w:t>
      </w:r>
    </w:p>
    <w:p w14:paraId="20A19F46">
      <w:pPr>
        <w:pStyle w:val="4"/>
        <w:spacing w:before="156" w:beforeLines="50" w:after="156" w:afterLines="50" w:line="460" w:lineRule="exact"/>
        <w:rPr>
          <w:rFonts w:ascii="宋体" w:hAnsi="宋体" w:cs="宋体"/>
          <w:szCs w:val="24"/>
        </w:rPr>
      </w:pPr>
      <w:bookmarkStart w:id="63" w:name="_Toc18894"/>
      <w:bookmarkStart w:id="64" w:name="_Toc28727"/>
      <w:bookmarkStart w:id="65" w:name="_Toc10329"/>
      <w:bookmarkStart w:id="66" w:name="_Toc31636"/>
      <w:bookmarkStart w:id="67" w:name="_Toc9614"/>
      <w:bookmarkStart w:id="68" w:name="_Toc246928897"/>
      <w:bookmarkStart w:id="69" w:name="_Toc465958090"/>
      <w:bookmarkStart w:id="70" w:name="_Toc6698"/>
      <w:bookmarkStart w:id="71" w:name="_Toc14299"/>
      <w:r>
        <w:rPr>
          <w:rFonts w:hint="eastAsia" w:ascii="宋体" w:hAnsi="宋体" w:cs="宋体"/>
          <w:szCs w:val="24"/>
        </w:rPr>
        <w:t>2 定义</w:t>
      </w:r>
      <w:bookmarkEnd w:id="63"/>
      <w:bookmarkEnd w:id="64"/>
      <w:bookmarkEnd w:id="65"/>
      <w:bookmarkEnd w:id="66"/>
      <w:bookmarkEnd w:id="67"/>
      <w:bookmarkEnd w:id="68"/>
      <w:bookmarkEnd w:id="69"/>
      <w:bookmarkEnd w:id="70"/>
      <w:bookmarkEnd w:id="71"/>
      <w:r>
        <w:rPr>
          <w:rFonts w:hint="eastAsia" w:ascii="宋体" w:hAnsi="宋体" w:cs="宋体"/>
          <w:szCs w:val="24"/>
        </w:rPr>
        <w:t xml:space="preserve"> </w:t>
      </w:r>
    </w:p>
    <w:p w14:paraId="6DA62AFE">
      <w:pPr>
        <w:snapToGrid w:val="0"/>
        <w:spacing w:line="240" w:lineRule="auto"/>
        <w:jc w:val="both"/>
        <w:rPr>
          <w:rFonts w:ascii="宋体" w:hAnsi="宋体" w:cs="宋体"/>
          <w:sz w:val="24"/>
          <w:szCs w:val="24"/>
        </w:rPr>
      </w:pPr>
      <w:r>
        <w:rPr>
          <w:rFonts w:hint="eastAsia" w:ascii="宋体" w:hAnsi="宋体" w:cs="宋体"/>
          <w:sz w:val="24"/>
          <w:szCs w:val="24"/>
        </w:rPr>
        <w:t xml:space="preserve">2.1 </w:t>
      </w:r>
      <w:r>
        <w:rPr>
          <w:rFonts w:hint="eastAsia" w:ascii="宋体" w:hAnsi="宋体" w:eastAsia="宋体" w:cs="宋体"/>
          <w:sz w:val="24"/>
          <w:szCs w:val="24"/>
        </w:rPr>
        <w:t>“采购人”系指</w:t>
      </w:r>
      <w:r>
        <w:rPr>
          <w:rFonts w:ascii="宋体" w:hAnsi="宋体" w:eastAsia="宋体" w:cs="宋体"/>
          <w:sz w:val="24"/>
          <w:szCs w:val="24"/>
        </w:rPr>
        <w:t xml:space="preserve">榆林市国防动员办公室 </w:t>
      </w:r>
      <w:r>
        <w:rPr>
          <w:rFonts w:hint="eastAsia" w:ascii="宋体" w:hAnsi="宋体" w:eastAsia="宋体" w:cs="宋体"/>
          <w:sz w:val="24"/>
          <w:szCs w:val="24"/>
        </w:rPr>
        <w:t>。</w:t>
      </w:r>
    </w:p>
    <w:p w14:paraId="1E7A3A80">
      <w:pPr>
        <w:spacing w:line="460" w:lineRule="exact"/>
        <w:ind w:firstLine="480" w:firstLineChars="200"/>
        <w:rPr>
          <w:rFonts w:ascii="宋体" w:hAnsi="宋体" w:cs="宋体"/>
          <w:sz w:val="24"/>
          <w:szCs w:val="24"/>
        </w:rPr>
      </w:pPr>
      <w:r>
        <w:rPr>
          <w:rFonts w:hint="eastAsia" w:ascii="宋体" w:hAnsi="宋体" w:cs="宋体"/>
          <w:sz w:val="24"/>
          <w:szCs w:val="24"/>
        </w:rPr>
        <w:t>“采购代理机构”系指陕西三秦大地招标有限责任公司。</w:t>
      </w:r>
    </w:p>
    <w:p w14:paraId="79F4BDB4">
      <w:pPr>
        <w:spacing w:line="460" w:lineRule="exact"/>
        <w:rPr>
          <w:rFonts w:ascii="宋体" w:hAnsi="宋体" w:cs="宋体"/>
          <w:sz w:val="24"/>
          <w:szCs w:val="24"/>
        </w:rPr>
      </w:pPr>
      <w:r>
        <w:rPr>
          <w:rFonts w:hint="eastAsia" w:ascii="宋体" w:hAnsi="宋体" w:cs="宋体"/>
          <w:sz w:val="24"/>
          <w:szCs w:val="24"/>
        </w:rPr>
        <w:t>2.2 “供应商”系指响应采购人要求，向采购人提交竞争性谈判响应文件的供应商。</w:t>
      </w:r>
    </w:p>
    <w:p w14:paraId="3A81E8F6">
      <w:pPr>
        <w:spacing w:line="460" w:lineRule="exact"/>
        <w:rPr>
          <w:rFonts w:ascii="宋体" w:hAnsi="宋体" w:cs="仿宋_GB2312"/>
          <w:sz w:val="24"/>
          <w:szCs w:val="24"/>
        </w:rPr>
      </w:pPr>
      <w:bookmarkStart w:id="72" w:name="_Toc246928898"/>
      <w:r>
        <w:rPr>
          <w:rFonts w:hint="eastAsia" w:ascii="宋体" w:hAnsi="宋体" w:cs="仿宋_GB2312"/>
          <w:sz w:val="24"/>
          <w:szCs w:val="24"/>
        </w:rPr>
        <w:t>2.3 “货物”系指供应商按招标文件规定，须向买方提供的货物、备品配件、耗材、设备及其它有关技术资料和材料。</w:t>
      </w:r>
    </w:p>
    <w:p w14:paraId="58EEBDD5">
      <w:pPr>
        <w:spacing w:line="460" w:lineRule="exact"/>
        <w:rPr>
          <w:rFonts w:ascii="宋体" w:hAnsi="宋体" w:cs="宋体"/>
          <w:sz w:val="24"/>
          <w:szCs w:val="24"/>
        </w:rPr>
      </w:pPr>
      <w:r>
        <w:rPr>
          <w:rFonts w:hint="eastAsia" w:ascii="宋体" w:hAnsi="宋体" w:cs="仿宋_GB2312"/>
          <w:sz w:val="24"/>
          <w:szCs w:val="24"/>
        </w:rPr>
        <w:t>2.4 “服务”系指招标文件规定供应商须承担的测试、检验、调试、技术支持、售后服务以及其他类似服务的义务。</w:t>
      </w:r>
    </w:p>
    <w:bookmarkEnd w:id="72"/>
    <w:p w14:paraId="395B0482">
      <w:pPr>
        <w:pStyle w:val="4"/>
        <w:spacing w:before="156" w:beforeLines="50" w:after="156" w:afterLines="50" w:line="460" w:lineRule="exact"/>
        <w:rPr>
          <w:rFonts w:ascii="宋体" w:hAnsi="宋体" w:cs="宋体"/>
          <w:szCs w:val="24"/>
        </w:rPr>
      </w:pPr>
      <w:bookmarkStart w:id="73" w:name="_Toc465958091"/>
      <w:bookmarkStart w:id="74" w:name="_Toc19646"/>
      <w:bookmarkStart w:id="75" w:name="_Toc20739"/>
      <w:bookmarkStart w:id="76" w:name="_Toc27989"/>
      <w:bookmarkStart w:id="77" w:name="_Toc16727"/>
      <w:bookmarkStart w:id="78" w:name="_Toc26952"/>
      <w:bookmarkStart w:id="79" w:name="_Toc5419"/>
      <w:bookmarkStart w:id="80" w:name="_Toc875"/>
      <w:r>
        <w:rPr>
          <w:rFonts w:hint="eastAsia" w:ascii="宋体" w:hAnsi="宋体" w:cs="宋体"/>
          <w:szCs w:val="24"/>
        </w:rPr>
        <w:t>3 合格的</w:t>
      </w:r>
      <w:bookmarkEnd w:id="73"/>
      <w:bookmarkEnd w:id="74"/>
      <w:bookmarkEnd w:id="75"/>
      <w:bookmarkEnd w:id="76"/>
      <w:bookmarkEnd w:id="77"/>
      <w:bookmarkEnd w:id="78"/>
      <w:r>
        <w:rPr>
          <w:rFonts w:hint="eastAsia" w:ascii="宋体" w:hAnsi="宋体" w:cs="宋体"/>
          <w:szCs w:val="24"/>
        </w:rPr>
        <w:t>供应商</w:t>
      </w:r>
      <w:bookmarkEnd w:id="79"/>
      <w:bookmarkEnd w:id="80"/>
    </w:p>
    <w:p w14:paraId="18F765B6">
      <w:pPr>
        <w:wordWrap w:val="0"/>
        <w:topLinePunct/>
        <w:spacing w:line="460" w:lineRule="exact"/>
        <w:jc w:val="left"/>
        <w:rPr>
          <w:rFonts w:ascii="宋体" w:hAnsi="宋体"/>
          <w:sz w:val="24"/>
        </w:rPr>
      </w:pPr>
      <w:bookmarkStart w:id="81" w:name="_Toc9563"/>
      <w:bookmarkStart w:id="82" w:name="_Toc21286"/>
      <w:bookmarkStart w:id="83" w:name="_Toc18683"/>
      <w:bookmarkStart w:id="84" w:name="_Toc246928899"/>
      <w:bookmarkStart w:id="85" w:name="_Toc18171"/>
      <w:bookmarkStart w:id="86" w:name="_Toc465958092"/>
      <w:bookmarkStart w:id="87" w:name="_Toc3389"/>
      <w:r>
        <w:rPr>
          <w:rFonts w:hint="eastAsia" w:ascii="宋体" w:hAnsi="宋体" w:cs="宋体"/>
          <w:sz w:val="24"/>
          <w:szCs w:val="24"/>
        </w:rPr>
        <w:t xml:space="preserve">3.1 </w:t>
      </w:r>
      <w:r>
        <w:rPr>
          <w:rFonts w:hint="eastAsia" w:ascii="宋体" w:hAnsi="宋体"/>
          <w:sz w:val="24"/>
        </w:rPr>
        <w:t>合格的供应商：满足下列资格条件且有能力提供项目所需服务的供应商。</w:t>
      </w:r>
    </w:p>
    <w:p w14:paraId="37B77FDA">
      <w:pPr>
        <w:spacing w:line="460" w:lineRule="exact"/>
        <w:rPr>
          <w:rFonts w:ascii="宋体" w:hAnsi="宋体"/>
          <w:bCs/>
          <w:sz w:val="24"/>
        </w:rPr>
      </w:pPr>
      <w:r>
        <w:rPr>
          <w:rFonts w:hint="eastAsia" w:ascii="宋体" w:hAnsi="宋体" w:cs="宋体"/>
          <w:sz w:val="24"/>
          <w:szCs w:val="24"/>
        </w:rPr>
        <w:t>3.2</w:t>
      </w:r>
      <w:r>
        <w:rPr>
          <w:rFonts w:hint="eastAsia" w:ascii="宋体" w:hAnsi="宋体"/>
          <w:bCs/>
          <w:sz w:val="24"/>
        </w:rPr>
        <w:t>资格条件</w:t>
      </w:r>
    </w:p>
    <w:p w14:paraId="2803C80A">
      <w:pPr>
        <w:spacing w:line="460" w:lineRule="exact"/>
        <w:ind w:firstLine="240" w:firstLineChars="100"/>
        <w:rPr>
          <w:rFonts w:ascii="宋体" w:hAnsi="宋体" w:cs="宋体"/>
          <w:sz w:val="24"/>
          <w:szCs w:val="24"/>
        </w:rPr>
      </w:pPr>
      <w:r>
        <w:rPr>
          <w:rFonts w:hint="eastAsia" w:ascii="宋体" w:hAnsi="宋体"/>
          <w:bCs/>
          <w:sz w:val="24"/>
        </w:rPr>
        <w:t>3.2.1</w:t>
      </w:r>
      <w:r>
        <w:rPr>
          <w:rFonts w:hint="eastAsia" w:ascii="宋体" w:hAnsi="宋体" w:cs="宋体"/>
          <w:sz w:val="24"/>
          <w:szCs w:val="24"/>
        </w:rPr>
        <w:t>供应商应当符合《中华人民共和国政府采购法》第二十二条第一款规定的投标人基本资格条件；以及竞争性谈判文件规定的供应商</w:t>
      </w:r>
      <w:r>
        <w:rPr>
          <w:rFonts w:hint="eastAsia" w:ascii="宋体" w:hAnsi="宋体" w:cs="宋体"/>
          <w:sz w:val="24"/>
        </w:rPr>
        <w:t>特定资格条件</w:t>
      </w:r>
      <w:r>
        <w:rPr>
          <w:rFonts w:hint="eastAsia" w:ascii="宋体" w:hAnsi="宋体" w:cs="宋体"/>
          <w:sz w:val="24"/>
          <w:szCs w:val="24"/>
        </w:rPr>
        <w:t>。</w:t>
      </w:r>
    </w:p>
    <w:p w14:paraId="7B06883B">
      <w:pPr>
        <w:spacing w:line="460" w:lineRule="exact"/>
        <w:rPr>
          <w:rFonts w:ascii="宋体" w:hAnsi="宋体" w:cs="宋体"/>
          <w:sz w:val="24"/>
          <w:szCs w:val="24"/>
        </w:rPr>
      </w:pPr>
      <w:r>
        <w:rPr>
          <w:rFonts w:hint="eastAsia" w:ascii="宋体" w:hAnsi="宋体" w:cs="宋体"/>
          <w:sz w:val="24"/>
          <w:szCs w:val="24"/>
        </w:rPr>
        <w:t>3.3供应商必须从陕西省公共资源交易平台获取竞争性谈判文件，供应商自行转让或复制的竞争性谈判文件视为无效文件，此文件仅作为本次谈判使用。</w:t>
      </w:r>
    </w:p>
    <w:p w14:paraId="1D70C482">
      <w:pPr>
        <w:spacing w:line="460" w:lineRule="exact"/>
      </w:pPr>
      <w:r>
        <w:rPr>
          <w:rFonts w:hint="eastAsia" w:ascii="宋体" w:hAnsi="宋体" w:cs="宋体"/>
          <w:sz w:val="24"/>
          <w:szCs w:val="24"/>
        </w:rPr>
        <w:t>3.4法定代表人或者负责人为同一人或者存在控股、管理关系的两个以上供应商，不得参加同一政府采购项目投标。</w:t>
      </w:r>
    </w:p>
    <w:p w14:paraId="1E14DE5D">
      <w:pPr>
        <w:spacing w:line="460" w:lineRule="exact"/>
        <w:rPr>
          <w:rFonts w:ascii="宋体" w:hAnsi="宋体" w:cs="宋体"/>
          <w:sz w:val="24"/>
          <w:szCs w:val="24"/>
        </w:rPr>
      </w:pPr>
      <w:r>
        <w:rPr>
          <w:rFonts w:hint="eastAsia" w:ascii="宋体" w:hAnsi="宋体" w:cs="宋体"/>
          <w:sz w:val="24"/>
          <w:szCs w:val="24"/>
        </w:rPr>
        <w:t>3.5是否接受联合体投标：见投标人须知前附表。</w:t>
      </w:r>
    </w:p>
    <w:p w14:paraId="69B6893D">
      <w:pPr>
        <w:spacing w:line="460" w:lineRule="exact"/>
      </w:pPr>
      <w:r>
        <w:rPr>
          <w:rFonts w:hint="eastAsia" w:ascii="宋体" w:hAnsi="宋体" w:cs="宋体"/>
          <w:color w:val="000000"/>
          <w:sz w:val="24"/>
          <w:szCs w:val="24"/>
        </w:rPr>
        <w:t>3.6供应商应参照《中华人民共和国政府采购法》及其它有关的中国法律和法规。</w:t>
      </w:r>
    </w:p>
    <w:p w14:paraId="1B341B7A">
      <w:pPr>
        <w:pStyle w:val="4"/>
        <w:spacing w:line="460" w:lineRule="exact"/>
        <w:rPr>
          <w:rFonts w:ascii="宋体" w:hAnsi="宋体" w:cs="宋体"/>
          <w:bCs/>
        </w:rPr>
      </w:pPr>
      <w:bookmarkStart w:id="88" w:name="_Toc15074"/>
      <w:bookmarkStart w:id="89" w:name="_Toc13775"/>
      <w:r>
        <w:rPr>
          <w:rFonts w:hint="eastAsia" w:ascii="宋体" w:hAnsi="宋体" w:cs="宋体"/>
          <w:bCs/>
        </w:rPr>
        <w:t>4 费用</w:t>
      </w:r>
      <w:bookmarkEnd w:id="81"/>
      <w:bookmarkEnd w:id="82"/>
      <w:bookmarkEnd w:id="83"/>
      <w:bookmarkEnd w:id="84"/>
      <w:bookmarkEnd w:id="85"/>
      <w:bookmarkEnd w:id="86"/>
      <w:bookmarkEnd w:id="87"/>
      <w:bookmarkEnd w:id="88"/>
      <w:bookmarkEnd w:id="89"/>
    </w:p>
    <w:p w14:paraId="64B78F9A">
      <w:pPr>
        <w:spacing w:line="460" w:lineRule="exact"/>
        <w:rPr>
          <w:rFonts w:ascii="宋体" w:hAnsi="宋体" w:cs="宋体"/>
          <w:sz w:val="24"/>
        </w:rPr>
      </w:pPr>
      <w:r>
        <w:rPr>
          <w:rFonts w:hint="eastAsia" w:ascii="宋体" w:hAnsi="宋体" w:cs="宋体"/>
          <w:sz w:val="24"/>
        </w:rPr>
        <w:t>4.1 供应商应承担所有与编写和提交竞争性谈判响应文件有关的费用，无论谈判过程中的做法和结果如何，供应商自行承担参加谈判相关的全部费用。</w:t>
      </w:r>
    </w:p>
    <w:p w14:paraId="3308BC34">
      <w:pPr>
        <w:pStyle w:val="3"/>
        <w:spacing w:line="460" w:lineRule="exact"/>
        <w:jc w:val="center"/>
        <w:rPr>
          <w:rFonts w:ascii="宋体" w:hAnsi="宋体" w:eastAsia="宋体" w:cs="宋体"/>
          <w:bCs/>
          <w:sz w:val="44"/>
        </w:rPr>
      </w:pPr>
      <w:bookmarkStart w:id="90" w:name="_Toc465958093"/>
      <w:bookmarkStart w:id="91" w:name="_Toc1383"/>
      <w:bookmarkStart w:id="92" w:name="_Toc3331"/>
      <w:bookmarkStart w:id="93" w:name="_Toc24227"/>
      <w:bookmarkStart w:id="94" w:name="_Toc26140"/>
      <w:bookmarkStart w:id="95" w:name="_Toc9289"/>
      <w:bookmarkStart w:id="96" w:name="_Toc29877"/>
      <w:bookmarkStart w:id="97" w:name="_Toc246928900"/>
      <w:r>
        <w:rPr>
          <w:rFonts w:hint="eastAsia" w:ascii="宋体" w:hAnsi="宋体" w:eastAsia="宋体" w:cs="宋体"/>
          <w:bCs/>
          <w:sz w:val="44"/>
        </w:rPr>
        <w:t>B 竞争性谈判文件说明</w:t>
      </w:r>
      <w:bookmarkEnd w:id="90"/>
      <w:bookmarkEnd w:id="91"/>
      <w:bookmarkEnd w:id="92"/>
      <w:bookmarkEnd w:id="93"/>
      <w:bookmarkEnd w:id="94"/>
      <w:bookmarkEnd w:id="95"/>
      <w:bookmarkEnd w:id="96"/>
      <w:bookmarkEnd w:id="97"/>
    </w:p>
    <w:p w14:paraId="53E76D1C">
      <w:pPr>
        <w:pStyle w:val="4"/>
        <w:spacing w:line="460" w:lineRule="exact"/>
        <w:rPr>
          <w:rFonts w:ascii="宋体" w:hAnsi="宋体" w:cs="宋体"/>
          <w:bCs/>
        </w:rPr>
      </w:pPr>
      <w:bookmarkStart w:id="98" w:name="_Toc16142"/>
      <w:bookmarkStart w:id="99" w:name="_Toc246928901"/>
      <w:bookmarkStart w:id="100" w:name="_Toc23175"/>
      <w:bookmarkStart w:id="101" w:name="_Toc465958094"/>
      <w:bookmarkStart w:id="102" w:name="_Toc6287"/>
      <w:bookmarkStart w:id="103" w:name="_Toc5791"/>
      <w:bookmarkStart w:id="104" w:name="_Toc21132"/>
      <w:bookmarkStart w:id="105" w:name="_Toc15639"/>
      <w:bookmarkStart w:id="106" w:name="_Toc7327"/>
      <w:r>
        <w:rPr>
          <w:rFonts w:hint="eastAsia" w:ascii="宋体" w:hAnsi="宋体" w:cs="宋体"/>
          <w:bCs/>
        </w:rPr>
        <w:t>5 竞争性谈判文件的构成</w:t>
      </w:r>
      <w:bookmarkEnd w:id="98"/>
      <w:bookmarkEnd w:id="99"/>
      <w:bookmarkEnd w:id="100"/>
      <w:bookmarkEnd w:id="101"/>
      <w:bookmarkEnd w:id="102"/>
      <w:bookmarkEnd w:id="103"/>
      <w:bookmarkEnd w:id="104"/>
      <w:bookmarkEnd w:id="105"/>
      <w:bookmarkEnd w:id="106"/>
    </w:p>
    <w:p w14:paraId="4FE0FCF5">
      <w:pPr>
        <w:spacing w:line="460" w:lineRule="exact"/>
        <w:rPr>
          <w:rFonts w:ascii="宋体" w:hAnsi="宋体" w:cs="宋体"/>
          <w:sz w:val="24"/>
        </w:rPr>
      </w:pPr>
      <w:r>
        <w:rPr>
          <w:rFonts w:hint="eastAsia" w:ascii="宋体" w:hAnsi="宋体" w:cs="宋体"/>
          <w:sz w:val="24"/>
        </w:rPr>
        <w:t>5.1 竞争性谈判文件以阐明所需提供的货物、采购、谈判程序和合同条件。竞争性谈判文件包括：</w:t>
      </w:r>
    </w:p>
    <w:p w14:paraId="1E24E395">
      <w:pPr>
        <w:spacing w:line="460" w:lineRule="exact"/>
        <w:rPr>
          <w:rFonts w:ascii="宋体" w:hAnsi="宋体" w:cs="宋体"/>
          <w:sz w:val="24"/>
        </w:rPr>
      </w:pPr>
      <w:r>
        <w:rPr>
          <w:rFonts w:hint="eastAsia" w:ascii="宋体" w:hAnsi="宋体" w:cs="宋体"/>
          <w:sz w:val="24"/>
        </w:rPr>
        <w:t>5.1.1 竞争性谈判公告；</w:t>
      </w:r>
    </w:p>
    <w:p w14:paraId="4D73045A">
      <w:pPr>
        <w:spacing w:line="460" w:lineRule="exact"/>
        <w:rPr>
          <w:rFonts w:ascii="宋体" w:hAnsi="宋体" w:cs="宋体"/>
          <w:sz w:val="24"/>
        </w:rPr>
      </w:pPr>
      <w:r>
        <w:rPr>
          <w:rFonts w:hint="eastAsia" w:ascii="宋体" w:hAnsi="宋体" w:cs="宋体"/>
          <w:sz w:val="24"/>
        </w:rPr>
        <w:t>5.1.2 供应商须知前附表；</w:t>
      </w:r>
    </w:p>
    <w:p w14:paraId="17CEEF36">
      <w:pPr>
        <w:spacing w:line="460" w:lineRule="exact"/>
        <w:rPr>
          <w:rFonts w:ascii="宋体" w:hAnsi="宋体" w:cs="宋体"/>
          <w:sz w:val="24"/>
        </w:rPr>
      </w:pPr>
      <w:r>
        <w:rPr>
          <w:rFonts w:hint="eastAsia" w:ascii="宋体" w:hAnsi="宋体" w:cs="宋体"/>
          <w:sz w:val="24"/>
        </w:rPr>
        <w:t>5.1.3 供应商须知；</w:t>
      </w:r>
    </w:p>
    <w:p w14:paraId="57D8CECF">
      <w:pPr>
        <w:tabs>
          <w:tab w:val="left" w:pos="2415"/>
        </w:tabs>
        <w:spacing w:line="460" w:lineRule="exact"/>
        <w:rPr>
          <w:rFonts w:ascii="宋体" w:hAnsi="宋体" w:cs="宋体"/>
          <w:sz w:val="24"/>
        </w:rPr>
      </w:pPr>
      <w:r>
        <w:rPr>
          <w:rFonts w:hint="eastAsia" w:ascii="宋体" w:hAnsi="宋体" w:cs="宋体"/>
          <w:sz w:val="24"/>
        </w:rPr>
        <w:t>5.1.4 政府采购合同；</w:t>
      </w:r>
      <w:r>
        <w:rPr>
          <w:rFonts w:hint="eastAsia" w:ascii="宋体" w:hAnsi="宋体" w:cs="宋体"/>
          <w:sz w:val="24"/>
        </w:rPr>
        <w:tab/>
      </w:r>
    </w:p>
    <w:p w14:paraId="01ACC964">
      <w:pPr>
        <w:spacing w:line="460" w:lineRule="exact"/>
        <w:rPr>
          <w:rFonts w:ascii="宋体" w:hAnsi="宋体" w:cs="宋体"/>
          <w:sz w:val="24"/>
        </w:rPr>
      </w:pPr>
      <w:r>
        <w:rPr>
          <w:rFonts w:hint="eastAsia" w:ascii="宋体" w:hAnsi="宋体" w:cs="宋体"/>
          <w:sz w:val="24"/>
        </w:rPr>
        <w:t>5.1.5 商务要求；</w:t>
      </w:r>
    </w:p>
    <w:p w14:paraId="76C1D975">
      <w:pPr>
        <w:spacing w:line="460" w:lineRule="exact"/>
        <w:rPr>
          <w:rFonts w:ascii="宋体" w:hAnsi="宋体" w:cs="宋体"/>
          <w:sz w:val="24"/>
        </w:rPr>
      </w:pPr>
      <w:r>
        <w:rPr>
          <w:rFonts w:hint="eastAsia" w:ascii="宋体" w:hAnsi="宋体" w:cs="宋体"/>
          <w:sz w:val="24"/>
        </w:rPr>
        <w:t xml:space="preserve">5.1.6 采购内容及要求； </w:t>
      </w:r>
    </w:p>
    <w:p w14:paraId="52BE3063">
      <w:pPr>
        <w:pStyle w:val="9"/>
        <w:spacing w:line="460" w:lineRule="exact"/>
        <w:rPr>
          <w:rFonts w:ascii="宋体" w:hAnsi="宋体" w:cs="宋体"/>
          <w:sz w:val="24"/>
        </w:rPr>
      </w:pPr>
      <w:r>
        <w:rPr>
          <w:rFonts w:hint="eastAsia" w:ascii="宋体" w:hAnsi="宋体" w:cs="宋体"/>
          <w:sz w:val="24"/>
        </w:rPr>
        <w:t>5.1.7 评审方法；</w:t>
      </w:r>
    </w:p>
    <w:p w14:paraId="697E6B62">
      <w:pPr>
        <w:pStyle w:val="9"/>
        <w:spacing w:line="460" w:lineRule="exact"/>
        <w:rPr>
          <w:rFonts w:ascii="宋体" w:hAnsi="宋体" w:cs="宋体"/>
          <w:sz w:val="24"/>
        </w:rPr>
      </w:pPr>
      <w:r>
        <w:rPr>
          <w:rFonts w:hint="eastAsia" w:ascii="宋体" w:hAnsi="宋体" w:cs="宋体"/>
          <w:sz w:val="24"/>
        </w:rPr>
        <w:t>5.1.8竞争性谈判响应文件格式；</w:t>
      </w:r>
    </w:p>
    <w:p w14:paraId="7D6504F5">
      <w:pPr>
        <w:pStyle w:val="9"/>
        <w:spacing w:line="460" w:lineRule="exact"/>
        <w:rPr>
          <w:rFonts w:ascii="宋体" w:hAnsi="宋体" w:cs="宋体"/>
          <w:sz w:val="24"/>
        </w:rPr>
      </w:pPr>
      <w:r>
        <w:rPr>
          <w:rFonts w:hint="eastAsia" w:ascii="宋体" w:hAnsi="宋体" w:cs="宋体"/>
          <w:sz w:val="24"/>
        </w:rPr>
        <w:t>5.1.9 附件；</w:t>
      </w:r>
    </w:p>
    <w:p w14:paraId="31FCEAED">
      <w:pPr>
        <w:spacing w:line="360" w:lineRule="auto"/>
        <w:rPr>
          <w:rFonts w:ascii="宋体" w:hAnsi="宋体" w:cs="宋体"/>
          <w:sz w:val="24"/>
        </w:rPr>
      </w:pPr>
      <w:r>
        <w:rPr>
          <w:rFonts w:hint="eastAsia" w:ascii="宋体" w:hAnsi="宋体" w:cs="宋体"/>
          <w:sz w:val="24"/>
        </w:rPr>
        <w:t>5.2 供应商应认真阅读竞争性谈判文件中所有的事项、格式、条款和规范要求等。</w:t>
      </w:r>
    </w:p>
    <w:p w14:paraId="442E2439">
      <w:pPr>
        <w:spacing w:line="360" w:lineRule="auto"/>
        <w:rPr>
          <w:rFonts w:ascii="宋体" w:hAnsi="宋体" w:cs="宋体"/>
          <w:sz w:val="24"/>
        </w:rPr>
      </w:pPr>
      <w:r>
        <w:rPr>
          <w:rFonts w:hint="eastAsia" w:ascii="宋体" w:hAnsi="宋体" w:cs="宋体"/>
          <w:sz w:val="24"/>
        </w:rPr>
        <w:t>5.3 供应商没有对竞争性谈判文件全面做出实质性响应是供应商的风险。采购人有权拒绝没有对竞争性谈判文件要求做出实质性响应的谈判。</w:t>
      </w:r>
    </w:p>
    <w:p w14:paraId="58D9ECF6">
      <w:pPr>
        <w:spacing w:line="360" w:lineRule="auto"/>
        <w:rPr>
          <w:rFonts w:ascii="宋体" w:hAnsi="宋体" w:cs="宋体"/>
          <w:sz w:val="24"/>
          <w:szCs w:val="24"/>
        </w:rPr>
      </w:pPr>
      <w:r>
        <w:rPr>
          <w:rFonts w:hint="eastAsia" w:ascii="宋体" w:hAnsi="宋体" w:cs="宋体"/>
          <w:sz w:val="24"/>
          <w:szCs w:val="24"/>
        </w:rPr>
        <w:t>5.4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26DD5962">
      <w:pPr>
        <w:pStyle w:val="14"/>
        <w:spacing w:before="0" w:beforeAutospacing="0" w:after="0" w:afterAutospacing="0" w:line="360" w:lineRule="auto"/>
        <w:ind w:firstLine="480" w:firstLineChars="200"/>
        <w:jc w:val="both"/>
        <w:rPr>
          <w:rFonts w:hint="eastAsia" w:ascii="宋体" w:hAnsi="宋体" w:cs="宋体"/>
          <w:kern w:val="2"/>
          <w:szCs w:val="24"/>
          <w:lang w:bidi="ar"/>
        </w:rPr>
      </w:pPr>
      <w:bookmarkStart w:id="107" w:name="_Toc32248"/>
      <w:bookmarkStart w:id="108" w:name="_Toc2275"/>
      <w:bookmarkStart w:id="109" w:name="_Toc29347"/>
      <w:bookmarkStart w:id="110" w:name="_Toc7858"/>
      <w:bookmarkStart w:id="111" w:name="_Toc23102"/>
      <w:bookmarkStart w:id="112" w:name="_Toc465958095"/>
      <w:bookmarkStart w:id="113" w:name="_Toc29090"/>
      <w:bookmarkStart w:id="114" w:name="_Toc9452"/>
      <w:bookmarkStart w:id="115" w:name="_Toc246928902"/>
      <w:r>
        <w:rPr>
          <w:rFonts w:hint="eastAsia" w:ascii="宋体" w:hAnsi="宋体" w:cs="宋体"/>
          <w:bCs/>
          <w:szCs w:val="24"/>
        </w:rPr>
        <w:t>5.4.1</w:t>
      </w:r>
      <w:r>
        <w:rPr>
          <w:rFonts w:hint="eastAsia" w:ascii="宋体" w:hAnsi="宋体" w:cs="宋体"/>
          <w:spacing w:val="6"/>
          <w:kern w:val="2"/>
          <w:szCs w:val="24"/>
          <w:lang w:bidi="ar"/>
        </w:rPr>
        <w:t>根据</w:t>
      </w:r>
      <w:r>
        <w:rPr>
          <w:rFonts w:hint="eastAsia" w:ascii="宋体" w:hAnsi="宋体" w:cs="宋体"/>
          <w:szCs w:val="24"/>
          <w:shd w:val="clear" w:color="auto" w:fill="FFFFFF"/>
        </w:rPr>
        <w:t>《政府采购促进中小企业发展管理办法》（财库〔2020〕46号）</w:t>
      </w:r>
      <w:r>
        <w:rPr>
          <w:rFonts w:hint="eastAsia" w:ascii="宋体" w:hAnsi="宋体" w:cs="宋体"/>
          <w:kern w:val="2"/>
          <w:szCs w:val="24"/>
          <w:lang w:bidi="ar"/>
        </w:rPr>
        <w:t>；</w:t>
      </w:r>
    </w:p>
    <w:p w14:paraId="59EBA372">
      <w:pPr>
        <w:pStyle w:val="15"/>
        <w:snapToGrid w:val="0"/>
        <w:spacing w:line="360" w:lineRule="auto"/>
        <w:rPr>
          <w:rFonts w:hint="eastAsia" w:ascii="宋体" w:hAnsi="宋体" w:cs="宋体"/>
          <w:sz w:val="24"/>
          <w:szCs w:val="24"/>
          <w:shd w:val="clear" w:color="auto" w:fill="FFFFFF"/>
        </w:rPr>
      </w:pPr>
      <w:r>
        <w:rPr>
          <w:rFonts w:hint="eastAsia" w:ascii="宋体" w:hAnsi="宋体" w:cs="宋体"/>
          <w:sz w:val="24"/>
          <w:szCs w:val="24"/>
          <w:shd w:val="clear" w:color="auto" w:fill="FFFFFF"/>
        </w:rPr>
        <w:t>5.4.2根据《陕西省财政厅关于进一步加大政府采购支持中小企业力度的通知》（陕财办采〔2022〕5号）；</w:t>
      </w:r>
    </w:p>
    <w:p w14:paraId="4E01F827">
      <w:pPr>
        <w:spacing w:line="360" w:lineRule="auto"/>
        <w:ind w:firstLine="480" w:firstLineChars="200"/>
      </w:pPr>
      <w:r>
        <w:rPr>
          <w:rFonts w:hint="eastAsia" w:ascii="宋体" w:hAnsi="宋体" w:cs="宋体"/>
          <w:sz w:val="24"/>
          <w:szCs w:val="24"/>
          <w:shd w:val="clear" w:color="auto" w:fill="FFFFFF"/>
        </w:rPr>
        <w:t>5.4.3根据《榆林市财政局关于进一步加大政府采购支持中小企业力度的通知》（榆政财采发〔2022〕10号）；</w:t>
      </w:r>
    </w:p>
    <w:p w14:paraId="5223C5EB">
      <w:pPr>
        <w:widowControl/>
        <w:tabs>
          <w:tab w:val="left" w:pos="1620"/>
        </w:tabs>
        <w:spacing w:line="360" w:lineRule="auto"/>
        <w:ind w:firstLine="420" w:firstLineChars="175"/>
        <w:jc w:val="left"/>
        <w:rPr>
          <w:rFonts w:hint="eastAsia" w:ascii="宋体" w:hAnsi="宋体" w:cs="宋体"/>
          <w:bCs/>
          <w:kern w:val="0"/>
          <w:sz w:val="24"/>
          <w:szCs w:val="24"/>
        </w:rPr>
      </w:pPr>
      <w:r>
        <w:rPr>
          <w:rFonts w:hint="eastAsia" w:ascii="宋体" w:hAnsi="宋体" w:cs="宋体"/>
          <w:bCs/>
          <w:kern w:val="0"/>
          <w:sz w:val="24"/>
          <w:szCs w:val="24"/>
        </w:rPr>
        <w:t>5.4.4《财政部司法部关于政府采购支持监狱企业发展有关问题的通知》--财库[2014]68号 ；</w:t>
      </w:r>
    </w:p>
    <w:p w14:paraId="46E747EA">
      <w:pPr>
        <w:widowControl/>
        <w:tabs>
          <w:tab w:val="left" w:pos="1620"/>
        </w:tabs>
        <w:spacing w:line="360" w:lineRule="auto"/>
        <w:ind w:firstLine="420" w:firstLineChars="175"/>
        <w:jc w:val="left"/>
        <w:rPr>
          <w:rFonts w:hint="eastAsia" w:ascii="宋体" w:hAnsi="宋体" w:cs="宋体"/>
          <w:bCs/>
          <w:kern w:val="0"/>
          <w:sz w:val="24"/>
          <w:szCs w:val="24"/>
        </w:rPr>
      </w:pPr>
      <w:r>
        <w:rPr>
          <w:rFonts w:hint="eastAsia" w:ascii="宋体" w:hAnsi="宋体" w:cs="宋体"/>
          <w:bCs/>
          <w:kern w:val="0"/>
          <w:sz w:val="24"/>
          <w:szCs w:val="24"/>
        </w:rPr>
        <w:t>5.4.5《国务院办公厅关于建立政府强制采购节能产品制度的通知》--国办发[2007]51号 ；</w:t>
      </w:r>
    </w:p>
    <w:p w14:paraId="20F5261A">
      <w:pPr>
        <w:widowControl/>
        <w:tabs>
          <w:tab w:val="left" w:pos="1620"/>
        </w:tabs>
        <w:spacing w:line="360" w:lineRule="auto"/>
        <w:ind w:firstLine="420" w:firstLineChars="175"/>
        <w:jc w:val="left"/>
        <w:rPr>
          <w:rFonts w:hint="eastAsia" w:ascii="宋体" w:hAnsi="宋体" w:cs="宋体"/>
          <w:bCs/>
          <w:kern w:val="0"/>
          <w:sz w:val="24"/>
          <w:szCs w:val="24"/>
        </w:rPr>
      </w:pPr>
      <w:r>
        <w:rPr>
          <w:rFonts w:hint="eastAsia" w:ascii="宋体" w:hAnsi="宋体" w:cs="宋体"/>
          <w:bCs/>
          <w:kern w:val="0"/>
          <w:sz w:val="24"/>
          <w:szCs w:val="24"/>
        </w:rPr>
        <w:t xml:space="preserve">5.4.6《节能产品政府采购实施意见》--（财库[2004]185号）； </w:t>
      </w:r>
    </w:p>
    <w:p w14:paraId="5598BD08">
      <w:pPr>
        <w:widowControl/>
        <w:tabs>
          <w:tab w:val="left" w:pos="1620"/>
        </w:tabs>
        <w:spacing w:line="360" w:lineRule="auto"/>
        <w:ind w:firstLine="420" w:firstLineChars="175"/>
        <w:jc w:val="left"/>
        <w:rPr>
          <w:rFonts w:hint="eastAsia" w:ascii="宋体" w:hAnsi="宋体" w:cs="宋体"/>
          <w:bCs/>
          <w:kern w:val="0"/>
          <w:sz w:val="24"/>
          <w:szCs w:val="24"/>
        </w:rPr>
      </w:pPr>
      <w:r>
        <w:rPr>
          <w:rFonts w:hint="eastAsia" w:ascii="宋体" w:hAnsi="宋体" w:cs="宋体"/>
          <w:bCs/>
          <w:kern w:val="0"/>
          <w:sz w:val="24"/>
          <w:szCs w:val="24"/>
        </w:rPr>
        <w:t>5.4.7《环境标志产品政府采购实施的意见》--财库[2006]90号，投标人所投产品应优先选择财政部、国家发展改革委公布的环境标志产品政府采购清单目录内的产品（须提供节能、环保认证证书复印件加盖公章）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宋体" w:hAnsi="宋体" w:cs="宋体"/>
          <w:sz w:val="24"/>
          <w:szCs w:val="24"/>
        </w:rPr>
        <w:t>；</w:t>
      </w:r>
    </w:p>
    <w:p w14:paraId="736DDDB6">
      <w:pPr>
        <w:spacing w:line="360" w:lineRule="auto"/>
        <w:ind w:firstLine="420" w:firstLineChars="175"/>
        <w:rPr>
          <w:rFonts w:hint="eastAsia" w:ascii="宋体" w:hAnsi="宋体" w:cs="宋体"/>
          <w:bCs/>
          <w:kern w:val="0"/>
          <w:sz w:val="24"/>
          <w:szCs w:val="24"/>
        </w:rPr>
      </w:pPr>
      <w:r>
        <w:rPr>
          <w:rFonts w:hint="eastAsia" w:ascii="宋体" w:hAnsi="宋体" w:cs="宋体"/>
          <w:bCs/>
          <w:kern w:val="0"/>
          <w:sz w:val="24"/>
          <w:szCs w:val="24"/>
        </w:rPr>
        <w:t>5.4.8《财政部民政部中国残疾人联合会关于促进残疾人就业政府采购政策的通知》--（财库〔2017〕141号）；</w:t>
      </w:r>
    </w:p>
    <w:p w14:paraId="50BDBA13">
      <w:pPr>
        <w:pStyle w:val="6"/>
        <w:spacing w:line="360" w:lineRule="auto"/>
        <w:rPr>
          <w:rFonts w:hint="eastAsia" w:ascii="宋体" w:hAnsi="宋体" w:cs="宋体"/>
          <w:bCs/>
          <w:kern w:val="0"/>
          <w:sz w:val="24"/>
          <w:szCs w:val="24"/>
        </w:rPr>
      </w:pPr>
      <w:r>
        <w:rPr>
          <w:rFonts w:hint="eastAsia" w:ascii="宋体" w:hAnsi="宋体" w:cs="宋体"/>
          <w:bCs/>
          <w:kern w:val="0"/>
          <w:sz w:val="24"/>
          <w:szCs w:val="24"/>
        </w:rPr>
        <w:t xml:space="preserve">    5.4.9《政府采购贫困地区农副产品实施方案》--（财库〔2019〕41号）；</w:t>
      </w:r>
    </w:p>
    <w:p w14:paraId="39AAB8FD">
      <w:pPr>
        <w:widowControl/>
        <w:tabs>
          <w:tab w:val="left" w:pos="1620"/>
        </w:tabs>
        <w:adjustRightInd w:val="0"/>
        <w:snapToGrid w:val="0"/>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5.4.10《关于在政府采购活动中查询及使用信用记录有关问题的通知》（财库〔2016〕125号）；</w:t>
      </w:r>
    </w:p>
    <w:p w14:paraId="10A19CD9">
      <w:pPr>
        <w:pStyle w:val="6"/>
        <w:spacing w:line="360" w:lineRule="auto"/>
        <w:ind w:firstLine="480" w:firstLineChars="200"/>
        <w:rPr>
          <w:rFonts w:hint="eastAsia" w:ascii="宋体" w:hAnsi="宋体" w:cs="宋体"/>
          <w:bCs/>
          <w:kern w:val="0"/>
          <w:sz w:val="24"/>
          <w:szCs w:val="24"/>
        </w:rPr>
      </w:pPr>
      <w:r>
        <w:rPr>
          <w:rFonts w:hint="eastAsia" w:ascii="宋体" w:hAnsi="宋体" w:cs="宋体"/>
          <w:bCs/>
          <w:kern w:val="0"/>
          <w:sz w:val="24"/>
          <w:szCs w:val="24"/>
        </w:rPr>
        <w:t xml:space="preserve">5.4.11《关于开展政府采购信用担保试点工作的通知》（财库【2011】124号）。 </w:t>
      </w:r>
    </w:p>
    <w:p w14:paraId="6F02DBF8">
      <w:pPr>
        <w:spacing w:line="360" w:lineRule="auto"/>
        <w:ind w:firstLine="480" w:firstLineChars="200"/>
        <w:rPr>
          <w:rFonts w:hint="eastAsia" w:ascii="仿宋" w:hAnsi="仿宋" w:eastAsia="仿宋" w:cs="仿宋"/>
          <w:b/>
          <w:bCs/>
          <w:sz w:val="28"/>
          <w:szCs w:val="28"/>
        </w:rPr>
      </w:pPr>
      <w:r>
        <w:rPr>
          <w:rFonts w:hint="eastAsia" w:ascii="宋体" w:hAnsi="宋体" w:cs="宋体"/>
          <w:bCs/>
          <w:kern w:val="0"/>
          <w:sz w:val="24"/>
          <w:szCs w:val="24"/>
        </w:rPr>
        <w:t>5.4.12</w:t>
      </w:r>
      <w:r>
        <w:rPr>
          <w:rFonts w:hint="eastAsia" w:ascii="宋体" w:hAnsi="宋体" w:eastAsia="宋体" w:cs="宋体"/>
          <w:bCs/>
          <w:kern w:val="0"/>
          <w:sz w:val="24"/>
          <w:szCs w:val="24"/>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宋体" w:hAnsi="宋体" w:eastAsia="宋体" w:cs="宋体"/>
          <w:bCs/>
          <w:kern w:val="0"/>
          <w:sz w:val="24"/>
          <w:szCs w:val="24"/>
          <w:lang w:val="en-US" w:eastAsia="zh-CN"/>
        </w:rPr>
        <w:t xml:space="preserve"> </w:t>
      </w:r>
      <w:r>
        <w:rPr>
          <w:rFonts w:hint="eastAsia" w:ascii="宋体" w:hAnsi="宋体" w:eastAsia="宋体" w:cs="宋体"/>
          <w:bCs/>
          <w:kern w:val="0"/>
          <w:sz w:val="24"/>
          <w:szCs w:val="24"/>
        </w:rPr>
        <w:t>国办《关于促进中小企业健康发展的指导意见》、财政部</w:t>
      </w:r>
      <w:r>
        <w:rPr>
          <w:rFonts w:hint="eastAsia" w:ascii="宋体" w:hAnsi="宋体" w:eastAsia="宋体" w:cs="宋体"/>
          <w:bCs/>
          <w:kern w:val="0"/>
          <w:sz w:val="24"/>
          <w:szCs w:val="24"/>
          <w:lang w:val="en-US" w:eastAsia="zh-CN"/>
        </w:rPr>
        <w:t xml:space="preserve"> </w:t>
      </w:r>
      <w:r>
        <w:rPr>
          <w:rFonts w:hint="eastAsia" w:ascii="宋体" w:hAnsi="宋体" w:eastAsia="宋体" w:cs="宋体"/>
          <w:bCs/>
          <w:kern w:val="0"/>
          <w:sz w:val="24"/>
          <w:szCs w:val="24"/>
        </w:rPr>
        <w:t>工信部《政府采购促进中小企业发展</w:t>
      </w:r>
      <w:r>
        <w:rPr>
          <w:rFonts w:hint="eastAsia" w:ascii="宋体" w:hAnsi="宋体" w:eastAsia="宋体" w:cs="宋体"/>
          <w:bCs/>
          <w:kern w:val="0"/>
          <w:sz w:val="24"/>
          <w:szCs w:val="24"/>
          <w:lang w:val="en-US" w:eastAsia="zh-CN"/>
        </w:rPr>
        <w:t>管理</w:t>
      </w:r>
      <w:r>
        <w:rPr>
          <w:rFonts w:hint="eastAsia" w:ascii="宋体" w:hAnsi="宋体" w:eastAsia="宋体" w:cs="宋体"/>
          <w:bCs/>
          <w:kern w:val="0"/>
          <w:sz w:val="24"/>
          <w:szCs w:val="24"/>
        </w:rPr>
        <w:t>办法》（财库〔20</w:t>
      </w:r>
      <w:r>
        <w:rPr>
          <w:rFonts w:hint="eastAsia" w:ascii="宋体" w:hAnsi="宋体" w:eastAsia="宋体" w:cs="宋体"/>
          <w:bCs/>
          <w:kern w:val="0"/>
          <w:sz w:val="24"/>
          <w:szCs w:val="24"/>
          <w:lang w:val="en-US" w:eastAsia="zh-CN"/>
        </w:rPr>
        <w:t>20</w:t>
      </w:r>
      <w:r>
        <w:rPr>
          <w:rFonts w:hint="eastAsia" w:ascii="宋体" w:hAnsi="宋体" w:eastAsia="宋体" w:cs="宋体"/>
          <w:bCs/>
          <w:kern w:val="0"/>
          <w:sz w:val="24"/>
          <w:szCs w:val="24"/>
        </w:rPr>
        <w:t>〕</w:t>
      </w:r>
      <w:r>
        <w:rPr>
          <w:rFonts w:hint="eastAsia" w:ascii="宋体" w:hAnsi="宋体" w:eastAsia="宋体" w:cs="宋体"/>
          <w:bCs/>
          <w:kern w:val="0"/>
          <w:sz w:val="24"/>
          <w:szCs w:val="24"/>
          <w:lang w:val="en-US" w:eastAsia="zh-CN"/>
        </w:rPr>
        <w:t>46</w:t>
      </w:r>
      <w:r>
        <w:rPr>
          <w:rFonts w:hint="eastAsia" w:ascii="宋体" w:hAnsi="宋体" w:eastAsia="宋体" w:cs="宋体"/>
          <w:bCs/>
          <w:kern w:val="0"/>
          <w:sz w:val="24"/>
          <w:szCs w:val="24"/>
        </w:rPr>
        <w:t>号）、《陕西省中小企业政府采购信用融资办法》（陕财办采〔2018〕23号）、《陕西省财政厅关于加快推进我省中小企业政府采购信用融资工作的通知》（陕财办采〔2020〕15号）</w:t>
      </w:r>
      <w:r>
        <w:rPr>
          <w:rFonts w:hint="eastAsia" w:ascii="宋体" w:hAnsi="宋体" w:eastAsia="宋体" w:cs="宋体"/>
          <w:bCs/>
          <w:kern w:val="0"/>
          <w:sz w:val="24"/>
          <w:szCs w:val="24"/>
          <w:lang w:eastAsia="zh-CN"/>
        </w:rPr>
        <w:t>、</w:t>
      </w:r>
      <w:r>
        <w:rPr>
          <w:rFonts w:hint="eastAsia" w:ascii="宋体" w:hAnsi="宋体" w:eastAsia="宋体" w:cs="宋体"/>
          <w:bCs/>
          <w:kern w:val="0"/>
          <w:sz w:val="24"/>
          <w:szCs w:val="24"/>
          <w:lang w:val="en-US" w:eastAsia="zh-CN"/>
        </w:rPr>
        <w:t>《陕西省财政厅 中国人民银行西安分行关于深入推进政府采购信用融资业务</w:t>
      </w:r>
      <w:r>
        <w:rPr>
          <w:rFonts w:hint="default" w:ascii="宋体" w:hAnsi="宋体" w:eastAsia="宋体" w:cs="宋体"/>
          <w:bCs/>
          <w:kern w:val="0"/>
          <w:sz w:val="24"/>
          <w:szCs w:val="24"/>
          <w:lang w:val="en-US" w:eastAsia="zh-CN"/>
        </w:rPr>
        <w:t>的通知</w:t>
      </w:r>
      <w:r>
        <w:rPr>
          <w:rFonts w:hint="eastAsia" w:ascii="宋体" w:hAnsi="宋体" w:eastAsia="宋体" w:cs="宋体"/>
          <w:bCs/>
          <w:kern w:val="0"/>
          <w:sz w:val="24"/>
          <w:szCs w:val="24"/>
          <w:lang w:val="en-US" w:eastAsia="zh-CN"/>
        </w:rPr>
        <w:t>》</w:t>
      </w:r>
      <w:r>
        <w:rPr>
          <w:rFonts w:hint="eastAsia" w:ascii="宋体" w:hAnsi="宋体" w:eastAsia="宋体" w:cs="宋体"/>
          <w:bCs/>
          <w:kern w:val="0"/>
          <w:sz w:val="24"/>
          <w:szCs w:val="24"/>
        </w:rPr>
        <w:t>（陕财办采〔202</w:t>
      </w:r>
      <w:r>
        <w:rPr>
          <w:rFonts w:hint="eastAsia" w:ascii="宋体" w:hAnsi="宋体" w:eastAsia="宋体" w:cs="宋体"/>
          <w:bCs/>
          <w:kern w:val="0"/>
          <w:sz w:val="24"/>
          <w:szCs w:val="24"/>
          <w:lang w:val="en-US" w:eastAsia="zh-CN"/>
        </w:rPr>
        <w:t>3</w:t>
      </w:r>
      <w:r>
        <w:rPr>
          <w:rFonts w:hint="eastAsia" w:ascii="宋体" w:hAnsi="宋体" w:eastAsia="宋体" w:cs="宋体"/>
          <w:bCs/>
          <w:kern w:val="0"/>
          <w:sz w:val="24"/>
          <w:szCs w:val="24"/>
        </w:rPr>
        <w:t>〕5号）等有关规定，按照</w:t>
      </w:r>
      <w:r>
        <w:rPr>
          <w:rFonts w:hint="eastAsia" w:ascii="宋体" w:hAnsi="宋体" w:eastAsia="宋体" w:cs="宋体"/>
          <w:bCs/>
          <w:kern w:val="0"/>
          <w:sz w:val="24"/>
          <w:szCs w:val="24"/>
          <w:lang w:val="en-US" w:eastAsia="zh-CN"/>
        </w:rPr>
        <w:t>政府</w:t>
      </w:r>
      <w:r>
        <w:rPr>
          <w:rFonts w:hint="eastAsia" w:ascii="宋体" w:hAnsi="宋体" w:eastAsia="宋体" w:cs="宋体"/>
          <w:bCs/>
          <w:kern w:val="0"/>
          <w:sz w:val="24"/>
          <w:szCs w:val="24"/>
        </w:rPr>
        <w:t>引导、</w:t>
      </w:r>
      <w:r>
        <w:rPr>
          <w:rFonts w:hint="eastAsia" w:ascii="宋体" w:hAnsi="宋体" w:eastAsia="宋体" w:cs="宋体"/>
          <w:bCs/>
          <w:kern w:val="0"/>
          <w:sz w:val="24"/>
          <w:szCs w:val="24"/>
          <w:lang w:val="en-US" w:eastAsia="zh-CN"/>
        </w:rPr>
        <w:t>市场运作、银企</w:t>
      </w:r>
      <w:r>
        <w:rPr>
          <w:rFonts w:hint="eastAsia" w:ascii="宋体" w:hAnsi="宋体" w:eastAsia="宋体" w:cs="宋体"/>
          <w:bCs/>
          <w:kern w:val="0"/>
          <w:sz w:val="24"/>
          <w:szCs w:val="24"/>
        </w:rPr>
        <w:t>自愿、风险自担的原则，中标（成交）供应商可根据自身资金需求，登录陕西省政府采购信用融资平台（http://www.ccgp-shaanxi.gov.cn/zcdservice/zcd/shanxi/）</w:t>
      </w:r>
      <w:r>
        <w:rPr>
          <w:rFonts w:hint="eastAsia" w:ascii="宋体" w:hAnsi="宋体" w:eastAsia="宋体" w:cs="宋体"/>
          <w:bCs/>
          <w:kern w:val="0"/>
          <w:sz w:val="24"/>
          <w:szCs w:val="24"/>
          <w:lang w:val="en-US" w:eastAsia="zh-CN"/>
        </w:rPr>
        <w:t>或中征平台（https://www.crcrfsp.com）</w:t>
      </w:r>
      <w:r>
        <w:rPr>
          <w:rFonts w:hint="eastAsia" w:ascii="宋体" w:hAnsi="宋体" w:eastAsia="宋体" w:cs="宋体"/>
          <w:bCs/>
          <w:kern w:val="0"/>
          <w:sz w:val="24"/>
          <w:szCs w:val="24"/>
        </w:rPr>
        <w:t>在线申请，依法参加政府采购信用融资活动。</w:t>
      </w:r>
    </w:p>
    <w:tbl>
      <w:tblPr>
        <w:tblStyle w:val="17"/>
        <w:tblpPr w:leftFromText="180" w:rightFromText="180" w:vertAnchor="page" w:horzAnchor="page" w:tblpX="1075" w:tblpY="1796"/>
        <w:tblOverlap w:val="never"/>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6BA8B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7FF076DD">
            <w:pPr>
              <w:keepNext w:val="0"/>
              <w:keepLines w:val="0"/>
              <w:widowControl/>
              <w:suppressLineNumbers w:val="0"/>
              <w:jc w:val="both"/>
              <w:textAlignment w:val="center"/>
              <w:rPr>
                <w:rFonts w:hint="eastAsia" w:ascii="宋体" w:hAnsi="宋体" w:eastAsia="宋体" w:cs="宋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7ADD8B15">
            <w:pPr>
              <w:keepNext w:val="0"/>
              <w:keepLines w:val="0"/>
              <w:widowControl/>
              <w:suppressLineNumbers w:val="0"/>
              <w:jc w:val="center"/>
              <w:textAlignment w:val="center"/>
              <w:rPr>
                <w:rFonts w:hint="eastAsia" w:ascii="宋体" w:hAnsi="宋体" w:eastAsia="宋体" w:cs="宋体"/>
                <w:i w:val="0"/>
                <w:iCs w:val="0"/>
                <w:color w:val="000000"/>
                <w:sz w:val="52"/>
                <w:szCs w:val="52"/>
                <w:u w:val="none"/>
              </w:rPr>
            </w:pPr>
            <w:r>
              <w:rPr>
                <w:rFonts w:hint="eastAsia" w:ascii="宋体" w:hAnsi="宋体" w:eastAsia="宋体" w:cs="宋体"/>
                <w:i w:val="0"/>
                <w:iCs w:val="0"/>
                <w:color w:val="000000"/>
                <w:kern w:val="0"/>
                <w:sz w:val="32"/>
                <w:szCs w:val="32"/>
                <w:u w:val="none"/>
                <w:lang w:val="en-US" w:eastAsia="zh-CN" w:bidi="ar"/>
              </w:rPr>
              <w:t>榆林市“政采贷”业务办理银行联系表</w:t>
            </w:r>
          </w:p>
        </w:tc>
      </w:tr>
      <w:tr w14:paraId="28715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8CA56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24F6A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E9154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D032D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A69A8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CC4FA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D4388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4EDF8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联系人</w:t>
            </w:r>
          </w:p>
        </w:tc>
      </w:tr>
      <w:tr w14:paraId="2F4EB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CF90B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FAF60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6122A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46A6F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0C399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88DF9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A1203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317F6B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魏  众15109123951</w:t>
            </w:r>
          </w:p>
        </w:tc>
      </w:tr>
      <w:tr w14:paraId="50902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DFCC25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449A3C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0B6CFD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891443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45F5B7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87DB59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CC9D24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D3D772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  靖15509125117</w:t>
            </w:r>
          </w:p>
        </w:tc>
      </w:tr>
      <w:tr w14:paraId="3B2AA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68E9AC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C8F39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64E3C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FCFFE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C07D5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45F10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5F2A1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D3101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刘  波18809125468</w:t>
            </w:r>
          </w:p>
        </w:tc>
      </w:tr>
      <w:tr w14:paraId="51F09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6CFFB5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66F8B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F5E68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829A2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D170F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58993B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6C6E0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A0003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  飞15291296886</w:t>
            </w:r>
          </w:p>
        </w:tc>
      </w:tr>
      <w:tr w14:paraId="3D515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165D56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D08AD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A1191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6B704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D2BA0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696ED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F0116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076287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李  浩18691230007</w:t>
            </w:r>
          </w:p>
        </w:tc>
      </w:tr>
      <w:tr w14:paraId="4098A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478C6CC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90056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8B4AC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5AF4C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4663D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13F905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9B7A6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5BC45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马  烨15596100007</w:t>
            </w:r>
          </w:p>
        </w:tc>
      </w:tr>
      <w:tr w14:paraId="5BDFF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814291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A6F73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E10D8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7B36A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06795A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1BF9DE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25126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27816B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朱  君15629169158</w:t>
            </w:r>
          </w:p>
        </w:tc>
      </w:tr>
      <w:tr w14:paraId="297B2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667AF7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A2AC3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7270D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BF5A3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2B2F6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34EF8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9B5A7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9E00F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王  璐15529875056</w:t>
            </w:r>
          </w:p>
        </w:tc>
      </w:tr>
      <w:tr w14:paraId="3C730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64A754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5CB969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4F18A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66016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D142F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F573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3.45%-3.85%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1A1E5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303E4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杨  尧13325409313</w:t>
            </w:r>
          </w:p>
        </w:tc>
      </w:tr>
      <w:tr w14:paraId="043D9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EF742C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52DE8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94EE2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B565F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4CE91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A09BB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61E6F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E10F9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郝双双15991225850</w:t>
            </w:r>
          </w:p>
        </w:tc>
      </w:tr>
    </w:tbl>
    <w:p w14:paraId="05811960">
      <w:pPr>
        <w:widowControl/>
        <w:tabs>
          <w:tab w:val="left" w:pos="1620"/>
        </w:tabs>
        <w:kinsoku w:val="0"/>
        <w:autoSpaceDE w:val="0"/>
        <w:autoSpaceDN w:val="0"/>
        <w:adjustRightInd w:val="0"/>
        <w:snapToGrid w:val="0"/>
        <w:spacing w:line="360" w:lineRule="auto"/>
        <w:jc w:val="left"/>
        <w:rPr>
          <w:rFonts w:hint="eastAsia" w:ascii="宋体" w:hAnsi="宋体" w:eastAsia="宋体" w:cs="宋体"/>
          <w:bCs/>
          <w:kern w:val="0"/>
          <w:sz w:val="24"/>
          <w:szCs w:val="24"/>
        </w:rPr>
      </w:pPr>
      <w:r>
        <w:rPr>
          <w:rFonts w:hint="eastAsia" w:ascii="宋体" w:hAnsi="宋体" w:eastAsia="宋体" w:cs="宋体"/>
          <w:i w:val="0"/>
          <w:iCs w:val="0"/>
          <w:color w:val="000000"/>
          <w:kern w:val="0"/>
          <w:sz w:val="21"/>
          <w:szCs w:val="21"/>
          <w:u w:val="none"/>
          <w:lang w:val="en-US" w:eastAsia="zh-CN" w:bidi="ar"/>
        </w:rPr>
        <w:t>备注：银行排名不分先后。如产品额度、期限、利率等内容发生改变，以银行解释为准。</w:t>
      </w:r>
    </w:p>
    <w:p w14:paraId="573CA7B2">
      <w:pPr>
        <w:pStyle w:val="4"/>
        <w:spacing w:line="460" w:lineRule="exact"/>
        <w:rPr>
          <w:rFonts w:ascii="宋体" w:hAnsi="宋体" w:cs="宋体"/>
          <w:bCs/>
        </w:rPr>
      </w:pPr>
      <w:r>
        <w:rPr>
          <w:rFonts w:hint="eastAsia" w:ascii="宋体" w:hAnsi="宋体" w:cs="宋体"/>
          <w:bCs/>
        </w:rPr>
        <w:t>6 竞争性谈判文件的澄清</w:t>
      </w:r>
      <w:bookmarkEnd w:id="107"/>
      <w:bookmarkEnd w:id="108"/>
      <w:bookmarkEnd w:id="109"/>
      <w:bookmarkEnd w:id="110"/>
      <w:bookmarkEnd w:id="111"/>
      <w:bookmarkEnd w:id="112"/>
      <w:bookmarkEnd w:id="113"/>
      <w:bookmarkEnd w:id="114"/>
      <w:bookmarkEnd w:id="115"/>
    </w:p>
    <w:p w14:paraId="30C912DE">
      <w:pPr>
        <w:keepNext w:val="0"/>
        <w:keepLines w:val="0"/>
        <w:pageBreakBefore w:val="0"/>
        <w:widowControl w:val="0"/>
        <w:tabs>
          <w:tab w:val="left" w:pos="1620"/>
        </w:tabs>
        <w:kinsoku w:val="0"/>
        <w:wordWrap/>
        <w:overflowPunct w:val="0"/>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bCs/>
          <w:color w:val="auto"/>
          <w:kern w:val="0"/>
          <w:sz w:val="24"/>
          <w:szCs w:val="24"/>
        </w:rPr>
      </w:pPr>
      <w:bookmarkStart w:id="116" w:name="_Toc936"/>
      <w:bookmarkStart w:id="117" w:name="_Toc29244"/>
      <w:bookmarkStart w:id="118" w:name="_Toc843"/>
      <w:bookmarkStart w:id="119" w:name="_Toc30004"/>
      <w:bookmarkStart w:id="120" w:name="_Toc25100"/>
      <w:bookmarkStart w:id="121" w:name="_Toc465958096"/>
      <w:bookmarkStart w:id="122" w:name="_Toc246928903"/>
      <w:bookmarkStart w:id="123" w:name="_Toc11107"/>
      <w:bookmarkStart w:id="124" w:name="_Toc28323"/>
      <w:bookmarkStart w:id="125" w:name="_Toc7688"/>
      <w:bookmarkStart w:id="126" w:name="_Toc25938"/>
      <w:r>
        <w:rPr>
          <w:rFonts w:hint="eastAsia" w:ascii="宋体" w:hAnsi="宋体" w:eastAsia="宋体" w:cs="宋体"/>
          <w:bCs/>
          <w:color w:val="auto"/>
          <w:kern w:val="0"/>
          <w:sz w:val="24"/>
          <w:szCs w:val="24"/>
        </w:rPr>
        <w:t>1、</w:t>
      </w:r>
      <w:r>
        <w:rPr>
          <w:rFonts w:ascii="宋体" w:hAnsi="宋体" w:eastAsia="宋体" w:cs="宋体"/>
          <w:sz w:val="24"/>
          <w:szCs w:val="24"/>
        </w:rPr>
        <w:t>竞争性谈判采购单位如果对已发出的竞争性谈判文件进行</w:t>
      </w:r>
      <w:r>
        <w:rPr>
          <w:rFonts w:hint="eastAsia" w:ascii="宋体" w:hAnsi="宋体" w:eastAsia="宋体" w:cs="宋体"/>
          <w:bCs/>
          <w:color w:val="auto"/>
          <w:kern w:val="0"/>
          <w:sz w:val="24"/>
          <w:szCs w:val="24"/>
        </w:rPr>
        <w:t>澄清或者</w:t>
      </w:r>
      <w:r>
        <w:rPr>
          <w:rFonts w:ascii="宋体" w:hAnsi="宋体" w:eastAsia="宋体" w:cs="宋体"/>
          <w:sz w:val="24"/>
          <w:szCs w:val="24"/>
        </w:rPr>
        <w:t>修改</w:t>
      </w:r>
      <w:r>
        <w:rPr>
          <w:rFonts w:hint="eastAsia" w:ascii="宋体" w:hAnsi="宋体" w:eastAsia="宋体" w:cs="宋体"/>
          <w:sz w:val="24"/>
          <w:szCs w:val="24"/>
          <w:lang w:eastAsia="zh-CN"/>
        </w:rPr>
        <w:t>，</w:t>
      </w:r>
      <w:r>
        <w:rPr>
          <w:rFonts w:hint="eastAsia" w:ascii="宋体" w:hAnsi="宋体" w:eastAsia="宋体" w:cs="宋体"/>
          <w:bCs/>
          <w:color w:val="auto"/>
          <w:kern w:val="0"/>
          <w:sz w:val="24"/>
          <w:szCs w:val="24"/>
        </w:rPr>
        <w:t>将在原公告发布媒体上发布</w:t>
      </w:r>
      <w:r>
        <w:rPr>
          <w:rFonts w:hint="eastAsia" w:ascii="宋体" w:hAnsi="宋体" w:eastAsia="宋体" w:cs="宋体"/>
          <w:bCs/>
          <w:color w:val="auto"/>
          <w:kern w:val="0"/>
          <w:sz w:val="24"/>
          <w:szCs w:val="24"/>
          <w:lang w:val="en-US" w:eastAsia="zh-CN"/>
        </w:rPr>
        <w:t>更正</w:t>
      </w:r>
      <w:r>
        <w:rPr>
          <w:rFonts w:hint="eastAsia" w:ascii="宋体" w:hAnsi="宋体" w:eastAsia="宋体" w:cs="宋体"/>
          <w:bCs/>
          <w:color w:val="auto"/>
          <w:kern w:val="0"/>
          <w:sz w:val="24"/>
          <w:szCs w:val="24"/>
        </w:rPr>
        <w:t>公告，其内容为竞争性谈判文件的组成部分。</w:t>
      </w:r>
    </w:p>
    <w:p w14:paraId="6A0070BE">
      <w:pPr>
        <w:keepNext w:val="0"/>
        <w:keepLines w:val="0"/>
        <w:pageBreakBefore w:val="0"/>
        <w:widowControl w:val="0"/>
        <w:tabs>
          <w:tab w:val="left" w:pos="1620"/>
        </w:tabs>
        <w:kinsoku w:val="0"/>
        <w:wordWrap/>
        <w:overflowPunct w:val="0"/>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2、澄清或者修改的内容可能影响谈判响应文件编制的，采购代理机构将在投标截止时间至少3个工作日前，在原公告发布媒体上发布更正公告；不足3个工作日，采购代理机构将顺延提交谈判响应文件的截止时间。</w:t>
      </w:r>
    </w:p>
    <w:p w14:paraId="3B703CFE">
      <w:pPr>
        <w:keepNext w:val="0"/>
        <w:keepLines w:val="0"/>
        <w:pageBreakBefore w:val="0"/>
        <w:widowControl w:val="0"/>
        <w:tabs>
          <w:tab w:val="left" w:pos="1620"/>
        </w:tabs>
        <w:kinsoku w:val="0"/>
        <w:wordWrap/>
        <w:overflowPunct w:val="0"/>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3、各供应商在提交谈判响应文件截止时间之前，应随时关注下列地址发布的变更公告，也可登录全国公共资源交易平台 (陕西省) 交易系统查看左上角的信息提醒，采购代理机构不再单独通知，因供应商未及时关注所造成的一切后果由供应商自行承担：</w:t>
      </w:r>
    </w:p>
    <w:p w14:paraId="040C321B">
      <w:pPr>
        <w:keepNext w:val="0"/>
        <w:keepLines w:val="0"/>
        <w:pageBreakBefore w:val="0"/>
        <w:widowControl w:val="0"/>
        <w:tabs>
          <w:tab w:val="left" w:pos="1620"/>
        </w:tabs>
        <w:kinsoku w:val="0"/>
        <w:wordWrap/>
        <w:overflowPunct w:val="0"/>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bCs/>
          <w:color w:val="auto"/>
          <w:kern w:val="0"/>
          <w:sz w:val="24"/>
          <w:szCs w:val="24"/>
        </w:rPr>
      </w:pPr>
      <w:bookmarkStart w:id="127" w:name="_Toc16318"/>
      <w:r>
        <w:rPr>
          <w:rFonts w:hint="eastAsia" w:ascii="宋体" w:hAnsi="宋体" w:eastAsia="宋体" w:cs="宋体"/>
          <w:bCs/>
          <w:color w:val="auto"/>
          <w:kern w:val="0"/>
          <w:sz w:val="24"/>
          <w:szCs w:val="24"/>
        </w:rPr>
        <w:t>4、解释权归属</w:t>
      </w:r>
      <w:bookmarkEnd w:id="127"/>
    </w:p>
    <w:p w14:paraId="2DB2C2F6">
      <w:pPr>
        <w:keepNext w:val="0"/>
        <w:keepLines w:val="0"/>
        <w:pageBreakBefore w:val="0"/>
        <w:widowControl w:val="0"/>
        <w:tabs>
          <w:tab w:val="left" w:pos="1620"/>
        </w:tabs>
        <w:kinsoku w:val="0"/>
        <w:wordWrap/>
        <w:overflowPunct w:val="0"/>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本次竞争性谈判文件的解释权归采购代理机构所有。</w:t>
      </w:r>
    </w:p>
    <w:bookmarkEnd w:id="116"/>
    <w:bookmarkEnd w:id="117"/>
    <w:bookmarkEnd w:id="118"/>
    <w:bookmarkEnd w:id="119"/>
    <w:bookmarkEnd w:id="120"/>
    <w:bookmarkEnd w:id="121"/>
    <w:bookmarkEnd w:id="122"/>
    <w:bookmarkEnd w:id="123"/>
    <w:bookmarkEnd w:id="124"/>
    <w:p w14:paraId="2A47E610">
      <w:pPr>
        <w:pStyle w:val="4"/>
        <w:spacing w:line="460" w:lineRule="exact"/>
        <w:rPr>
          <w:rFonts w:ascii="宋体" w:hAnsi="宋体" w:cs="宋体"/>
          <w:szCs w:val="24"/>
        </w:rPr>
      </w:pPr>
      <w:r>
        <w:rPr>
          <w:rFonts w:hint="eastAsia" w:ascii="宋体" w:hAnsi="宋体" w:cs="宋体"/>
          <w:szCs w:val="32"/>
        </w:rPr>
        <w:t>8 竞争性谈判文件的获取</w:t>
      </w:r>
      <w:bookmarkEnd w:id="125"/>
      <w:bookmarkEnd w:id="126"/>
    </w:p>
    <w:p w14:paraId="66C069A2">
      <w:pPr>
        <w:spacing w:line="460" w:lineRule="exact"/>
        <w:ind w:firstLine="480" w:firstLineChars="200"/>
        <w:rPr>
          <w:rFonts w:ascii="宋体" w:hAnsi="宋体" w:cs="宋体"/>
          <w:sz w:val="24"/>
          <w:szCs w:val="24"/>
        </w:rPr>
      </w:pPr>
      <w:r>
        <w:rPr>
          <w:rFonts w:hint="eastAsia" w:ascii="宋体" w:hAnsi="宋体" w:cs="宋体"/>
          <w:sz w:val="24"/>
          <w:szCs w:val="24"/>
        </w:rPr>
        <w:t>招标采购公告发布后，有意向的投标人应从从陕西省公共资源交易平台获取竞争性谈判文件并下载谈判文件，仅作为本次招标使用。投标单位自行转让或复制的竞争性谈判文件视为无效文件。</w:t>
      </w:r>
    </w:p>
    <w:p w14:paraId="6DE080DF">
      <w:pPr>
        <w:pStyle w:val="4"/>
        <w:spacing w:line="460" w:lineRule="exact"/>
        <w:rPr>
          <w:rFonts w:ascii="宋体" w:hAnsi="宋体" w:cs="宋体"/>
          <w:sz w:val="24"/>
          <w:szCs w:val="24"/>
        </w:rPr>
      </w:pPr>
      <w:bookmarkStart w:id="128" w:name="_Toc28863"/>
      <w:bookmarkStart w:id="129" w:name="_Toc26223"/>
      <w:r>
        <w:rPr>
          <w:rFonts w:hint="eastAsia" w:ascii="宋体" w:hAnsi="宋体" w:cs="宋体"/>
          <w:szCs w:val="32"/>
        </w:rPr>
        <w:t>9 解释权归属</w:t>
      </w:r>
      <w:bookmarkEnd w:id="128"/>
      <w:bookmarkEnd w:id="129"/>
    </w:p>
    <w:p w14:paraId="0752260F">
      <w:pPr>
        <w:spacing w:line="460" w:lineRule="exact"/>
        <w:ind w:firstLine="566" w:firstLineChars="236"/>
      </w:pPr>
      <w:r>
        <w:rPr>
          <w:rFonts w:hint="eastAsia" w:ascii="宋体" w:hAnsi="宋体" w:cs="宋体"/>
          <w:sz w:val="24"/>
          <w:szCs w:val="24"/>
        </w:rPr>
        <w:t xml:space="preserve">本次竞争性谈判文件的解释权归采购代理机构。 </w:t>
      </w:r>
    </w:p>
    <w:p w14:paraId="21544826">
      <w:pPr>
        <w:pStyle w:val="3"/>
        <w:spacing w:line="460" w:lineRule="exact"/>
        <w:jc w:val="center"/>
        <w:rPr>
          <w:rFonts w:ascii="宋体" w:hAnsi="宋体" w:eastAsia="宋体" w:cs="宋体"/>
          <w:bCs/>
          <w:sz w:val="36"/>
        </w:rPr>
      </w:pPr>
      <w:bookmarkStart w:id="130" w:name="_Toc30520"/>
      <w:bookmarkStart w:id="131" w:name="_Toc19669"/>
      <w:bookmarkStart w:id="132" w:name="_Toc28020"/>
      <w:bookmarkStart w:id="133" w:name="_Toc8710"/>
      <w:bookmarkStart w:id="134" w:name="_Toc246928904"/>
      <w:bookmarkStart w:id="135" w:name="_Toc585"/>
      <w:bookmarkStart w:id="136" w:name="_Toc1006"/>
      <w:bookmarkStart w:id="137" w:name="_Toc465958097"/>
      <w:r>
        <w:rPr>
          <w:rFonts w:hint="eastAsia" w:ascii="宋体" w:hAnsi="宋体" w:eastAsia="宋体" w:cs="宋体"/>
          <w:bCs/>
          <w:sz w:val="36"/>
        </w:rPr>
        <w:t>C 竞争性谈判响应文件的编写</w:t>
      </w:r>
      <w:bookmarkEnd w:id="130"/>
      <w:bookmarkEnd w:id="131"/>
      <w:bookmarkEnd w:id="132"/>
      <w:bookmarkEnd w:id="133"/>
      <w:bookmarkEnd w:id="134"/>
      <w:bookmarkEnd w:id="135"/>
      <w:bookmarkEnd w:id="136"/>
      <w:bookmarkEnd w:id="137"/>
    </w:p>
    <w:p w14:paraId="158D321B">
      <w:pPr>
        <w:pStyle w:val="4"/>
        <w:spacing w:line="460" w:lineRule="exact"/>
        <w:rPr>
          <w:rFonts w:ascii="宋体" w:hAnsi="宋体" w:cs="宋体"/>
          <w:bCs/>
        </w:rPr>
      </w:pPr>
      <w:bookmarkStart w:id="138" w:name="_Toc25855"/>
      <w:bookmarkStart w:id="139" w:name="_Toc25916"/>
      <w:bookmarkStart w:id="140" w:name="_Toc17820"/>
      <w:bookmarkStart w:id="141" w:name="_Toc32164"/>
      <w:bookmarkStart w:id="142" w:name="_Toc246928905"/>
      <w:bookmarkStart w:id="143" w:name="_Toc3361"/>
      <w:bookmarkStart w:id="144" w:name="_Toc465958098"/>
      <w:bookmarkStart w:id="145" w:name="_Toc9502"/>
      <w:bookmarkStart w:id="146" w:name="_Toc20725"/>
      <w:r>
        <w:rPr>
          <w:rFonts w:hint="eastAsia" w:ascii="宋体" w:hAnsi="宋体" w:cs="宋体"/>
          <w:bCs/>
        </w:rPr>
        <w:t>10 谈判语言</w:t>
      </w:r>
      <w:bookmarkEnd w:id="138"/>
      <w:bookmarkEnd w:id="139"/>
      <w:bookmarkEnd w:id="140"/>
      <w:bookmarkEnd w:id="141"/>
      <w:bookmarkEnd w:id="142"/>
      <w:bookmarkEnd w:id="143"/>
      <w:bookmarkEnd w:id="144"/>
      <w:bookmarkEnd w:id="145"/>
      <w:bookmarkEnd w:id="146"/>
    </w:p>
    <w:p w14:paraId="275A23F3">
      <w:pPr>
        <w:spacing w:line="460" w:lineRule="exact"/>
        <w:rPr>
          <w:rFonts w:ascii="宋体" w:hAnsi="宋体" w:cs="宋体"/>
          <w:sz w:val="24"/>
        </w:rPr>
      </w:pPr>
      <w:r>
        <w:rPr>
          <w:rFonts w:hint="eastAsia" w:ascii="宋体" w:hAnsi="宋体" w:cs="宋体"/>
          <w:sz w:val="24"/>
        </w:rPr>
        <w:t>10.1 由供应商编写的竞争性谈判响应文件和往来信件应以中文书写。</w:t>
      </w:r>
    </w:p>
    <w:p w14:paraId="21B956C5">
      <w:pPr>
        <w:pStyle w:val="4"/>
        <w:spacing w:line="460" w:lineRule="exact"/>
        <w:rPr>
          <w:rFonts w:ascii="宋体" w:hAnsi="宋体" w:cs="宋体"/>
          <w:bCs/>
        </w:rPr>
      </w:pPr>
      <w:bookmarkStart w:id="147" w:name="_Toc6421"/>
      <w:bookmarkStart w:id="148" w:name="_Toc12423"/>
      <w:bookmarkStart w:id="149" w:name="_Toc30244"/>
      <w:bookmarkStart w:id="150" w:name="_Toc14629"/>
      <w:bookmarkStart w:id="151" w:name="_Toc26252"/>
      <w:bookmarkStart w:id="152" w:name="_Toc246928906"/>
      <w:bookmarkStart w:id="153" w:name="_Toc31749"/>
      <w:bookmarkStart w:id="154" w:name="_Toc23931"/>
      <w:bookmarkStart w:id="155" w:name="_Toc465958099"/>
      <w:r>
        <w:rPr>
          <w:rFonts w:hint="eastAsia" w:ascii="宋体" w:hAnsi="宋体" w:cs="宋体"/>
          <w:bCs/>
        </w:rPr>
        <w:t>11 计量单位</w:t>
      </w:r>
      <w:bookmarkEnd w:id="147"/>
      <w:bookmarkEnd w:id="148"/>
      <w:bookmarkEnd w:id="149"/>
      <w:bookmarkEnd w:id="150"/>
      <w:bookmarkEnd w:id="151"/>
      <w:bookmarkEnd w:id="152"/>
      <w:bookmarkEnd w:id="153"/>
      <w:bookmarkEnd w:id="154"/>
      <w:bookmarkEnd w:id="155"/>
    </w:p>
    <w:p w14:paraId="65E4543F">
      <w:pPr>
        <w:spacing w:line="460" w:lineRule="exact"/>
        <w:rPr>
          <w:rFonts w:ascii="宋体" w:hAnsi="宋体" w:cs="宋体"/>
          <w:sz w:val="24"/>
        </w:rPr>
      </w:pPr>
      <w:r>
        <w:rPr>
          <w:rFonts w:hint="eastAsia" w:ascii="宋体" w:hAnsi="宋体" w:cs="宋体"/>
          <w:sz w:val="24"/>
        </w:rPr>
        <w:t>11.1 除在竞争性谈判文件中有特殊要求外，计量单位应使用中华人民共和国法定计量单位及通用图形符号。</w:t>
      </w:r>
    </w:p>
    <w:p w14:paraId="53158ABB">
      <w:pPr>
        <w:spacing w:line="460" w:lineRule="exact"/>
        <w:rPr>
          <w:rFonts w:ascii="宋体" w:hAnsi="宋体" w:cs="宋体"/>
          <w:sz w:val="24"/>
        </w:rPr>
      </w:pPr>
      <w:r>
        <w:rPr>
          <w:rFonts w:hint="eastAsia" w:ascii="宋体" w:hAnsi="宋体" w:cs="宋体"/>
          <w:sz w:val="24"/>
        </w:rPr>
        <w:t>11.2 本次采购、谈判报价、谈判、评审和合同授予均以项目为单位，供应商必须就整个项目进行响应，不得将整个项目中的内容拆开谈判。拆开谈判的，按无效竞争性谈判响应文件处理。</w:t>
      </w:r>
    </w:p>
    <w:p w14:paraId="5FDA139E">
      <w:pPr>
        <w:pStyle w:val="4"/>
        <w:spacing w:line="460" w:lineRule="exact"/>
        <w:rPr>
          <w:rFonts w:ascii="宋体" w:hAnsi="宋体" w:cs="宋体"/>
          <w:bCs/>
        </w:rPr>
      </w:pPr>
      <w:bookmarkStart w:id="156" w:name="_Toc1098"/>
      <w:bookmarkStart w:id="157" w:name="_Toc465958100"/>
      <w:bookmarkStart w:id="158" w:name="_Toc7209"/>
      <w:bookmarkStart w:id="159" w:name="_Toc18592"/>
      <w:bookmarkStart w:id="160" w:name="_Toc26388"/>
      <w:bookmarkStart w:id="161" w:name="_Toc27123"/>
      <w:bookmarkStart w:id="162" w:name="_Toc246928907"/>
      <w:bookmarkStart w:id="163" w:name="_Toc3415"/>
      <w:bookmarkStart w:id="164" w:name="_Toc13655"/>
      <w:r>
        <w:rPr>
          <w:rFonts w:hint="eastAsia" w:ascii="宋体" w:hAnsi="宋体" w:cs="宋体"/>
          <w:bCs/>
        </w:rPr>
        <w:t>12 竞争性谈判响应文件的构成</w:t>
      </w:r>
      <w:bookmarkEnd w:id="156"/>
      <w:bookmarkEnd w:id="157"/>
      <w:bookmarkEnd w:id="158"/>
      <w:bookmarkEnd w:id="159"/>
      <w:bookmarkEnd w:id="160"/>
      <w:bookmarkEnd w:id="161"/>
      <w:bookmarkEnd w:id="162"/>
      <w:bookmarkEnd w:id="163"/>
      <w:bookmarkEnd w:id="164"/>
    </w:p>
    <w:p w14:paraId="631427FD">
      <w:pPr>
        <w:spacing w:line="460" w:lineRule="exact"/>
        <w:rPr>
          <w:rFonts w:ascii="宋体" w:hAnsi="宋体" w:cs="宋体"/>
          <w:sz w:val="24"/>
        </w:rPr>
      </w:pPr>
      <w:r>
        <w:rPr>
          <w:rFonts w:hint="eastAsia" w:ascii="宋体" w:hAnsi="宋体" w:cs="宋体"/>
          <w:sz w:val="24"/>
        </w:rPr>
        <w:t>12.1 供应商编写的竞争性谈判响应文件应包括下列部分：</w:t>
      </w:r>
    </w:p>
    <w:p w14:paraId="1AC10945">
      <w:pPr>
        <w:spacing w:line="460" w:lineRule="exact"/>
        <w:rPr>
          <w:rFonts w:ascii="宋体" w:hAnsi="宋体" w:cs="宋体"/>
          <w:sz w:val="24"/>
        </w:rPr>
      </w:pPr>
      <w:r>
        <w:rPr>
          <w:rFonts w:hint="eastAsia" w:ascii="宋体" w:hAnsi="宋体" w:cs="宋体"/>
          <w:sz w:val="24"/>
        </w:rPr>
        <w:t>12.1.1 响应函（格式）；</w:t>
      </w:r>
    </w:p>
    <w:p w14:paraId="274FB97B">
      <w:pPr>
        <w:spacing w:line="460" w:lineRule="exact"/>
        <w:rPr>
          <w:rFonts w:ascii="宋体" w:hAnsi="宋体" w:cs="宋体"/>
          <w:sz w:val="24"/>
        </w:rPr>
      </w:pPr>
      <w:r>
        <w:rPr>
          <w:rFonts w:hint="eastAsia" w:ascii="宋体" w:hAnsi="宋体" w:cs="宋体"/>
          <w:sz w:val="24"/>
        </w:rPr>
        <w:t>12.1.2 第一次谈判报价表；</w:t>
      </w:r>
    </w:p>
    <w:p w14:paraId="7B42A8A1">
      <w:pPr>
        <w:pStyle w:val="9"/>
        <w:spacing w:line="460" w:lineRule="exact"/>
        <w:rPr>
          <w:rFonts w:ascii="宋体" w:hAnsi="宋体" w:cs="宋体"/>
          <w:sz w:val="24"/>
        </w:rPr>
      </w:pPr>
      <w:r>
        <w:rPr>
          <w:rFonts w:hint="eastAsia" w:ascii="宋体" w:hAnsi="宋体" w:cs="宋体"/>
          <w:sz w:val="24"/>
        </w:rPr>
        <w:t>12.1.3 竞争性谈判响应文件格式的所有内容。具体见竞争性谈判响应文件格式；</w:t>
      </w:r>
    </w:p>
    <w:p w14:paraId="2ADB65E3">
      <w:pPr>
        <w:spacing w:line="460" w:lineRule="exact"/>
        <w:rPr>
          <w:rFonts w:ascii="宋体" w:hAnsi="宋体" w:cs="宋体"/>
          <w:sz w:val="24"/>
        </w:rPr>
      </w:pPr>
      <w:r>
        <w:rPr>
          <w:rFonts w:hint="eastAsia" w:ascii="宋体" w:hAnsi="宋体" w:cs="宋体"/>
          <w:sz w:val="24"/>
        </w:rPr>
        <w:t>12.2 供应商的所有资格证明文件均应当为合法、有效文件，否则将被视为该文件未递交。</w:t>
      </w:r>
    </w:p>
    <w:p w14:paraId="3D9D795E">
      <w:pPr>
        <w:spacing w:line="460" w:lineRule="exact"/>
        <w:rPr>
          <w:rFonts w:ascii="宋体" w:hAnsi="宋体" w:cs="宋体"/>
          <w:sz w:val="24"/>
        </w:rPr>
      </w:pPr>
      <w:r>
        <w:rPr>
          <w:rFonts w:hint="eastAsia" w:ascii="宋体" w:hAnsi="宋体" w:cs="宋体"/>
          <w:sz w:val="24"/>
        </w:rPr>
        <w:t>12.3 上述文件应当按照竞争性谈判文件规定的格式填写、签署和盖章。</w:t>
      </w:r>
    </w:p>
    <w:p w14:paraId="35DA7E18">
      <w:pPr>
        <w:pStyle w:val="4"/>
        <w:spacing w:line="460" w:lineRule="exact"/>
        <w:rPr>
          <w:rFonts w:ascii="宋体" w:hAnsi="宋体" w:cs="宋体"/>
          <w:bCs/>
        </w:rPr>
      </w:pPr>
      <w:bookmarkStart w:id="165" w:name="_Toc7488"/>
      <w:bookmarkStart w:id="166" w:name="_Toc11558"/>
      <w:bookmarkStart w:id="167" w:name="_Toc465958101"/>
      <w:bookmarkStart w:id="168" w:name="_Toc246928909"/>
      <w:bookmarkStart w:id="169" w:name="_Toc285"/>
      <w:bookmarkStart w:id="170" w:name="_Toc11448"/>
      <w:bookmarkStart w:id="171" w:name="_Toc23839"/>
      <w:bookmarkStart w:id="172" w:name="_Toc27931"/>
      <w:bookmarkStart w:id="173" w:name="_Toc25279"/>
      <w:r>
        <w:rPr>
          <w:rFonts w:hint="eastAsia" w:ascii="宋体" w:hAnsi="宋体" w:cs="宋体"/>
          <w:bCs/>
        </w:rPr>
        <w:t>13 谈判报价</w:t>
      </w:r>
      <w:bookmarkEnd w:id="165"/>
      <w:bookmarkEnd w:id="166"/>
      <w:bookmarkEnd w:id="167"/>
      <w:bookmarkEnd w:id="168"/>
      <w:bookmarkEnd w:id="169"/>
      <w:bookmarkEnd w:id="170"/>
      <w:bookmarkEnd w:id="171"/>
      <w:bookmarkEnd w:id="172"/>
      <w:bookmarkEnd w:id="173"/>
    </w:p>
    <w:p w14:paraId="50995AEF">
      <w:pPr>
        <w:spacing w:line="460" w:lineRule="exact"/>
        <w:rPr>
          <w:rFonts w:ascii="宋体" w:hAnsi="宋体" w:cs="宋体"/>
          <w:sz w:val="24"/>
        </w:rPr>
      </w:pPr>
      <w:r>
        <w:rPr>
          <w:rFonts w:hint="eastAsia" w:ascii="宋体" w:hAnsi="宋体" w:cs="宋体"/>
          <w:sz w:val="24"/>
        </w:rPr>
        <w:t>13.1 所有谈判均以人民币报价。</w:t>
      </w:r>
    </w:p>
    <w:p w14:paraId="0A8189BC">
      <w:pPr>
        <w:spacing w:line="460" w:lineRule="exact"/>
        <w:rPr>
          <w:rFonts w:ascii="宋体" w:hAnsi="宋体" w:cs="宋体"/>
          <w:sz w:val="24"/>
        </w:rPr>
      </w:pPr>
      <w:r>
        <w:rPr>
          <w:rFonts w:hint="eastAsia" w:ascii="宋体" w:hAnsi="宋体" w:cs="宋体"/>
          <w:sz w:val="24"/>
        </w:rPr>
        <w:t>13.2 供应商依据竞争性谈判文件提供的货物及服务要求等资料并自行考虑风险因素计算谈判报价，一旦成交，谈判报价将不会因国家政策调整及市场变化因素而得到调整。</w:t>
      </w:r>
    </w:p>
    <w:p w14:paraId="6ED47366">
      <w:pPr>
        <w:spacing w:line="460" w:lineRule="exact"/>
        <w:rPr>
          <w:rFonts w:ascii="宋体" w:hAnsi="宋体" w:cs="宋体"/>
          <w:sz w:val="24"/>
        </w:rPr>
      </w:pPr>
      <w:bookmarkStart w:id="174" w:name="_Toc246928911"/>
      <w:r>
        <w:rPr>
          <w:rFonts w:hint="eastAsia" w:ascii="宋体" w:hAnsi="宋体" w:cs="宋体"/>
          <w:sz w:val="24"/>
        </w:rPr>
        <w:t>13.3 供应商应对所列的所有服务进行响应，不得将采购内容拆开谈判。</w:t>
      </w:r>
    </w:p>
    <w:p w14:paraId="1935445E">
      <w:pPr>
        <w:spacing w:line="460" w:lineRule="exact"/>
        <w:rPr>
          <w:rFonts w:ascii="宋体" w:hAnsi="宋体" w:cs="宋体"/>
          <w:sz w:val="24"/>
        </w:rPr>
      </w:pPr>
      <w:r>
        <w:rPr>
          <w:rFonts w:hint="eastAsia" w:ascii="宋体" w:hAnsi="宋体" w:cs="宋体"/>
          <w:sz w:val="24"/>
        </w:rPr>
        <w:t>13.4 采购人只接受供应商提供的唯一谈判响应方案，不接受备选方案。</w:t>
      </w:r>
    </w:p>
    <w:p w14:paraId="211881BE">
      <w:pPr>
        <w:pStyle w:val="4"/>
        <w:spacing w:line="460" w:lineRule="exact"/>
        <w:rPr>
          <w:rFonts w:ascii="宋体" w:hAnsi="宋体" w:cs="宋体"/>
          <w:bCs/>
        </w:rPr>
      </w:pPr>
      <w:bookmarkStart w:id="175" w:name="_Toc30975"/>
      <w:bookmarkStart w:id="176" w:name="_Toc28059"/>
      <w:bookmarkStart w:id="177" w:name="_Toc14151"/>
      <w:bookmarkStart w:id="178" w:name="_Toc5734"/>
      <w:bookmarkStart w:id="179" w:name="_Toc465958102"/>
      <w:bookmarkStart w:id="180" w:name="_Toc7647"/>
      <w:bookmarkStart w:id="181" w:name="_Toc10046"/>
      <w:bookmarkStart w:id="182" w:name="_Toc6481"/>
      <w:r>
        <w:rPr>
          <w:rFonts w:hint="eastAsia" w:ascii="宋体" w:hAnsi="宋体" w:cs="宋体"/>
          <w:bCs/>
        </w:rPr>
        <w:t>14 证明供应商资格的证明文件</w:t>
      </w:r>
      <w:bookmarkEnd w:id="174"/>
      <w:bookmarkEnd w:id="175"/>
      <w:bookmarkEnd w:id="176"/>
      <w:bookmarkEnd w:id="177"/>
      <w:bookmarkEnd w:id="178"/>
      <w:bookmarkEnd w:id="179"/>
      <w:bookmarkEnd w:id="180"/>
      <w:bookmarkEnd w:id="181"/>
      <w:bookmarkEnd w:id="182"/>
    </w:p>
    <w:p w14:paraId="53267D24">
      <w:pPr>
        <w:spacing w:line="460" w:lineRule="exact"/>
        <w:rPr>
          <w:rFonts w:ascii="宋体" w:hAnsi="宋体" w:cs="宋体"/>
          <w:sz w:val="24"/>
        </w:rPr>
      </w:pPr>
      <w:r>
        <w:rPr>
          <w:rFonts w:hint="eastAsia" w:ascii="宋体" w:hAnsi="宋体" w:cs="宋体"/>
          <w:sz w:val="24"/>
        </w:rPr>
        <w:t>14.1 供应商必须按要求提交证明文件，以证明其有资格参加谈判和成交后有履行合同的能力，并作为其竞争性谈判响应文件的一部分。</w:t>
      </w:r>
    </w:p>
    <w:p w14:paraId="1C367CD3">
      <w:pPr>
        <w:spacing w:line="460" w:lineRule="exact"/>
        <w:rPr>
          <w:rFonts w:ascii="宋体" w:hAnsi="宋体" w:cs="宋体"/>
          <w:sz w:val="24"/>
        </w:rPr>
      </w:pPr>
      <w:r>
        <w:rPr>
          <w:rFonts w:hint="eastAsia" w:ascii="宋体" w:hAnsi="宋体" w:cs="宋体"/>
          <w:sz w:val="24"/>
        </w:rPr>
        <w:t>14.2供应商应具有履行合同所需的财务、技术和生产能力；</w:t>
      </w:r>
    </w:p>
    <w:p w14:paraId="49DD22DF">
      <w:pPr>
        <w:spacing w:line="460" w:lineRule="exact"/>
        <w:rPr>
          <w:rFonts w:ascii="宋体" w:hAnsi="宋体" w:cs="宋体"/>
          <w:sz w:val="24"/>
        </w:rPr>
      </w:pPr>
      <w:r>
        <w:rPr>
          <w:rFonts w:hint="eastAsia" w:ascii="宋体" w:hAnsi="宋体" w:cs="宋体"/>
          <w:sz w:val="24"/>
        </w:rPr>
        <w:t>14.3供应商应有能力履行竞争性谈判文件所规定的由供应商在服务地点提供服务的人员及技术支持和服务；</w:t>
      </w:r>
    </w:p>
    <w:p w14:paraId="18EF1B02">
      <w:pPr>
        <w:spacing w:line="460" w:lineRule="exact"/>
        <w:rPr>
          <w:rFonts w:ascii="宋体" w:hAnsi="宋体" w:cs="宋体"/>
          <w:sz w:val="24"/>
        </w:rPr>
      </w:pPr>
      <w:r>
        <w:rPr>
          <w:rFonts w:hint="eastAsia" w:ascii="宋体" w:hAnsi="宋体" w:cs="宋体"/>
          <w:sz w:val="24"/>
        </w:rPr>
        <w:t>14.4供应商认为能够证明供应商及其提供服务的等其他文件。</w:t>
      </w:r>
    </w:p>
    <w:p w14:paraId="5A076A71">
      <w:pPr>
        <w:pStyle w:val="4"/>
        <w:spacing w:line="460" w:lineRule="exact"/>
        <w:rPr>
          <w:rFonts w:ascii="宋体" w:hAnsi="宋体" w:cs="宋体"/>
          <w:bCs/>
        </w:rPr>
      </w:pPr>
      <w:bookmarkStart w:id="183" w:name="_Toc32534"/>
      <w:bookmarkStart w:id="184" w:name="_Toc31855"/>
      <w:bookmarkStart w:id="185" w:name="_Toc24592"/>
      <w:bookmarkStart w:id="186" w:name="_Toc19118"/>
      <w:bookmarkStart w:id="187" w:name="_Toc7233"/>
      <w:bookmarkStart w:id="188" w:name="_Toc246928912"/>
      <w:bookmarkStart w:id="189" w:name="_Toc28780"/>
      <w:bookmarkStart w:id="190" w:name="_Toc23372"/>
      <w:bookmarkStart w:id="191" w:name="_Toc465958103"/>
      <w:r>
        <w:rPr>
          <w:rFonts w:hint="eastAsia" w:ascii="宋体" w:hAnsi="宋体" w:cs="宋体"/>
          <w:bCs/>
        </w:rPr>
        <w:t>15 证明货物符合竞争性谈判文件规定的文件</w:t>
      </w:r>
      <w:bookmarkEnd w:id="183"/>
      <w:bookmarkEnd w:id="184"/>
      <w:bookmarkEnd w:id="185"/>
      <w:bookmarkEnd w:id="186"/>
      <w:bookmarkEnd w:id="187"/>
      <w:bookmarkEnd w:id="188"/>
      <w:bookmarkEnd w:id="189"/>
      <w:bookmarkEnd w:id="190"/>
      <w:bookmarkEnd w:id="191"/>
    </w:p>
    <w:p w14:paraId="6BFBEEFC">
      <w:pPr>
        <w:spacing w:line="460" w:lineRule="exact"/>
        <w:rPr>
          <w:rFonts w:ascii="宋体" w:hAnsi="宋体" w:cs="宋体"/>
          <w:sz w:val="24"/>
        </w:rPr>
      </w:pPr>
      <w:r>
        <w:rPr>
          <w:rFonts w:hint="eastAsia" w:ascii="宋体" w:hAnsi="宋体" w:cs="宋体"/>
          <w:sz w:val="24"/>
        </w:rPr>
        <w:t>15.1 供应商所提供的货物须符合法律、法规、相关规章及国家强制性技术标准和竞争性谈判文件的规定。</w:t>
      </w:r>
    </w:p>
    <w:p w14:paraId="01C94035">
      <w:pPr>
        <w:spacing w:line="460" w:lineRule="exact"/>
        <w:rPr>
          <w:rFonts w:ascii="宋体" w:hAnsi="宋体" w:cs="宋体"/>
          <w:sz w:val="24"/>
        </w:rPr>
      </w:pPr>
      <w:r>
        <w:rPr>
          <w:rFonts w:hint="eastAsia" w:ascii="宋体" w:hAnsi="宋体" w:cs="宋体"/>
          <w:sz w:val="24"/>
        </w:rPr>
        <w:t>15.2 供应商应对竞争性谈判文件中的各项条款做出清晰准确的答复。</w:t>
      </w:r>
    </w:p>
    <w:p w14:paraId="0CCC631F">
      <w:pPr>
        <w:spacing w:line="460" w:lineRule="exact"/>
        <w:ind w:left="-181" w:leftChars="-86" w:firstLine="180" w:firstLineChars="75"/>
        <w:rPr>
          <w:rFonts w:ascii="宋体" w:hAnsi="宋体" w:cs="宋体"/>
          <w:sz w:val="24"/>
        </w:rPr>
      </w:pPr>
      <w:r>
        <w:rPr>
          <w:rFonts w:hint="eastAsia" w:ascii="宋体" w:hAnsi="宋体" w:cs="宋体"/>
          <w:sz w:val="24"/>
        </w:rPr>
        <w:t>15.3 提交文件可以是文字资料也可以是图纸、图片等资料。</w:t>
      </w:r>
    </w:p>
    <w:p w14:paraId="2CA7C50B">
      <w:pPr>
        <w:pStyle w:val="4"/>
        <w:spacing w:line="460" w:lineRule="exact"/>
        <w:rPr>
          <w:rFonts w:ascii="宋体" w:hAnsi="宋体" w:cs="宋体"/>
          <w:bCs/>
        </w:rPr>
      </w:pPr>
      <w:bookmarkStart w:id="192" w:name="_Toc465958104"/>
      <w:bookmarkStart w:id="193" w:name="_Toc4194"/>
      <w:bookmarkStart w:id="194" w:name="_Toc27673"/>
      <w:bookmarkStart w:id="195" w:name="_Toc6620"/>
      <w:bookmarkStart w:id="196" w:name="_Toc22564"/>
      <w:bookmarkStart w:id="197" w:name="_Toc29259"/>
      <w:bookmarkStart w:id="198" w:name="_Toc28706"/>
      <w:bookmarkStart w:id="199" w:name="_Toc21933"/>
      <w:bookmarkStart w:id="200" w:name="_Toc246928913"/>
      <w:r>
        <w:rPr>
          <w:rFonts w:hint="eastAsia" w:ascii="宋体" w:hAnsi="宋体" w:cs="宋体"/>
          <w:bCs/>
        </w:rPr>
        <w:t>16 谈判保证金</w:t>
      </w:r>
      <w:bookmarkEnd w:id="192"/>
      <w:bookmarkEnd w:id="193"/>
      <w:bookmarkEnd w:id="194"/>
      <w:bookmarkEnd w:id="195"/>
      <w:bookmarkEnd w:id="196"/>
      <w:bookmarkEnd w:id="197"/>
      <w:bookmarkEnd w:id="198"/>
      <w:bookmarkEnd w:id="199"/>
      <w:bookmarkEnd w:id="200"/>
    </w:p>
    <w:p w14:paraId="6895A233">
      <w:pPr>
        <w:adjustRightInd w:val="0"/>
        <w:snapToGrid w:val="0"/>
        <w:spacing w:line="360" w:lineRule="auto"/>
        <w:ind w:firstLine="480" w:firstLineChars="200"/>
        <w:rPr>
          <w:rFonts w:hint="eastAsia" w:ascii="宋体" w:hAnsi="宋体" w:cs="宋体"/>
          <w:sz w:val="24"/>
          <w:szCs w:val="24"/>
        </w:rPr>
      </w:pPr>
      <w:bookmarkStart w:id="201" w:name="_Toc9535"/>
      <w:bookmarkStart w:id="202" w:name="_Toc246928914"/>
      <w:bookmarkStart w:id="203" w:name="_Toc20201"/>
      <w:bookmarkStart w:id="204" w:name="_Toc4576"/>
      <w:bookmarkStart w:id="205" w:name="_Toc8022"/>
      <w:bookmarkStart w:id="206" w:name="_Toc26603"/>
      <w:bookmarkStart w:id="207" w:name="_Toc465958105"/>
      <w:bookmarkStart w:id="208" w:name="_Toc4413"/>
      <w:bookmarkStart w:id="209" w:name="_Toc22789"/>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 xml:space="preserve">.1 </w:t>
      </w:r>
      <w:r>
        <w:rPr>
          <w:rFonts w:hint="eastAsia" w:ascii="宋体" w:hAnsi="宋体" w:eastAsia="宋体" w:cs="宋体"/>
          <w:kern w:val="2"/>
          <w:sz w:val="24"/>
          <w:szCs w:val="24"/>
          <w:highlight w:val="none"/>
          <w:lang w:val="en-US" w:eastAsia="zh-CN" w:bidi="ar-SA"/>
        </w:rPr>
        <w:t>根据榆林市财政局下发的榆政财采发【2023】8号文件规定实行信用承诺代替保证金。投标人可签署“投标信用承诺书”代替保证金</w:t>
      </w:r>
      <w:r>
        <w:rPr>
          <w:rFonts w:hint="eastAsia" w:ascii="宋体" w:hAnsi="宋体" w:cs="宋体"/>
          <w:sz w:val="24"/>
          <w:szCs w:val="24"/>
        </w:rPr>
        <w:t>。</w:t>
      </w:r>
    </w:p>
    <w:p w14:paraId="2E0F5BC3">
      <w:pPr>
        <w:adjustRightInd w:val="0"/>
        <w:snapToGrid w:val="0"/>
        <w:spacing w:line="360" w:lineRule="auto"/>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w:t>
      </w:r>
      <w:r>
        <w:rPr>
          <w:rFonts w:hint="eastAsia" w:ascii="宋体" w:hAnsi="宋体" w:cs="宋体"/>
          <w:sz w:val="24"/>
          <w:lang w:val="en-US" w:eastAsia="zh-CN"/>
        </w:rPr>
        <w:t xml:space="preserve">2 </w:t>
      </w:r>
      <w:r>
        <w:rPr>
          <w:rFonts w:hint="eastAsia" w:ascii="宋体" w:hAnsi="宋体" w:eastAsia="宋体" w:cs="宋体"/>
          <w:kern w:val="2"/>
          <w:sz w:val="24"/>
          <w:szCs w:val="24"/>
          <w:highlight w:val="none"/>
          <w:lang w:val="en-US" w:eastAsia="zh-CN" w:bidi="ar-SA"/>
        </w:rPr>
        <w:t>投标人须将“投标信用承诺书”按要求签字盖章后上传至信用中国（陕西榆林）进行公示，将公示后的截图附在投标文件中（截图须体现项目名称），</w:t>
      </w:r>
      <w:r>
        <w:rPr>
          <w:rFonts w:hint="default" w:ascii="宋体" w:hAnsi="宋体" w:eastAsia="宋体" w:cs="宋体"/>
          <w:kern w:val="2"/>
          <w:sz w:val="24"/>
          <w:szCs w:val="24"/>
          <w:highlight w:val="none"/>
          <w:lang w:val="en-US" w:eastAsia="zh-CN" w:bidi="ar-SA"/>
        </w:rPr>
        <w:t>格式详见</w:t>
      </w:r>
      <w:r>
        <w:rPr>
          <w:rFonts w:hint="eastAsia" w:ascii="宋体" w:hAnsi="宋体" w:eastAsia="宋体" w:cs="宋体"/>
          <w:kern w:val="2"/>
          <w:sz w:val="24"/>
          <w:szCs w:val="24"/>
          <w:highlight w:val="none"/>
          <w:lang w:val="en-US" w:eastAsia="zh-CN" w:bidi="ar-SA"/>
        </w:rPr>
        <w:t>招标</w:t>
      </w:r>
      <w:r>
        <w:rPr>
          <w:rFonts w:hint="default" w:ascii="宋体" w:hAnsi="宋体" w:eastAsia="宋体" w:cs="宋体"/>
          <w:kern w:val="2"/>
          <w:sz w:val="24"/>
          <w:szCs w:val="24"/>
          <w:highlight w:val="none"/>
          <w:lang w:val="en-US" w:eastAsia="zh-CN" w:bidi="ar-SA"/>
        </w:rPr>
        <w:t>文件第</w:t>
      </w:r>
      <w:r>
        <w:rPr>
          <w:rFonts w:hint="eastAsia" w:ascii="宋体" w:hAnsi="宋体" w:eastAsia="宋体" w:cs="宋体"/>
          <w:kern w:val="2"/>
          <w:sz w:val="24"/>
          <w:szCs w:val="24"/>
          <w:highlight w:val="none"/>
          <w:lang w:val="en-US" w:eastAsia="zh-CN" w:bidi="ar-SA"/>
        </w:rPr>
        <w:t>九</w:t>
      </w:r>
      <w:r>
        <w:rPr>
          <w:rFonts w:hint="default" w:ascii="宋体" w:hAnsi="宋体" w:eastAsia="宋体" w:cs="宋体"/>
          <w:kern w:val="2"/>
          <w:sz w:val="24"/>
          <w:szCs w:val="24"/>
          <w:highlight w:val="none"/>
          <w:lang w:val="en-US" w:eastAsia="zh-CN" w:bidi="ar-SA"/>
        </w:rPr>
        <w:t>部分附件3</w:t>
      </w:r>
      <w:r>
        <w:rPr>
          <w:rFonts w:hint="eastAsia" w:ascii="宋体" w:hAnsi="宋体" w:eastAsia="宋体" w:cs="宋体"/>
          <w:kern w:val="2"/>
          <w:sz w:val="24"/>
          <w:szCs w:val="24"/>
          <w:highlight w:val="none"/>
          <w:lang w:val="en-US" w:eastAsia="zh-CN" w:bidi="ar-SA"/>
        </w:rPr>
        <w:t>。</w:t>
      </w:r>
    </w:p>
    <w:p w14:paraId="0EC2BA1C">
      <w:pPr>
        <w:adjustRightInd w:val="0"/>
        <w:snapToGrid w:val="0"/>
        <w:spacing w:line="360" w:lineRule="auto"/>
        <w:ind w:firstLine="480" w:firstLineChars="200"/>
        <w:rPr>
          <w:rFonts w:ascii="宋体" w:hAnsi="宋体" w:cs="宋体"/>
          <w:sz w:val="24"/>
          <w:szCs w:val="22"/>
        </w:rPr>
      </w:pPr>
      <w:r>
        <w:rPr>
          <w:rFonts w:hint="eastAsia" w:ascii="宋体" w:hAnsi="宋体" w:cs="宋体"/>
          <w:sz w:val="24"/>
        </w:rPr>
        <w:t>1</w:t>
      </w:r>
      <w:r>
        <w:rPr>
          <w:rFonts w:hint="eastAsia" w:ascii="宋体" w:hAnsi="宋体" w:cs="宋体"/>
          <w:sz w:val="24"/>
          <w:lang w:val="en-US" w:eastAsia="zh-CN"/>
        </w:rPr>
        <w:t>6</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 xml:space="preserve"> 投标单位已</w:t>
      </w:r>
      <w:r>
        <w:rPr>
          <w:rFonts w:hint="eastAsia" w:ascii="宋体" w:hAnsi="宋体" w:cs="宋体"/>
          <w:sz w:val="24"/>
          <w:lang w:val="en-US" w:eastAsia="zh-CN"/>
        </w:rPr>
        <w:t>在信用中国网站承诺并公示的</w:t>
      </w:r>
      <w:r>
        <w:rPr>
          <w:rFonts w:hint="eastAsia" w:ascii="宋体" w:hAnsi="宋体" w:eastAsia="宋体" w:cs="宋体"/>
          <w:kern w:val="2"/>
          <w:sz w:val="24"/>
          <w:szCs w:val="24"/>
          <w:highlight w:val="none"/>
          <w:lang w:val="en-US" w:eastAsia="zh-CN" w:bidi="ar-SA"/>
        </w:rPr>
        <w:t>“投标信用承诺书”</w:t>
      </w:r>
      <w:r>
        <w:rPr>
          <w:rFonts w:hint="eastAsia" w:ascii="宋体" w:hAnsi="宋体" w:cs="宋体"/>
          <w:sz w:val="24"/>
        </w:rPr>
        <w:t xml:space="preserve">而自动放弃投标权利的，需在开标之前提交《弃标函》。 </w:t>
      </w:r>
    </w:p>
    <w:p w14:paraId="28809204">
      <w:pPr>
        <w:pStyle w:val="4"/>
        <w:spacing w:line="460" w:lineRule="exact"/>
        <w:rPr>
          <w:rFonts w:ascii="宋体" w:hAnsi="宋体" w:cs="宋体"/>
          <w:bCs/>
        </w:rPr>
      </w:pPr>
      <w:r>
        <w:rPr>
          <w:rFonts w:hint="eastAsia" w:ascii="宋体" w:hAnsi="宋体" w:cs="宋体"/>
          <w:bCs/>
        </w:rPr>
        <w:t>17 谈判有效期</w:t>
      </w:r>
      <w:bookmarkEnd w:id="201"/>
      <w:bookmarkEnd w:id="202"/>
      <w:bookmarkEnd w:id="203"/>
      <w:bookmarkEnd w:id="204"/>
      <w:bookmarkEnd w:id="205"/>
      <w:bookmarkEnd w:id="206"/>
      <w:bookmarkEnd w:id="207"/>
      <w:bookmarkEnd w:id="208"/>
      <w:bookmarkEnd w:id="209"/>
    </w:p>
    <w:p w14:paraId="095DF119">
      <w:pPr>
        <w:spacing w:line="460" w:lineRule="exact"/>
        <w:rPr>
          <w:rFonts w:ascii="宋体" w:hAnsi="宋体" w:cs="宋体"/>
          <w:sz w:val="24"/>
        </w:rPr>
      </w:pPr>
      <w:r>
        <w:rPr>
          <w:rFonts w:hint="eastAsia" w:ascii="宋体" w:hAnsi="宋体" w:cs="宋体"/>
          <w:sz w:val="24"/>
        </w:rPr>
        <w:t>17.1  竞争性谈判响应文件从开标之日起，谈判有效期为90日历天。谈判有效期不满足要求的谈判属于无效谈判情形。</w:t>
      </w:r>
    </w:p>
    <w:p w14:paraId="4E88518F">
      <w:pPr>
        <w:spacing w:line="460" w:lineRule="exact"/>
        <w:rPr>
          <w:rFonts w:ascii="宋体" w:hAnsi="宋体" w:cs="宋体"/>
          <w:sz w:val="24"/>
        </w:rPr>
      </w:pPr>
      <w:r>
        <w:rPr>
          <w:rFonts w:hint="eastAsia" w:ascii="宋体" w:hAnsi="宋体" w:cs="宋体"/>
          <w:sz w:val="24"/>
          <w:szCs w:val="24"/>
        </w:rPr>
        <w:t>17.2成交供应商的竞争性谈判响应文件有效期延长至合同执行完毕。</w:t>
      </w:r>
    </w:p>
    <w:p w14:paraId="3342E93F">
      <w:pPr>
        <w:spacing w:line="460" w:lineRule="exact"/>
        <w:rPr>
          <w:rFonts w:ascii="宋体" w:hAnsi="宋体" w:cs="宋体"/>
          <w:sz w:val="24"/>
        </w:rPr>
      </w:pPr>
      <w:r>
        <w:rPr>
          <w:rFonts w:hint="eastAsia" w:ascii="宋体" w:hAnsi="宋体" w:cs="宋体"/>
          <w:sz w:val="24"/>
        </w:rPr>
        <w:t>17.3  特殊情况下，采购人可于谈判有效期满之前要求供应商同意延长有效期，要求与答复均应为书面形式。</w:t>
      </w:r>
    </w:p>
    <w:p w14:paraId="229F8E52">
      <w:pPr>
        <w:pStyle w:val="4"/>
        <w:spacing w:before="120" w:after="120" w:line="460" w:lineRule="exact"/>
        <w:rPr>
          <w:rFonts w:ascii="宋体" w:hAnsi="宋体" w:cs="宋体"/>
          <w:bCs/>
        </w:rPr>
      </w:pPr>
      <w:bookmarkStart w:id="210" w:name="_Toc246928915"/>
      <w:bookmarkStart w:id="211" w:name="_Toc465958106"/>
      <w:bookmarkStart w:id="212" w:name="_Toc14012"/>
      <w:bookmarkStart w:id="213" w:name="_Toc22552"/>
      <w:bookmarkStart w:id="214" w:name="_Toc15795"/>
      <w:bookmarkStart w:id="215" w:name="_Toc27007"/>
      <w:bookmarkStart w:id="216" w:name="_Toc18885"/>
      <w:bookmarkStart w:id="217" w:name="_Toc17754"/>
      <w:bookmarkStart w:id="218" w:name="_Toc282"/>
      <w:r>
        <w:rPr>
          <w:rFonts w:hint="eastAsia" w:ascii="宋体" w:hAnsi="宋体" w:cs="宋体"/>
          <w:bCs/>
        </w:rPr>
        <w:t>18 竞争性谈判响应文件的签署及</w:t>
      </w:r>
      <w:bookmarkEnd w:id="210"/>
      <w:r>
        <w:rPr>
          <w:rFonts w:hint="eastAsia" w:ascii="宋体" w:hAnsi="宋体" w:cs="宋体"/>
          <w:bCs/>
        </w:rPr>
        <w:t>规定</w:t>
      </w:r>
      <w:bookmarkEnd w:id="211"/>
      <w:bookmarkEnd w:id="212"/>
      <w:bookmarkEnd w:id="213"/>
      <w:bookmarkEnd w:id="214"/>
      <w:bookmarkEnd w:id="215"/>
      <w:bookmarkEnd w:id="216"/>
      <w:bookmarkEnd w:id="217"/>
      <w:bookmarkEnd w:id="218"/>
    </w:p>
    <w:p w14:paraId="5D23D981">
      <w:pPr>
        <w:spacing w:line="460" w:lineRule="exact"/>
        <w:rPr>
          <w:rFonts w:ascii="宋体" w:hAnsi="宋体" w:cs="宋体"/>
          <w:sz w:val="24"/>
        </w:rPr>
      </w:pPr>
      <w:r>
        <w:rPr>
          <w:rFonts w:hint="eastAsia" w:ascii="宋体" w:hAnsi="宋体" w:cs="宋体"/>
          <w:sz w:val="24"/>
        </w:rPr>
        <w:t>18.1 谈判响应文件正本和所有副本均需</w:t>
      </w:r>
      <w:r>
        <w:rPr>
          <w:rFonts w:hint="eastAsia" w:ascii="宋体" w:hAnsi="宋体" w:cs="宋体"/>
          <w:sz w:val="24"/>
          <w:szCs w:val="24"/>
        </w:rPr>
        <w:t>用A4幅面纸张</w:t>
      </w:r>
      <w:r>
        <w:rPr>
          <w:rFonts w:hint="eastAsia" w:ascii="宋体" w:hAnsi="宋体" w:cs="宋体"/>
          <w:sz w:val="24"/>
        </w:rPr>
        <w:t>打印或用不褪色的蓝(黑)色墨水(汁)书写,并由投标人法定代表人或经法定代表人正式授权的代表签字。谈判响应文件若由授权代表签署，须按招标文件规定的格式提供的“法定代表人授权委托书”原件附在投标文件中。所有要求签字（名）处，均须由签字（名）者本人用不褪色的蓝(黑)色墨水(汁)书写，不得用任何形式的图章代替。所有谈判响应文件正本和副本须按规定的顺序编排、并应编制三级及以上目录、逐页标注连续页码，每一页的正下方清楚标明页码，并统一装订（胶装）成册。</w:t>
      </w:r>
    </w:p>
    <w:p w14:paraId="53648CF0">
      <w:pPr>
        <w:adjustRightInd w:val="0"/>
        <w:snapToGrid w:val="0"/>
        <w:spacing w:line="460" w:lineRule="exact"/>
        <w:rPr>
          <w:rFonts w:ascii="宋体" w:hAnsi="宋体" w:cs="宋体"/>
          <w:sz w:val="24"/>
          <w:szCs w:val="22"/>
        </w:rPr>
      </w:pPr>
      <w:r>
        <w:rPr>
          <w:rFonts w:hint="eastAsia" w:ascii="宋体" w:hAnsi="宋体" w:cs="宋体"/>
          <w:sz w:val="24"/>
        </w:rPr>
        <w:t>18.2  除投标人对错处作必要修改外，谈判响应文件中不许有加行、涂抹或改写。若有修改须由授权代表或法定代表人在修改处签字</w:t>
      </w:r>
      <w:r>
        <w:rPr>
          <w:rFonts w:hint="eastAsia" w:ascii="宋体" w:hAnsi="宋体" w:cs="宋体"/>
          <w:sz w:val="24"/>
          <w:szCs w:val="22"/>
        </w:rPr>
        <w:t xml:space="preserve">。 </w:t>
      </w:r>
    </w:p>
    <w:p w14:paraId="4F3DEE46">
      <w:pPr>
        <w:adjustRightInd w:val="0"/>
        <w:snapToGrid w:val="0"/>
        <w:spacing w:line="460" w:lineRule="exact"/>
        <w:rPr>
          <w:rFonts w:ascii="宋体" w:hAnsi="宋体" w:cs="宋体"/>
          <w:sz w:val="24"/>
          <w:szCs w:val="22"/>
        </w:rPr>
      </w:pPr>
      <w:r>
        <w:rPr>
          <w:rFonts w:hint="eastAsia" w:ascii="宋体" w:hAnsi="宋体" w:cs="宋体"/>
          <w:sz w:val="24"/>
          <w:szCs w:val="22"/>
        </w:rPr>
        <w:t xml:space="preserve">18.3  </w:t>
      </w:r>
      <w:r>
        <w:rPr>
          <w:rFonts w:hint="eastAsia" w:ascii="宋体" w:hAnsi="宋体" w:cs="宋体"/>
          <w:sz w:val="24"/>
        </w:rPr>
        <w:t>投标人</w:t>
      </w:r>
      <w:r>
        <w:rPr>
          <w:rFonts w:hint="eastAsia" w:ascii="宋体" w:hAnsi="宋体" w:cs="宋体"/>
          <w:sz w:val="24"/>
          <w:szCs w:val="22"/>
        </w:rPr>
        <w:t>名称应填写全称，</w:t>
      </w:r>
      <w:r>
        <w:rPr>
          <w:rFonts w:hint="eastAsia" w:ascii="宋体" w:hAnsi="宋体" w:cs="宋体"/>
          <w:sz w:val="24"/>
        </w:rPr>
        <w:t>谈判响应文件</w:t>
      </w:r>
      <w:r>
        <w:rPr>
          <w:rFonts w:hint="eastAsia" w:ascii="宋体" w:hAnsi="宋体" w:cs="宋体"/>
          <w:sz w:val="24"/>
          <w:szCs w:val="22"/>
        </w:rPr>
        <w:t>正本必须逐页加盖</w:t>
      </w:r>
      <w:r>
        <w:rPr>
          <w:rFonts w:hint="eastAsia" w:ascii="宋体" w:hAnsi="宋体" w:cs="宋体"/>
          <w:sz w:val="24"/>
        </w:rPr>
        <w:t>投标人</w:t>
      </w:r>
      <w:r>
        <w:rPr>
          <w:rFonts w:hint="eastAsia" w:ascii="宋体" w:hAnsi="宋体" w:cs="宋体"/>
          <w:sz w:val="24"/>
          <w:szCs w:val="22"/>
        </w:rPr>
        <w:t>公章。</w:t>
      </w:r>
    </w:p>
    <w:p w14:paraId="6D80054F">
      <w:pPr>
        <w:pStyle w:val="6"/>
        <w:spacing w:line="460" w:lineRule="exact"/>
        <w:rPr>
          <w:rFonts w:ascii="宋体" w:hAnsi="宋体" w:cs="宋体"/>
          <w:sz w:val="24"/>
        </w:rPr>
      </w:pPr>
      <w:r>
        <w:rPr>
          <w:rFonts w:hint="eastAsia" w:ascii="宋体" w:hAnsi="宋体" w:cs="宋体"/>
          <w:sz w:val="24"/>
        </w:rPr>
        <w:t>18.4本项目采用电子化谈判响应文件与纸质谈判响应文件并行的方式。投标人须使用数字认证证书对电子化谈判响应文件进行签章、加密、递交及开标时解密等相关招投标事宜。</w:t>
      </w:r>
    </w:p>
    <w:p w14:paraId="6304FAAB">
      <w:pPr>
        <w:adjustRightInd w:val="0"/>
        <w:snapToGrid w:val="0"/>
        <w:spacing w:line="460" w:lineRule="exact"/>
        <w:rPr>
          <w:rFonts w:ascii="宋体" w:hAnsi="宋体" w:cs="宋体"/>
          <w:sz w:val="24"/>
        </w:rPr>
      </w:pPr>
      <w:r>
        <w:rPr>
          <w:rFonts w:hint="eastAsia" w:ascii="宋体" w:hAnsi="宋体" w:cs="宋体"/>
          <w:sz w:val="24"/>
          <w:szCs w:val="22"/>
        </w:rPr>
        <w:t>18.5采购人拒绝接受以电报、电话、传真、电</w:t>
      </w:r>
      <w:r>
        <w:rPr>
          <w:rFonts w:hint="eastAsia" w:ascii="宋体" w:hAnsi="宋体" w:cs="宋体"/>
          <w:sz w:val="24"/>
        </w:rPr>
        <w:t>子邮件形式的投标。</w:t>
      </w:r>
    </w:p>
    <w:p w14:paraId="0672FFD9">
      <w:pPr>
        <w:adjustRightInd w:val="0"/>
        <w:snapToGrid w:val="0"/>
        <w:spacing w:line="460" w:lineRule="exact"/>
        <w:rPr>
          <w:rFonts w:ascii="宋体" w:hAnsi="宋体" w:cs="宋体"/>
          <w:sz w:val="24"/>
        </w:rPr>
      </w:pPr>
      <w:r>
        <w:rPr>
          <w:rFonts w:hint="eastAsia" w:ascii="宋体" w:hAnsi="宋体" w:cs="宋体"/>
          <w:sz w:val="24"/>
        </w:rPr>
        <w:t>18.6未按上述要求编制及签署的投标文件视为无效投标文件。</w:t>
      </w:r>
    </w:p>
    <w:p w14:paraId="39DA512F">
      <w:pPr>
        <w:adjustRightInd w:val="0"/>
        <w:snapToGrid w:val="0"/>
        <w:spacing w:line="460" w:lineRule="exact"/>
        <w:rPr>
          <w:rFonts w:ascii="宋体" w:hAnsi="宋体" w:cs="宋体"/>
          <w:sz w:val="24"/>
          <w:szCs w:val="22"/>
        </w:rPr>
      </w:pPr>
      <w:r>
        <w:rPr>
          <w:rFonts w:hint="eastAsia" w:ascii="宋体" w:hAnsi="宋体" w:cs="宋体"/>
          <w:sz w:val="24"/>
          <w:szCs w:val="22"/>
        </w:rPr>
        <w:t xml:space="preserve">18.7电子谈判文件下载。供应商登录全国公共资源交易平台（陕西省） 网站〖首页·〉电子交易平台·〉企业端〗后，选择项目点击“我要投标”，参与投标活动。然后即可在〖我的项目〗中点击“项目流程&gt;交易文件下载”下载电子谈判文件。 </w:t>
      </w:r>
    </w:p>
    <w:p w14:paraId="2D8E2811">
      <w:pPr>
        <w:adjustRightInd w:val="0"/>
        <w:snapToGrid w:val="0"/>
        <w:spacing w:line="460" w:lineRule="exact"/>
        <w:rPr>
          <w:rFonts w:ascii="宋体" w:hAnsi="宋体" w:cs="宋体"/>
          <w:sz w:val="24"/>
          <w:szCs w:val="22"/>
        </w:rPr>
      </w:pPr>
      <w:r>
        <w:rPr>
          <w:rFonts w:hint="eastAsia" w:ascii="宋体" w:hAnsi="宋体" w:cs="宋体"/>
          <w:sz w:val="24"/>
          <w:szCs w:val="22"/>
        </w:rPr>
        <w:t xml:space="preserve">18.8 电子谈判文件需要使用专用软件打开、浏览。供应商可在全国公共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响应文件制作软件操作手册》。 </w:t>
      </w:r>
    </w:p>
    <w:p w14:paraId="452C9068">
      <w:pPr>
        <w:adjustRightInd w:val="0"/>
        <w:snapToGrid w:val="0"/>
        <w:spacing w:line="460" w:lineRule="exact"/>
        <w:rPr>
          <w:rFonts w:ascii="宋体" w:hAnsi="宋体" w:cs="宋体"/>
          <w:sz w:val="24"/>
          <w:szCs w:val="22"/>
        </w:rPr>
      </w:pPr>
      <w:r>
        <w:rPr>
          <w:rFonts w:hint="eastAsia" w:ascii="宋体" w:hAnsi="宋体" w:cs="宋体"/>
          <w:sz w:val="24"/>
          <w:szCs w:val="22"/>
        </w:rPr>
        <w:t>18.9 制作电子</w:t>
      </w:r>
      <w:r>
        <w:rPr>
          <w:rFonts w:hint="eastAsia" w:ascii="宋体" w:hAnsi="宋体" w:cs="宋体"/>
          <w:sz w:val="24"/>
        </w:rPr>
        <w:t>谈判响应文件</w:t>
      </w:r>
      <w:r>
        <w:rPr>
          <w:rFonts w:hint="eastAsia" w:ascii="宋体" w:hAnsi="宋体" w:cs="宋体"/>
          <w:sz w:val="24"/>
          <w:szCs w:val="22"/>
        </w:rPr>
        <w:t>。电子</w:t>
      </w:r>
      <w:r>
        <w:rPr>
          <w:rFonts w:hint="eastAsia" w:ascii="宋体" w:hAnsi="宋体" w:cs="宋体"/>
          <w:sz w:val="24"/>
        </w:rPr>
        <w:t>谈判响应文件</w:t>
      </w:r>
      <w:r>
        <w:rPr>
          <w:rFonts w:hint="eastAsia" w:ascii="宋体" w:hAnsi="宋体" w:cs="宋体"/>
          <w:sz w:val="24"/>
          <w:szCs w:val="22"/>
        </w:rPr>
        <w:t xml:space="preserve">同样需要使用上述软件进行编制。在编制过程中，如有技术性问题，请先翻阅操作手册，或致电软件开发商。 </w:t>
      </w:r>
    </w:p>
    <w:p w14:paraId="74E2D077">
      <w:pPr>
        <w:adjustRightInd w:val="0"/>
        <w:snapToGrid w:val="0"/>
        <w:spacing w:line="460" w:lineRule="exact"/>
        <w:ind w:firstLine="480" w:firstLineChars="200"/>
        <w:rPr>
          <w:rFonts w:ascii="宋体" w:hAnsi="宋体" w:cs="宋体"/>
          <w:sz w:val="24"/>
          <w:szCs w:val="22"/>
        </w:rPr>
      </w:pPr>
      <w:r>
        <w:rPr>
          <w:rFonts w:hint="eastAsia" w:ascii="宋体" w:hAnsi="宋体" w:cs="宋体"/>
          <w:sz w:val="24"/>
          <w:szCs w:val="22"/>
        </w:rPr>
        <w:t xml:space="preserve">技术支持热线：4009280095、4009980000 </w:t>
      </w:r>
    </w:p>
    <w:p w14:paraId="5BFA8D74">
      <w:pPr>
        <w:pStyle w:val="3"/>
        <w:spacing w:before="120" w:after="120" w:line="460" w:lineRule="exact"/>
        <w:ind w:firstLine="480" w:firstLineChars="200"/>
        <w:jc w:val="both"/>
        <w:rPr>
          <w:rFonts w:hint="eastAsia" w:ascii="宋体" w:hAnsi="宋体" w:eastAsia="宋体" w:cs="宋体"/>
          <w:b w:val="0"/>
          <w:kern w:val="2"/>
          <w:sz w:val="24"/>
          <w:lang w:val="en-US" w:eastAsia="zh-CN" w:bidi="ar-SA"/>
        </w:rPr>
      </w:pPr>
      <w:bookmarkStart w:id="219" w:name="_Toc28593"/>
      <w:bookmarkStart w:id="220" w:name="_Toc17673"/>
      <w:bookmarkStart w:id="221" w:name="_Toc12671"/>
      <w:bookmarkStart w:id="222" w:name="_Toc26918"/>
      <w:bookmarkStart w:id="223" w:name="_Toc246928916"/>
      <w:bookmarkStart w:id="224" w:name="_Toc12354"/>
      <w:bookmarkStart w:id="225" w:name="_Toc30045"/>
      <w:bookmarkStart w:id="226" w:name="_Toc465958107"/>
      <w:r>
        <w:rPr>
          <w:rFonts w:hint="eastAsia" w:ascii="宋体" w:hAnsi="宋体" w:eastAsia="宋体" w:cs="宋体"/>
          <w:b w:val="0"/>
          <w:kern w:val="2"/>
          <w:sz w:val="24"/>
          <w:lang w:val="en-US" w:eastAsia="zh-CN" w:bidi="ar-SA"/>
        </w:rPr>
        <w:t>CA锁购买：市民大厦3楼，E18、E19窗口，联系电话：0912-3452148。</w:t>
      </w:r>
    </w:p>
    <w:p w14:paraId="149DF3A4">
      <w:pPr>
        <w:pStyle w:val="3"/>
        <w:spacing w:before="120" w:after="120" w:line="460" w:lineRule="exact"/>
        <w:jc w:val="center"/>
        <w:rPr>
          <w:rFonts w:ascii="宋体" w:hAnsi="宋体" w:eastAsia="宋体" w:cs="宋体"/>
          <w:bCs/>
          <w:sz w:val="36"/>
        </w:rPr>
      </w:pPr>
      <w:r>
        <w:rPr>
          <w:rFonts w:hint="eastAsia" w:ascii="宋体" w:hAnsi="宋体" w:eastAsia="宋体" w:cs="宋体"/>
          <w:bCs/>
          <w:sz w:val="36"/>
        </w:rPr>
        <w:t>D 竞争性谈判响应文件的递交</w:t>
      </w:r>
      <w:bookmarkEnd w:id="219"/>
      <w:bookmarkEnd w:id="220"/>
      <w:bookmarkEnd w:id="221"/>
      <w:bookmarkEnd w:id="222"/>
      <w:bookmarkEnd w:id="223"/>
      <w:bookmarkEnd w:id="224"/>
      <w:bookmarkEnd w:id="225"/>
      <w:bookmarkEnd w:id="226"/>
    </w:p>
    <w:p w14:paraId="6B854361">
      <w:pPr>
        <w:pStyle w:val="4"/>
        <w:spacing w:before="120" w:after="120" w:line="460" w:lineRule="exact"/>
        <w:rPr>
          <w:rFonts w:ascii="宋体" w:hAnsi="宋体" w:cs="宋体"/>
          <w:bCs/>
        </w:rPr>
      </w:pPr>
      <w:bookmarkStart w:id="227" w:name="_Toc22531"/>
      <w:bookmarkStart w:id="228" w:name="_Toc465958108"/>
      <w:bookmarkStart w:id="229" w:name="_Toc5378"/>
      <w:bookmarkStart w:id="230" w:name="_Toc20693"/>
      <w:bookmarkStart w:id="231" w:name="_Toc246928917"/>
      <w:bookmarkStart w:id="232" w:name="_Toc14296"/>
      <w:bookmarkStart w:id="233" w:name="_Toc17004"/>
      <w:bookmarkStart w:id="234" w:name="_Toc14360"/>
      <w:bookmarkStart w:id="235" w:name="_Toc15221"/>
      <w:r>
        <w:rPr>
          <w:rFonts w:hint="eastAsia" w:ascii="宋体" w:hAnsi="宋体" w:cs="宋体"/>
          <w:bCs/>
        </w:rPr>
        <w:t>19 竞争性谈判响应文件的</w:t>
      </w:r>
      <w:bookmarkEnd w:id="227"/>
      <w:bookmarkEnd w:id="228"/>
      <w:bookmarkEnd w:id="229"/>
      <w:bookmarkEnd w:id="230"/>
      <w:bookmarkEnd w:id="231"/>
      <w:bookmarkEnd w:id="232"/>
      <w:bookmarkEnd w:id="233"/>
      <w:r>
        <w:rPr>
          <w:rFonts w:hint="eastAsia" w:ascii="宋体" w:hAnsi="宋体" w:cs="宋体"/>
          <w:bCs/>
        </w:rPr>
        <w:t>邮寄</w:t>
      </w:r>
      <w:bookmarkEnd w:id="234"/>
      <w:bookmarkEnd w:id="235"/>
    </w:p>
    <w:p w14:paraId="3B2CB97C">
      <w:pPr>
        <w:spacing w:line="360" w:lineRule="auto"/>
        <w:ind w:firstLine="480" w:firstLineChars="200"/>
        <w:rPr>
          <w:rFonts w:hint="eastAsia" w:ascii="思源宋体 CN Light" w:hAnsi="思源宋体 CN Light" w:eastAsia="思源宋体 CN Light" w:cs="思源宋体 CN Light"/>
          <w:sz w:val="24"/>
          <w:szCs w:val="24"/>
          <w:highlight w:val="none"/>
        </w:rPr>
      </w:pPr>
      <w:bookmarkStart w:id="236" w:name="_Toc465958109"/>
      <w:bookmarkStart w:id="237" w:name="_Toc10052"/>
      <w:bookmarkStart w:id="238" w:name="_Toc27827"/>
      <w:bookmarkStart w:id="239" w:name="_Toc246928918"/>
      <w:bookmarkStart w:id="240" w:name="_Toc8940"/>
      <w:bookmarkStart w:id="241" w:name="_Toc2644"/>
      <w:bookmarkStart w:id="242" w:name="_Toc32635"/>
      <w:bookmarkStart w:id="243" w:name="_Toc27391"/>
      <w:bookmarkStart w:id="244" w:name="_Toc4222"/>
      <w:r>
        <w:rPr>
          <w:rFonts w:hint="eastAsia" w:ascii="宋体" w:hAnsi="宋体" w:cs="仿宋_GB2312"/>
          <w:bCs/>
          <w:sz w:val="24"/>
          <w:highlight w:val="none"/>
          <w:lang w:val="en-US" w:eastAsia="zh-CN"/>
        </w:rPr>
        <w:t>19.1</w:t>
      </w:r>
      <w:r>
        <w:rPr>
          <w:rFonts w:hint="eastAsia" w:ascii="思源宋体 CN Light" w:hAnsi="思源宋体 CN Light" w:eastAsia="思源宋体 CN Light" w:cs="思源宋体 CN Light"/>
          <w:sz w:val="24"/>
          <w:szCs w:val="24"/>
          <w:highlight w:val="none"/>
          <w:lang w:val="en-US" w:eastAsia="zh-CN"/>
        </w:rPr>
        <w:t>为便于采购人归档和向监管部门备案，中标供应商人需按以下要求递交纸质版投标文件，投标文件可采用系统上传的</w:t>
      </w:r>
      <w:r>
        <w:rPr>
          <w:rFonts w:hint="eastAsia" w:ascii="思源宋体 CN Light" w:hAnsi="思源宋体 CN Light" w:eastAsia="思源宋体 CN Light" w:cs="思源宋体 CN Light"/>
          <w:sz w:val="24"/>
          <w:szCs w:val="24"/>
          <w:highlight w:val="none"/>
        </w:rPr>
        <w:t>电子投标文件</w:t>
      </w:r>
      <w:r>
        <w:rPr>
          <w:rFonts w:hint="eastAsia" w:ascii="思源宋体 CN Light" w:hAnsi="思源宋体 CN Light" w:eastAsia="思源宋体 CN Light" w:cs="思源宋体 CN Light"/>
          <w:sz w:val="24"/>
          <w:szCs w:val="24"/>
          <w:highlight w:val="none"/>
          <w:lang w:val="en-US" w:eastAsia="zh-CN"/>
        </w:rPr>
        <w:t>的打印件，正本、副本分别装订成册，每份投标文件封皮须清楚地标明“正本”或“副本”：</w:t>
      </w:r>
    </w:p>
    <w:p w14:paraId="1BD14802">
      <w:pPr>
        <w:spacing w:line="360" w:lineRule="auto"/>
        <w:ind w:firstLine="480" w:firstLineChars="200"/>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 xml:space="preserve">投标文件：正本：1 份、副本：2 份； </w:t>
      </w:r>
    </w:p>
    <w:p w14:paraId="407CE563">
      <w:pPr>
        <w:spacing w:line="360" w:lineRule="auto"/>
        <w:ind w:firstLine="480" w:firstLineChars="200"/>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投标文件</w:t>
      </w:r>
      <w:r>
        <w:rPr>
          <w:rFonts w:hint="eastAsia" w:ascii="宋体" w:hAnsi="宋体" w:cs="宋体"/>
          <w:sz w:val="24"/>
          <w:szCs w:val="24"/>
        </w:rPr>
        <w:t>电子版U盘</w:t>
      </w:r>
      <w:r>
        <w:rPr>
          <w:rFonts w:hint="eastAsia" w:ascii="宋体" w:hAnsi="宋体" w:cs="宋体"/>
          <w:sz w:val="24"/>
          <w:szCs w:val="24"/>
          <w:lang w:val="en-US" w:eastAsia="zh-CN"/>
        </w:rPr>
        <w:t>1</w:t>
      </w:r>
      <w:r>
        <w:rPr>
          <w:rFonts w:hint="eastAsia" w:ascii="宋体" w:hAnsi="宋体" w:cs="宋体"/>
          <w:sz w:val="24"/>
          <w:szCs w:val="24"/>
        </w:rPr>
        <w:t>份（</w:t>
      </w:r>
      <w:r>
        <w:rPr>
          <w:rFonts w:hint="eastAsia" w:ascii="宋体" w:hAnsi="宋体" w:cs="宋体"/>
          <w:sz w:val="24"/>
          <w:szCs w:val="24"/>
          <w:lang w:val="en-US" w:eastAsia="zh-CN"/>
        </w:rPr>
        <w:t>投标文件</w:t>
      </w:r>
      <w:r>
        <w:rPr>
          <w:rFonts w:hint="eastAsia" w:ascii="宋体" w:hAnsi="宋体" w:cs="宋体"/>
          <w:sz w:val="24"/>
          <w:szCs w:val="24"/>
        </w:rPr>
        <w:t>word版</w:t>
      </w:r>
      <w:r>
        <w:rPr>
          <w:rFonts w:hint="eastAsia" w:ascii="宋体" w:hAnsi="宋体" w:cs="宋体"/>
          <w:sz w:val="24"/>
          <w:szCs w:val="24"/>
          <w:lang w:val="en-US" w:eastAsia="zh-CN"/>
        </w:rPr>
        <w:t>及上传电子投标文件签字盖章的PDF版本的</w:t>
      </w:r>
      <w:r>
        <w:rPr>
          <w:rFonts w:hint="eastAsia" w:ascii="宋体" w:hAnsi="宋体" w:cs="宋体"/>
          <w:sz w:val="24"/>
          <w:szCs w:val="24"/>
        </w:rPr>
        <w:t>U盘）</w:t>
      </w:r>
      <w:r>
        <w:rPr>
          <w:rFonts w:hint="eastAsia" w:ascii="思源宋体 CN Light" w:hAnsi="思源宋体 CN Light" w:eastAsia="思源宋体 CN Light" w:cs="思源宋体 CN Light"/>
          <w:sz w:val="24"/>
          <w:szCs w:val="24"/>
          <w:lang w:val="en-US" w:eastAsia="zh-CN"/>
        </w:rPr>
        <w:t>。</w:t>
      </w:r>
    </w:p>
    <w:p w14:paraId="208FB08F">
      <w:pPr>
        <w:pStyle w:val="23"/>
        <w:spacing w:line="360" w:lineRule="auto"/>
        <w:ind w:firstLine="480" w:firstLineChars="200"/>
        <w:rPr>
          <w:rFonts w:hint="eastAsia"/>
          <w:lang w:val="en-US" w:eastAsia="zh-CN"/>
        </w:rPr>
      </w:pPr>
      <w:r>
        <w:rPr>
          <w:rFonts w:hint="eastAsia" w:ascii="宋体" w:hAnsi="宋体" w:eastAsia="宋体" w:cs="宋体"/>
          <w:kern w:val="2"/>
          <w:sz w:val="24"/>
          <w:szCs w:val="24"/>
          <w:lang w:val="en-US" w:eastAsia="zh-CN" w:bidi="ar-SA"/>
        </w:rPr>
        <w:t>投标信用承诺书原件壹份（</w:t>
      </w:r>
      <w:r>
        <w:rPr>
          <w:rFonts w:hint="default" w:ascii="宋体" w:hAnsi="宋体" w:eastAsia="宋体" w:cs="宋体"/>
          <w:kern w:val="2"/>
          <w:sz w:val="24"/>
          <w:szCs w:val="24"/>
          <w:highlight w:val="none"/>
          <w:lang w:val="en-US" w:eastAsia="zh-CN" w:bidi="ar-SA"/>
        </w:rPr>
        <w:t>格式详见</w:t>
      </w:r>
      <w:r>
        <w:rPr>
          <w:rFonts w:hint="eastAsia" w:ascii="宋体" w:hAnsi="宋体" w:eastAsia="宋体" w:cs="宋体"/>
          <w:kern w:val="2"/>
          <w:sz w:val="24"/>
          <w:szCs w:val="24"/>
          <w:highlight w:val="none"/>
          <w:lang w:val="en-US" w:eastAsia="zh-CN" w:bidi="ar-SA"/>
        </w:rPr>
        <w:t>招标</w:t>
      </w:r>
      <w:r>
        <w:rPr>
          <w:rFonts w:hint="default" w:ascii="宋体" w:hAnsi="宋体" w:eastAsia="宋体" w:cs="宋体"/>
          <w:kern w:val="2"/>
          <w:sz w:val="24"/>
          <w:szCs w:val="24"/>
          <w:highlight w:val="none"/>
          <w:lang w:val="en-US" w:eastAsia="zh-CN" w:bidi="ar-SA"/>
        </w:rPr>
        <w:t>文件第</w:t>
      </w:r>
      <w:r>
        <w:rPr>
          <w:rFonts w:hint="eastAsia" w:ascii="宋体" w:hAnsi="宋体" w:cs="宋体"/>
          <w:kern w:val="2"/>
          <w:sz w:val="24"/>
          <w:szCs w:val="24"/>
          <w:highlight w:val="none"/>
          <w:lang w:val="en-US" w:eastAsia="zh-CN" w:bidi="ar-SA"/>
        </w:rPr>
        <w:t>九</w:t>
      </w:r>
      <w:r>
        <w:rPr>
          <w:rFonts w:hint="default" w:ascii="宋体" w:hAnsi="宋体" w:eastAsia="宋体" w:cs="宋体"/>
          <w:kern w:val="2"/>
          <w:sz w:val="24"/>
          <w:szCs w:val="24"/>
          <w:highlight w:val="none"/>
          <w:lang w:val="en-US" w:eastAsia="zh-CN" w:bidi="ar-SA"/>
        </w:rPr>
        <w:t>部分附件3</w:t>
      </w:r>
      <w:r>
        <w:rPr>
          <w:rFonts w:hint="eastAsia" w:ascii="宋体" w:hAnsi="宋体" w:eastAsia="宋体" w:cs="宋体"/>
          <w:kern w:val="2"/>
          <w:sz w:val="24"/>
          <w:szCs w:val="24"/>
          <w:lang w:val="en-US" w:eastAsia="zh-CN" w:bidi="ar-SA"/>
        </w:rPr>
        <w:t>）</w:t>
      </w:r>
    </w:p>
    <w:p w14:paraId="39EEA6B9">
      <w:pPr>
        <w:spacing w:line="360" w:lineRule="auto"/>
        <w:ind w:firstLine="480" w:firstLineChars="200"/>
        <w:rPr>
          <w:rFonts w:hint="eastAsia" w:ascii="宋体" w:hAnsi="宋体" w:cs="宋体"/>
          <w:sz w:val="24"/>
          <w:szCs w:val="24"/>
          <w:lang w:val="en-US" w:eastAsia="zh-CN"/>
        </w:rPr>
      </w:pPr>
      <w:r>
        <w:rPr>
          <w:rFonts w:hint="eastAsia" w:ascii="思源宋体 CN Light" w:hAnsi="思源宋体 CN Light" w:eastAsia="思源宋体 CN Light" w:cs="思源宋体 CN Light"/>
          <w:sz w:val="24"/>
          <w:szCs w:val="24"/>
          <w:lang w:val="en-US" w:eastAsia="zh-CN"/>
        </w:rPr>
        <w:t>19.2递交方式：纸质版投标文件</w:t>
      </w:r>
      <w:r>
        <w:rPr>
          <w:rFonts w:hint="eastAsia" w:ascii="思源宋体 CN Light" w:hAnsi="思源宋体 CN Light" w:eastAsia="思源宋体 CN Light" w:cs="思源宋体 CN Light"/>
          <w:sz w:val="24"/>
          <w:szCs w:val="24"/>
        </w:rPr>
        <w:t>在开标时无需提交，待开标结束后，需邮寄补交一正两幅纸质投标文件及</w:t>
      </w:r>
      <w:r>
        <w:rPr>
          <w:rFonts w:hint="eastAsia" w:ascii="宋体" w:hAnsi="宋体" w:cs="宋体"/>
          <w:sz w:val="24"/>
          <w:szCs w:val="24"/>
        </w:rPr>
        <w:t>电子版U盘</w:t>
      </w:r>
      <w:r>
        <w:rPr>
          <w:rFonts w:hint="eastAsia" w:ascii="宋体" w:hAnsi="宋体" w:cs="宋体"/>
          <w:sz w:val="24"/>
          <w:szCs w:val="24"/>
          <w:lang w:val="en-US" w:eastAsia="zh-CN"/>
        </w:rPr>
        <w:t>1</w:t>
      </w:r>
      <w:r>
        <w:rPr>
          <w:rFonts w:hint="eastAsia" w:ascii="宋体" w:hAnsi="宋体" w:cs="宋体"/>
          <w:sz w:val="24"/>
          <w:szCs w:val="24"/>
        </w:rPr>
        <w:t>份（</w:t>
      </w:r>
      <w:r>
        <w:rPr>
          <w:rFonts w:hint="eastAsia" w:ascii="宋体" w:hAnsi="宋体" w:cs="宋体"/>
          <w:sz w:val="24"/>
          <w:szCs w:val="24"/>
          <w:lang w:val="en-US" w:eastAsia="zh-CN"/>
        </w:rPr>
        <w:t>投标文件</w:t>
      </w:r>
      <w:r>
        <w:rPr>
          <w:rFonts w:hint="eastAsia" w:ascii="宋体" w:hAnsi="宋体" w:cs="宋体"/>
          <w:sz w:val="24"/>
          <w:szCs w:val="24"/>
        </w:rPr>
        <w:t>word版</w:t>
      </w:r>
      <w:r>
        <w:rPr>
          <w:rFonts w:hint="eastAsia" w:ascii="宋体" w:hAnsi="宋体" w:cs="宋体"/>
          <w:sz w:val="24"/>
          <w:szCs w:val="24"/>
          <w:lang w:val="en-US" w:eastAsia="zh-CN"/>
        </w:rPr>
        <w:t>及上传电子投标文件签字盖章的PDF版本的</w:t>
      </w:r>
      <w:r>
        <w:rPr>
          <w:rFonts w:hint="eastAsia" w:ascii="宋体" w:hAnsi="宋体" w:cs="宋体"/>
          <w:sz w:val="24"/>
          <w:szCs w:val="24"/>
        </w:rPr>
        <w:t>U盘）</w:t>
      </w:r>
      <w:r>
        <w:rPr>
          <w:rFonts w:hint="eastAsia" w:ascii="宋体" w:hAnsi="宋体" w:cs="宋体"/>
          <w:sz w:val="24"/>
          <w:szCs w:val="24"/>
          <w:lang w:eastAsia="zh-CN"/>
        </w:rPr>
        <w:t>、</w:t>
      </w:r>
      <w:r>
        <w:rPr>
          <w:rFonts w:hint="eastAsia" w:ascii="宋体" w:hAnsi="宋体" w:eastAsia="宋体" w:cs="宋体"/>
          <w:kern w:val="2"/>
          <w:sz w:val="24"/>
          <w:szCs w:val="24"/>
          <w:lang w:val="en-US" w:eastAsia="zh-CN" w:bidi="ar-SA"/>
        </w:rPr>
        <w:t>投标信用承诺书原件壹份</w:t>
      </w:r>
      <w:r>
        <w:rPr>
          <w:rFonts w:hint="eastAsia" w:ascii="宋体" w:hAnsi="宋体" w:cs="宋体"/>
          <w:sz w:val="24"/>
          <w:szCs w:val="24"/>
          <w:lang w:eastAsia="zh-CN"/>
        </w:rPr>
        <w:t>，</w:t>
      </w:r>
      <w:r>
        <w:rPr>
          <w:rFonts w:hint="eastAsia" w:ascii="宋体" w:hAnsi="宋体" w:cs="宋体"/>
          <w:sz w:val="24"/>
          <w:szCs w:val="24"/>
          <w:lang w:val="en-US" w:eastAsia="zh-CN"/>
        </w:rPr>
        <w:t>以电报、传真、电子邮件形式递交的投标文件将不予接受。</w:t>
      </w:r>
    </w:p>
    <w:p w14:paraId="359497CF">
      <w:pPr>
        <w:spacing w:line="360" w:lineRule="auto"/>
        <w:rPr>
          <w:rFonts w:hint="eastAsia" w:ascii="思源宋体 CN Light" w:hAnsi="思源宋体 CN Light" w:eastAsia="思源宋体 CN Light" w:cs="思源宋体 CN Light"/>
          <w:b/>
          <w:bCs/>
          <w:sz w:val="24"/>
          <w:szCs w:val="24"/>
        </w:rPr>
      </w:pPr>
      <w:r>
        <w:rPr>
          <w:rFonts w:hint="eastAsia" w:ascii="思源宋体 CN Light" w:hAnsi="思源宋体 CN Light" w:eastAsia="思源宋体 CN Light" w:cs="思源宋体 CN Light"/>
          <w:sz w:val="24"/>
          <w:szCs w:val="24"/>
          <w:lang w:val="en-US" w:eastAsia="zh-CN"/>
        </w:rPr>
        <w:t xml:space="preserve">   </w:t>
      </w:r>
      <w:r>
        <w:rPr>
          <w:rFonts w:hint="eastAsia" w:ascii="思源宋体 CN Light" w:hAnsi="思源宋体 CN Light" w:eastAsia="思源宋体 CN Light" w:cs="思源宋体 CN Light"/>
          <w:b/>
          <w:bCs/>
          <w:sz w:val="24"/>
          <w:szCs w:val="24"/>
        </w:rPr>
        <w:t>特别提醒：纸质投标文件及电子版U盘</w:t>
      </w:r>
      <w:r>
        <w:rPr>
          <w:rFonts w:hint="eastAsia" w:ascii="思源宋体 CN Light" w:hAnsi="思源宋体 CN Light" w:eastAsia="思源宋体 CN Light" w:cs="思源宋体 CN Light"/>
          <w:b/>
          <w:bCs/>
          <w:sz w:val="24"/>
          <w:szCs w:val="24"/>
          <w:lang w:val="en-US" w:eastAsia="zh-CN"/>
        </w:rPr>
        <w:t>1</w:t>
      </w:r>
      <w:r>
        <w:rPr>
          <w:rFonts w:hint="eastAsia" w:ascii="思源宋体 CN Light" w:hAnsi="思源宋体 CN Light" w:eastAsia="思源宋体 CN Light" w:cs="思源宋体 CN Light"/>
          <w:b/>
          <w:bCs/>
          <w:sz w:val="24"/>
          <w:szCs w:val="24"/>
        </w:rPr>
        <w:t>份（</w:t>
      </w:r>
      <w:r>
        <w:rPr>
          <w:rFonts w:hint="eastAsia" w:ascii="思源宋体 CN Light" w:hAnsi="思源宋体 CN Light" w:eastAsia="思源宋体 CN Light" w:cs="思源宋体 CN Light"/>
          <w:b/>
          <w:bCs/>
          <w:sz w:val="24"/>
          <w:szCs w:val="24"/>
          <w:lang w:val="en-US" w:eastAsia="zh-CN"/>
        </w:rPr>
        <w:t>投标文件</w:t>
      </w:r>
      <w:r>
        <w:rPr>
          <w:rFonts w:hint="eastAsia" w:ascii="思源宋体 CN Light" w:hAnsi="思源宋体 CN Light" w:eastAsia="思源宋体 CN Light" w:cs="思源宋体 CN Light"/>
          <w:b/>
          <w:bCs/>
          <w:sz w:val="24"/>
          <w:szCs w:val="24"/>
        </w:rPr>
        <w:t>word版</w:t>
      </w:r>
      <w:r>
        <w:rPr>
          <w:rFonts w:hint="eastAsia" w:ascii="思源宋体 CN Light" w:hAnsi="思源宋体 CN Light" w:eastAsia="思源宋体 CN Light" w:cs="思源宋体 CN Light"/>
          <w:b/>
          <w:bCs/>
          <w:sz w:val="24"/>
          <w:szCs w:val="24"/>
          <w:lang w:val="en-US" w:eastAsia="zh-CN"/>
        </w:rPr>
        <w:t>及上传电子投标文件签字盖章的PDF版本的</w:t>
      </w:r>
      <w:r>
        <w:rPr>
          <w:rFonts w:hint="eastAsia" w:ascii="思源宋体 CN Light" w:hAnsi="思源宋体 CN Light" w:eastAsia="思源宋体 CN Light" w:cs="思源宋体 CN Light"/>
          <w:b/>
          <w:bCs/>
          <w:sz w:val="24"/>
          <w:szCs w:val="24"/>
        </w:rPr>
        <w:t>U盘）</w:t>
      </w:r>
      <w:r>
        <w:rPr>
          <w:rFonts w:hint="eastAsia" w:ascii="思源宋体 CN Light" w:hAnsi="思源宋体 CN Light" w:eastAsia="思源宋体 CN Light" w:cs="思源宋体 CN Light"/>
          <w:b/>
          <w:bCs/>
          <w:sz w:val="24"/>
          <w:szCs w:val="24"/>
          <w:lang w:eastAsia="zh-CN"/>
        </w:rPr>
        <w:t>、</w:t>
      </w:r>
      <w:r>
        <w:rPr>
          <w:rFonts w:hint="eastAsia" w:ascii="思源宋体 CN Light" w:hAnsi="思源宋体 CN Light" w:eastAsia="思源宋体 CN Light" w:cs="思源宋体 CN Light"/>
          <w:b/>
          <w:bCs/>
          <w:sz w:val="24"/>
          <w:szCs w:val="24"/>
          <w:lang w:val="en-US" w:eastAsia="zh-CN"/>
        </w:rPr>
        <w:t>投标信用承诺书</w:t>
      </w:r>
      <w:r>
        <w:rPr>
          <w:rFonts w:hint="eastAsia" w:ascii="思源宋体 CN Light" w:hAnsi="思源宋体 CN Light" w:eastAsia="思源宋体 CN Light" w:cs="思源宋体 CN Light"/>
          <w:b/>
          <w:bCs/>
          <w:sz w:val="24"/>
          <w:szCs w:val="24"/>
        </w:rPr>
        <w:t>邮寄的资料收到的时间直接影响结果公告时间）。</w:t>
      </w:r>
    </w:p>
    <w:p w14:paraId="542E7ADD">
      <w:pPr>
        <w:spacing w:line="360" w:lineRule="auto"/>
        <w:ind w:firstLine="482" w:firstLineChars="200"/>
        <w:rPr>
          <w:rFonts w:ascii="宋体" w:hAnsi="宋体" w:cs="仿宋_GB2312"/>
          <w:b/>
          <w:sz w:val="24"/>
          <w:szCs w:val="22"/>
        </w:rPr>
      </w:pPr>
      <w:r>
        <w:rPr>
          <w:rFonts w:hint="eastAsia" w:ascii="宋体" w:hAnsi="宋体" w:cs="仿宋_GB2312"/>
          <w:b/>
          <w:sz w:val="24"/>
          <w:szCs w:val="22"/>
        </w:rPr>
        <w:t xml:space="preserve">收件人：陕西三秦大地招标有限责任公司                       </w:t>
      </w:r>
    </w:p>
    <w:p w14:paraId="03D2AF5A">
      <w:pPr>
        <w:spacing w:line="360" w:lineRule="auto"/>
        <w:ind w:firstLine="482" w:firstLineChars="200"/>
        <w:rPr>
          <w:rFonts w:ascii="宋体" w:hAnsi="宋体" w:cs="仿宋_GB2312"/>
          <w:b/>
          <w:sz w:val="24"/>
          <w:szCs w:val="22"/>
        </w:rPr>
      </w:pPr>
      <w:r>
        <w:rPr>
          <w:rFonts w:hint="eastAsia" w:ascii="宋体" w:hAnsi="宋体" w:cs="仿宋_GB2312"/>
          <w:b/>
          <w:sz w:val="24"/>
          <w:szCs w:val="22"/>
        </w:rPr>
        <w:t>收件电话：</w:t>
      </w:r>
      <w:r>
        <w:rPr>
          <w:rFonts w:hint="eastAsia" w:ascii="宋体" w:hAnsi="宋体" w:cs="仿宋_GB2312"/>
          <w:b/>
          <w:sz w:val="24"/>
          <w:szCs w:val="22"/>
          <w:lang w:val="en-US" w:eastAsia="zh-CN"/>
        </w:rPr>
        <w:t>18821755562/</w:t>
      </w:r>
      <w:r>
        <w:rPr>
          <w:rFonts w:hint="eastAsia" w:ascii="宋体" w:hAnsi="宋体" w:cs="仿宋_GB2312"/>
          <w:b/>
          <w:sz w:val="24"/>
          <w:szCs w:val="22"/>
        </w:rPr>
        <w:t>09123889050</w:t>
      </w:r>
    </w:p>
    <w:p w14:paraId="061B862F">
      <w:pPr>
        <w:pStyle w:val="13"/>
        <w:spacing w:line="360" w:lineRule="auto"/>
        <w:ind w:firstLine="482" w:firstLineChars="200"/>
        <w:rPr>
          <w:rFonts w:hint="eastAsia" w:ascii="思源宋体 CN Light" w:hAnsi="思源宋体 CN Light" w:eastAsia="思源宋体 CN Light" w:cs="思源宋体 CN Light"/>
          <w:sz w:val="24"/>
          <w:szCs w:val="24"/>
          <w:lang w:val="en-US" w:eastAsia="zh-CN"/>
        </w:rPr>
      </w:pPr>
      <w:r>
        <w:rPr>
          <w:rFonts w:ascii="宋体" w:hAnsi="宋体" w:eastAsia="宋体" w:cs="仿宋_GB2312"/>
          <w:b/>
          <w:kern w:val="2"/>
          <w:sz w:val="24"/>
          <w:szCs w:val="22"/>
        </w:rPr>
        <w:t>收件地址：榆林市富康西路隆城富康小区3号楼1单元1401室</w:t>
      </w:r>
      <w:r>
        <w:rPr>
          <w:rFonts w:hint="eastAsia" w:ascii="思源宋体 CN Light" w:hAnsi="思源宋体 CN Light" w:eastAsia="思源宋体 CN Light" w:cs="思源宋体 CN Light"/>
          <w:sz w:val="24"/>
          <w:szCs w:val="24"/>
          <w:lang w:val="en-US" w:eastAsia="zh-CN"/>
        </w:rPr>
        <w:t xml:space="preserve"> </w:t>
      </w:r>
    </w:p>
    <w:p w14:paraId="361E5D12">
      <w:pPr>
        <w:pStyle w:val="24"/>
        <w:spacing w:line="360" w:lineRule="auto"/>
        <w:rPr>
          <w:rFonts w:hint="default"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19.3未中标投标人需邮寄投标文件</w:t>
      </w:r>
      <w:r>
        <w:rPr>
          <w:rFonts w:hint="eastAsia" w:ascii="宋体" w:hAnsi="宋体" w:cs="宋体"/>
          <w:sz w:val="24"/>
          <w:szCs w:val="24"/>
        </w:rPr>
        <w:t>电子版U盘</w:t>
      </w:r>
      <w:r>
        <w:rPr>
          <w:rFonts w:hint="eastAsia" w:ascii="宋体" w:hAnsi="宋体" w:cs="宋体"/>
          <w:sz w:val="24"/>
          <w:szCs w:val="24"/>
          <w:lang w:val="en-US" w:eastAsia="zh-CN"/>
        </w:rPr>
        <w:t>1</w:t>
      </w:r>
      <w:r>
        <w:rPr>
          <w:rFonts w:hint="eastAsia" w:ascii="宋体" w:hAnsi="宋体" w:cs="宋体"/>
          <w:sz w:val="24"/>
          <w:szCs w:val="24"/>
        </w:rPr>
        <w:t>份（</w:t>
      </w:r>
      <w:r>
        <w:rPr>
          <w:rFonts w:hint="eastAsia" w:ascii="宋体" w:hAnsi="宋体" w:cs="宋体"/>
          <w:sz w:val="24"/>
          <w:szCs w:val="24"/>
          <w:lang w:val="en-US" w:eastAsia="zh-CN"/>
        </w:rPr>
        <w:t>投标文件</w:t>
      </w:r>
      <w:r>
        <w:rPr>
          <w:rFonts w:hint="eastAsia" w:ascii="宋体" w:hAnsi="宋体" w:cs="宋体"/>
          <w:sz w:val="24"/>
          <w:szCs w:val="24"/>
        </w:rPr>
        <w:t>word版</w:t>
      </w:r>
      <w:r>
        <w:rPr>
          <w:rFonts w:hint="eastAsia" w:ascii="宋体" w:hAnsi="宋体" w:cs="宋体"/>
          <w:sz w:val="24"/>
          <w:szCs w:val="24"/>
          <w:lang w:val="en-US" w:eastAsia="zh-CN"/>
        </w:rPr>
        <w:t>及上传电子投标文件签字盖章的PDF版本的</w:t>
      </w:r>
      <w:r>
        <w:rPr>
          <w:rFonts w:hint="eastAsia" w:ascii="宋体" w:hAnsi="宋体" w:cs="宋体"/>
          <w:sz w:val="24"/>
          <w:szCs w:val="24"/>
        </w:rPr>
        <w:t>U盘）</w:t>
      </w:r>
      <w:r>
        <w:rPr>
          <w:rFonts w:hint="eastAsia" w:ascii="宋体" w:hAnsi="宋体" w:cs="宋体"/>
          <w:sz w:val="24"/>
          <w:szCs w:val="24"/>
          <w:lang w:val="en-US" w:eastAsia="zh-CN"/>
        </w:rPr>
        <w:t>及投标信用承诺书原件壹份（格式详见招标文件第九部分附件3）</w:t>
      </w:r>
      <w:r>
        <w:rPr>
          <w:rFonts w:hint="eastAsia" w:ascii="宋体" w:hAnsi="宋体" w:cs="宋体"/>
          <w:sz w:val="24"/>
          <w:szCs w:val="24"/>
          <w:lang w:eastAsia="zh-CN"/>
        </w:rPr>
        <w:t>。</w:t>
      </w:r>
    </w:p>
    <w:p w14:paraId="6DA275EC">
      <w:pPr>
        <w:spacing w:line="360" w:lineRule="auto"/>
        <w:ind w:firstLine="480" w:firstLineChars="200"/>
        <w:rPr>
          <w:rFonts w:hint="eastAsia" w:ascii="思源宋体 CN Light" w:hAnsi="思源宋体 CN Light" w:eastAsia="思源宋体 CN Light" w:cs="思源宋体 CN Light"/>
          <w:sz w:val="24"/>
          <w:szCs w:val="24"/>
          <w:lang w:val="en-US" w:eastAsia="zh-CN"/>
        </w:rPr>
      </w:pPr>
      <w:r>
        <w:rPr>
          <w:rFonts w:hint="eastAsia" w:ascii="思源宋体 CN Light" w:hAnsi="思源宋体 CN Light" w:eastAsia="思源宋体 CN Light" w:cs="思源宋体 CN Light"/>
          <w:sz w:val="24"/>
          <w:szCs w:val="24"/>
          <w:lang w:val="en-US" w:eastAsia="zh-CN"/>
        </w:rPr>
        <w:t>19.4各投标单位未按要求递交以上要求投标文件的，由此产生的后果均由投标单位自行承担。</w:t>
      </w:r>
    </w:p>
    <w:p w14:paraId="1D8C3EAB">
      <w:pPr>
        <w:pStyle w:val="9"/>
        <w:spacing w:line="360" w:lineRule="auto"/>
        <w:ind w:firstLine="480" w:firstLineChars="200"/>
        <w:rPr>
          <w:rFonts w:ascii="宋体" w:hAnsi="宋体" w:cs="宋体"/>
          <w:sz w:val="24"/>
        </w:rPr>
      </w:pPr>
      <w:r>
        <w:rPr>
          <w:rFonts w:hint="eastAsia" w:ascii="宋体" w:hAnsi="宋体" w:cs="宋体"/>
          <w:sz w:val="24"/>
          <w:lang w:val="en-US" w:eastAsia="zh-CN"/>
        </w:rPr>
        <w:t>19.5</w:t>
      </w:r>
      <w:r>
        <w:rPr>
          <w:rFonts w:hint="eastAsia" w:ascii="宋体" w:hAnsi="宋体" w:cs="宋体"/>
          <w:sz w:val="24"/>
        </w:rPr>
        <w:t>采购代理机构项目接收人只负责竞争性谈判响应文件的接收、清点、递交文件登记工作，对其有效性不负任何责任；</w:t>
      </w:r>
    </w:p>
    <w:p w14:paraId="313FBB78">
      <w:pPr>
        <w:pStyle w:val="4"/>
        <w:spacing w:line="460" w:lineRule="exact"/>
        <w:rPr>
          <w:rFonts w:ascii="宋体" w:hAnsi="宋体" w:cs="宋体"/>
          <w:bCs/>
        </w:rPr>
      </w:pPr>
      <w:r>
        <w:rPr>
          <w:rFonts w:hint="eastAsia" w:ascii="宋体" w:hAnsi="宋体" w:cs="宋体"/>
          <w:bCs/>
        </w:rPr>
        <w:t>20 竞争性谈判响应文件的递交</w:t>
      </w:r>
      <w:bookmarkEnd w:id="236"/>
      <w:bookmarkEnd w:id="237"/>
      <w:bookmarkEnd w:id="238"/>
      <w:bookmarkEnd w:id="239"/>
      <w:bookmarkEnd w:id="240"/>
      <w:bookmarkEnd w:id="241"/>
      <w:bookmarkEnd w:id="242"/>
      <w:bookmarkEnd w:id="243"/>
      <w:bookmarkEnd w:id="244"/>
    </w:p>
    <w:p w14:paraId="788C4A2F">
      <w:pPr>
        <w:pStyle w:val="9"/>
        <w:spacing w:line="360" w:lineRule="auto"/>
        <w:rPr>
          <w:rFonts w:ascii="思源宋体 CN Light" w:hAnsi="思源宋体 CN Light" w:eastAsia="思源宋体 CN Light" w:cs="思源宋体 CN Light"/>
          <w:b/>
          <w:bCs/>
          <w:sz w:val="24"/>
          <w:szCs w:val="24"/>
        </w:rPr>
      </w:pPr>
      <w:r>
        <w:rPr>
          <w:rFonts w:hint="eastAsia" w:ascii="宋体" w:hAnsi="宋体" w:cs="宋体"/>
          <w:b/>
          <w:bCs/>
          <w:sz w:val="24"/>
        </w:rPr>
        <w:t>20.1 电子竞争性谈判响应文件递交方</w:t>
      </w:r>
      <w:r>
        <w:rPr>
          <w:rFonts w:hint="eastAsia" w:ascii="思源宋体 CN Light" w:hAnsi="思源宋体 CN Light" w:eastAsia="思源宋体 CN Light" w:cs="思源宋体 CN Light"/>
          <w:b/>
          <w:bCs/>
          <w:sz w:val="24"/>
          <w:szCs w:val="24"/>
        </w:rPr>
        <w:t>式</w:t>
      </w:r>
    </w:p>
    <w:p w14:paraId="6D5E8F52">
      <w:pPr>
        <w:widowControl/>
        <w:spacing w:line="360" w:lineRule="auto"/>
        <w:ind w:right="-150" w:firstLine="240" w:firstLineChars="100"/>
        <w:rPr>
          <w:rFonts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20.1.1</w:t>
      </w:r>
      <w:r>
        <w:rPr>
          <w:rFonts w:hint="eastAsia" w:ascii="宋体" w:hAnsi="宋体" w:cs="宋体"/>
          <w:sz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r>
        <w:rPr>
          <w:rFonts w:hint="eastAsia" w:ascii="思源宋体 CN Light" w:hAnsi="思源宋体 CN Light" w:eastAsia="思源宋体 CN Light" w:cs="思源宋体 CN Light"/>
          <w:sz w:val="24"/>
          <w:szCs w:val="24"/>
        </w:rPr>
        <w:t>。</w:t>
      </w:r>
    </w:p>
    <w:p w14:paraId="7EE5510B">
      <w:pPr>
        <w:spacing w:line="360" w:lineRule="auto"/>
        <w:ind w:firstLine="240" w:firstLineChars="100"/>
        <w:rPr>
          <w:rFonts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20.1.2本项目采用“不见面”开标形式，供应商可登录榆林交易平台〖首页〉不见面开标〗在线参与开评标过程，详见招标文件以及交易平台〖首页〉服务指南〉下载专区〗中的《榆林市不见面开标大厅操作手册（投标人）》。</w:t>
      </w:r>
    </w:p>
    <w:p w14:paraId="6122ED47">
      <w:pPr>
        <w:pStyle w:val="9"/>
        <w:spacing w:line="460" w:lineRule="exact"/>
        <w:rPr>
          <w:rFonts w:ascii="思源宋体 CN Light" w:hAnsi="思源宋体 CN Light" w:eastAsia="思源宋体 CN Light" w:cs="思源宋体 CN Light"/>
          <w:b/>
          <w:bCs/>
          <w:sz w:val="24"/>
          <w:szCs w:val="24"/>
        </w:rPr>
      </w:pPr>
      <w:r>
        <w:rPr>
          <w:rFonts w:hint="eastAsia" w:ascii="思源宋体 CN Light" w:hAnsi="思源宋体 CN Light" w:eastAsia="思源宋体 CN Light" w:cs="思源宋体 CN Light"/>
          <w:b/>
          <w:bCs/>
          <w:sz w:val="24"/>
          <w:szCs w:val="24"/>
        </w:rPr>
        <w:t>20.2纸质竞争性谈判响应文件递交方式</w:t>
      </w:r>
    </w:p>
    <w:p w14:paraId="455440C8">
      <w:pPr>
        <w:pStyle w:val="9"/>
        <w:spacing w:line="460" w:lineRule="exact"/>
        <w:ind w:firstLine="240" w:firstLineChars="100"/>
        <w:rPr>
          <w:rFonts w:ascii="宋体" w:hAnsi="宋体" w:cs="宋体"/>
          <w:sz w:val="24"/>
        </w:rPr>
      </w:pPr>
      <w:r>
        <w:rPr>
          <w:rFonts w:hint="eastAsia" w:ascii="宋体" w:hAnsi="宋体" w:cs="宋体"/>
          <w:sz w:val="24"/>
        </w:rPr>
        <w:t>20.2.1供应商通过邮寄的方式递交将全部竞争性谈判响应文件和谈判资料，递交至采购代理机构接收人处，具体收件地址、接收人、电话详见19.</w:t>
      </w:r>
      <w:r>
        <w:rPr>
          <w:rFonts w:hint="eastAsia" w:ascii="宋体" w:hAnsi="宋体" w:cs="宋体"/>
          <w:sz w:val="24"/>
          <w:lang w:val="en-US" w:eastAsia="zh-CN"/>
        </w:rPr>
        <w:t>2</w:t>
      </w:r>
      <w:r>
        <w:rPr>
          <w:rFonts w:hint="eastAsia" w:ascii="宋体" w:hAnsi="宋体" w:cs="宋体"/>
          <w:sz w:val="24"/>
        </w:rPr>
        <w:t>；</w:t>
      </w:r>
    </w:p>
    <w:p w14:paraId="652D4A0A">
      <w:pPr>
        <w:pStyle w:val="9"/>
        <w:spacing w:line="460" w:lineRule="exact"/>
        <w:ind w:firstLine="240" w:firstLineChars="100"/>
        <w:rPr>
          <w:rFonts w:ascii="宋体" w:hAnsi="宋体" w:cs="宋体"/>
          <w:sz w:val="24"/>
        </w:rPr>
      </w:pPr>
      <w:r>
        <w:rPr>
          <w:rFonts w:hint="eastAsia" w:ascii="宋体" w:hAnsi="宋体" w:cs="宋体"/>
          <w:sz w:val="24"/>
        </w:rPr>
        <w:t>20.2.2 采购代理机构项目接收人只负责竞争性谈判响应文件的接收、清点、递交文件登记工作，对其有效性不负任何责任；</w:t>
      </w:r>
    </w:p>
    <w:p w14:paraId="737E235B">
      <w:pPr>
        <w:pStyle w:val="9"/>
        <w:spacing w:line="460" w:lineRule="exact"/>
        <w:ind w:firstLine="240" w:firstLineChars="100"/>
        <w:rPr>
          <w:rFonts w:ascii="宋体" w:hAnsi="宋体" w:cs="宋体"/>
          <w:sz w:val="24"/>
        </w:rPr>
      </w:pPr>
      <w:r>
        <w:rPr>
          <w:rFonts w:hint="eastAsia" w:ascii="宋体" w:hAnsi="宋体" w:cs="宋体"/>
          <w:sz w:val="24"/>
        </w:rPr>
        <w:t>20.2.3 无论供应商成交与否，其竞争性谈判响应文件和谈判文件要求的资料都必须邮寄，邮寄资料收到后上结果公告，成交供应商邮寄的资料收到的时间直接影响结果公告时间。</w:t>
      </w:r>
    </w:p>
    <w:p w14:paraId="3B583184">
      <w:pPr>
        <w:spacing w:line="460" w:lineRule="exact"/>
        <w:rPr>
          <w:rFonts w:ascii="宋体" w:hAnsi="宋体" w:cs="宋体"/>
          <w:sz w:val="24"/>
        </w:rPr>
      </w:pPr>
      <w:r>
        <w:rPr>
          <w:rFonts w:hint="eastAsia" w:ascii="宋体" w:hAnsi="宋体" w:cs="宋体"/>
          <w:sz w:val="24"/>
        </w:rPr>
        <w:t>20.3 采购人或采购代理机构有权按本须知的规定，通过修改竞争性谈判文件延长谈判截止时间。在此情况下，采购人和供应商受谈判截止时间制约的所有权利和义务均应当延长至新的截止日期。</w:t>
      </w:r>
    </w:p>
    <w:p w14:paraId="68F955A9">
      <w:pPr>
        <w:pStyle w:val="4"/>
        <w:spacing w:line="460" w:lineRule="exact"/>
        <w:rPr>
          <w:rFonts w:ascii="宋体" w:hAnsi="宋体" w:cs="宋体"/>
          <w:bCs/>
        </w:rPr>
      </w:pPr>
      <w:bookmarkStart w:id="245" w:name="_Toc4701"/>
      <w:bookmarkStart w:id="246" w:name="_Toc13225"/>
      <w:bookmarkStart w:id="247" w:name="_Toc7672"/>
      <w:bookmarkStart w:id="248" w:name="_Toc29885"/>
      <w:bookmarkStart w:id="249" w:name="_Toc23992"/>
      <w:bookmarkStart w:id="250" w:name="_Toc10103"/>
      <w:bookmarkStart w:id="251" w:name="_Toc6834"/>
      <w:bookmarkStart w:id="252" w:name="_Toc465958110"/>
      <w:r>
        <w:rPr>
          <w:rFonts w:hint="eastAsia" w:ascii="宋体" w:hAnsi="宋体" w:cs="宋体"/>
          <w:bCs/>
        </w:rPr>
        <w:t>21 竞争性谈判响应文件的修改与撤回</w:t>
      </w:r>
      <w:bookmarkEnd w:id="245"/>
      <w:bookmarkEnd w:id="246"/>
      <w:bookmarkEnd w:id="247"/>
      <w:bookmarkEnd w:id="248"/>
      <w:bookmarkEnd w:id="249"/>
      <w:bookmarkEnd w:id="250"/>
      <w:bookmarkEnd w:id="251"/>
      <w:bookmarkEnd w:id="252"/>
    </w:p>
    <w:p w14:paraId="1CA5993B">
      <w:pPr>
        <w:spacing w:line="460" w:lineRule="exact"/>
        <w:rPr>
          <w:rFonts w:ascii="宋体" w:hAnsi="宋体" w:cs="宋体"/>
          <w:sz w:val="24"/>
        </w:rPr>
      </w:pPr>
      <w:r>
        <w:rPr>
          <w:rFonts w:hint="eastAsia" w:ascii="宋体" w:hAnsi="宋体" w:cs="宋体"/>
          <w:sz w:val="24"/>
        </w:rPr>
        <w:t>21.1 供应商在谈判截止时间前，可以对所递交的竞争性谈判响应文件进行补充、修改或者撤回，并书面通知采购代理机构。补充、修改的内容应当按竞争性谈判文件要求签署、盖章，并作为竞争性谈判响应文件的组成部分。</w:t>
      </w:r>
    </w:p>
    <w:p w14:paraId="072B6AF3">
      <w:pPr>
        <w:pStyle w:val="13"/>
        <w:spacing w:line="460" w:lineRule="exact"/>
        <w:rPr>
          <w:rFonts w:hint="default"/>
        </w:rPr>
      </w:pPr>
      <w:r>
        <w:rPr>
          <w:rFonts w:ascii="宋体" w:hAnsi="宋体" w:cs="宋体"/>
          <w:sz w:val="24"/>
        </w:rPr>
        <w:t>21.2</w:t>
      </w:r>
      <w:r>
        <w:rPr>
          <w:rFonts w:ascii="宋体" w:hAnsi="宋体" w:eastAsia="宋体" w:cs="宋体"/>
          <w:kern w:val="2"/>
          <w:sz w:val="24"/>
        </w:rPr>
        <w:t>当修改的内容影响投标文件编制时，将在交易平台上同步发布答疑文件，此时供应商应从“项目流程·〉答疑文件下载”下载最新发布的答疑文件（*.SXSCF格式），并使用该文件重新编制电子投标文件（*.SXSTF格式），使用旧版电子招标文件或旧版答疑文件制作的电子投标文件，系统将拒绝接收。</w:t>
      </w:r>
    </w:p>
    <w:p w14:paraId="48C9A2B4">
      <w:pPr>
        <w:spacing w:line="460" w:lineRule="exact"/>
        <w:rPr>
          <w:rFonts w:ascii="宋体" w:hAnsi="宋体" w:cs="宋体"/>
          <w:sz w:val="24"/>
        </w:rPr>
      </w:pPr>
      <w:r>
        <w:rPr>
          <w:rFonts w:hint="eastAsia" w:ascii="宋体" w:hAnsi="宋体" w:cs="宋体"/>
          <w:sz w:val="24"/>
        </w:rPr>
        <w:t>21.3 谈判截止时间后，供应商不得对其竞争性谈判响应文件做任何修改。</w:t>
      </w:r>
    </w:p>
    <w:p w14:paraId="38D1AE38">
      <w:pPr>
        <w:spacing w:line="460" w:lineRule="exact"/>
        <w:rPr>
          <w:rFonts w:ascii="宋体" w:hAnsi="宋体" w:cs="宋体"/>
          <w:sz w:val="24"/>
        </w:rPr>
      </w:pPr>
      <w:r>
        <w:rPr>
          <w:rFonts w:hint="eastAsia" w:ascii="宋体" w:hAnsi="宋体" w:cs="宋体"/>
          <w:sz w:val="24"/>
        </w:rPr>
        <w:t>21.4 从谈判截止期至供应商在谈判函格式中确定的谈判有效期之间，供应商不得撤销其谈判，否则其谈判保证金将按照本须知的规定不予退还。</w:t>
      </w:r>
    </w:p>
    <w:p w14:paraId="5542D5C5">
      <w:pPr>
        <w:pStyle w:val="3"/>
        <w:spacing w:line="460" w:lineRule="exact"/>
        <w:jc w:val="center"/>
        <w:rPr>
          <w:rFonts w:ascii="宋体" w:hAnsi="宋体" w:eastAsia="宋体" w:cs="宋体"/>
          <w:bCs/>
          <w:sz w:val="36"/>
        </w:rPr>
      </w:pPr>
      <w:bookmarkStart w:id="253" w:name="_Toc3199"/>
      <w:bookmarkStart w:id="254" w:name="_Toc21818"/>
      <w:bookmarkStart w:id="255" w:name="_Toc22666"/>
      <w:bookmarkStart w:id="256" w:name="_Toc9087"/>
      <w:bookmarkStart w:id="257" w:name="_Toc246928919"/>
      <w:bookmarkStart w:id="258" w:name="_Toc465958111"/>
      <w:bookmarkStart w:id="259" w:name="_Toc24049"/>
      <w:bookmarkStart w:id="260" w:name="_Toc31311"/>
      <w:r>
        <w:rPr>
          <w:rFonts w:hint="eastAsia" w:ascii="宋体" w:hAnsi="宋体" w:eastAsia="宋体" w:cs="宋体"/>
          <w:bCs/>
          <w:sz w:val="36"/>
        </w:rPr>
        <w:t>E 开标与评审</w:t>
      </w:r>
      <w:bookmarkEnd w:id="253"/>
      <w:bookmarkEnd w:id="254"/>
      <w:bookmarkEnd w:id="255"/>
      <w:bookmarkEnd w:id="256"/>
      <w:bookmarkEnd w:id="257"/>
      <w:bookmarkEnd w:id="258"/>
      <w:bookmarkEnd w:id="259"/>
      <w:bookmarkEnd w:id="260"/>
    </w:p>
    <w:p w14:paraId="3F7BB305">
      <w:pPr>
        <w:pStyle w:val="4"/>
        <w:spacing w:line="460" w:lineRule="exact"/>
        <w:rPr>
          <w:rFonts w:ascii="宋体" w:hAnsi="宋体" w:cs="宋体"/>
          <w:bCs/>
        </w:rPr>
      </w:pPr>
      <w:bookmarkStart w:id="261" w:name="_Toc465958112"/>
      <w:bookmarkStart w:id="262" w:name="_Toc15292"/>
      <w:bookmarkStart w:id="263" w:name="_Toc25438"/>
      <w:bookmarkStart w:id="264" w:name="_Toc6346"/>
      <w:bookmarkStart w:id="265" w:name="_Toc11145"/>
      <w:bookmarkStart w:id="266" w:name="_Toc28426"/>
      <w:bookmarkStart w:id="267" w:name="_Toc246928920"/>
      <w:bookmarkStart w:id="268" w:name="_Toc15345"/>
      <w:bookmarkStart w:id="269" w:name="_Toc21093"/>
      <w:r>
        <w:rPr>
          <w:rFonts w:hint="eastAsia" w:ascii="宋体" w:hAnsi="宋体" w:cs="宋体"/>
          <w:bCs/>
        </w:rPr>
        <w:t xml:space="preserve">22 </w:t>
      </w:r>
      <w:bookmarkEnd w:id="261"/>
      <w:bookmarkEnd w:id="262"/>
      <w:bookmarkEnd w:id="263"/>
      <w:bookmarkEnd w:id="264"/>
      <w:bookmarkEnd w:id="265"/>
      <w:bookmarkEnd w:id="266"/>
      <w:bookmarkEnd w:id="267"/>
      <w:r>
        <w:rPr>
          <w:rFonts w:hint="eastAsia" w:ascii="宋体" w:hAnsi="宋体" w:cs="宋体"/>
          <w:bCs/>
        </w:rPr>
        <w:t>开标</w:t>
      </w:r>
      <w:bookmarkEnd w:id="268"/>
      <w:bookmarkEnd w:id="269"/>
    </w:p>
    <w:p w14:paraId="1EBDA811">
      <w:pPr>
        <w:spacing w:line="460" w:lineRule="exact"/>
        <w:rPr>
          <w:rFonts w:ascii="宋体" w:hAnsi="宋体" w:cs="宋体"/>
          <w:sz w:val="24"/>
        </w:rPr>
      </w:pPr>
      <w:r>
        <w:rPr>
          <w:rFonts w:hint="eastAsia" w:ascii="宋体" w:hAnsi="宋体" w:cs="宋体"/>
          <w:sz w:val="24"/>
        </w:rPr>
        <w:t>22.1 采购代理机构在规定的时间和地点组织谈判。</w:t>
      </w:r>
      <w:r>
        <w:rPr>
          <w:rFonts w:hint="eastAsia" w:ascii="思源宋体 CN Light" w:hAnsi="思源宋体 CN Light" w:eastAsia="思源宋体 CN Light" w:cs="思源宋体 CN Light"/>
          <w:sz w:val="24"/>
          <w:szCs w:val="24"/>
        </w:rPr>
        <w:t>各供应商在开标截止时间前至少提前半小时登录“不见面”开标系统登录，供应商应按要求及时签到</w:t>
      </w:r>
      <w:r>
        <w:rPr>
          <w:rFonts w:hint="eastAsia" w:ascii="思源宋体 CN Light" w:hAnsi="思源宋体 CN Light" w:eastAsia="思源宋体 CN Light" w:cs="思源宋体 CN Light"/>
          <w:b/>
          <w:bCs/>
          <w:sz w:val="24"/>
          <w:szCs w:val="24"/>
        </w:rPr>
        <w:t>（签到时间为投标截止时间前1小时内，如果未签到将视为放弃投标资格），</w:t>
      </w:r>
      <w:r>
        <w:rPr>
          <w:rFonts w:hint="eastAsia" w:ascii="思源宋体 CN Light" w:hAnsi="思源宋体 CN Light" w:eastAsia="思源宋体 CN Light" w:cs="思源宋体 CN Light"/>
          <w:sz w:val="24"/>
          <w:szCs w:val="24"/>
        </w:rPr>
        <w:t>评审过程中，谈判小组可能会就某些问题要求供应商进行在线澄清，请供应商保持在线直到评审结束；</w:t>
      </w:r>
    </w:p>
    <w:p w14:paraId="6FDBA274">
      <w:pPr>
        <w:spacing w:line="460" w:lineRule="exact"/>
        <w:rPr>
          <w:rFonts w:hint="eastAsia" w:ascii="思源宋体 CN Light" w:hAnsi="思源宋体 CN Light" w:eastAsia="思源宋体 CN Light" w:cs="思源宋体 CN Light"/>
          <w:sz w:val="24"/>
          <w:szCs w:val="24"/>
        </w:rPr>
      </w:pPr>
      <w:r>
        <w:rPr>
          <w:rFonts w:hint="eastAsia" w:ascii="思源宋体 CN Light" w:hAnsi="思源宋体 CN Light" w:eastAsia="思源宋体 CN Light" w:cs="思源宋体 CN Light"/>
          <w:sz w:val="24"/>
          <w:szCs w:val="24"/>
        </w:rPr>
        <w:t>22.2由主持人公布投标人名单；</w:t>
      </w:r>
    </w:p>
    <w:p w14:paraId="57C0AC5D">
      <w:pPr>
        <w:spacing w:line="460" w:lineRule="exact"/>
        <w:rPr>
          <w:rFonts w:hint="eastAsia" w:ascii="思源宋体 CN Light" w:hAnsi="思源宋体 CN Light" w:eastAsia="思源宋体 CN Light" w:cs="思源宋体 CN Light"/>
          <w:sz w:val="24"/>
          <w:szCs w:val="24"/>
          <w:lang w:eastAsia="zh-CN"/>
        </w:rPr>
      </w:pPr>
      <w:r>
        <w:rPr>
          <w:rFonts w:hint="eastAsia" w:ascii="思源宋体 CN Light" w:hAnsi="思源宋体 CN Light" w:eastAsia="思源宋体 CN Light" w:cs="思源宋体 CN Light"/>
          <w:sz w:val="24"/>
          <w:szCs w:val="24"/>
        </w:rPr>
        <w:t>22.3介绍参加谈判大会的采购人代表、监标人</w:t>
      </w:r>
      <w:r>
        <w:rPr>
          <w:rFonts w:hint="eastAsia" w:ascii="思源宋体 CN Light" w:hAnsi="思源宋体 CN Light" w:eastAsia="思源宋体 CN Light" w:cs="思源宋体 CN Light"/>
          <w:sz w:val="24"/>
          <w:szCs w:val="24"/>
          <w:lang w:eastAsia="zh-CN"/>
        </w:rPr>
        <w:t>；</w:t>
      </w:r>
    </w:p>
    <w:p w14:paraId="7910A80D">
      <w:pPr>
        <w:spacing w:line="460" w:lineRule="exact"/>
        <w:rPr>
          <w:rFonts w:hint="eastAsia" w:ascii="思源宋体 CN Light" w:hAnsi="思源宋体 CN Light" w:eastAsia="思源宋体 CN Light" w:cs="思源宋体 CN Light"/>
          <w:sz w:val="24"/>
          <w:szCs w:val="24"/>
          <w:lang w:eastAsia="zh-CN"/>
        </w:rPr>
      </w:pPr>
      <w:r>
        <w:rPr>
          <w:rFonts w:hint="eastAsia" w:ascii="宋体" w:hAnsi="宋体" w:cs="宋体"/>
          <w:sz w:val="24"/>
        </w:rPr>
        <w:t>22.4</w:t>
      </w:r>
      <w:r>
        <w:rPr>
          <w:rFonts w:hint="eastAsia" w:ascii="思源宋体 CN Light" w:hAnsi="思源宋体 CN Light" w:eastAsia="思源宋体 CN Light" w:cs="思源宋体 CN Light"/>
          <w:sz w:val="24"/>
          <w:szCs w:val="24"/>
        </w:rPr>
        <w:t>开标过程中，供应商在收到工作人员“开始解密”指令后，请及时使用CA对电子投标文件进行解密。解密时所用CA应与加密投标文件时所用CA相同，解密时间为30分钟，在解密时间内供应商全部解密完成后，可提前进入开标下一阶段</w:t>
      </w:r>
      <w:r>
        <w:rPr>
          <w:rFonts w:hint="eastAsia" w:ascii="思源宋体 CN Light" w:hAnsi="思源宋体 CN Light" w:eastAsia="思源宋体 CN Light" w:cs="思源宋体 CN Light"/>
          <w:sz w:val="24"/>
          <w:szCs w:val="24"/>
          <w:lang w:eastAsia="zh-CN"/>
        </w:rPr>
        <w:t>；</w:t>
      </w:r>
    </w:p>
    <w:p w14:paraId="25585483">
      <w:pPr>
        <w:spacing w:line="460" w:lineRule="exact"/>
        <w:rPr>
          <w:rFonts w:hint="eastAsia" w:ascii="思源宋体 CN Light" w:hAnsi="思源宋体 CN Light" w:eastAsia="思源宋体 CN Light" w:cs="思源宋体 CN Light"/>
          <w:sz w:val="24"/>
          <w:szCs w:val="24"/>
          <w:lang w:eastAsia="zh-CN"/>
        </w:rPr>
      </w:pPr>
      <w:r>
        <w:rPr>
          <w:rFonts w:hint="eastAsia" w:ascii="思源宋体 CN Light" w:hAnsi="思源宋体 CN Light" w:eastAsia="思源宋体 CN Light" w:cs="思源宋体 CN Light"/>
          <w:sz w:val="24"/>
          <w:szCs w:val="24"/>
        </w:rPr>
        <w:t>22.5进行导入投标文件</w:t>
      </w:r>
      <w:r>
        <w:rPr>
          <w:rFonts w:hint="eastAsia" w:ascii="思源宋体 CN Light" w:hAnsi="思源宋体 CN Light" w:eastAsia="思源宋体 CN Light" w:cs="思源宋体 CN Light"/>
          <w:sz w:val="24"/>
          <w:szCs w:val="24"/>
          <w:lang w:eastAsia="zh-CN"/>
        </w:rPr>
        <w:t>；</w:t>
      </w:r>
    </w:p>
    <w:p w14:paraId="6569F9F5">
      <w:pPr>
        <w:spacing w:line="460" w:lineRule="exact"/>
        <w:rPr>
          <w:rFonts w:hint="eastAsia" w:ascii="宋体" w:hAnsi="宋体" w:eastAsia="宋体" w:cs="宋体"/>
          <w:sz w:val="24"/>
          <w:lang w:eastAsia="zh-CN"/>
        </w:rPr>
      </w:pPr>
      <w:r>
        <w:rPr>
          <w:rFonts w:hint="eastAsia" w:ascii="宋体" w:hAnsi="宋体" w:cs="宋体"/>
          <w:sz w:val="24"/>
        </w:rPr>
        <w:t>22.6 谈判有效供应商不足三家的，按照国家相关法律、法规及有关规定执行</w:t>
      </w:r>
      <w:r>
        <w:rPr>
          <w:rFonts w:hint="eastAsia" w:ascii="宋体" w:hAnsi="宋体" w:cs="宋体"/>
          <w:sz w:val="24"/>
          <w:lang w:eastAsia="zh-CN"/>
        </w:rPr>
        <w:t>；</w:t>
      </w:r>
    </w:p>
    <w:p w14:paraId="54B6B39A">
      <w:pPr>
        <w:spacing w:line="460" w:lineRule="exact"/>
        <w:rPr>
          <w:rFonts w:ascii="宋体" w:hAnsi="宋体" w:cs="宋体"/>
          <w:sz w:val="24"/>
        </w:rPr>
      </w:pPr>
      <w:r>
        <w:rPr>
          <w:rFonts w:hint="eastAsia" w:ascii="宋体" w:hAnsi="宋体" w:cs="宋体"/>
          <w:sz w:val="24"/>
        </w:rPr>
        <w:t>22.7 采购代理机构将做开标记录，存档备查。</w:t>
      </w:r>
    </w:p>
    <w:p w14:paraId="78CB0BB7">
      <w:pPr>
        <w:pStyle w:val="4"/>
        <w:spacing w:line="460" w:lineRule="exact"/>
        <w:rPr>
          <w:rFonts w:ascii="宋体" w:hAnsi="宋体" w:cs="宋体"/>
          <w:szCs w:val="22"/>
        </w:rPr>
      </w:pPr>
      <w:bookmarkStart w:id="270" w:name="_Toc5070"/>
      <w:bookmarkStart w:id="271" w:name="_Toc8179"/>
      <w:bookmarkStart w:id="272" w:name="_Toc246928922"/>
      <w:bookmarkStart w:id="273" w:name="_Toc21518"/>
      <w:bookmarkStart w:id="274" w:name="_Toc32220"/>
      <w:bookmarkStart w:id="275" w:name="_Toc12022"/>
      <w:bookmarkStart w:id="276" w:name="_Toc465958114"/>
      <w:bookmarkStart w:id="277" w:name="_Toc32401"/>
      <w:bookmarkStart w:id="278" w:name="_Toc20915"/>
      <w:bookmarkStart w:id="279" w:name="_Toc30377"/>
      <w:bookmarkStart w:id="280" w:name="_Toc465958115"/>
      <w:bookmarkStart w:id="281" w:name="_Toc246928923"/>
      <w:bookmarkStart w:id="282" w:name="_Toc9869"/>
      <w:bookmarkStart w:id="283" w:name="_Toc23381"/>
      <w:bookmarkStart w:id="284" w:name="_Toc32736"/>
      <w:bookmarkStart w:id="285" w:name="_Toc29724"/>
      <w:r>
        <w:rPr>
          <w:rFonts w:hint="eastAsia" w:ascii="宋体" w:hAnsi="宋体" w:cs="宋体"/>
          <w:szCs w:val="22"/>
        </w:rPr>
        <w:t xml:space="preserve">23 </w:t>
      </w:r>
      <w:r>
        <w:rPr>
          <w:rFonts w:hint="eastAsia" w:ascii="宋体" w:hAnsi="宋体" w:cs="宋体"/>
        </w:rPr>
        <w:t>对供应商资格的审查</w:t>
      </w:r>
      <w:bookmarkEnd w:id="270"/>
      <w:bookmarkEnd w:id="271"/>
    </w:p>
    <w:p w14:paraId="31D6B867">
      <w:pPr>
        <w:pStyle w:val="6"/>
        <w:adjustRightInd w:val="0"/>
        <w:snapToGrid w:val="0"/>
        <w:spacing w:line="460" w:lineRule="exact"/>
        <w:jc w:val="left"/>
        <w:rPr>
          <w:rFonts w:ascii="宋体" w:hAnsi="宋体" w:cs="宋体"/>
          <w:sz w:val="24"/>
          <w:szCs w:val="22"/>
        </w:rPr>
      </w:pPr>
      <w:r>
        <w:rPr>
          <w:rFonts w:hint="eastAsia" w:ascii="宋体" w:hAnsi="宋体" w:cs="宋体"/>
          <w:sz w:val="24"/>
          <w:szCs w:val="22"/>
        </w:rPr>
        <w:t>23.1开标结束后，</w:t>
      </w:r>
      <w:r>
        <w:rPr>
          <w:rFonts w:hint="eastAsia" w:ascii="宋体" w:hAnsi="宋体" w:cs="宋体"/>
          <w:sz w:val="24"/>
          <w:szCs w:val="22"/>
          <w:lang w:val="en-US" w:eastAsia="zh-CN"/>
        </w:rPr>
        <w:t>资格审查小组</w:t>
      </w:r>
      <w:r>
        <w:rPr>
          <w:rFonts w:hint="eastAsia" w:ascii="宋体" w:hAnsi="宋体" w:cs="宋体"/>
          <w:sz w:val="24"/>
          <w:szCs w:val="22"/>
        </w:rPr>
        <w:t>依法对供应商的资格证明文件进行审查，</w:t>
      </w:r>
      <w:r>
        <w:rPr>
          <w:rFonts w:hint="eastAsia" w:ascii="宋体" w:hAnsi="宋体" w:cs="宋体"/>
          <w:bCs/>
          <w:sz w:val="24"/>
        </w:rPr>
        <w:t>不符合竞争性谈判文件要求的按无效谈判响应处理，不得进入后续评审，</w:t>
      </w:r>
      <w:r>
        <w:rPr>
          <w:rFonts w:hint="eastAsia" w:ascii="宋体" w:hAnsi="宋体" w:cs="宋体"/>
          <w:sz w:val="24"/>
          <w:szCs w:val="22"/>
        </w:rPr>
        <w:t>签字确认检查结果。</w:t>
      </w:r>
    </w:p>
    <w:p w14:paraId="5A0FFB0F">
      <w:pPr>
        <w:adjustRightInd w:val="0"/>
        <w:snapToGrid w:val="0"/>
        <w:spacing w:line="460" w:lineRule="exact"/>
      </w:pPr>
      <w:r>
        <w:rPr>
          <w:rFonts w:hint="eastAsia" w:ascii="宋体" w:hAnsi="宋体" w:cs="宋体"/>
          <w:sz w:val="24"/>
          <w:szCs w:val="22"/>
        </w:rPr>
        <w:t>23.2</w:t>
      </w:r>
      <w:r>
        <w:rPr>
          <w:rFonts w:hint="eastAsia" w:ascii="宋体" w:hAnsi="宋体" w:cs="宋体"/>
          <w:sz w:val="24"/>
          <w:szCs w:val="24"/>
        </w:rPr>
        <w:t>不符合竞争性谈判文件要求的按无效文件处理，不得进入后续评审工作。</w:t>
      </w:r>
    </w:p>
    <w:p w14:paraId="1745EF46">
      <w:pPr>
        <w:pStyle w:val="6"/>
        <w:adjustRightInd w:val="0"/>
        <w:snapToGrid w:val="0"/>
        <w:spacing w:line="460" w:lineRule="exact"/>
        <w:rPr>
          <w:rFonts w:ascii="宋体" w:hAnsi="宋体" w:cs="宋体"/>
          <w:b/>
        </w:rPr>
      </w:pPr>
      <w:r>
        <w:rPr>
          <w:rFonts w:hint="eastAsia" w:ascii="宋体" w:hAnsi="宋体" w:cs="宋体"/>
          <w:bCs/>
          <w:sz w:val="24"/>
          <w:szCs w:val="24"/>
        </w:rPr>
        <w:t>23.3合格投标人不足三家的，不得评标。</w:t>
      </w:r>
    </w:p>
    <w:bookmarkEnd w:id="272"/>
    <w:bookmarkEnd w:id="273"/>
    <w:bookmarkEnd w:id="274"/>
    <w:bookmarkEnd w:id="275"/>
    <w:bookmarkEnd w:id="276"/>
    <w:bookmarkEnd w:id="277"/>
    <w:bookmarkEnd w:id="278"/>
    <w:p w14:paraId="2CF82A44">
      <w:pPr>
        <w:pStyle w:val="4"/>
        <w:spacing w:before="156" w:beforeLines="50" w:after="156" w:afterLines="50" w:line="460" w:lineRule="exact"/>
        <w:rPr>
          <w:rFonts w:ascii="宋体" w:hAnsi="宋体" w:cs="宋体"/>
          <w:sz w:val="30"/>
          <w:szCs w:val="30"/>
        </w:rPr>
      </w:pPr>
      <w:bookmarkStart w:id="286" w:name="_Toc22451"/>
      <w:bookmarkStart w:id="287" w:name="_Toc15198"/>
      <w:r>
        <w:rPr>
          <w:rFonts w:hint="eastAsia" w:ascii="宋体" w:hAnsi="宋体" w:cs="宋体"/>
          <w:sz w:val="30"/>
          <w:szCs w:val="30"/>
        </w:rPr>
        <w:t>24 谈判小组</w:t>
      </w:r>
      <w:bookmarkEnd w:id="286"/>
      <w:bookmarkEnd w:id="287"/>
    </w:p>
    <w:p w14:paraId="2A8CD1AC">
      <w:pPr>
        <w:spacing w:line="460" w:lineRule="exact"/>
        <w:rPr>
          <w:rFonts w:ascii="宋体" w:hAnsi="宋体" w:cs="宋体"/>
          <w:sz w:val="24"/>
        </w:rPr>
      </w:pPr>
      <w:r>
        <w:rPr>
          <w:rFonts w:hint="eastAsia" w:ascii="宋体" w:hAnsi="宋体" w:cs="宋体"/>
          <w:sz w:val="24"/>
        </w:rPr>
        <w:t>24.1 采购代理机构根据《中华人民共和国政府采购法》、《中华人民共和国政府采购法实施条例》和“</w:t>
      </w:r>
      <w:r>
        <w:rPr>
          <w:rFonts w:hint="eastAsia" w:ascii="宋体" w:hAnsi="宋体" w:cs="宋体"/>
          <w:bCs/>
          <w:sz w:val="24"/>
        </w:rPr>
        <w:t>财政部第87号部长令</w:t>
      </w:r>
      <w:r>
        <w:rPr>
          <w:rFonts w:hint="eastAsia" w:ascii="宋体" w:hAnsi="宋体" w:cs="宋体"/>
          <w:sz w:val="24"/>
        </w:rPr>
        <w:t>”的规定，依法组建谈判小组，谈判小组专家成员在陕西省政府采购网专家抽取管理系统中随机抽取。</w:t>
      </w:r>
    </w:p>
    <w:p w14:paraId="286FA362">
      <w:pPr>
        <w:spacing w:line="460" w:lineRule="exact"/>
        <w:rPr>
          <w:rFonts w:ascii="宋体" w:hAnsi="宋体" w:cs="宋体"/>
          <w:sz w:val="24"/>
        </w:rPr>
      </w:pPr>
      <w:r>
        <w:rPr>
          <w:rFonts w:hint="eastAsia" w:ascii="宋体" w:hAnsi="宋体" w:cs="宋体"/>
          <w:sz w:val="24"/>
        </w:rPr>
        <w:t>24.2 谈判小组成员由采购人代表和评审专家3人以上单数组成，评审专家人数应占总人数的2/3以上。</w:t>
      </w:r>
    </w:p>
    <w:p w14:paraId="1B2DACA2">
      <w:pPr>
        <w:spacing w:line="460" w:lineRule="exact"/>
        <w:rPr>
          <w:rFonts w:ascii="宋体" w:hAnsi="宋体" w:cs="宋体"/>
          <w:sz w:val="24"/>
        </w:rPr>
      </w:pPr>
      <w:r>
        <w:rPr>
          <w:rFonts w:hint="eastAsia" w:ascii="宋体" w:hAnsi="宋体" w:cs="宋体"/>
          <w:sz w:val="24"/>
        </w:rPr>
        <w:t>24.3 谈判小组成员对各供应商竞争性谈判响应文件进行审查、质疑、评估和比较，并推荐出成交候选供应商。</w:t>
      </w:r>
    </w:p>
    <w:p w14:paraId="1747C616">
      <w:pPr>
        <w:pStyle w:val="4"/>
        <w:spacing w:line="460" w:lineRule="exact"/>
        <w:rPr>
          <w:rFonts w:ascii="宋体" w:hAnsi="宋体" w:cs="宋体"/>
        </w:rPr>
      </w:pPr>
      <w:bookmarkStart w:id="288" w:name="_Toc26342"/>
      <w:bookmarkStart w:id="289" w:name="_Toc422"/>
      <w:r>
        <w:rPr>
          <w:rFonts w:hint="eastAsia" w:ascii="宋体" w:hAnsi="宋体" w:cs="宋体"/>
        </w:rPr>
        <w:t>25 评标</w:t>
      </w:r>
      <w:bookmarkEnd w:id="288"/>
      <w:bookmarkEnd w:id="289"/>
    </w:p>
    <w:p w14:paraId="77636BF3">
      <w:pPr>
        <w:spacing w:line="460" w:lineRule="exact"/>
        <w:rPr>
          <w:rFonts w:ascii="宋体" w:hAnsi="宋体" w:cs="宋体"/>
          <w:bCs/>
          <w:sz w:val="24"/>
        </w:rPr>
      </w:pPr>
      <w:r>
        <w:rPr>
          <w:rFonts w:hint="eastAsia" w:ascii="宋体" w:hAnsi="宋体" w:cs="宋体"/>
          <w:bCs/>
          <w:sz w:val="24"/>
        </w:rPr>
        <w:t>25.1谈判小组对通过资格审查的供应商进行符合性审查，符合性审查不合格者不进入下一步评审。</w:t>
      </w:r>
    </w:p>
    <w:p w14:paraId="5D04BF27">
      <w:pPr>
        <w:spacing w:line="460" w:lineRule="exact"/>
        <w:rPr>
          <w:rFonts w:ascii="宋体" w:hAnsi="宋体" w:cs="宋体"/>
          <w:bCs/>
          <w:sz w:val="24"/>
        </w:rPr>
      </w:pPr>
      <w:r>
        <w:rPr>
          <w:rFonts w:hint="eastAsia" w:ascii="宋体" w:hAnsi="宋体" w:cs="宋体"/>
          <w:bCs/>
          <w:sz w:val="24"/>
        </w:rPr>
        <w:t>25.2 对竞争性谈判响应文件含义不明确、同类问题表述不一致或者有明显文字和计算错误的内容，谈判小组可以要求供应商在规定的时间内做出必要的澄清、说明或者纠正。供应商的澄清、说明或者补正应当采用书面形式，有其授权的代表签字，并不得超出竞争性谈判响应文件的范围或者改变竞争性谈判响应文件的实质性内容。</w:t>
      </w:r>
    </w:p>
    <w:p w14:paraId="488C3AF4">
      <w:pPr>
        <w:spacing w:line="460" w:lineRule="exact"/>
        <w:rPr>
          <w:rFonts w:ascii="宋体" w:hAnsi="宋体" w:cs="宋体"/>
          <w:bCs/>
          <w:sz w:val="24"/>
        </w:rPr>
      </w:pPr>
      <w:r>
        <w:rPr>
          <w:rFonts w:hint="eastAsia" w:ascii="宋体" w:hAnsi="宋体" w:cs="宋体"/>
          <w:bCs/>
          <w:sz w:val="24"/>
        </w:rPr>
        <w:t>25.3 澄清文件将作为竞争性谈判响应文件的一部分。</w:t>
      </w:r>
    </w:p>
    <w:p w14:paraId="30B8179F">
      <w:pPr>
        <w:spacing w:line="460" w:lineRule="exact"/>
        <w:rPr>
          <w:rFonts w:ascii="宋体" w:hAnsi="宋体" w:cs="宋体"/>
          <w:bCs/>
          <w:sz w:val="24"/>
        </w:rPr>
      </w:pPr>
      <w:r>
        <w:rPr>
          <w:rFonts w:hint="eastAsia" w:ascii="宋体" w:hAnsi="宋体" w:cs="宋体"/>
          <w:bCs/>
          <w:sz w:val="24"/>
        </w:rPr>
        <w:t>25.4 算术错误将按以下方法更正：</w:t>
      </w:r>
    </w:p>
    <w:p w14:paraId="465EE68F">
      <w:pPr>
        <w:spacing w:line="460" w:lineRule="exact"/>
        <w:rPr>
          <w:rFonts w:ascii="宋体" w:hAnsi="宋体" w:cs="宋体"/>
          <w:bCs/>
          <w:sz w:val="24"/>
        </w:rPr>
      </w:pPr>
      <w:r>
        <w:rPr>
          <w:rFonts w:hint="eastAsia" w:ascii="宋体" w:hAnsi="宋体" w:cs="宋体"/>
          <w:bCs/>
          <w:sz w:val="24"/>
        </w:rPr>
        <w:t>25.4.1 竞争性谈判响应文件的大写金额和小写金额不一致的，以大写金额为准；</w:t>
      </w:r>
    </w:p>
    <w:p w14:paraId="2C4C546C">
      <w:pPr>
        <w:spacing w:line="460" w:lineRule="exact"/>
        <w:rPr>
          <w:rFonts w:ascii="宋体" w:hAnsi="宋体" w:cs="宋体"/>
          <w:bCs/>
          <w:sz w:val="24"/>
        </w:rPr>
      </w:pPr>
      <w:r>
        <w:rPr>
          <w:rFonts w:hint="eastAsia" w:ascii="宋体" w:hAnsi="宋体" w:cs="宋体"/>
          <w:bCs/>
          <w:sz w:val="24"/>
        </w:rPr>
        <w:t>25.4.2 总价金额与按单价汇总金额不一致的，以单价金额计算结果为准；</w:t>
      </w:r>
    </w:p>
    <w:p w14:paraId="18BADC3D">
      <w:pPr>
        <w:spacing w:line="460" w:lineRule="exact"/>
        <w:rPr>
          <w:rFonts w:ascii="宋体" w:hAnsi="宋体" w:cs="宋体"/>
          <w:bCs/>
          <w:sz w:val="24"/>
        </w:rPr>
      </w:pPr>
      <w:r>
        <w:rPr>
          <w:rFonts w:hint="eastAsia" w:ascii="宋体" w:hAnsi="宋体" w:cs="宋体"/>
          <w:bCs/>
          <w:sz w:val="24"/>
        </w:rPr>
        <w:t>25.4.3 单价金额小数点有明显错位的，应当以总价为准，并修改单价；</w:t>
      </w:r>
    </w:p>
    <w:p w14:paraId="3ADF7285">
      <w:pPr>
        <w:spacing w:line="460" w:lineRule="exact"/>
        <w:rPr>
          <w:rFonts w:ascii="宋体" w:hAnsi="宋体" w:cs="宋体"/>
          <w:bCs/>
          <w:sz w:val="24"/>
        </w:rPr>
      </w:pPr>
      <w:r>
        <w:rPr>
          <w:rFonts w:hint="eastAsia" w:ascii="宋体" w:hAnsi="宋体" w:cs="宋体"/>
          <w:bCs/>
          <w:sz w:val="24"/>
        </w:rPr>
        <w:t>25.4.4 对不同文字文本竞争性谈判响应文件的解释发生异议的，以中文文本为准；</w:t>
      </w:r>
    </w:p>
    <w:p w14:paraId="20BD1FE2">
      <w:pPr>
        <w:spacing w:line="460" w:lineRule="exact"/>
        <w:rPr>
          <w:rFonts w:ascii="宋体" w:hAnsi="宋体" w:cs="宋体"/>
          <w:sz w:val="24"/>
        </w:rPr>
      </w:pPr>
      <w:r>
        <w:rPr>
          <w:rFonts w:hint="eastAsia" w:ascii="宋体" w:hAnsi="宋体" w:cs="宋体"/>
          <w:bCs/>
          <w:sz w:val="24"/>
        </w:rPr>
        <w:t>25.4.5 对于供应商不接受对其错误的更改，其谈判属于无效谈判情形。</w:t>
      </w:r>
    </w:p>
    <w:bookmarkEnd w:id="279"/>
    <w:bookmarkEnd w:id="280"/>
    <w:bookmarkEnd w:id="281"/>
    <w:bookmarkEnd w:id="282"/>
    <w:bookmarkEnd w:id="283"/>
    <w:bookmarkEnd w:id="284"/>
    <w:bookmarkEnd w:id="285"/>
    <w:p w14:paraId="1EBF7662">
      <w:pPr>
        <w:pStyle w:val="4"/>
        <w:spacing w:before="156" w:beforeLines="50" w:after="156" w:afterLines="50" w:line="460" w:lineRule="exact"/>
        <w:rPr>
          <w:rFonts w:ascii="宋体" w:hAnsi="宋体" w:cs="宋体"/>
          <w:sz w:val="30"/>
          <w:szCs w:val="30"/>
        </w:rPr>
      </w:pPr>
      <w:bookmarkStart w:id="290" w:name="_Toc14567"/>
      <w:bookmarkStart w:id="291" w:name="_Toc11927"/>
      <w:bookmarkStart w:id="292" w:name="_Toc6609"/>
      <w:bookmarkStart w:id="293" w:name="_Toc12911"/>
      <w:bookmarkStart w:id="294" w:name="_Toc8037"/>
      <w:bookmarkStart w:id="295" w:name="_Toc25350"/>
      <w:bookmarkStart w:id="296" w:name="_Toc2865"/>
      <w:bookmarkStart w:id="297" w:name="_Toc465958116"/>
      <w:bookmarkStart w:id="298" w:name="_Toc246928924"/>
      <w:r>
        <w:rPr>
          <w:rFonts w:hint="eastAsia" w:ascii="宋体" w:hAnsi="宋体" w:cs="宋体"/>
          <w:sz w:val="30"/>
          <w:szCs w:val="30"/>
        </w:rPr>
        <w:t>26 竞争性谈判响应文件的评价和比较</w:t>
      </w:r>
      <w:bookmarkEnd w:id="290"/>
      <w:bookmarkEnd w:id="291"/>
    </w:p>
    <w:p w14:paraId="4A74A36A">
      <w:pPr>
        <w:spacing w:line="460" w:lineRule="exact"/>
        <w:rPr>
          <w:rFonts w:ascii="宋体" w:hAnsi="宋体" w:cs="宋体"/>
          <w:sz w:val="24"/>
        </w:rPr>
      </w:pPr>
      <w:r>
        <w:rPr>
          <w:rFonts w:hint="eastAsia" w:ascii="宋体" w:hAnsi="宋体" w:cs="宋体"/>
          <w:sz w:val="24"/>
        </w:rPr>
        <w:t>26.1 谈判小组将对有效的竞争性谈判响应文件进行评估和比较。</w:t>
      </w:r>
    </w:p>
    <w:p w14:paraId="00276BE3">
      <w:pPr>
        <w:spacing w:line="460" w:lineRule="exact"/>
        <w:rPr>
          <w:rFonts w:ascii="宋体" w:hAnsi="宋体" w:cs="宋体"/>
          <w:sz w:val="24"/>
        </w:rPr>
      </w:pPr>
      <w:r>
        <w:rPr>
          <w:rFonts w:hint="eastAsia" w:ascii="宋体" w:hAnsi="宋体" w:cs="宋体"/>
          <w:sz w:val="24"/>
        </w:rPr>
        <w:t>26.2 评审时除考虑谈判报价竞争有利性以外，还将考虑以下因素：</w:t>
      </w:r>
    </w:p>
    <w:p w14:paraId="2F83A396">
      <w:pPr>
        <w:spacing w:line="460" w:lineRule="exact"/>
        <w:rPr>
          <w:rFonts w:hint="eastAsia" w:ascii="宋体" w:hAnsi="宋体" w:cs="宋体"/>
          <w:sz w:val="24"/>
        </w:rPr>
      </w:pPr>
      <w:r>
        <w:rPr>
          <w:rFonts w:hint="eastAsia" w:ascii="宋体" w:hAnsi="宋体" w:cs="宋体"/>
          <w:sz w:val="24"/>
        </w:rPr>
        <w:t>26.2.1竞争性谈判响应文件中各项报价的合理性，谈判小组</w:t>
      </w:r>
      <w:r>
        <w:rPr>
          <w:rFonts w:hint="eastAsia" w:ascii="宋体" w:hAnsi="宋体" w:cs="宋体"/>
          <w:sz w:val="24"/>
          <w:szCs w:val="22"/>
        </w:rPr>
        <w:t>认为投标人的报价明显低于</w:t>
      </w:r>
      <w:r>
        <w:rPr>
          <w:rFonts w:hint="eastAsia" w:ascii="宋体" w:hAnsi="宋体" w:cs="宋体"/>
          <w:sz w:val="24"/>
        </w:rPr>
        <w:t>其他通过符合性审查投标人的报价，有可能影响产品质量或者不能诚信履约的，应当要求其在评标现场合理的时间内提供书面说明，必要时提交相关证明材料，竞争性谈判响应文件中各项报价的合理性，谈判小组三分之二以上专家认为某投标报价有低于成本价嫌疑的，为无效报价；</w:t>
      </w:r>
    </w:p>
    <w:p w14:paraId="1A4DC9C6">
      <w:pPr>
        <w:spacing w:line="460" w:lineRule="exact"/>
        <w:rPr>
          <w:rFonts w:ascii="宋体" w:hAnsi="宋体" w:cs="宋体"/>
          <w:sz w:val="24"/>
        </w:rPr>
      </w:pPr>
      <w:r>
        <w:rPr>
          <w:rFonts w:hint="eastAsia" w:ascii="宋体" w:hAnsi="宋体" w:cs="宋体"/>
          <w:sz w:val="24"/>
        </w:rPr>
        <w:t>26.2.2承诺的</w:t>
      </w:r>
      <w:r>
        <w:rPr>
          <w:rFonts w:hint="eastAsia" w:ascii="宋体" w:hAnsi="宋体" w:cs="宋体"/>
          <w:sz w:val="24"/>
          <w:lang w:val="en-US" w:eastAsia="zh-CN"/>
        </w:rPr>
        <w:t>服务</w:t>
      </w:r>
      <w:r>
        <w:rPr>
          <w:rFonts w:hint="eastAsia" w:ascii="宋体" w:hAnsi="宋体" w:cs="宋体"/>
          <w:sz w:val="24"/>
        </w:rPr>
        <w:t>期及付款方式；</w:t>
      </w:r>
    </w:p>
    <w:p w14:paraId="1546E31E">
      <w:pPr>
        <w:spacing w:line="460" w:lineRule="exact"/>
        <w:rPr>
          <w:rFonts w:ascii="宋体" w:hAnsi="宋体" w:cs="宋体"/>
          <w:sz w:val="24"/>
        </w:rPr>
      </w:pPr>
      <w:r>
        <w:rPr>
          <w:rFonts w:hint="eastAsia" w:ascii="宋体" w:hAnsi="宋体" w:cs="宋体"/>
          <w:sz w:val="24"/>
        </w:rPr>
        <w:t>26.2.3项目的实施方案的完整合理性；</w:t>
      </w:r>
    </w:p>
    <w:p w14:paraId="3CE7F211">
      <w:pPr>
        <w:spacing w:line="460" w:lineRule="exact"/>
        <w:rPr>
          <w:rFonts w:ascii="宋体" w:hAnsi="宋体" w:cs="宋体"/>
          <w:sz w:val="24"/>
        </w:rPr>
      </w:pPr>
      <w:r>
        <w:rPr>
          <w:rFonts w:hint="eastAsia" w:ascii="宋体" w:hAnsi="宋体" w:cs="宋体"/>
          <w:sz w:val="24"/>
        </w:rPr>
        <w:t>26.2.4项目的人员配备情况的合理性；</w:t>
      </w:r>
    </w:p>
    <w:p w14:paraId="5236FA55">
      <w:pPr>
        <w:spacing w:line="460" w:lineRule="exact"/>
        <w:rPr>
          <w:rFonts w:ascii="宋体" w:hAnsi="宋体" w:cs="宋体"/>
          <w:sz w:val="24"/>
          <w:szCs w:val="22"/>
        </w:rPr>
      </w:pPr>
      <w:r>
        <w:rPr>
          <w:rFonts w:hint="eastAsia" w:ascii="宋体" w:hAnsi="宋体" w:cs="宋体"/>
          <w:sz w:val="24"/>
          <w:szCs w:val="22"/>
        </w:rPr>
        <w:t>26.2.5供应商提供服务的承诺情况；</w:t>
      </w:r>
    </w:p>
    <w:p w14:paraId="255A490A">
      <w:pPr>
        <w:spacing w:line="460" w:lineRule="exact"/>
        <w:rPr>
          <w:rFonts w:ascii="宋体" w:hAnsi="宋体" w:cs="宋体"/>
          <w:sz w:val="24"/>
          <w:szCs w:val="22"/>
        </w:rPr>
      </w:pPr>
      <w:r>
        <w:rPr>
          <w:rFonts w:hint="eastAsia" w:ascii="宋体" w:hAnsi="宋体" w:cs="宋体"/>
          <w:sz w:val="24"/>
          <w:szCs w:val="22"/>
        </w:rPr>
        <w:t>26.2.6其他特殊要求因素（如安全及环保等）。</w:t>
      </w:r>
    </w:p>
    <w:bookmarkEnd w:id="292"/>
    <w:bookmarkEnd w:id="293"/>
    <w:bookmarkEnd w:id="294"/>
    <w:bookmarkEnd w:id="295"/>
    <w:bookmarkEnd w:id="296"/>
    <w:bookmarkEnd w:id="297"/>
    <w:bookmarkEnd w:id="298"/>
    <w:p w14:paraId="7332B2CA">
      <w:pPr>
        <w:pStyle w:val="4"/>
        <w:spacing w:before="156" w:beforeLines="50" w:after="156" w:afterLines="50" w:line="460" w:lineRule="exact"/>
        <w:rPr>
          <w:rFonts w:ascii="宋体" w:hAnsi="宋体" w:cs="宋体"/>
          <w:sz w:val="30"/>
          <w:szCs w:val="30"/>
        </w:rPr>
      </w:pPr>
      <w:bookmarkStart w:id="299" w:name="_Toc14794"/>
      <w:bookmarkStart w:id="300" w:name="_Toc9686"/>
      <w:bookmarkStart w:id="301" w:name="_Toc26106"/>
      <w:bookmarkStart w:id="302" w:name="_Toc465958117"/>
      <w:bookmarkStart w:id="303" w:name="_Toc8450"/>
      <w:bookmarkStart w:id="304" w:name="_Toc20287"/>
      <w:bookmarkStart w:id="305" w:name="_Toc20736"/>
      <w:bookmarkStart w:id="306" w:name="_Toc11926"/>
      <w:r>
        <w:rPr>
          <w:rFonts w:hint="eastAsia" w:ascii="宋体" w:hAnsi="宋体" w:cs="宋体"/>
          <w:sz w:val="30"/>
          <w:szCs w:val="30"/>
        </w:rPr>
        <w:t>27 评审原则及主要方法</w:t>
      </w:r>
      <w:bookmarkEnd w:id="299"/>
      <w:bookmarkEnd w:id="300"/>
    </w:p>
    <w:p w14:paraId="302D2F60">
      <w:pPr>
        <w:spacing w:line="460" w:lineRule="exact"/>
        <w:rPr>
          <w:rFonts w:ascii="宋体" w:hAnsi="宋体" w:cs="宋体"/>
          <w:sz w:val="24"/>
        </w:rPr>
      </w:pPr>
      <w:r>
        <w:rPr>
          <w:rFonts w:hint="eastAsia" w:ascii="宋体" w:hAnsi="宋体" w:cs="宋体"/>
          <w:sz w:val="24"/>
        </w:rPr>
        <w:t>27.1 谈判小组将遵循公开、公平、公正和择优的原则，禁止不正当竞争。对所有供应商的竞争性谈判响应文件评审，都采用相同的程序和标准。</w:t>
      </w:r>
    </w:p>
    <w:p w14:paraId="27FDC2E3">
      <w:pPr>
        <w:spacing w:line="460" w:lineRule="exact"/>
        <w:rPr>
          <w:rFonts w:ascii="宋体" w:hAnsi="宋体" w:cs="宋体"/>
          <w:sz w:val="24"/>
        </w:rPr>
      </w:pPr>
      <w:r>
        <w:rPr>
          <w:rFonts w:hint="eastAsia" w:ascii="宋体" w:hAnsi="宋体" w:cs="宋体"/>
          <w:sz w:val="24"/>
        </w:rPr>
        <w:t>27.2 评审过程的保密：在竞争性谈判响应文件的审查、谈判、报价、成交候选供应商推荐以及授予合同的过程中，供应商向采购人和谈判小组施加影响的任何行为，都将会导致其报价被拒绝；成交供应商确定后，采购人不对未成交供应商就评审过程以及未能成交原因做出任何解释。未成交供应商不得向谈判小组成员或其他相关人员索问评审过程的情况和材料。与评审有关的其他任何情况均严格保密。</w:t>
      </w:r>
    </w:p>
    <w:p w14:paraId="600F1097">
      <w:pPr>
        <w:pStyle w:val="9"/>
        <w:spacing w:line="460" w:lineRule="exact"/>
        <w:rPr>
          <w:rFonts w:ascii="宋体" w:hAnsi="宋体" w:cs="宋体"/>
          <w:sz w:val="24"/>
        </w:rPr>
      </w:pPr>
      <w:r>
        <w:rPr>
          <w:rFonts w:hint="eastAsia" w:ascii="宋体" w:hAnsi="宋体" w:cs="宋体"/>
          <w:sz w:val="24"/>
        </w:rPr>
        <w:t>27.3 竞争性谈判响应文件的初步评审（含资格性检查和符合性审查）</w:t>
      </w:r>
    </w:p>
    <w:p w14:paraId="4E8ACEF6">
      <w:pPr>
        <w:pStyle w:val="9"/>
        <w:spacing w:line="460" w:lineRule="exact"/>
        <w:rPr>
          <w:rFonts w:ascii="宋体" w:hAnsi="宋体" w:cs="宋体"/>
          <w:sz w:val="24"/>
        </w:rPr>
      </w:pPr>
      <w:r>
        <w:rPr>
          <w:rFonts w:hint="eastAsia" w:ascii="宋体" w:hAnsi="宋体" w:cs="宋体"/>
          <w:sz w:val="24"/>
        </w:rPr>
        <w:t>27.3.1 谈判小组将审查竞争性谈判响应文件是否完整、采购人和代理机构审查资格证明文件是否合格，谈判保证金是否合格、有无计算上的错误等。</w:t>
      </w:r>
    </w:p>
    <w:p w14:paraId="03B62E3E">
      <w:pPr>
        <w:spacing w:line="460" w:lineRule="exact"/>
        <w:rPr>
          <w:rFonts w:ascii="宋体" w:hAnsi="宋体" w:cs="宋体"/>
          <w:sz w:val="24"/>
        </w:rPr>
      </w:pPr>
      <w:r>
        <w:rPr>
          <w:rFonts w:hint="eastAsia" w:ascii="宋体" w:hAnsi="宋体" w:cs="宋体"/>
          <w:sz w:val="24"/>
        </w:rPr>
        <w:t>27.4 在详细评审之前，谈判小组要审查每份竞争性谈判响应文件是否实质上响应了竞争性谈判文件的要求。实质上响应的谈判应该是与竞争性谈判文件要求的全部条款、条件和规格参数相符，没有偏离的谈判。谈判小组对供应商的响应、人员配置、售后服务承诺，能满足采购人服务要求的，则可进行二次报价。</w:t>
      </w:r>
    </w:p>
    <w:p w14:paraId="7087AADF">
      <w:pPr>
        <w:spacing w:line="460" w:lineRule="exact"/>
        <w:rPr>
          <w:rFonts w:ascii="宋体" w:hAnsi="宋体" w:cs="宋体"/>
          <w:sz w:val="24"/>
        </w:rPr>
      </w:pPr>
      <w:r>
        <w:rPr>
          <w:rFonts w:hint="eastAsia" w:ascii="宋体" w:hAnsi="宋体" w:cs="宋体"/>
          <w:sz w:val="24"/>
        </w:rPr>
        <w:t>27.5 实质上没有响应竞争性谈判文件要求的谈判将被拒绝。供应商不得通过修正或撤销不合要求的偏离从而使其谈判成为实质性响应的谈判。供应商或竞争性谈判响应文件出现的下列情形将按照无效谈判处理，由谈判小组否决其谈判：</w:t>
      </w:r>
    </w:p>
    <w:p w14:paraId="52FC3FAB">
      <w:pPr>
        <w:pStyle w:val="6"/>
        <w:adjustRightInd w:val="0"/>
        <w:snapToGrid w:val="0"/>
        <w:spacing w:after="0" w:line="460" w:lineRule="exact"/>
      </w:pPr>
      <w:r>
        <w:rPr>
          <w:rFonts w:hint="eastAsia" w:ascii="宋体" w:hAnsi="宋体" w:cs="宋体"/>
          <w:sz w:val="24"/>
          <w:szCs w:val="24"/>
        </w:rPr>
        <w:t>27.5.1投标单位的投标报价超过采购预算；</w:t>
      </w:r>
    </w:p>
    <w:p w14:paraId="5AE3CF30">
      <w:pPr>
        <w:adjustRightInd w:val="0"/>
        <w:snapToGrid w:val="0"/>
        <w:spacing w:line="460" w:lineRule="exact"/>
        <w:rPr>
          <w:rFonts w:ascii="宋体" w:hAnsi="宋体"/>
          <w:sz w:val="24"/>
        </w:rPr>
      </w:pPr>
      <w:r>
        <w:rPr>
          <w:rFonts w:hint="eastAsia" w:ascii="宋体" w:hAnsi="宋体"/>
          <w:sz w:val="24"/>
        </w:rPr>
        <w:t>27.5.2 投标文件、投标函未加盖投标人公章，或未经法定代表人（负责人）或其授权代表签字或盖章的；</w:t>
      </w:r>
    </w:p>
    <w:p w14:paraId="39700EA3">
      <w:pPr>
        <w:adjustRightInd w:val="0"/>
        <w:snapToGrid w:val="0"/>
        <w:spacing w:line="460" w:lineRule="exact"/>
        <w:rPr>
          <w:rFonts w:ascii="宋体" w:hAnsi="宋体"/>
          <w:sz w:val="24"/>
        </w:rPr>
      </w:pPr>
      <w:r>
        <w:rPr>
          <w:rFonts w:hint="eastAsia" w:ascii="宋体" w:hAnsi="宋体"/>
          <w:sz w:val="24"/>
        </w:rPr>
        <w:t>27.5.</w:t>
      </w:r>
      <w:r>
        <w:rPr>
          <w:rFonts w:hint="eastAsia" w:ascii="宋体" w:hAnsi="宋体"/>
          <w:sz w:val="24"/>
          <w:lang w:val="en-US" w:eastAsia="zh-CN"/>
        </w:rPr>
        <w:t>3</w:t>
      </w:r>
      <w:r>
        <w:rPr>
          <w:rFonts w:hint="eastAsia" w:ascii="宋体" w:hAnsi="宋体"/>
          <w:sz w:val="24"/>
        </w:rPr>
        <w:t xml:space="preserve"> 投标文件没有法定代表人（负责人）授权书（法人直接投标除外）或授权书的合法性或有效性不符合招标文件规定的；</w:t>
      </w:r>
    </w:p>
    <w:p w14:paraId="377518DA">
      <w:pPr>
        <w:adjustRightInd w:val="0"/>
        <w:snapToGrid w:val="0"/>
        <w:spacing w:line="460" w:lineRule="exact"/>
        <w:rPr>
          <w:rFonts w:ascii="宋体" w:hAnsi="宋体"/>
          <w:sz w:val="24"/>
        </w:rPr>
      </w:pPr>
      <w:r>
        <w:rPr>
          <w:rFonts w:hint="eastAsia" w:ascii="宋体" w:hAnsi="宋体"/>
          <w:sz w:val="24"/>
        </w:rPr>
        <w:t>27.5.</w:t>
      </w:r>
      <w:r>
        <w:rPr>
          <w:rFonts w:hint="eastAsia" w:ascii="宋体" w:hAnsi="宋体"/>
          <w:sz w:val="24"/>
          <w:lang w:val="en-US" w:eastAsia="zh-CN"/>
        </w:rPr>
        <w:t>4</w:t>
      </w:r>
      <w:r>
        <w:rPr>
          <w:rFonts w:hint="eastAsia" w:ascii="宋体" w:hAnsi="宋体"/>
          <w:sz w:val="24"/>
        </w:rPr>
        <w:t xml:space="preserve"> 投标文件未按招标文件规定要求装订、签署、盖章的,无投标有效期或有效期达不到招标文件要求的；</w:t>
      </w:r>
    </w:p>
    <w:p w14:paraId="5E4E941B">
      <w:pPr>
        <w:adjustRightInd w:val="0"/>
        <w:snapToGrid w:val="0"/>
        <w:spacing w:line="460" w:lineRule="exact"/>
        <w:rPr>
          <w:rFonts w:ascii="宋体" w:hAnsi="宋体"/>
          <w:sz w:val="24"/>
        </w:rPr>
      </w:pPr>
      <w:r>
        <w:rPr>
          <w:rFonts w:hint="eastAsia" w:ascii="宋体" w:hAnsi="宋体"/>
          <w:sz w:val="24"/>
        </w:rPr>
        <w:t>27.5.</w:t>
      </w:r>
      <w:r>
        <w:rPr>
          <w:rFonts w:hint="eastAsia" w:ascii="宋体" w:hAnsi="宋体"/>
          <w:sz w:val="24"/>
          <w:lang w:val="en-US" w:eastAsia="zh-CN"/>
        </w:rPr>
        <w:t>5</w:t>
      </w:r>
      <w:r>
        <w:rPr>
          <w:rFonts w:hint="eastAsia" w:ascii="宋体" w:hAnsi="宋体"/>
          <w:sz w:val="24"/>
        </w:rPr>
        <w:t>投标文件的关键内容字迹模糊、无法辨认的；</w:t>
      </w:r>
    </w:p>
    <w:p w14:paraId="3E0A9252">
      <w:pPr>
        <w:adjustRightInd w:val="0"/>
        <w:snapToGrid w:val="0"/>
        <w:spacing w:line="460" w:lineRule="exact"/>
        <w:rPr>
          <w:rFonts w:ascii="宋体" w:hAnsi="宋体"/>
          <w:sz w:val="24"/>
        </w:rPr>
      </w:pPr>
      <w:r>
        <w:rPr>
          <w:rFonts w:hint="eastAsia" w:ascii="宋体" w:hAnsi="宋体"/>
          <w:sz w:val="24"/>
        </w:rPr>
        <w:t>27.5.</w:t>
      </w:r>
      <w:r>
        <w:rPr>
          <w:rFonts w:hint="eastAsia" w:ascii="宋体" w:hAnsi="宋体"/>
          <w:sz w:val="24"/>
          <w:lang w:val="en-US" w:eastAsia="zh-CN"/>
        </w:rPr>
        <w:t>6</w:t>
      </w:r>
      <w:r>
        <w:rPr>
          <w:rFonts w:hint="eastAsia" w:ascii="宋体" w:hAnsi="宋体"/>
          <w:sz w:val="24"/>
        </w:rPr>
        <w:t>提供虚假证明（包括第三方提供的虚假证明），开具虚假资质，出现虚假应答，除按无效投标文件处理外，并进行相应的处罚；</w:t>
      </w:r>
    </w:p>
    <w:p w14:paraId="6BFCD4FC">
      <w:pPr>
        <w:adjustRightInd w:val="0"/>
        <w:snapToGrid w:val="0"/>
        <w:spacing w:line="460" w:lineRule="exact"/>
        <w:rPr>
          <w:rFonts w:ascii="宋体" w:hAnsi="宋体"/>
          <w:sz w:val="24"/>
        </w:rPr>
      </w:pPr>
      <w:r>
        <w:rPr>
          <w:rFonts w:hint="eastAsia" w:ascii="宋体" w:hAnsi="宋体"/>
          <w:sz w:val="24"/>
        </w:rPr>
        <w:t>27.5.</w:t>
      </w:r>
      <w:r>
        <w:rPr>
          <w:rFonts w:hint="eastAsia" w:ascii="宋体" w:hAnsi="宋体"/>
          <w:sz w:val="24"/>
          <w:lang w:val="en-US" w:eastAsia="zh-CN"/>
        </w:rPr>
        <w:t>7</w:t>
      </w:r>
      <w:r>
        <w:rPr>
          <w:rFonts w:hint="eastAsia" w:ascii="宋体" w:hAnsi="宋体"/>
          <w:sz w:val="24"/>
        </w:rPr>
        <w:t xml:space="preserve"> 对招标文件未做实质性响应或有重大缺项漏项,明显不符合技术规格、技术标准的要求的；  </w:t>
      </w:r>
    </w:p>
    <w:p w14:paraId="1B589DC9">
      <w:pPr>
        <w:adjustRightInd w:val="0"/>
        <w:snapToGrid w:val="0"/>
        <w:spacing w:line="460" w:lineRule="exact"/>
        <w:rPr>
          <w:rFonts w:ascii="宋体" w:hAnsi="宋体"/>
          <w:sz w:val="24"/>
        </w:rPr>
      </w:pPr>
      <w:r>
        <w:rPr>
          <w:rFonts w:hint="eastAsia" w:ascii="宋体" w:hAnsi="宋体"/>
          <w:sz w:val="24"/>
        </w:rPr>
        <w:t>27.5.</w:t>
      </w:r>
      <w:r>
        <w:rPr>
          <w:rFonts w:hint="eastAsia" w:ascii="宋体" w:hAnsi="宋体"/>
          <w:sz w:val="24"/>
          <w:lang w:val="en-US" w:eastAsia="zh-CN"/>
        </w:rPr>
        <w:t>8</w:t>
      </w:r>
      <w:r>
        <w:rPr>
          <w:rFonts w:hint="eastAsia" w:ascii="宋体" w:hAnsi="宋体"/>
          <w:sz w:val="24"/>
        </w:rPr>
        <w:t xml:space="preserve"> 投标人针对同一项目递交两份或多份内容不同的投标文件，未书面声明哪一份是有效的或出现选择性报价的；</w:t>
      </w:r>
    </w:p>
    <w:p w14:paraId="79E4A85C">
      <w:pPr>
        <w:adjustRightInd w:val="0"/>
        <w:snapToGrid w:val="0"/>
        <w:spacing w:line="460" w:lineRule="exact"/>
        <w:rPr>
          <w:rFonts w:ascii="宋体" w:hAnsi="宋体"/>
          <w:sz w:val="24"/>
        </w:rPr>
      </w:pPr>
      <w:r>
        <w:rPr>
          <w:rFonts w:hint="eastAsia" w:ascii="宋体" w:hAnsi="宋体"/>
          <w:sz w:val="24"/>
        </w:rPr>
        <w:t>27.5.</w:t>
      </w:r>
      <w:r>
        <w:rPr>
          <w:rFonts w:hint="eastAsia" w:ascii="宋体" w:hAnsi="宋体"/>
          <w:sz w:val="24"/>
          <w:lang w:val="en-US" w:eastAsia="zh-CN"/>
        </w:rPr>
        <w:t>9</w:t>
      </w:r>
      <w:r>
        <w:rPr>
          <w:rFonts w:hint="eastAsia" w:ascii="宋体" w:hAnsi="宋体"/>
          <w:sz w:val="24"/>
        </w:rPr>
        <w:t>投标报价大于项目预算或与市场价偏离较大，低于成本，形成不正当竞争的；</w:t>
      </w:r>
    </w:p>
    <w:p w14:paraId="69AFB455">
      <w:pPr>
        <w:adjustRightInd w:val="0"/>
        <w:snapToGrid w:val="0"/>
        <w:spacing w:line="460" w:lineRule="exact"/>
        <w:rPr>
          <w:rFonts w:ascii="宋体" w:hAnsi="宋体"/>
          <w:sz w:val="24"/>
        </w:rPr>
      </w:pPr>
      <w:r>
        <w:rPr>
          <w:rFonts w:hint="eastAsia" w:ascii="宋体" w:hAnsi="宋体"/>
          <w:sz w:val="24"/>
        </w:rPr>
        <w:t>27.5.</w:t>
      </w:r>
      <w:r>
        <w:rPr>
          <w:rFonts w:hint="eastAsia" w:ascii="宋体" w:hAnsi="宋体"/>
          <w:sz w:val="24"/>
          <w:lang w:val="en-US" w:eastAsia="zh-CN"/>
        </w:rPr>
        <w:t>10</w:t>
      </w:r>
      <w:r>
        <w:rPr>
          <w:rFonts w:hint="eastAsia" w:ascii="宋体" w:hAnsi="宋体"/>
          <w:sz w:val="24"/>
        </w:rPr>
        <w:t>投标人有围标、串标现象（不同投标人的投标文件错漏之处一致的、不同投标人的投标报价或者报价组成异常一致的或者成规律性变化的），经查证属实的。</w:t>
      </w:r>
    </w:p>
    <w:p w14:paraId="529238AB">
      <w:pPr>
        <w:adjustRightInd w:val="0"/>
        <w:snapToGrid w:val="0"/>
        <w:spacing w:line="460" w:lineRule="exact"/>
        <w:rPr>
          <w:rFonts w:ascii="宋体" w:hAnsi="宋体"/>
          <w:sz w:val="24"/>
        </w:rPr>
      </w:pPr>
      <w:r>
        <w:rPr>
          <w:rFonts w:hint="eastAsia" w:ascii="宋体" w:hAnsi="宋体"/>
          <w:sz w:val="24"/>
        </w:rPr>
        <w:t>27.5.1</w:t>
      </w:r>
      <w:r>
        <w:rPr>
          <w:rFonts w:hint="eastAsia" w:ascii="宋体" w:hAnsi="宋体"/>
          <w:sz w:val="24"/>
          <w:lang w:val="en-US" w:eastAsia="zh-CN"/>
        </w:rPr>
        <w:t>1</w:t>
      </w:r>
      <w:r>
        <w:rPr>
          <w:rFonts w:hint="eastAsia" w:ascii="宋体" w:hAnsi="宋体"/>
          <w:sz w:val="24"/>
        </w:rPr>
        <w:t>逾期提交电子响应文件；</w:t>
      </w:r>
    </w:p>
    <w:p w14:paraId="09A97E23">
      <w:pPr>
        <w:adjustRightInd w:val="0"/>
        <w:snapToGrid w:val="0"/>
        <w:spacing w:line="460" w:lineRule="exact"/>
        <w:rPr>
          <w:rFonts w:ascii="宋体" w:hAnsi="宋体"/>
          <w:sz w:val="24"/>
        </w:rPr>
      </w:pPr>
      <w:r>
        <w:rPr>
          <w:rFonts w:hint="eastAsia" w:ascii="宋体" w:hAnsi="宋体"/>
          <w:sz w:val="24"/>
        </w:rPr>
        <w:t>27.5.1</w:t>
      </w:r>
      <w:r>
        <w:rPr>
          <w:rFonts w:hint="eastAsia" w:ascii="宋体" w:hAnsi="宋体"/>
          <w:sz w:val="24"/>
          <w:lang w:val="en-US" w:eastAsia="zh-CN"/>
        </w:rPr>
        <w:t>2</w:t>
      </w:r>
      <w:r>
        <w:rPr>
          <w:rFonts w:hint="eastAsia" w:ascii="宋体" w:hAnsi="宋体"/>
          <w:sz w:val="24"/>
        </w:rPr>
        <w:t>提交的响应文件与本项目不相符；</w:t>
      </w:r>
    </w:p>
    <w:p w14:paraId="52B464C9">
      <w:pPr>
        <w:adjustRightInd w:val="0"/>
        <w:snapToGrid w:val="0"/>
        <w:spacing w:line="460" w:lineRule="exact"/>
        <w:rPr>
          <w:rFonts w:ascii="宋体" w:hAnsi="宋体"/>
          <w:sz w:val="24"/>
        </w:rPr>
      </w:pPr>
      <w:r>
        <w:rPr>
          <w:rFonts w:hint="eastAsia" w:ascii="宋体" w:hAnsi="宋体"/>
          <w:sz w:val="24"/>
        </w:rPr>
        <w:t>27.5.1</w:t>
      </w:r>
      <w:r>
        <w:rPr>
          <w:rFonts w:hint="eastAsia" w:ascii="宋体" w:hAnsi="宋体"/>
          <w:sz w:val="24"/>
          <w:lang w:val="en-US" w:eastAsia="zh-CN"/>
        </w:rPr>
        <w:t>3</w:t>
      </w:r>
      <w:r>
        <w:rPr>
          <w:rFonts w:hint="eastAsia" w:ascii="宋体" w:hAnsi="宋体"/>
          <w:sz w:val="24"/>
        </w:rPr>
        <w:t>供应商拒绝对电子响应文件进行解密；</w:t>
      </w:r>
    </w:p>
    <w:p w14:paraId="2CB90A2F">
      <w:pPr>
        <w:adjustRightInd w:val="0"/>
        <w:snapToGrid w:val="0"/>
        <w:spacing w:line="460" w:lineRule="exact"/>
        <w:rPr>
          <w:rFonts w:ascii="宋体" w:hAnsi="宋体"/>
          <w:sz w:val="24"/>
        </w:rPr>
      </w:pPr>
      <w:r>
        <w:rPr>
          <w:rFonts w:hint="eastAsia" w:ascii="宋体" w:hAnsi="宋体"/>
          <w:sz w:val="24"/>
        </w:rPr>
        <w:t>27.5.1</w:t>
      </w:r>
      <w:r>
        <w:rPr>
          <w:rFonts w:hint="eastAsia" w:ascii="宋体" w:hAnsi="宋体"/>
          <w:sz w:val="24"/>
          <w:lang w:val="en-US" w:eastAsia="zh-CN"/>
        </w:rPr>
        <w:t>4</w:t>
      </w:r>
      <w:r>
        <w:rPr>
          <w:rFonts w:hint="eastAsia" w:ascii="宋体" w:hAnsi="宋体"/>
          <w:sz w:val="24"/>
        </w:rPr>
        <w:t>因供应商自身原因（如未带 CA 锁、或所带 CA 锁与制作电子响应文件使用的 CA锁不一致、或沿用旧版谈判文件编制响应文件等情形），导致在规定时间内无法解密响应文件；</w:t>
      </w:r>
    </w:p>
    <w:p w14:paraId="28FA7A57">
      <w:pPr>
        <w:adjustRightInd w:val="0"/>
        <w:snapToGrid w:val="0"/>
        <w:spacing w:line="360" w:lineRule="auto"/>
        <w:rPr>
          <w:rFonts w:ascii="宋体" w:hAnsi="宋体"/>
          <w:sz w:val="24"/>
        </w:rPr>
      </w:pPr>
      <w:r>
        <w:rPr>
          <w:rFonts w:hint="eastAsia" w:ascii="宋体" w:hAnsi="宋体"/>
          <w:sz w:val="24"/>
        </w:rPr>
        <w:t>27.5.1</w:t>
      </w:r>
      <w:r>
        <w:rPr>
          <w:rFonts w:hint="eastAsia" w:ascii="宋体" w:hAnsi="宋体"/>
          <w:sz w:val="24"/>
          <w:lang w:val="en-US" w:eastAsia="zh-CN"/>
        </w:rPr>
        <w:t>5</w:t>
      </w:r>
      <w:r>
        <w:rPr>
          <w:rFonts w:hint="eastAsia" w:ascii="宋体" w:hAnsi="宋体"/>
          <w:sz w:val="24"/>
        </w:rPr>
        <w:t>上传的电子响应文件无法打开。</w:t>
      </w:r>
    </w:p>
    <w:p w14:paraId="55D04B03">
      <w:pPr>
        <w:spacing w:line="480" w:lineRule="auto"/>
        <w:rPr>
          <w:rFonts w:hint="eastAsia" w:ascii="宋体" w:hAnsi="宋体" w:eastAsia="宋体" w:cs="Times New Roman"/>
          <w:b w:val="0"/>
          <w:bCs w:val="0"/>
          <w:sz w:val="24"/>
          <w:lang w:val="en-US" w:eastAsia="zh-CN"/>
        </w:rPr>
      </w:pPr>
      <w:r>
        <w:rPr>
          <w:rFonts w:hint="eastAsia" w:ascii="宋体" w:hAnsi="宋体"/>
          <w:sz w:val="24"/>
        </w:rPr>
        <w:t>27.5.1</w:t>
      </w:r>
      <w:r>
        <w:rPr>
          <w:rFonts w:hint="eastAsia" w:ascii="宋体" w:hAnsi="宋体"/>
          <w:sz w:val="24"/>
          <w:lang w:val="en-US" w:eastAsia="zh-CN"/>
        </w:rPr>
        <w:t>7未进行</w:t>
      </w:r>
      <w:r>
        <w:rPr>
          <w:rFonts w:hint="eastAsia" w:ascii="宋体" w:hAnsi="宋体" w:eastAsia="宋体" w:cs="Times New Roman"/>
          <w:b w:val="0"/>
          <w:bCs w:val="0"/>
          <w:sz w:val="24"/>
          <w:lang w:val="en-US" w:eastAsia="zh-CN"/>
        </w:rPr>
        <w:t>“信用中国（陕西榆林）”网站信用承诺的；</w:t>
      </w:r>
    </w:p>
    <w:p w14:paraId="1C61B094">
      <w:pPr>
        <w:adjustRightInd w:val="0"/>
        <w:snapToGrid w:val="0"/>
        <w:spacing w:line="360" w:lineRule="auto"/>
        <w:rPr>
          <w:rFonts w:ascii="宋体" w:hAnsi="宋体"/>
          <w:sz w:val="24"/>
        </w:rPr>
      </w:pPr>
      <w:r>
        <w:rPr>
          <w:rFonts w:hint="eastAsia" w:ascii="宋体" w:hAnsi="宋体"/>
          <w:sz w:val="24"/>
          <w:lang w:val="en-US" w:eastAsia="zh-CN"/>
        </w:rPr>
        <w:t>27.5.18</w:t>
      </w:r>
      <w:r>
        <w:rPr>
          <w:rFonts w:hint="eastAsia" w:ascii="宋体" w:hAnsi="宋体"/>
          <w:sz w:val="24"/>
        </w:rPr>
        <w:t>谈判文件规定的其他要求。</w:t>
      </w:r>
    </w:p>
    <w:bookmarkEnd w:id="301"/>
    <w:bookmarkEnd w:id="302"/>
    <w:bookmarkEnd w:id="303"/>
    <w:bookmarkEnd w:id="304"/>
    <w:bookmarkEnd w:id="305"/>
    <w:bookmarkEnd w:id="306"/>
    <w:p w14:paraId="318A02E9">
      <w:pPr>
        <w:pStyle w:val="4"/>
        <w:spacing w:before="156" w:beforeLines="50" w:after="156" w:afterLines="50" w:line="460" w:lineRule="exact"/>
        <w:rPr>
          <w:rFonts w:ascii="宋体" w:hAnsi="宋体" w:cs="宋体"/>
          <w:sz w:val="30"/>
          <w:szCs w:val="30"/>
        </w:rPr>
      </w:pPr>
      <w:bookmarkStart w:id="307" w:name="_Toc12640"/>
      <w:bookmarkStart w:id="308" w:name="_Toc3471"/>
      <w:bookmarkStart w:id="309" w:name="_Toc497551782"/>
      <w:bookmarkStart w:id="310" w:name="_Toc497546880"/>
      <w:bookmarkStart w:id="311" w:name="_Toc246928925"/>
      <w:bookmarkStart w:id="312" w:name="_Toc497711547"/>
      <w:bookmarkStart w:id="313" w:name="_Toc24562"/>
      <w:bookmarkStart w:id="314" w:name="_Toc25216"/>
      <w:bookmarkStart w:id="315" w:name="_Toc492955421"/>
      <w:bookmarkStart w:id="316" w:name="_Toc4915"/>
      <w:bookmarkStart w:id="317" w:name="_Toc497712095"/>
      <w:bookmarkStart w:id="318" w:name="_Toc385992360"/>
      <w:bookmarkStart w:id="319" w:name="_Toc465958118"/>
      <w:bookmarkStart w:id="320" w:name="_Toc2448"/>
      <w:bookmarkStart w:id="321" w:name="_Toc389620199"/>
      <w:r>
        <w:rPr>
          <w:rFonts w:hint="eastAsia" w:ascii="宋体" w:hAnsi="宋体" w:cs="宋体"/>
          <w:sz w:val="30"/>
          <w:szCs w:val="30"/>
        </w:rPr>
        <w:t>28 谈判</w:t>
      </w:r>
      <w:bookmarkEnd w:id="307"/>
      <w:bookmarkEnd w:id="308"/>
    </w:p>
    <w:p w14:paraId="17391C75">
      <w:pPr>
        <w:adjustRightInd w:val="0"/>
        <w:spacing w:line="460" w:lineRule="exact"/>
        <w:rPr>
          <w:rFonts w:ascii="宋体" w:hAnsi="宋体" w:cs="宋体"/>
          <w:sz w:val="24"/>
        </w:rPr>
      </w:pPr>
      <w:r>
        <w:rPr>
          <w:rFonts w:hint="eastAsia" w:ascii="宋体" w:hAnsi="宋体" w:cs="宋体"/>
          <w:sz w:val="24"/>
        </w:rPr>
        <w:t>28.1谈判过程依次为记录第一次谈判投标报价、竞争性谈判响应文件资格性审查、符合性审查、谈判与承诺、最后报价五个阶段。</w:t>
      </w:r>
    </w:p>
    <w:p w14:paraId="1C1DD30D">
      <w:pPr>
        <w:adjustRightInd w:val="0"/>
        <w:spacing w:line="460" w:lineRule="exact"/>
        <w:ind w:firstLine="480" w:firstLineChars="200"/>
        <w:rPr>
          <w:rFonts w:ascii="宋体" w:hAnsi="宋体" w:cs="宋体"/>
          <w:sz w:val="24"/>
        </w:rPr>
      </w:pPr>
      <w:r>
        <w:rPr>
          <w:rFonts w:hint="eastAsia" w:ascii="宋体" w:hAnsi="宋体" w:cs="宋体"/>
          <w:sz w:val="24"/>
        </w:rPr>
        <w:t>采购人代表对各供应商的资质证明文件进行评审，不符合竞争性谈判文件要求的按无效谈判响应处理，不得进入后续评审。</w:t>
      </w:r>
    </w:p>
    <w:p w14:paraId="5A210251">
      <w:pPr>
        <w:adjustRightInd w:val="0"/>
        <w:spacing w:line="460" w:lineRule="exact"/>
        <w:ind w:firstLine="480" w:firstLineChars="200"/>
        <w:rPr>
          <w:rFonts w:ascii="宋体" w:hAnsi="宋体" w:cs="宋体"/>
          <w:sz w:val="24"/>
        </w:rPr>
      </w:pPr>
      <w:r>
        <w:rPr>
          <w:rFonts w:hint="eastAsia" w:ascii="宋体" w:hAnsi="宋体" w:cs="宋体"/>
          <w:sz w:val="24"/>
        </w:rPr>
        <w:t>对通过资格审查的供应商，谈判小组对于各个供应商的竞争性谈判响应文件进行符合性审查，符合性审查不合格者不进入下一步评审。</w:t>
      </w:r>
    </w:p>
    <w:p w14:paraId="6A11505B">
      <w:pPr>
        <w:snapToGrid w:val="0"/>
        <w:spacing w:line="460" w:lineRule="exact"/>
        <w:ind w:firstLine="480" w:firstLineChars="200"/>
        <w:rPr>
          <w:rFonts w:ascii="宋体" w:hAnsi="宋体" w:cs="宋体"/>
          <w:sz w:val="24"/>
        </w:rPr>
      </w:pPr>
      <w:r>
        <w:rPr>
          <w:rFonts w:hint="eastAsia" w:ascii="宋体" w:hAnsi="宋体" w:cs="宋体"/>
          <w:sz w:val="24"/>
        </w:rPr>
        <w:t>谈判采取背对背的方式。即谈判小组所有成员集中与各供应商分别进行一对一、面对面的谈判。谈判小组可以要求供应商对竞争性谈判响应文件含义不明确的内容做出必要的澄清或说明，供应商应采用书面形式进行澄清或说明，但不得超出竞争性谈判响应文件的范围或改变竞争性谈判响应文件的实质性内容。</w:t>
      </w:r>
    </w:p>
    <w:p w14:paraId="0EE2AA74">
      <w:pPr>
        <w:snapToGrid w:val="0"/>
        <w:spacing w:line="460" w:lineRule="exact"/>
        <w:ind w:firstLine="480" w:firstLineChars="200"/>
        <w:rPr>
          <w:rFonts w:ascii="宋体" w:hAnsi="宋体" w:cs="宋体"/>
          <w:sz w:val="24"/>
        </w:rPr>
      </w:pPr>
      <w:r>
        <w:rPr>
          <w:rFonts w:hint="eastAsia" w:ascii="宋体" w:hAnsi="宋体" w:cs="宋体"/>
          <w:sz w:val="24"/>
        </w:rPr>
        <w:t>双方经过谈判，质量和服务均能满足采购文件实质性响应要求的供应商才具有最后报价的机会。</w:t>
      </w:r>
    </w:p>
    <w:p w14:paraId="5E9BE692">
      <w:pPr>
        <w:spacing w:line="460" w:lineRule="exact"/>
        <w:rPr>
          <w:rFonts w:ascii="宋体" w:hAnsi="宋体" w:cs="宋体"/>
          <w:sz w:val="24"/>
        </w:rPr>
      </w:pPr>
      <w:r>
        <w:rPr>
          <w:rFonts w:hint="eastAsia" w:ascii="宋体" w:hAnsi="宋体" w:cs="宋体"/>
          <w:sz w:val="24"/>
        </w:rPr>
        <w:t>28.2谈判后，供应商应按谈判小组规定的时间进行最后报价，各供应商在电脑进行最后报价，最后报价不对供应商公布。该谈判报价为不可更改价格，作为谈判小组推荐成交候选人的依据。</w:t>
      </w:r>
    </w:p>
    <w:p w14:paraId="16269A86">
      <w:pPr>
        <w:spacing w:line="460" w:lineRule="exact"/>
        <w:rPr>
          <w:rFonts w:ascii="宋体" w:hAnsi="宋体" w:cs="宋体"/>
          <w:sz w:val="24"/>
        </w:rPr>
      </w:pPr>
      <w:r>
        <w:rPr>
          <w:rFonts w:hint="eastAsia" w:ascii="宋体" w:hAnsi="宋体" w:cs="宋体"/>
          <w:sz w:val="24"/>
        </w:rPr>
        <w:t>28.3特殊情况处理：按相关法律法规执行。</w:t>
      </w:r>
    </w:p>
    <w:p w14:paraId="11404B39">
      <w:pPr>
        <w:spacing w:line="460" w:lineRule="exact"/>
        <w:rPr>
          <w:rFonts w:ascii="宋体" w:hAnsi="宋体" w:cs="宋体"/>
          <w:sz w:val="24"/>
        </w:rPr>
      </w:pPr>
      <w:r>
        <w:rPr>
          <w:rFonts w:hint="eastAsia" w:ascii="宋体" w:hAnsi="宋体" w:cs="宋体"/>
          <w:sz w:val="24"/>
        </w:rPr>
        <w:t xml:space="preserve">28.4评审方法：谈判小组从质量和服务均能满足采购文件实质性响应要求的供应商中，按照最后报价由低到高的顺序提出成交候选人。 </w:t>
      </w:r>
    </w:p>
    <w:p w14:paraId="4C94FB97">
      <w:pPr>
        <w:spacing w:line="460" w:lineRule="exact"/>
        <w:rPr>
          <w:rFonts w:hint="eastAsia" w:ascii="宋体" w:hAnsi="宋体" w:cs="宋体"/>
          <w:sz w:val="24"/>
        </w:rPr>
      </w:pPr>
      <w:r>
        <w:rPr>
          <w:rFonts w:hint="eastAsia" w:ascii="宋体" w:hAnsi="宋体" w:cs="宋体"/>
          <w:sz w:val="24"/>
        </w:rPr>
        <w:t>28.5根据《政府采购促进中小企业发展管理办法》（财库【2020】46号）的规定；</w:t>
      </w:r>
    </w:p>
    <w:p w14:paraId="0F700B37">
      <w:pPr>
        <w:spacing w:line="460" w:lineRule="exact"/>
        <w:rPr>
          <w:rFonts w:hint="eastAsia" w:ascii="宋体" w:hAnsi="宋体" w:cs="宋体"/>
          <w:sz w:val="24"/>
        </w:rPr>
      </w:pPr>
      <w:r>
        <w:rPr>
          <w:rFonts w:hint="eastAsia" w:ascii="宋体" w:hAnsi="宋体" w:cs="宋体"/>
          <w:sz w:val="24"/>
        </w:rPr>
        <w:t>28.5.1中小企业（含中型、小型、微型企业，下同）应当同时符合以下条件：</w:t>
      </w:r>
    </w:p>
    <w:p w14:paraId="0B947E67">
      <w:pPr>
        <w:spacing w:line="460" w:lineRule="exact"/>
        <w:rPr>
          <w:rFonts w:hint="eastAsia" w:ascii="宋体" w:hAnsi="宋体" w:cs="宋体"/>
          <w:sz w:val="24"/>
        </w:rPr>
      </w:pPr>
      <w:r>
        <w:rPr>
          <w:rFonts w:hint="eastAsia" w:ascii="宋体" w:hAnsi="宋体" w:cs="宋体"/>
          <w:sz w:val="24"/>
        </w:rPr>
        <w:t>28.5.1.1符合中小企业划分标准。</w:t>
      </w:r>
    </w:p>
    <w:p w14:paraId="77EA7E6E">
      <w:pPr>
        <w:spacing w:line="460" w:lineRule="exact"/>
        <w:rPr>
          <w:rFonts w:hint="eastAsia" w:ascii="宋体" w:hAnsi="宋体" w:cs="宋体"/>
          <w:sz w:val="24"/>
        </w:rPr>
      </w:pPr>
      <w:r>
        <w:rPr>
          <w:rFonts w:hint="eastAsia" w:ascii="宋体" w:hAnsi="宋体" w:cs="宋体"/>
          <w:sz w:val="24"/>
        </w:rPr>
        <w:t>28.5.1.2提供本企业制造的货物，或者提供其他中小企业制造的货物。本项所称货物不包括使用大型企业注册商标的货物。</w:t>
      </w:r>
    </w:p>
    <w:p w14:paraId="72FBC643">
      <w:pPr>
        <w:spacing w:line="460" w:lineRule="exact"/>
        <w:rPr>
          <w:rFonts w:hint="eastAsia" w:ascii="宋体" w:hAnsi="宋体" w:cs="宋体"/>
          <w:sz w:val="24"/>
        </w:rPr>
      </w:pPr>
      <w:r>
        <w:rPr>
          <w:rFonts w:hint="eastAsia" w:ascii="宋体" w:hAnsi="宋体" w:cs="宋体"/>
          <w:sz w:val="24"/>
        </w:rPr>
        <w:t>28.5.2小型、微型企业提供中型企业制造的货物的，视同为中型企业。</w:t>
      </w:r>
    </w:p>
    <w:p w14:paraId="12C47485">
      <w:pPr>
        <w:pStyle w:val="6"/>
        <w:rPr>
          <w:rFonts w:hint="eastAsia"/>
        </w:rPr>
      </w:pPr>
    </w:p>
    <w:p w14:paraId="33447888">
      <w:pPr>
        <w:pStyle w:val="3"/>
        <w:spacing w:before="120" w:after="120" w:line="460" w:lineRule="exact"/>
        <w:jc w:val="center"/>
        <w:rPr>
          <w:rFonts w:ascii="宋体" w:hAnsi="宋体" w:eastAsia="宋体" w:cs="宋体"/>
          <w:bCs/>
          <w:sz w:val="36"/>
        </w:rPr>
      </w:pPr>
      <w:bookmarkStart w:id="322" w:name="_Toc1204"/>
      <w:bookmarkStart w:id="323" w:name="_Toc20818"/>
      <w:r>
        <w:rPr>
          <w:rFonts w:hint="eastAsia" w:ascii="宋体" w:hAnsi="宋体" w:eastAsia="宋体" w:cs="宋体"/>
          <w:bCs/>
          <w:sz w:val="36"/>
        </w:rPr>
        <w:t>F</w:t>
      </w:r>
      <w:bookmarkStart w:id="324" w:name="_Hlt491765714"/>
      <w:bookmarkEnd w:id="324"/>
      <w:r>
        <w:rPr>
          <w:rFonts w:hint="eastAsia" w:ascii="宋体" w:hAnsi="宋体" w:eastAsia="宋体" w:cs="宋体"/>
          <w:bCs/>
          <w:sz w:val="36"/>
        </w:rPr>
        <w:t xml:space="preserve"> </w:t>
      </w:r>
      <w:bookmarkStart w:id="325" w:name="_Hlt497547134"/>
      <w:bookmarkEnd w:id="325"/>
      <w:r>
        <w:rPr>
          <w:rFonts w:hint="eastAsia" w:ascii="宋体" w:hAnsi="宋体" w:eastAsia="宋体" w:cs="宋体"/>
          <w:bCs/>
          <w:sz w:val="36"/>
        </w:rPr>
        <w:t>授予合同</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14:paraId="65D65096">
      <w:pPr>
        <w:pStyle w:val="4"/>
        <w:adjustRightInd w:val="0"/>
        <w:snapToGrid w:val="0"/>
        <w:spacing w:before="156" w:beforeLines="50" w:after="156" w:afterLines="50" w:line="460" w:lineRule="exact"/>
        <w:rPr>
          <w:rFonts w:ascii="宋体" w:hAnsi="宋体" w:cs="宋体"/>
          <w:sz w:val="30"/>
          <w:szCs w:val="30"/>
        </w:rPr>
      </w:pPr>
      <w:bookmarkStart w:id="326" w:name="_Toc30376"/>
      <w:bookmarkStart w:id="327" w:name="_Toc4170"/>
      <w:bookmarkStart w:id="328" w:name="_Toc21436"/>
      <w:bookmarkStart w:id="329" w:name="_Toc385992361"/>
      <w:bookmarkStart w:id="330" w:name="_Toc389620200"/>
      <w:bookmarkStart w:id="331" w:name="_Toc465958119"/>
      <w:bookmarkStart w:id="332" w:name="_Toc17220"/>
      <w:bookmarkStart w:id="333" w:name="_Toc9423"/>
      <w:bookmarkStart w:id="334" w:name="_Toc264"/>
      <w:bookmarkStart w:id="335" w:name="_Toc15630"/>
      <w:bookmarkStart w:id="336" w:name="_Toc246928926"/>
      <w:bookmarkStart w:id="337" w:name="_Toc6603"/>
      <w:bookmarkStart w:id="338" w:name="_Toc246928928"/>
      <w:bookmarkStart w:id="339" w:name="_Toc5090"/>
      <w:bookmarkStart w:id="340" w:name="_Toc15641"/>
      <w:bookmarkStart w:id="341" w:name="_Toc389620205"/>
      <w:bookmarkStart w:id="342" w:name="_Toc385992366"/>
      <w:bookmarkStart w:id="343" w:name="_Toc30811"/>
      <w:bookmarkStart w:id="344" w:name="_Toc9330"/>
      <w:bookmarkStart w:id="345" w:name="_Toc465958121"/>
      <w:r>
        <w:rPr>
          <w:rFonts w:hint="eastAsia" w:ascii="宋体" w:hAnsi="宋体" w:cs="宋体"/>
          <w:sz w:val="30"/>
          <w:szCs w:val="30"/>
        </w:rPr>
        <w:t>29 成交准则</w:t>
      </w:r>
      <w:bookmarkEnd w:id="326"/>
      <w:bookmarkEnd w:id="327"/>
      <w:bookmarkEnd w:id="328"/>
      <w:bookmarkEnd w:id="329"/>
      <w:bookmarkEnd w:id="330"/>
      <w:bookmarkEnd w:id="331"/>
      <w:bookmarkEnd w:id="332"/>
      <w:bookmarkEnd w:id="333"/>
      <w:bookmarkEnd w:id="334"/>
      <w:bookmarkEnd w:id="335"/>
      <w:bookmarkEnd w:id="336"/>
    </w:p>
    <w:p w14:paraId="4DBB20B7">
      <w:pPr>
        <w:adjustRightInd w:val="0"/>
        <w:snapToGrid w:val="0"/>
        <w:spacing w:before="120" w:line="460" w:lineRule="exact"/>
        <w:rPr>
          <w:rFonts w:ascii="宋体" w:hAnsi="宋体" w:cs="宋体"/>
          <w:sz w:val="24"/>
        </w:rPr>
      </w:pPr>
      <w:r>
        <w:rPr>
          <w:rFonts w:hint="eastAsia" w:ascii="宋体" w:hAnsi="宋体" w:cs="宋体"/>
          <w:sz w:val="24"/>
        </w:rPr>
        <w:t>29.1合同将授予竞争性谈判响应文件符合竞争性谈判文件要求、并能圆满地履行合同、对采购人最为有利且价格最低的供应商。</w:t>
      </w:r>
    </w:p>
    <w:p w14:paraId="719B38AC">
      <w:pPr>
        <w:adjustRightInd w:val="0"/>
        <w:snapToGrid w:val="0"/>
        <w:spacing w:line="460" w:lineRule="exact"/>
        <w:rPr>
          <w:rFonts w:ascii="宋体" w:hAnsi="宋体" w:cs="宋体"/>
          <w:sz w:val="24"/>
        </w:rPr>
      </w:pPr>
      <w:r>
        <w:rPr>
          <w:rFonts w:hint="eastAsia" w:ascii="宋体" w:hAnsi="宋体" w:cs="宋体"/>
          <w:sz w:val="24"/>
        </w:rPr>
        <w:t>29.2谈判小组将根据评审方法推荐成交候选供应商名单。</w:t>
      </w:r>
      <w:bookmarkStart w:id="346" w:name="_Toc389620201"/>
      <w:bookmarkStart w:id="347" w:name="_Toc385992362"/>
    </w:p>
    <w:p w14:paraId="16C793F4">
      <w:pPr>
        <w:adjustRightInd w:val="0"/>
        <w:snapToGrid w:val="0"/>
        <w:spacing w:line="460" w:lineRule="exact"/>
        <w:rPr>
          <w:rFonts w:ascii="宋体" w:hAnsi="宋体" w:cs="宋体"/>
          <w:sz w:val="24"/>
        </w:rPr>
      </w:pPr>
      <w:r>
        <w:rPr>
          <w:rFonts w:hint="eastAsia" w:ascii="宋体" w:hAnsi="宋体" w:cs="宋体"/>
          <w:sz w:val="24"/>
        </w:rPr>
        <w:t>29.3采购代理机构在评审结束后将评审报告送采购人，采购人在收到评审报告后按照评审报告中推荐的成交候选供应商顺序确定成交供应商。</w:t>
      </w:r>
    </w:p>
    <w:p w14:paraId="224FFB41">
      <w:pPr>
        <w:adjustRightInd w:val="0"/>
        <w:snapToGrid w:val="0"/>
        <w:spacing w:line="460" w:lineRule="exact"/>
        <w:rPr>
          <w:rFonts w:ascii="宋体" w:hAnsi="宋体" w:cs="宋体"/>
          <w:sz w:val="24"/>
        </w:rPr>
      </w:pPr>
      <w:r>
        <w:rPr>
          <w:rFonts w:hint="eastAsia" w:ascii="宋体" w:hAnsi="宋体" w:cs="宋体"/>
          <w:sz w:val="24"/>
        </w:rPr>
        <w:t>29.4成交供应商因不可抗力或自身原因不能履行政府采购合同的，采购人可以再排位在成交供应商之后的第一位的成交候选供应商签订政府采购合同，以此类推。</w:t>
      </w:r>
    </w:p>
    <w:bookmarkEnd w:id="346"/>
    <w:bookmarkEnd w:id="347"/>
    <w:p w14:paraId="10248F25">
      <w:pPr>
        <w:pStyle w:val="4"/>
        <w:adjustRightInd w:val="0"/>
        <w:snapToGrid w:val="0"/>
        <w:spacing w:before="156" w:beforeLines="50" w:after="156" w:afterLines="50" w:line="460" w:lineRule="exact"/>
        <w:rPr>
          <w:rFonts w:ascii="宋体" w:hAnsi="宋体" w:cs="宋体"/>
          <w:sz w:val="30"/>
          <w:szCs w:val="30"/>
        </w:rPr>
      </w:pPr>
      <w:bookmarkStart w:id="348" w:name="_Toc389620203"/>
      <w:bookmarkStart w:id="349" w:name="_Toc385992364"/>
      <w:bookmarkStart w:id="350" w:name="_Toc246928927"/>
      <w:bookmarkStart w:id="351" w:name="_Toc12205"/>
      <w:bookmarkStart w:id="352" w:name="_Toc21691"/>
      <w:bookmarkStart w:id="353" w:name="_Toc19435"/>
      <w:bookmarkStart w:id="354" w:name="_Toc26280"/>
      <w:bookmarkStart w:id="355" w:name="_Toc465958120"/>
      <w:bookmarkStart w:id="356" w:name="_Toc30974"/>
      <w:bookmarkStart w:id="357" w:name="_Toc19328"/>
      <w:bookmarkStart w:id="358" w:name="_Toc14351"/>
      <w:r>
        <w:rPr>
          <w:rFonts w:hint="eastAsia" w:ascii="宋体" w:hAnsi="宋体" w:cs="宋体"/>
          <w:sz w:val="30"/>
          <w:szCs w:val="30"/>
        </w:rPr>
        <w:t xml:space="preserve">30 </w:t>
      </w:r>
      <w:bookmarkEnd w:id="348"/>
      <w:bookmarkEnd w:id="349"/>
      <w:r>
        <w:rPr>
          <w:rFonts w:hint="eastAsia" w:ascii="宋体" w:hAnsi="宋体" w:cs="宋体"/>
          <w:sz w:val="30"/>
          <w:szCs w:val="30"/>
        </w:rPr>
        <w:t>成交通知</w:t>
      </w:r>
      <w:bookmarkEnd w:id="350"/>
      <w:r>
        <w:rPr>
          <w:rFonts w:hint="eastAsia" w:ascii="宋体" w:hAnsi="宋体" w:cs="宋体"/>
          <w:sz w:val="30"/>
          <w:szCs w:val="30"/>
        </w:rPr>
        <w:t>书</w:t>
      </w:r>
      <w:bookmarkEnd w:id="351"/>
      <w:bookmarkEnd w:id="352"/>
      <w:bookmarkEnd w:id="353"/>
      <w:bookmarkEnd w:id="354"/>
      <w:bookmarkEnd w:id="355"/>
      <w:bookmarkEnd w:id="356"/>
      <w:bookmarkEnd w:id="357"/>
      <w:bookmarkEnd w:id="358"/>
    </w:p>
    <w:p w14:paraId="187486D0">
      <w:pPr>
        <w:adjustRightInd w:val="0"/>
        <w:snapToGrid w:val="0"/>
        <w:spacing w:line="460" w:lineRule="exact"/>
        <w:rPr>
          <w:rFonts w:ascii="宋体" w:hAnsi="宋体" w:cs="宋体"/>
          <w:sz w:val="24"/>
        </w:rPr>
      </w:pPr>
      <w:r>
        <w:rPr>
          <w:rFonts w:hint="eastAsia" w:ascii="宋体" w:hAnsi="宋体" w:cs="宋体"/>
          <w:sz w:val="24"/>
        </w:rPr>
        <w:t>30.1 在谈判有效期内，确定成交供应商后，成交结果在财政部门指定的政府采购信息发布媒体上公告。</w:t>
      </w:r>
    </w:p>
    <w:p w14:paraId="3B9F1293">
      <w:pPr>
        <w:adjustRightInd w:val="0"/>
        <w:snapToGrid w:val="0"/>
        <w:spacing w:line="460" w:lineRule="exact"/>
        <w:rPr>
          <w:rFonts w:hint="eastAsia" w:ascii="宋体" w:hAnsi="宋体" w:cs="宋体"/>
          <w:sz w:val="24"/>
          <w:lang w:eastAsia="zh-CN"/>
        </w:rPr>
      </w:pPr>
      <w:r>
        <w:rPr>
          <w:rFonts w:hint="eastAsia" w:ascii="宋体" w:hAnsi="宋体" w:cs="宋体"/>
          <w:sz w:val="24"/>
        </w:rPr>
        <w:t>30.2 采购代理机构向成交供应商发出成交通知书</w:t>
      </w:r>
      <w:r>
        <w:rPr>
          <w:rFonts w:hint="eastAsia" w:ascii="宋体" w:hAnsi="宋体" w:cs="宋体"/>
          <w:sz w:val="24"/>
          <w:lang w:eastAsia="zh-CN"/>
        </w:rPr>
        <w:t>。</w:t>
      </w:r>
    </w:p>
    <w:p w14:paraId="25D519D2">
      <w:pPr>
        <w:adjustRightInd w:val="0"/>
        <w:snapToGrid w:val="0"/>
        <w:spacing w:line="460" w:lineRule="exact"/>
        <w:rPr>
          <w:rFonts w:ascii="宋体" w:hAnsi="宋体" w:cs="宋体"/>
          <w:sz w:val="24"/>
        </w:rPr>
      </w:pPr>
      <w:r>
        <w:rPr>
          <w:rFonts w:hint="eastAsia" w:ascii="宋体" w:hAnsi="宋体" w:cs="宋体"/>
          <w:sz w:val="24"/>
        </w:rPr>
        <w:t>30.3 成交通知书将作为签订合同的依据。</w:t>
      </w:r>
    </w:p>
    <w:p w14:paraId="4AB49CE3">
      <w:pPr>
        <w:adjustRightInd w:val="0"/>
        <w:snapToGrid w:val="0"/>
        <w:spacing w:line="460" w:lineRule="exact"/>
        <w:rPr>
          <w:rFonts w:ascii="宋体" w:hAnsi="宋体" w:cs="宋体"/>
          <w:sz w:val="24"/>
        </w:rPr>
      </w:pPr>
      <w:r>
        <w:rPr>
          <w:rFonts w:hint="eastAsia" w:ascii="宋体" w:hAnsi="宋体" w:cs="宋体"/>
          <w:sz w:val="24"/>
        </w:rPr>
        <w:t>30.4 对未成交者，采购人不做出解释，同时亦不退还竞争性谈判响应文件。</w:t>
      </w:r>
    </w:p>
    <w:bookmarkEnd w:id="337"/>
    <w:bookmarkEnd w:id="338"/>
    <w:bookmarkEnd w:id="339"/>
    <w:bookmarkEnd w:id="340"/>
    <w:bookmarkEnd w:id="341"/>
    <w:bookmarkEnd w:id="342"/>
    <w:bookmarkEnd w:id="343"/>
    <w:bookmarkEnd w:id="344"/>
    <w:bookmarkEnd w:id="345"/>
    <w:p w14:paraId="299FAC0B">
      <w:pPr>
        <w:pStyle w:val="4"/>
        <w:adjustRightInd w:val="0"/>
        <w:snapToGrid w:val="0"/>
        <w:spacing w:before="156" w:beforeLines="50" w:after="156" w:afterLines="50" w:line="460" w:lineRule="exact"/>
        <w:rPr>
          <w:rFonts w:ascii="宋体" w:hAnsi="宋体" w:cs="宋体"/>
          <w:sz w:val="30"/>
          <w:szCs w:val="30"/>
        </w:rPr>
      </w:pPr>
      <w:bookmarkStart w:id="359" w:name="_Toc21407"/>
      <w:bookmarkStart w:id="360" w:name="_Toc27035"/>
      <w:bookmarkStart w:id="361" w:name="_Toc246928929"/>
      <w:bookmarkStart w:id="362" w:name="_Toc9873"/>
      <w:bookmarkStart w:id="363" w:name="_Toc23291"/>
      <w:bookmarkStart w:id="364" w:name="_Toc23493"/>
      <w:bookmarkStart w:id="365" w:name="_Toc389620207"/>
      <w:bookmarkStart w:id="366" w:name="_Toc20377"/>
      <w:bookmarkStart w:id="367" w:name="_Toc385992368"/>
      <w:bookmarkStart w:id="368" w:name="_Toc11754"/>
      <w:bookmarkStart w:id="369" w:name="_Toc465958122"/>
      <w:r>
        <w:rPr>
          <w:rFonts w:hint="eastAsia" w:ascii="宋体" w:hAnsi="宋体" w:cs="宋体"/>
          <w:sz w:val="30"/>
          <w:szCs w:val="30"/>
        </w:rPr>
        <w:t>31 签订合同</w:t>
      </w:r>
      <w:bookmarkEnd w:id="359"/>
      <w:bookmarkEnd w:id="360"/>
    </w:p>
    <w:bookmarkEnd w:id="361"/>
    <w:bookmarkEnd w:id="362"/>
    <w:bookmarkEnd w:id="363"/>
    <w:bookmarkEnd w:id="364"/>
    <w:bookmarkEnd w:id="365"/>
    <w:bookmarkEnd w:id="366"/>
    <w:bookmarkEnd w:id="367"/>
    <w:bookmarkEnd w:id="368"/>
    <w:bookmarkEnd w:id="369"/>
    <w:p w14:paraId="40391AAD">
      <w:pPr>
        <w:adjustRightInd w:val="0"/>
        <w:snapToGrid w:val="0"/>
        <w:spacing w:line="360" w:lineRule="auto"/>
        <w:ind w:firstLine="480" w:firstLineChars="200"/>
        <w:rPr>
          <w:rFonts w:hint="eastAsia" w:ascii="宋体" w:hAnsi="宋体" w:cs="宋体"/>
          <w:sz w:val="24"/>
        </w:rPr>
      </w:pPr>
      <w:bookmarkStart w:id="370" w:name="_Toc5562"/>
      <w:bookmarkStart w:id="371" w:name="_Toc27194"/>
      <w:r>
        <w:rPr>
          <w:rFonts w:hint="eastAsia" w:ascii="宋体" w:hAnsi="宋体" w:cs="宋体"/>
          <w:sz w:val="24"/>
        </w:rPr>
        <w:t>31.1 定标后，</w:t>
      </w:r>
      <w:r>
        <w:rPr>
          <w:rFonts w:hint="eastAsia" w:ascii="宋体" w:hAnsi="宋体" w:cs="宋体"/>
          <w:sz w:val="24"/>
          <w:lang w:val="en-US" w:eastAsia="zh-CN"/>
        </w:rPr>
        <w:t>在成交通知书发出之日起10日内</w:t>
      </w:r>
      <w:r>
        <w:rPr>
          <w:rFonts w:hint="eastAsia" w:ascii="宋体" w:hAnsi="宋体" w:cs="宋体"/>
          <w:sz w:val="24"/>
        </w:rPr>
        <w:t>，应按招标文件的要求与采购人洽谈合同条款，并签订书面合同，同时送监督机构备案。所签订的合同不得对招标文件确定的事项和</w:t>
      </w:r>
      <w:r>
        <w:rPr>
          <w:rFonts w:hint="eastAsia" w:ascii="宋体" w:hAnsi="宋体" w:cs="宋体"/>
          <w:sz w:val="24"/>
          <w:lang w:val="en-US" w:eastAsia="zh-CN"/>
        </w:rPr>
        <w:t>成交供应商</w:t>
      </w:r>
      <w:r>
        <w:rPr>
          <w:rFonts w:hint="eastAsia" w:ascii="宋体" w:hAnsi="宋体" w:cs="宋体"/>
          <w:sz w:val="24"/>
        </w:rPr>
        <w:t>投标文件作实质性修改；</w:t>
      </w:r>
    </w:p>
    <w:p w14:paraId="72F0E7AB">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31.2 采购人不得向</w:t>
      </w:r>
      <w:r>
        <w:rPr>
          <w:rFonts w:hint="eastAsia" w:ascii="宋体" w:hAnsi="宋体" w:cs="宋体"/>
          <w:sz w:val="24"/>
          <w:lang w:val="en-US" w:eastAsia="zh-CN"/>
        </w:rPr>
        <w:t>成交供应商</w:t>
      </w:r>
      <w:r>
        <w:rPr>
          <w:rFonts w:hint="eastAsia" w:ascii="宋体" w:hAnsi="宋体" w:cs="宋体"/>
          <w:sz w:val="24"/>
        </w:rPr>
        <w:t>提出任何不合理的要求作为签订合同的条件；</w:t>
      </w:r>
    </w:p>
    <w:p w14:paraId="6ADD6497">
      <w:pPr>
        <w:pStyle w:val="23"/>
        <w:spacing w:line="360" w:lineRule="auto"/>
        <w:ind w:firstLine="480" w:firstLineChars="200"/>
        <w:rPr>
          <w:rFonts w:hint="default" w:eastAsia="宋体"/>
          <w:lang w:val="en-US" w:eastAsia="zh-CN"/>
        </w:rPr>
      </w:pPr>
      <w:r>
        <w:rPr>
          <w:rFonts w:hint="eastAsia" w:ascii="宋体" w:hAnsi="宋体" w:cs="宋体"/>
          <w:sz w:val="24"/>
          <w:lang w:val="en-US" w:eastAsia="zh-CN"/>
        </w:rPr>
        <w:t>31.3采购人应当自合同签订之日起2个工作日内，将采购合同在陕西省政府采购网上公告。</w:t>
      </w:r>
    </w:p>
    <w:p w14:paraId="038A18C6">
      <w:pPr>
        <w:pStyle w:val="4"/>
        <w:adjustRightInd w:val="0"/>
        <w:snapToGrid w:val="0"/>
        <w:spacing w:before="156" w:beforeLines="50" w:after="156" w:afterLines="50" w:line="460" w:lineRule="exact"/>
        <w:rPr>
          <w:rFonts w:ascii="宋体" w:hAnsi="宋体" w:cs="宋体"/>
          <w:sz w:val="30"/>
          <w:szCs w:val="30"/>
        </w:rPr>
      </w:pPr>
      <w:r>
        <w:rPr>
          <w:rFonts w:hint="eastAsia" w:ascii="宋体" w:hAnsi="宋体" w:cs="宋体"/>
          <w:sz w:val="30"/>
          <w:szCs w:val="30"/>
        </w:rPr>
        <w:t>32 招标代理服务费</w:t>
      </w:r>
      <w:bookmarkEnd w:id="370"/>
      <w:bookmarkEnd w:id="371"/>
      <w:r>
        <w:rPr>
          <w:rFonts w:hint="eastAsia" w:ascii="宋体" w:hAnsi="宋体" w:cs="宋体"/>
          <w:sz w:val="30"/>
          <w:szCs w:val="30"/>
        </w:rPr>
        <w:t xml:space="preserve"> </w:t>
      </w:r>
    </w:p>
    <w:p w14:paraId="188723F6">
      <w:pPr>
        <w:adjustRightInd w:val="0"/>
        <w:snapToGrid w:val="0"/>
        <w:spacing w:line="460" w:lineRule="exact"/>
        <w:rPr>
          <w:rFonts w:ascii="宋体" w:hAnsi="宋体" w:cs="仿宋_GB2312"/>
          <w:sz w:val="24"/>
          <w:szCs w:val="24"/>
        </w:rPr>
      </w:pPr>
      <w:r>
        <w:rPr>
          <w:rFonts w:hint="eastAsia" w:ascii="宋体" w:hAnsi="宋体" w:cs="宋体"/>
          <w:sz w:val="24"/>
        </w:rPr>
        <w:t xml:space="preserve">32.1  </w:t>
      </w:r>
      <w:r>
        <w:rPr>
          <w:rFonts w:hint="eastAsia" w:ascii="宋体" w:hAnsi="宋体" w:cs="仿宋_GB2312"/>
          <w:sz w:val="24"/>
          <w:szCs w:val="24"/>
        </w:rPr>
        <w:t>招标代理服务费的收取参见国家计委颁布的</w:t>
      </w:r>
      <w:r>
        <w:rPr>
          <w:rFonts w:hint="eastAsia" w:ascii="宋体" w:hAnsi="宋体" w:cs="宋体"/>
          <w:sz w:val="24"/>
          <w:szCs w:val="24"/>
        </w:rPr>
        <w:t>采购代理机构参照国家计委关于印发《招标代理服务收费管理暂行办法》的通知（计价格〔2002〕1980号）、《国家发展和改革委员会办公厅关于招标代理服务收费有关问题的通知》（发改办价格〔2003〕857号）规定向中标（成交）供应商收取代理服务费</w:t>
      </w:r>
      <w:r>
        <w:rPr>
          <w:rFonts w:hint="eastAsia" w:ascii="宋体" w:hAnsi="宋体"/>
          <w:sz w:val="24"/>
        </w:rPr>
        <w:t>。</w:t>
      </w:r>
    </w:p>
    <w:p w14:paraId="2751E709">
      <w:pPr>
        <w:pStyle w:val="4"/>
        <w:adjustRightInd w:val="0"/>
        <w:snapToGrid w:val="0"/>
        <w:spacing w:before="120" w:after="120" w:line="460" w:lineRule="exact"/>
        <w:rPr>
          <w:rFonts w:ascii="宋体" w:hAnsi="宋体" w:cs="宋体"/>
          <w:szCs w:val="22"/>
        </w:rPr>
      </w:pPr>
      <w:bookmarkStart w:id="372" w:name="_Hlt497548036"/>
      <w:bookmarkEnd w:id="372"/>
      <w:bookmarkStart w:id="373" w:name="_Toc5575"/>
      <w:bookmarkStart w:id="374" w:name="_Toc17620"/>
      <w:bookmarkStart w:id="375" w:name="_Toc497712133"/>
      <w:bookmarkStart w:id="376" w:name="_Toc492955459"/>
      <w:bookmarkStart w:id="377" w:name="_Toc93800308"/>
      <w:bookmarkStart w:id="378" w:name="_Toc9748"/>
      <w:bookmarkStart w:id="379" w:name="_Toc28607"/>
      <w:bookmarkStart w:id="380" w:name="_Toc497546918"/>
      <w:bookmarkStart w:id="381" w:name="_Toc10852"/>
      <w:bookmarkStart w:id="382" w:name="_Toc347478708"/>
      <w:bookmarkStart w:id="383" w:name="_Toc13928"/>
      <w:bookmarkStart w:id="384" w:name="_Toc497711585"/>
      <w:bookmarkStart w:id="385" w:name="_Toc497551820"/>
      <w:bookmarkStart w:id="386" w:name="_Toc492955460"/>
      <w:bookmarkStart w:id="387" w:name="_Toc246928960"/>
      <w:bookmarkStart w:id="388" w:name="_Toc497711586"/>
      <w:bookmarkStart w:id="389" w:name="_Toc497712134"/>
      <w:bookmarkStart w:id="390" w:name="_Toc389620242"/>
      <w:bookmarkStart w:id="391" w:name="_Toc385992402"/>
      <w:bookmarkStart w:id="392" w:name="_Toc497551821"/>
      <w:bookmarkStart w:id="393" w:name="_Toc497546919"/>
      <w:r>
        <w:rPr>
          <w:rFonts w:hint="eastAsia" w:ascii="宋体" w:hAnsi="宋体" w:cs="宋体"/>
          <w:szCs w:val="22"/>
        </w:rPr>
        <w:t>33 其他</w:t>
      </w:r>
      <w:bookmarkEnd w:id="373"/>
      <w:bookmarkEnd w:id="374"/>
    </w:p>
    <w:p w14:paraId="0007907D">
      <w:pPr>
        <w:adjustRightInd w:val="0"/>
        <w:snapToGrid w:val="0"/>
        <w:spacing w:line="460" w:lineRule="exact"/>
        <w:ind w:firstLine="480" w:firstLineChars="200"/>
      </w:pPr>
      <w:r>
        <w:rPr>
          <w:rFonts w:hint="eastAsia" w:ascii="宋体" w:hAnsi="宋体" w:cs="宋体"/>
          <w:sz w:val="24"/>
          <w:szCs w:val="24"/>
        </w:rPr>
        <w:t>谈判截止时间结束后，参加投标的投标人不足3家，或在评标期间，出现符合条件的投标人或者对竞争性谈判文件做出实质性响应的投标人不足3家的，按照中华人民共和国财政部令第87号《政府采购货物和服务招标投标管理办法》第四十一条、第四十三条、第四十四条等相关条款处理。</w:t>
      </w:r>
    </w:p>
    <w:p w14:paraId="4EBAB47A">
      <w:pPr>
        <w:pStyle w:val="4"/>
        <w:adjustRightInd w:val="0"/>
        <w:snapToGrid w:val="0"/>
        <w:spacing w:before="120" w:after="120" w:line="460" w:lineRule="exact"/>
        <w:rPr>
          <w:rFonts w:ascii="宋体" w:hAnsi="宋体" w:cs="宋体"/>
          <w:szCs w:val="22"/>
        </w:rPr>
      </w:pPr>
      <w:bookmarkStart w:id="394" w:name="_Toc29936"/>
      <w:bookmarkStart w:id="395" w:name="_Toc29779"/>
      <w:r>
        <w:rPr>
          <w:rFonts w:hint="eastAsia" w:ascii="宋体" w:hAnsi="宋体" w:cs="宋体"/>
          <w:szCs w:val="22"/>
        </w:rPr>
        <w:t>34 质疑提出与答复</w:t>
      </w:r>
      <w:bookmarkEnd w:id="394"/>
      <w:bookmarkEnd w:id="395"/>
    </w:p>
    <w:p w14:paraId="7ECB9D73">
      <w:pPr>
        <w:pStyle w:val="14"/>
        <w:adjustRightInd w:val="0"/>
        <w:snapToGrid w:val="0"/>
        <w:spacing w:before="0" w:beforeAutospacing="0" w:after="0" w:afterAutospacing="0" w:line="460" w:lineRule="exact"/>
        <w:ind w:firstLine="360" w:firstLineChars="150"/>
      </w:pPr>
      <w:r>
        <w:rPr>
          <w:rFonts w:hint="eastAsia"/>
        </w:rPr>
        <w:t>供应商如果认为采购程序、采购过程或中标结果使自身的合法权益受到损害，可以在知道或者应知其权益受到损害之日起7个工作日内，以书面形式向采购代理机构提出。</w:t>
      </w:r>
    </w:p>
    <w:p w14:paraId="76369EAE">
      <w:pPr>
        <w:pStyle w:val="14"/>
        <w:adjustRightInd w:val="0"/>
        <w:snapToGrid w:val="0"/>
        <w:spacing w:before="0" w:beforeAutospacing="0" w:after="0" w:afterAutospacing="0" w:line="460" w:lineRule="exact"/>
        <w:ind w:firstLine="360" w:firstLineChars="150"/>
      </w:pPr>
      <w:r>
        <w:rPr>
          <w:rFonts w:hint="eastAsia"/>
        </w:rPr>
        <w:t>1、供应商提出质疑应当提交质疑函和必要的证明材料，并按财政部《质疑函范本》给定的格式进行填写，范本下载详见【财政部国库司（gks.mof.gov.cn）】网站〖首页•〉政府采购管理〗栏目中的《政府采购供应商质疑函范本》。</w:t>
      </w:r>
    </w:p>
    <w:p w14:paraId="4122191D">
      <w:pPr>
        <w:pStyle w:val="14"/>
        <w:adjustRightInd w:val="0"/>
        <w:snapToGrid w:val="0"/>
        <w:spacing w:before="0" w:beforeAutospacing="0" w:after="0" w:afterAutospacing="0" w:line="460" w:lineRule="exact"/>
        <w:ind w:firstLine="360" w:firstLineChars="150"/>
      </w:pPr>
      <w:r>
        <w:rPr>
          <w:rFonts w:hint="eastAsia"/>
        </w:rPr>
        <w:t>《政府采购供应商质疑函范本》链接地址：</w:t>
      </w:r>
    </w:p>
    <w:p w14:paraId="6B266139">
      <w:pPr>
        <w:pStyle w:val="14"/>
        <w:adjustRightInd w:val="0"/>
        <w:snapToGrid w:val="0"/>
        <w:spacing w:before="0" w:beforeAutospacing="0" w:after="0" w:afterAutospacing="0" w:line="460" w:lineRule="exact"/>
        <w:ind w:firstLine="360" w:firstLineChars="150"/>
      </w:pPr>
      <w:r>
        <w:rPr>
          <w:rFonts w:hint="eastAsia"/>
        </w:rPr>
        <w:t>http://www.mof.gov.cn/gp/xxgkml/gks/201802/t20180201_2804587.htm</w:t>
      </w:r>
    </w:p>
    <w:p w14:paraId="75301110">
      <w:pPr>
        <w:pStyle w:val="14"/>
        <w:adjustRightInd w:val="0"/>
        <w:snapToGrid w:val="0"/>
        <w:spacing w:before="0" w:beforeAutospacing="0" w:after="0" w:afterAutospacing="0" w:line="460" w:lineRule="exact"/>
        <w:ind w:firstLine="360" w:firstLineChars="150"/>
      </w:pPr>
      <w:r>
        <w:rPr>
          <w:rFonts w:hint="eastAsia"/>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2FAE782A">
      <w:pPr>
        <w:pStyle w:val="14"/>
        <w:adjustRightInd w:val="0"/>
        <w:snapToGrid w:val="0"/>
        <w:spacing w:before="0" w:beforeAutospacing="0" w:after="0" w:afterAutospacing="0" w:line="460" w:lineRule="exact"/>
        <w:ind w:firstLine="360" w:firstLineChars="150"/>
      </w:pPr>
      <w:r>
        <w:rPr>
          <w:rFonts w:hint="eastAsia"/>
        </w:rPr>
        <w:t>2.1质疑函应当包括下列内容：</w:t>
      </w:r>
    </w:p>
    <w:p w14:paraId="34A01FA4">
      <w:pPr>
        <w:pStyle w:val="14"/>
        <w:adjustRightInd w:val="0"/>
        <w:snapToGrid w:val="0"/>
        <w:spacing w:before="0" w:beforeAutospacing="0" w:after="0" w:afterAutospacing="0" w:line="460" w:lineRule="exact"/>
        <w:ind w:firstLine="360" w:firstLineChars="150"/>
      </w:pPr>
      <w:r>
        <w:rPr>
          <w:rFonts w:hint="eastAsia"/>
        </w:rPr>
        <w:t>（1）</w:t>
      </w:r>
      <w:r>
        <w:rPr>
          <w:rFonts w:hint="eastAsia"/>
          <w:lang w:val="zh-CN"/>
        </w:rPr>
        <w:t>投标人</w:t>
      </w:r>
      <w:r>
        <w:rPr>
          <w:rFonts w:hint="eastAsia"/>
        </w:rPr>
        <w:t>的姓名或者名称、地址、邮编、联系人及联系电话；</w:t>
      </w:r>
    </w:p>
    <w:p w14:paraId="68A8FC4A">
      <w:pPr>
        <w:pStyle w:val="14"/>
        <w:adjustRightInd w:val="0"/>
        <w:snapToGrid w:val="0"/>
        <w:spacing w:before="0" w:beforeAutospacing="0" w:after="0" w:afterAutospacing="0" w:line="460" w:lineRule="exact"/>
        <w:ind w:firstLine="360" w:firstLineChars="150"/>
      </w:pPr>
      <w:r>
        <w:rPr>
          <w:rFonts w:hint="eastAsia"/>
        </w:rPr>
        <w:t>（2）质疑项目的名称、编号；</w:t>
      </w:r>
    </w:p>
    <w:p w14:paraId="39C9980E">
      <w:pPr>
        <w:pStyle w:val="14"/>
        <w:adjustRightInd w:val="0"/>
        <w:snapToGrid w:val="0"/>
        <w:spacing w:before="0" w:beforeAutospacing="0" w:after="0" w:afterAutospacing="0" w:line="460" w:lineRule="exact"/>
        <w:ind w:firstLine="360" w:firstLineChars="150"/>
      </w:pPr>
      <w:r>
        <w:rPr>
          <w:rFonts w:hint="eastAsia"/>
        </w:rPr>
        <w:t>（3）具体、明确的质疑事项和与质疑事项相关的请求；</w:t>
      </w:r>
    </w:p>
    <w:p w14:paraId="4B49739B">
      <w:pPr>
        <w:pStyle w:val="14"/>
        <w:adjustRightInd w:val="0"/>
        <w:snapToGrid w:val="0"/>
        <w:spacing w:before="0" w:beforeAutospacing="0" w:after="0" w:afterAutospacing="0" w:line="460" w:lineRule="exact"/>
        <w:ind w:firstLine="360" w:firstLineChars="150"/>
      </w:pPr>
      <w:r>
        <w:rPr>
          <w:rFonts w:hint="eastAsia"/>
        </w:rPr>
        <w:t>（4）事实依据；</w:t>
      </w:r>
    </w:p>
    <w:p w14:paraId="79D1E06D">
      <w:pPr>
        <w:pStyle w:val="14"/>
        <w:adjustRightInd w:val="0"/>
        <w:snapToGrid w:val="0"/>
        <w:spacing w:before="0" w:beforeAutospacing="0" w:after="0" w:afterAutospacing="0" w:line="460" w:lineRule="exact"/>
        <w:ind w:firstLine="360" w:firstLineChars="150"/>
      </w:pPr>
      <w:r>
        <w:rPr>
          <w:rFonts w:hint="eastAsia"/>
        </w:rPr>
        <w:t>（5）必要的法律依据；</w:t>
      </w:r>
    </w:p>
    <w:p w14:paraId="0ACEDE82">
      <w:pPr>
        <w:pStyle w:val="14"/>
        <w:adjustRightInd w:val="0"/>
        <w:snapToGrid w:val="0"/>
        <w:spacing w:before="0" w:beforeAutospacing="0" w:after="0" w:afterAutospacing="0" w:line="460" w:lineRule="exact"/>
        <w:ind w:firstLine="360" w:firstLineChars="150"/>
      </w:pPr>
      <w:r>
        <w:rPr>
          <w:rFonts w:hint="eastAsia"/>
        </w:rPr>
        <w:t xml:space="preserve">（6）提出质疑的日期。 </w:t>
      </w:r>
    </w:p>
    <w:p w14:paraId="7FDB856A">
      <w:pPr>
        <w:pStyle w:val="14"/>
        <w:adjustRightInd w:val="0"/>
        <w:snapToGrid w:val="0"/>
        <w:spacing w:before="0" w:beforeAutospacing="0" w:after="0" w:afterAutospacing="0" w:line="460" w:lineRule="exact"/>
        <w:ind w:firstLine="360" w:firstLineChars="150"/>
      </w:pPr>
      <w:r>
        <w:rPr>
          <w:rFonts w:hint="eastAsia"/>
        </w:rPr>
        <w:t>3、在法定质疑期内，针对同一采购程序环节的质疑应当一次性提出。采购代理机构或采购人将在收到书面质疑后7个工作日内做出答复，并以书面形式通知质疑人和其他有关供应商。</w:t>
      </w:r>
    </w:p>
    <w:p w14:paraId="30FDA431">
      <w:pPr>
        <w:pStyle w:val="14"/>
        <w:adjustRightInd w:val="0"/>
        <w:snapToGrid w:val="0"/>
        <w:spacing w:before="0" w:beforeAutospacing="0" w:after="0" w:afterAutospacing="0" w:line="460" w:lineRule="exact"/>
        <w:ind w:firstLine="360" w:firstLineChars="150"/>
      </w:pPr>
      <w:r>
        <w:rPr>
          <w:rFonts w:hint="eastAsia"/>
        </w:rPr>
        <w:t>4、有下列情形之一的，属于无效质疑，采购代理机构和采购人不予受理：</w:t>
      </w:r>
    </w:p>
    <w:p w14:paraId="66A67791">
      <w:pPr>
        <w:pStyle w:val="14"/>
        <w:adjustRightInd w:val="0"/>
        <w:snapToGrid w:val="0"/>
        <w:spacing w:before="0" w:beforeAutospacing="0" w:after="0" w:afterAutospacing="0" w:line="460" w:lineRule="exact"/>
        <w:ind w:firstLine="360" w:firstLineChars="150"/>
      </w:pPr>
      <w:r>
        <w:rPr>
          <w:rFonts w:hint="eastAsia"/>
        </w:rPr>
        <w:t>（1）质疑人不是参与本次政府采购项目的供应商或潜在供应商；</w:t>
      </w:r>
    </w:p>
    <w:p w14:paraId="7C039942">
      <w:pPr>
        <w:pStyle w:val="14"/>
        <w:adjustRightInd w:val="0"/>
        <w:snapToGrid w:val="0"/>
        <w:spacing w:before="0" w:beforeAutospacing="0" w:after="0" w:afterAutospacing="0" w:line="460" w:lineRule="exact"/>
        <w:ind w:firstLine="360" w:firstLineChars="150"/>
      </w:pPr>
      <w:r>
        <w:rPr>
          <w:rFonts w:hint="eastAsia"/>
        </w:rPr>
        <w:t>（2）质疑人与质疑事项不存在利害关系的；</w:t>
      </w:r>
    </w:p>
    <w:p w14:paraId="4F71462C">
      <w:pPr>
        <w:pStyle w:val="14"/>
        <w:adjustRightInd w:val="0"/>
        <w:snapToGrid w:val="0"/>
        <w:spacing w:before="0" w:beforeAutospacing="0" w:after="0" w:afterAutospacing="0" w:line="460" w:lineRule="exact"/>
        <w:ind w:firstLine="360" w:firstLineChars="150"/>
      </w:pPr>
      <w:r>
        <w:rPr>
          <w:rFonts w:hint="eastAsia"/>
        </w:rPr>
        <w:t>（3）未在法定期限内提出质疑的；</w:t>
      </w:r>
    </w:p>
    <w:p w14:paraId="3DBC14FA">
      <w:pPr>
        <w:pStyle w:val="14"/>
        <w:adjustRightInd w:val="0"/>
        <w:snapToGrid w:val="0"/>
        <w:spacing w:before="0" w:beforeAutospacing="0" w:after="0" w:afterAutospacing="0" w:line="460" w:lineRule="exact"/>
        <w:ind w:firstLine="360" w:firstLineChars="150"/>
      </w:pPr>
      <w:r>
        <w:rPr>
          <w:rFonts w:hint="eastAsia"/>
        </w:rPr>
        <w:t>（4）质疑未以书面形式提出，或质疑函主要内容构成不完整的，或缺乏必要的证明材料及证明材料不完整的；</w:t>
      </w:r>
    </w:p>
    <w:p w14:paraId="29EC9E14">
      <w:pPr>
        <w:pStyle w:val="14"/>
        <w:adjustRightInd w:val="0"/>
        <w:snapToGrid w:val="0"/>
        <w:spacing w:before="0" w:beforeAutospacing="0" w:after="0" w:afterAutospacing="0" w:line="460" w:lineRule="exact"/>
        <w:ind w:firstLine="360" w:firstLineChars="150"/>
      </w:pPr>
      <w:r>
        <w:rPr>
          <w:rFonts w:hint="eastAsia"/>
        </w:rPr>
        <w:t>（5）质疑函没有合法有效的签字、盖章或授权的；</w:t>
      </w:r>
    </w:p>
    <w:p w14:paraId="344E84E9">
      <w:pPr>
        <w:pStyle w:val="14"/>
        <w:adjustRightInd w:val="0"/>
        <w:snapToGrid w:val="0"/>
        <w:spacing w:before="0" w:beforeAutospacing="0" w:after="0" w:afterAutospacing="0" w:line="460" w:lineRule="exact"/>
        <w:ind w:firstLine="360" w:firstLineChars="150"/>
      </w:pPr>
      <w:r>
        <w:rPr>
          <w:rFonts w:hint="eastAsia"/>
        </w:rPr>
        <w:t>（6）以非法手段取得证据、材料的；</w:t>
      </w:r>
    </w:p>
    <w:p w14:paraId="47D803A2">
      <w:pPr>
        <w:pStyle w:val="14"/>
        <w:adjustRightInd w:val="0"/>
        <w:snapToGrid w:val="0"/>
        <w:spacing w:before="0" w:beforeAutospacing="0" w:after="0" w:afterAutospacing="0" w:line="460" w:lineRule="exact"/>
        <w:ind w:firstLine="360" w:firstLineChars="150"/>
      </w:pPr>
      <w:r>
        <w:rPr>
          <w:rFonts w:hint="eastAsia"/>
        </w:rPr>
        <w:t>（7）质疑答复后，同一质疑人就同一事项再次提出质疑的；</w:t>
      </w:r>
    </w:p>
    <w:p w14:paraId="6F000954">
      <w:pPr>
        <w:pStyle w:val="14"/>
        <w:adjustRightInd w:val="0"/>
        <w:snapToGrid w:val="0"/>
        <w:spacing w:before="0" w:beforeAutospacing="0" w:after="0" w:afterAutospacing="0" w:line="460" w:lineRule="exact"/>
        <w:ind w:firstLine="360" w:firstLineChars="150"/>
      </w:pPr>
      <w:r>
        <w:rPr>
          <w:rFonts w:hint="eastAsia"/>
        </w:rPr>
        <w:t>（8）不符合法律、法规、规章和政府采购监管机构规定的其他条件的。</w:t>
      </w:r>
    </w:p>
    <w:p w14:paraId="60A79E24">
      <w:pPr>
        <w:pStyle w:val="14"/>
        <w:adjustRightInd w:val="0"/>
        <w:snapToGrid w:val="0"/>
        <w:spacing w:before="0" w:beforeAutospacing="0" w:after="0" w:afterAutospacing="0" w:line="460" w:lineRule="exact"/>
        <w:ind w:firstLine="360" w:firstLineChars="150"/>
      </w:pPr>
      <w:r>
        <w:rPr>
          <w:rFonts w:hint="eastAsia"/>
        </w:rPr>
        <w:t>5、质疑人对采购代理机构或采购人的答复不满意，以及采购代理机构或采购人未在规定时间内做出答复的，可以在答复期满后15个工作日内向政府采购监管机构提出投诉。</w:t>
      </w:r>
    </w:p>
    <w:p w14:paraId="016B02E1">
      <w:pPr>
        <w:pStyle w:val="14"/>
        <w:adjustRightInd w:val="0"/>
        <w:snapToGrid w:val="0"/>
        <w:spacing w:before="0" w:beforeAutospacing="0" w:after="0" w:afterAutospacing="0" w:line="460" w:lineRule="exact"/>
        <w:ind w:firstLine="360" w:firstLineChars="150"/>
      </w:pPr>
      <w:r>
        <w:rPr>
          <w:rFonts w:hint="eastAsia"/>
        </w:rPr>
        <w:t>6、供应商投诉的事项不得超出已质疑事项的范围。</w:t>
      </w:r>
    </w:p>
    <w:p w14:paraId="4084C769">
      <w:pPr>
        <w:pStyle w:val="14"/>
        <w:adjustRightInd w:val="0"/>
        <w:snapToGrid w:val="0"/>
        <w:spacing w:before="0" w:beforeAutospacing="0" w:after="0" w:afterAutospacing="0" w:line="460" w:lineRule="exact"/>
        <w:ind w:firstLine="360" w:firstLineChars="150"/>
      </w:pPr>
      <w:r>
        <w:rPr>
          <w:rFonts w:hint="eastAsia"/>
        </w:rPr>
        <w:t>7、对捏造事实、提供虚假材料进行质疑、投诉的行为予以严肃处理：</w:t>
      </w:r>
    </w:p>
    <w:p w14:paraId="72762021">
      <w:pPr>
        <w:pStyle w:val="14"/>
        <w:adjustRightInd w:val="0"/>
        <w:snapToGrid w:val="0"/>
        <w:spacing w:before="0" w:beforeAutospacing="0" w:after="0" w:afterAutospacing="0" w:line="460" w:lineRule="exact"/>
        <w:ind w:firstLine="360" w:firstLineChars="150"/>
      </w:pPr>
      <w:r>
        <w:rPr>
          <w:rFonts w:hint="eastAsia"/>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0AE6A6C7">
      <w:pPr>
        <w:pStyle w:val="14"/>
        <w:adjustRightInd w:val="0"/>
        <w:snapToGrid w:val="0"/>
        <w:spacing w:before="0" w:beforeAutospacing="0" w:after="0" w:afterAutospacing="0" w:line="460" w:lineRule="exact"/>
        <w:ind w:firstLine="360" w:firstLineChars="150"/>
      </w:pPr>
      <w:r>
        <w:rPr>
          <w:rFonts w:hint="eastAsia"/>
        </w:rPr>
        <w:t>8、对捏造事实诬告陷害他人、诽谤他人的法律适用：</w:t>
      </w:r>
    </w:p>
    <w:p w14:paraId="46AA7930">
      <w:pPr>
        <w:pStyle w:val="14"/>
        <w:adjustRightInd w:val="0"/>
        <w:snapToGrid w:val="0"/>
        <w:spacing w:before="0" w:beforeAutospacing="0" w:after="0" w:afterAutospacing="0" w:line="460" w:lineRule="exact"/>
        <w:ind w:firstLine="360" w:firstLineChars="150"/>
      </w:pPr>
      <w:r>
        <w:rPr>
          <w:rFonts w:hint="eastAsia"/>
        </w:rPr>
        <w:t>《中华人民共和国刑法》第243条【诬告陷害罪】捏造事实诬告陷害他人，意图使他人受刑事追究，情节严重的，处三年以下有期徒刑、拘役或者管制；造成严重后果的，处三年以上十年以下有期徒刑。</w:t>
      </w:r>
    </w:p>
    <w:p w14:paraId="35995D13">
      <w:pPr>
        <w:pStyle w:val="14"/>
        <w:adjustRightInd w:val="0"/>
        <w:snapToGrid w:val="0"/>
        <w:spacing w:before="0" w:beforeAutospacing="0" w:after="0" w:afterAutospacing="0" w:line="460" w:lineRule="exact"/>
        <w:ind w:firstLine="360" w:firstLineChars="150"/>
      </w:pPr>
      <w:r>
        <w:rPr>
          <w:rFonts w:hint="eastAsia"/>
        </w:rPr>
        <w:t>《中华人民共和国刑法》第246条【侮辱罪、诽谤罪】以暴力或者其他方法公然侮辱他人或者捏造事实诽谤他人，情节严重的，处三年以下有期徒刑、拘役、管制或者剥夺政治权利。</w:t>
      </w:r>
    </w:p>
    <w:p w14:paraId="2285BA00">
      <w:pPr>
        <w:pStyle w:val="14"/>
        <w:adjustRightInd w:val="0"/>
        <w:snapToGrid w:val="0"/>
        <w:spacing w:before="0" w:beforeAutospacing="0" w:after="0" w:afterAutospacing="0" w:line="460" w:lineRule="exact"/>
        <w:ind w:firstLine="360" w:firstLineChars="150"/>
      </w:pPr>
      <w:r>
        <w:rPr>
          <w:rFonts w:hint="eastAsia"/>
        </w:rPr>
        <w:t>9、质疑函递交地址：榆林市富康西路隆城富康小区3号楼1单元1401室</w:t>
      </w:r>
    </w:p>
    <w:p w14:paraId="0F7EA11F">
      <w:pPr>
        <w:pStyle w:val="14"/>
        <w:adjustRightInd w:val="0"/>
        <w:snapToGrid w:val="0"/>
        <w:spacing w:before="0" w:beforeAutospacing="0" w:after="0" w:afterAutospacing="0" w:line="460" w:lineRule="exact"/>
        <w:ind w:firstLine="360" w:firstLineChars="150"/>
        <w:rPr>
          <w:rFonts w:ascii="Calibri" w:hAnsi="Calibri"/>
        </w:rPr>
      </w:pPr>
      <w:r>
        <w:rPr>
          <w:rFonts w:hint="eastAsia" w:ascii="Calibri" w:hAnsi="Calibri"/>
        </w:rPr>
        <w:t>联系人：陕西三秦大地招标有限责任公司（业务部）</w:t>
      </w:r>
    </w:p>
    <w:p w14:paraId="21802C29">
      <w:pPr>
        <w:pStyle w:val="14"/>
        <w:adjustRightInd w:val="0"/>
        <w:snapToGrid w:val="0"/>
        <w:spacing w:before="0" w:beforeAutospacing="0" w:after="0" w:afterAutospacing="0" w:line="460" w:lineRule="exact"/>
        <w:ind w:firstLine="360" w:firstLineChars="150"/>
      </w:pPr>
      <w:r>
        <w:rPr>
          <w:rFonts w:hint="eastAsia" w:ascii="Calibri" w:hAnsi="Calibri"/>
        </w:rPr>
        <w:t>联系</w:t>
      </w:r>
      <w:r>
        <w:rPr>
          <w:rFonts w:hint="eastAsia"/>
        </w:rPr>
        <w:t>方式：0912-3889050、18821755562</w:t>
      </w:r>
    </w:p>
    <w:bookmarkEnd w:id="375"/>
    <w:bookmarkEnd w:id="376"/>
    <w:bookmarkEnd w:id="377"/>
    <w:bookmarkEnd w:id="378"/>
    <w:bookmarkEnd w:id="379"/>
    <w:bookmarkEnd w:id="380"/>
    <w:bookmarkEnd w:id="381"/>
    <w:bookmarkEnd w:id="382"/>
    <w:bookmarkEnd w:id="383"/>
    <w:bookmarkEnd w:id="384"/>
    <w:bookmarkEnd w:id="385"/>
    <w:p w14:paraId="3B430164">
      <w:pPr>
        <w:pStyle w:val="6"/>
        <w:rPr>
          <w:b/>
        </w:rPr>
      </w:pPr>
      <w:bookmarkStart w:id="396" w:name="_Toc24136"/>
      <w:bookmarkStart w:id="397" w:name="_Toc18524"/>
    </w:p>
    <w:p w14:paraId="4C673F2F">
      <w:pPr>
        <w:pStyle w:val="12"/>
        <w:jc w:val="center"/>
        <w:outlineLvl w:val="0"/>
        <w:rPr>
          <w:b/>
          <w:bCs/>
          <w:sz w:val="32"/>
          <w:szCs w:val="32"/>
        </w:rPr>
        <w:sectPr>
          <w:pgSz w:w="11906" w:h="16838"/>
          <w:pgMar w:top="1440" w:right="1486" w:bottom="1440" w:left="1180" w:header="851" w:footer="992" w:gutter="0"/>
          <w:cols w:space="720" w:num="1"/>
          <w:docGrid w:type="lines" w:linePitch="312" w:charSpace="0"/>
        </w:sectPr>
      </w:pPr>
      <w:bookmarkStart w:id="398" w:name="_Toc18860"/>
      <w:bookmarkStart w:id="399" w:name="_Toc29549"/>
      <w:bookmarkStart w:id="400" w:name="_Toc1542"/>
      <w:bookmarkStart w:id="401" w:name="_Toc116"/>
    </w:p>
    <w:p w14:paraId="40763FBE">
      <w:pPr>
        <w:spacing w:before="120" w:line="480" w:lineRule="auto"/>
        <w:jc w:val="center"/>
        <w:outlineLvl w:val="1"/>
        <w:rPr>
          <w:rFonts w:hint="eastAsia" w:ascii="宋体" w:hAnsi="宋体" w:cs="宋体"/>
          <w:b/>
          <w:bCs/>
          <w:sz w:val="28"/>
          <w:szCs w:val="28"/>
        </w:rPr>
      </w:pPr>
      <w:bookmarkStart w:id="402" w:name="_Toc4947"/>
      <w:r>
        <w:rPr>
          <w:rFonts w:hint="eastAsia" w:ascii="宋体" w:hAnsi="宋体" w:cs="宋体"/>
          <w:b/>
          <w:bCs/>
          <w:sz w:val="36"/>
          <w:szCs w:val="36"/>
        </w:rPr>
        <w:t>第四部分</w:t>
      </w:r>
      <w:r>
        <w:rPr>
          <w:rFonts w:hint="eastAsia"/>
          <w:b/>
          <w:bCs/>
          <w:sz w:val="32"/>
          <w:szCs w:val="32"/>
        </w:rPr>
        <w:t xml:space="preserve"> </w:t>
      </w:r>
      <w:r>
        <w:rPr>
          <w:rFonts w:hint="eastAsia" w:ascii="宋体" w:hAnsi="宋体" w:cs="宋体"/>
          <w:sz w:val="32"/>
          <w:szCs w:val="32"/>
        </w:rPr>
        <w:t xml:space="preserve"> </w:t>
      </w:r>
      <w:bookmarkEnd w:id="396"/>
      <w:bookmarkEnd w:id="397"/>
      <w:bookmarkEnd w:id="398"/>
      <w:bookmarkEnd w:id="399"/>
      <w:bookmarkEnd w:id="400"/>
      <w:bookmarkEnd w:id="401"/>
      <w:bookmarkEnd w:id="402"/>
      <w:bookmarkStart w:id="403" w:name="_Toc31701"/>
      <w:bookmarkStart w:id="404" w:name="_Toc8390"/>
      <w:r>
        <w:rPr>
          <w:rFonts w:hint="eastAsia" w:ascii="宋体" w:hAnsi="宋体" w:cs="宋体"/>
          <w:b/>
          <w:bCs/>
          <w:sz w:val="36"/>
          <w:szCs w:val="36"/>
        </w:rPr>
        <w:t>政 府 采 购 合 同</w:t>
      </w:r>
    </w:p>
    <w:p w14:paraId="11A31C56">
      <w:pPr>
        <w:spacing w:before="120" w:line="360" w:lineRule="auto"/>
        <w:jc w:val="center"/>
        <w:rPr>
          <w:rFonts w:ascii="宋体" w:hAnsi="宋体" w:cs="宋体"/>
          <w:b/>
          <w:bCs/>
          <w:sz w:val="28"/>
          <w:szCs w:val="28"/>
        </w:rPr>
      </w:pPr>
      <w:r>
        <w:rPr>
          <w:rFonts w:hint="eastAsia" w:ascii="宋体" w:hAnsi="宋体" w:cs="宋体"/>
          <w:b/>
          <w:bCs/>
          <w:sz w:val="36"/>
          <w:szCs w:val="36"/>
        </w:rPr>
        <w:t>政 府 采 购 合 同</w:t>
      </w:r>
      <w:bookmarkStart w:id="405" w:name="_Toc109542396"/>
      <w:bookmarkStart w:id="406" w:name="_Toc109543216"/>
    </w:p>
    <w:p w14:paraId="1AF8E524">
      <w:pPr>
        <w:spacing w:before="120" w:line="360" w:lineRule="auto"/>
        <w:jc w:val="center"/>
        <w:rPr>
          <w:rFonts w:hint="eastAsia" w:ascii="宋体" w:hAnsi="宋体" w:cs="宋体"/>
          <w:b/>
          <w:color w:val="000000"/>
          <w:sz w:val="24"/>
          <w:szCs w:val="24"/>
        </w:rPr>
      </w:pPr>
      <w:bookmarkStart w:id="407" w:name="_Toc26183"/>
      <w:bookmarkStart w:id="408" w:name="_Toc26030"/>
      <w:bookmarkStart w:id="409" w:name="_Toc6312"/>
      <w:bookmarkStart w:id="410" w:name="_Toc2785"/>
      <w:bookmarkStart w:id="411" w:name="_Toc8201"/>
      <w:bookmarkStart w:id="412" w:name="_Toc26237"/>
      <w:bookmarkStart w:id="413" w:name="_Toc17458"/>
      <w:r>
        <w:rPr>
          <w:rFonts w:hint="eastAsia" w:ascii="宋体" w:hAnsi="宋体" w:cs="宋体"/>
          <w:b/>
          <w:color w:val="000000"/>
          <w:sz w:val="24"/>
          <w:szCs w:val="24"/>
        </w:rPr>
        <w:t>（此合同只作为参考，最终签订的合同以采购人确定的合同内容为准。）</w:t>
      </w:r>
      <w:bookmarkEnd w:id="407"/>
      <w:bookmarkEnd w:id="408"/>
      <w:bookmarkEnd w:id="409"/>
      <w:bookmarkEnd w:id="410"/>
      <w:bookmarkEnd w:id="411"/>
    </w:p>
    <w:p w14:paraId="04088306">
      <w:pPr>
        <w:spacing w:before="120" w:line="360" w:lineRule="auto"/>
        <w:rPr>
          <w:rFonts w:ascii="宋体" w:hAnsi="宋体" w:cs="宋体"/>
          <w:sz w:val="28"/>
          <w:szCs w:val="28"/>
        </w:rPr>
      </w:pPr>
    </w:p>
    <w:p w14:paraId="462CB1BA">
      <w:pPr>
        <w:spacing w:before="120" w:line="360" w:lineRule="auto"/>
        <w:rPr>
          <w:rFonts w:ascii="宋体" w:hAnsi="宋体" w:cs="宋体"/>
          <w:sz w:val="28"/>
          <w:szCs w:val="28"/>
        </w:rPr>
      </w:pPr>
    </w:p>
    <w:p w14:paraId="026985A3">
      <w:pPr>
        <w:spacing w:before="120" w:line="360" w:lineRule="auto"/>
        <w:rPr>
          <w:rFonts w:ascii="宋体" w:hAnsi="宋体" w:cs="宋体"/>
          <w:sz w:val="28"/>
          <w:szCs w:val="28"/>
        </w:rPr>
      </w:pPr>
    </w:p>
    <w:p w14:paraId="5FDB7047">
      <w:pPr>
        <w:spacing w:before="120" w:line="360" w:lineRule="auto"/>
        <w:rPr>
          <w:rFonts w:ascii="宋体" w:hAnsi="宋体" w:cs="宋体"/>
          <w:sz w:val="28"/>
          <w:szCs w:val="28"/>
        </w:rPr>
      </w:pPr>
    </w:p>
    <w:p w14:paraId="57CB5A48">
      <w:pPr>
        <w:spacing w:before="120" w:line="360" w:lineRule="auto"/>
        <w:rPr>
          <w:rFonts w:ascii="宋体" w:hAnsi="宋体" w:cs="宋体"/>
          <w:sz w:val="28"/>
          <w:szCs w:val="28"/>
        </w:rPr>
      </w:pPr>
    </w:p>
    <w:p w14:paraId="61019059">
      <w:pPr>
        <w:pStyle w:val="6"/>
        <w:rPr>
          <w:rFonts w:ascii="宋体" w:hAnsi="宋体" w:cs="宋体"/>
          <w:szCs w:val="28"/>
        </w:rPr>
      </w:pPr>
    </w:p>
    <w:p w14:paraId="58DEE97C">
      <w:pPr>
        <w:rPr>
          <w:rFonts w:ascii="宋体" w:hAnsi="宋体" w:cs="宋体"/>
          <w:sz w:val="28"/>
          <w:szCs w:val="28"/>
        </w:rPr>
      </w:pPr>
    </w:p>
    <w:p w14:paraId="700581B7">
      <w:pPr>
        <w:spacing w:before="120" w:line="360" w:lineRule="auto"/>
        <w:rPr>
          <w:rFonts w:ascii="宋体" w:hAnsi="宋体" w:cs="宋体"/>
          <w:b/>
          <w:bCs/>
          <w:sz w:val="28"/>
          <w:szCs w:val="28"/>
        </w:rPr>
      </w:pPr>
    </w:p>
    <w:p w14:paraId="7C48CA45">
      <w:pPr>
        <w:spacing w:before="120" w:line="360" w:lineRule="auto"/>
        <w:ind w:left="960"/>
        <w:rPr>
          <w:rFonts w:ascii="宋体" w:hAnsi="宋体" w:cs="宋体"/>
          <w:b/>
          <w:bCs/>
          <w:sz w:val="28"/>
          <w:szCs w:val="28"/>
        </w:rPr>
      </w:pPr>
      <w:r>
        <w:rPr>
          <w:rFonts w:hint="eastAsia" w:ascii="宋体" w:hAnsi="宋体" w:cs="宋体"/>
          <w:b/>
          <w:bCs/>
          <w:sz w:val="28"/>
          <w:szCs w:val="28"/>
        </w:rPr>
        <w:t>采购项目名称：</w:t>
      </w:r>
      <w:r>
        <w:rPr>
          <w:rFonts w:hint="eastAsia" w:ascii="宋体" w:hAnsi="宋体" w:cs="宋体"/>
          <w:b/>
          <w:bCs/>
          <w:sz w:val="28"/>
          <w:szCs w:val="28"/>
          <w:u w:val="single"/>
        </w:rPr>
        <w:t xml:space="preserve">                                 </w:t>
      </w:r>
    </w:p>
    <w:p w14:paraId="59A68BDB">
      <w:pPr>
        <w:spacing w:before="120" w:line="360" w:lineRule="auto"/>
        <w:ind w:left="960"/>
        <w:rPr>
          <w:rFonts w:ascii="宋体" w:hAnsi="宋体" w:cs="宋体"/>
          <w:b/>
          <w:bCs/>
          <w:sz w:val="28"/>
          <w:szCs w:val="28"/>
        </w:rPr>
      </w:pPr>
      <w:r>
        <w:rPr>
          <w:rFonts w:hint="eastAsia" w:ascii="宋体" w:hAnsi="宋体" w:cs="宋体"/>
          <w:b/>
          <w:bCs/>
          <w:sz w:val="28"/>
          <w:szCs w:val="28"/>
        </w:rPr>
        <w:t>采  购  人：</w:t>
      </w:r>
      <w:r>
        <w:rPr>
          <w:rFonts w:hint="eastAsia" w:ascii="宋体" w:hAnsi="宋体" w:cs="宋体"/>
          <w:b/>
          <w:bCs/>
          <w:sz w:val="28"/>
          <w:szCs w:val="28"/>
          <w:u w:val="single"/>
        </w:rPr>
        <w:t xml:space="preserve">                                    </w:t>
      </w:r>
    </w:p>
    <w:p w14:paraId="799DF516">
      <w:pPr>
        <w:spacing w:before="120" w:line="360" w:lineRule="auto"/>
        <w:ind w:left="960"/>
        <w:rPr>
          <w:rFonts w:ascii="宋体" w:hAnsi="宋体" w:cs="宋体"/>
          <w:b/>
          <w:bCs/>
          <w:sz w:val="28"/>
          <w:szCs w:val="28"/>
          <w:u w:val="single"/>
        </w:rPr>
      </w:pPr>
      <w:r>
        <w:rPr>
          <w:rFonts w:hint="eastAsia" w:ascii="宋体" w:hAnsi="宋体" w:cs="宋体"/>
          <w:b/>
          <w:bCs/>
          <w:sz w:val="28"/>
          <w:szCs w:val="28"/>
        </w:rPr>
        <w:t>供  应  商：</w:t>
      </w:r>
      <w:r>
        <w:rPr>
          <w:rFonts w:hint="eastAsia" w:ascii="宋体" w:hAnsi="宋体" w:cs="宋体"/>
          <w:b/>
          <w:bCs/>
          <w:sz w:val="28"/>
          <w:szCs w:val="28"/>
          <w:u w:val="single"/>
        </w:rPr>
        <w:t xml:space="preserve">                                   </w:t>
      </w:r>
    </w:p>
    <w:p w14:paraId="07617FA1">
      <w:pPr>
        <w:spacing w:line="360" w:lineRule="auto"/>
        <w:ind w:firstLine="981" w:firstLineChars="349"/>
        <w:rPr>
          <w:rFonts w:ascii="宋体" w:hAnsi="宋体" w:cs="宋体"/>
          <w:b/>
          <w:bCs/>
          <w:sz w:val="24"/>
          <w:szCs w:val="24"/>
          <w:u w:val="single"/>
        </w:rPr>
      </w:pPr>
      <w:r>
        <w:rPr>
          <w:rFonts w:hint="eastAsia" w:ascii="宋体" w:hAnsi="宋体" w:cs="宋体"/>
          <w:b/>
          <w:bCs/>
          <w:sz w:val="28"/>
          <w:szCs w:val="28"/>
        </w:rPr>
        <w:t>签署日期：</w:t>
      </w:r>
      <w:r>
        <w:rPr>
          <w:rFonts w:hint="eastAsia" w:ascii="宋体" w:hAnsi="宋体" w:cs="宋体"/>
          <w:b/>
          <w:bCs/>
          <w:sz w:val="24"/>
          <w:szCs w:val="24"/>
          <w:u w:val="single"/>
        </w:rPr>
        <w:t>　　　　　　　　　　　　　             　　</w:t>
      </w:r>
    </w:p>
    <w:p w14:paraId="029A3F2A">
      <w:pPr>
        <w:adjustRightInd w:val="0"/>
        <w:snapToGrid w:val="0"/>
        <w:spacing w:line="360" w:lineRule="auto"/>
        <w:rPr>
          <w:rFonts w:ascii="宋体" w:hAnsi="宋体" w:cs="宋体"/>
          <w:sz w:val="24"/>
          <w:szCs w:val="24"/>
        </w:rPr>
      </w:pPr>
    </w:p>
    <w:p w14:paraId="2D0D48A9">
      <w:pPr>
        <w:adjustRightInd w:val="0"/>
        <w:snapToGrid w:val="0"/>
        <w:spacing w:line="360" w:lineRule="auto"/>
        <w:jc w:val="center"/>
        <w:rPr>
          <w:rFonts w:ascii="宋体" w:hAnsi="宋体" w:cs="宋体"/>
          <w:b/>
          <w:sz w:val="24"/>
          <w:szCs w:val="24"/>
        </w:rPr>
        <w:sectPr>
          <w:pgSz w:w="11906" w:h="16838"/>
          <w:pgMar w:top="1440" w:right="1486" w:bottom="1440" w:left="1180" w:header="851" w:footer="992" w:gutter="0"/>
          <w:cols w:space="720" w:num="1"/>
          <w:docGrid w:type="lines" w:linePitch="312" w:charSpace="0"/>
        </w:sectPr>
      </w:pPr>
    </w:p>
    <w:bookmarkEnd w:id="405"/>
    <w:bookmarkEnd w:id="406"/>
    <w:bookmarkEnd w:id="412"/>
    <w:bookmarkEnd w:id="413"/>
    <w:p w14:paraId="03006D49">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项目名称：</w:t>
      </w:r>
    </w:p>
    <w:p w14:paraId="56854582">
      <w:pPr>
        <w:pStyle w:val="5"/>
        <w:rPr>
          <w:rFonts w:hint="eastAsia" w:ascii="宋体" w:hAnsi="宋体" w:eastAsia="宋体" w:cs="Times New Roman"/>
          <w:kern w:val="2"/>
          <w:sz w:val="24"/>
          <w:szCs w:val="20"/>
          <w:lang w:val="en-US" w:eastAsia="zh-CN" w:bidi="ar-SA"/>
        </w:rPr>
      </w:pPr>
      <w:r>
        <w:rPr>
          <w:rFonts w:hint="eastAsia" w:ascii="宋体" w:hAnsi="宋体" w:eastAsia="宋体" w:cs="Times New Roman"/>
          <w:kern w:val="2"/>
          <w:sz w:val="24"/>
          <w:szCs w:val="20"/>
          <w:lang w:val="en-US" w:eastAsia="zh-CN" w:bidi="ar-SA"/>
        </w:rPr>
        <w:t>项目编号：</w:t>
      </w:r>
    </w:p>
    <w:p w14:paraId="48F31FB7">
      <w:pPr>
        <w:pStyle w:val="5"/>
        <w:rPr>
          <w:rFonts w:hint="eastAsia" w:ascii="宋体" w:hAnsi="宋体"/>
          <w:sz w:val="24"/>
          <w:lang w:val="en-US" w:eastAsia="zh-CN"/>
        </w:rPr>
      </w:pPr>
    </w:p>
    <w:p w14:paraId="2E4C7162">
      <w:pPr>
        <w:spacing w:line="360" w:lineRule="auto"/>
        <w:ind w:firstLine="480" w:firstLineChars="200"/>
        <w:rPr>
          <w:rFonts w:hint="eastAsia" w:ascii="宋体" w:hAnsi="宋体"/>
          <w:sz w:val="24"/>
        </w:rPr>
      </w:pPr>
      <w:r>
        <w:rPr>
          <w:rFonts w:hint="eastAsia" w:ascii="宋体" w:hAnsi="宋体"/>
          <w:sz w:val="24"/>
        </w:rPr>
        <w:t xml:space="preserve">甲方（采购人）：                                                    </w:t>
      </w:r>
    </w:p>
    <w:p w14:paraId="2AC143F8">
      <w:pPr>
        <w:spacing w:line="360" w:lineRule="auto"/>
        <w:ind w:firstLine="480" w:firstLineChars="200"/>
        <w:rPr>
          <w:rFonts w:hint="eastAsia" w:ascii="宋体" w:hAnsi="宋体"/>
          <w:sz w:val="24"/>
        </w:rPr>
      </w:pPr>
      <w:r>
        <w:rPr>
          <w:rFonts w:hint="eastAsia" w:ascii="宋体" w:hAnsi="宋体"/>
          <w:sz w:val="24"/>
        </w:rPr>
        <w:t xml:space="preserve">乙方（中标人）：                                                </w:t>
      </w:r>
    </w:p>
    <w:p w14:paraId="2E8E775E">
      <w:pPr>
        <w:spacing w:line="360" w:lineRule="auto"/>
        <w:ind w:firstLine="480" w:firstLineChars="200"/>
        <w:rPr>
          <w:rFonts w:hint="eastAsia" w:ascii="宋体" w:hAnsi="宋体"/>
          <w:sz w:val="24"/>
        </w:rPr>
      </w:pPr>
      <w:r>
        <w:rPr>
          <w:rFonts w:hint="eastAsia" w:ascii="宋体" w:hAnsi="宋体"/>
          <w:sz w:val="24"/>
        </w:rPr>
        <w:t>根据《中华人民共和国政府采购法》、《中华人民共和国合同法》等相关法律，甲、乙双方就  (项目名称、项目编号），经平等协商达成合同如下：</w:t>
      </w:r>
    </w:p>
    <w:p w14:paraId="4DC90F41">
      <w:pPr>
        <w:spacing w:line="360" w:lineRule="auto"/>
        <w:ind w:firstLine="480" w:firstLineChars="200"/>
        <w:outlineLvl w:val="1"/>
        <w:rPr>
          <w:rFonts w:hint="eastAsia" w:ascii="宋体" w:hAnsi="宋体"/>
          <w:sz w:val="24"/>
        </w:rPr>
      </w:pPr>
      <w:bookmarkStart w:id="414" w:name="_Toc11595"/>
      <w:r>
        <w:rPr>
          <w:rFonts w:hint="eastAsia" w:ascii="宋体" w:hAnsi="宋体"/>
          <w:sz w:val="24"/>
        </w:rPr>
        <w:t>一、合同文件</w:t>
      </w:r>
      <w:bookmarkEnd w:id="414"/>
    </w:p>
    <w:p w14:paraId="7045A7DB">
      <w:pPr>
        <w:spacing w:line="360" w:lineRule="auto"/>
        <w:ind w:firstLine="480" w:firstLineChars="200"/>
        <w:rPr>
          <w:rFonts w:hint="eastAsia" w:ascii="宋体" w:hAnsi="宋体"/>
          <w:sz w:val="24"/>
        </w:rPr>
      </w:pPr>
      <w:r>
        <w:rPr>
          <w:rFonts w:hint="eastAsia" w:ascii="宋体" w:hAnsi="宋体"/>
          <w:sz w:val="24"/>
        </w:rPr>
        <w:t>本合同所附下列文件是构成本合同不可分割的部分，组成合同的各项文件应互相解释，互为说明，解释合同文件的优先顺序如下：</w:t>
      </w:r>
    </w:p>
    <w:p w14:paraId="7BF72CE4">
      <w:pPr>
        <w:spacing w:line="360" w:lineRule="auto"/>
        <w:ind w:firstLine="480" w:firstLineChars="200"/>
        <w:rPr>
          <w:rFonts w:hint="eastAsia" w:ascii="宋体" w:hAnsi="宋体"/>
          <w:sz w:val="24"/>
        </w:rPr>
      </w:pPr>
      <w:r>
        <w:rPr>
          <w:rFonts w:hint="eastAsia" w:ascii="宋体" w:hAnsi="宋体"/>
          <w:sz w:val="24"/>
        </w:rPr>
        <w:t>（一）合同格式以及合同条款</w:t>
      </w:r>
    </w:p>
    <w:p w14:paraId="0BEC0CDB">
      <w:pPr>
        <w:spacing w:line="360" w:lineRule="auto"/>
        <w:ind w:firstLine="480" w:firstLineChars="200"/>
        <w:rPr>
          <w:rFonts w:hint="eastAsia" w:ascii="宋体" w:hAnsi="宋体" w:eastAsia="宋体"/>
          <w:sz w:val="24"/>
          <w:lang w:eastAsia="zh-CN"/>
        </w:rPr>
      </w:pPr>
      <w:r>
        <w:rPr>
          <w:rFonts w:hint="eastAsia" w:ascii="宋体" w:hAnsi="宋体"/>
          <w:sz w:val="24"/>
        </w:rPr>
        <w:t>（二）</w:t>
      </w:r>
      <w:r>
        <w:rPr>
          <w:rFonts w:hint="eastAsia" w:ascii="宋体" w:hAnsi="宋体"/>
          <w:sz w:val="24"/>
          <w:lang w:val="en-US" w:eastAsia="zh-CN"/>
        </w:rPr>
        <w:t>中标</w:t>
      </w:r>
      <w:r>
        <w:rPr>
          <w:rFonts w:hint="eastAsia" w:ascii="宋体" w:hAnsi="宋体"/>
          <w:sz w:val="24"/>
          <w:lang w:eastAsia="zh-CN"/>
        </w:rPr>
        <w:t>通知书</w:t>
      </w:r>
    </w:p>
    <w:p w14:paraId="6A1D8205">
      <w:pPr>
        <w:spacing w:line="360" w:lineRule="auto"/>
        <w:ind w:firstLine="480" w:firstLineChars="200"/>
        <w:rPr>
          <w:rFonts w:hint="eastAsia" w:ascii="宋体" w:hAnsi="宋体"/>
          <w:sz w:val="24"/>
        </w:rPr>
      </w:pPr>
      <w:r>
        <w:rPr>
          <w:rFonts w:hint="eastAsia" w:ascii="宋体" w:hAnsi="宋体"/>
          <w:sz w:val="24"/>
        </w:rPr>
        <w:t>（三）</w:t>
      </w:r>
      <w:r>
        <w:rPr>
          <w:rFonts w:hint="eastAsia" w:ascii="宋体" w:hAnsi="宋体"/>
          <w:sz w:val="24"/>
          <w:lang w:val="en-US" w:eastAsia="zh-CN"/>
        </w:rPr>
        <w:t>中标</w:t>
      </w:r>
      <w:r>
        <w:rPr>
          <w:rFonts w:hint="eastAsia" w:ascii="宋体" w:hAnsi="宋体"/>
          <w:sz w:val="24"/>
          <w:lang w:eastAsia="zh-CN"/>
        </w:rPr>
        <w:t>供应商</w:t>
      </w:r>
      <w:r>
        <w:rPr>
          <w:rFonts w:hint="eastAsia" w:ascii="宋体" w:hAnsi="宋体"/>
          <w:sz w:val="24"/>
        </w:rPr>
        <w:t>在</w:t>
      </w:r>
      <w:r>
        <w:rPr>
          <w:rFonts w:hint="eastAsia" w:ascii="宋体" w:hAnsi="宋体"/>
          <w:sz w:val="24"/>
          <w:lang w:val="en-US" w:eastAsia="zh-CN"/>
        </w:rPr>
        <w:t>开标</w:t>
      </w:r>
      <w:r>
        <w:rPr>
          <w:rFonts w:hint="eastAsia" w:ascii="宋体" w:hAnsi="宋体"/>
          <w:sz w:val="24"/>
        </w:rPr>
        <w:t>过程中做出的有关澄清、说明、承诺或者补正文件</w:t>
      </w:r>
    </w:p>
    <w:p w14:paraId="5E134B68">
      <w:pPr>
        <w:spacing w:line="360" w:lineRule="auto"/>
        <w:ind w:firstLine="480" w:firstLineChars="200"/>
        <w:rPr>
          <w:rFonts w:hint="eastAsia" w:ascii="宋体" w:hAnsi="宋体" w:eastAsia="宋体"/>
          <w:sz w:val="24"/>
          <w:lang w:eastAsia="zh-CN"/>
        </w:rPr>
      </w:pPr>
      <w:r>
        <w:rPr>
          <w:rFonts w:hint="eastAsia" w:ascii="宋体" w:hAnsi="宋体"/>
          <w:sz w:val="24"/>
        </w:rPr>
        <w:t>（四）</w:t>
      </w:r>
      <w:r>
        <w:rPr>
          <w:rFonts w:hint="eastAsia" w:ascii="宋体" w:hAnsi="宋体"/>
          <w:sz w:val="24"/>
          <w:lang w:val="en-US" w:eastAsia="zh-CN"/>
        </w:rPr>
        <w:t>中标</w:t>
      </w:r>
      <w:r>
        <w:rPr>
          <w:rFonts w:hint="eastAsia" w:ascii="宋体" w:hAnsi="宋体"/>
          <w:sz w:val="24"/>
          <w:lang w:eastAsia="zh-CN"/>
        </w:rPr>
        <w:t>供应商的</w:t>
      </w:r>
      <w:r>
        <w:rPr>
          <w:rFonts w:hint="eastAsia" w:ascii="宋体" w:hAnsi="宋体"/>
          <w:sz w:val="24"/>
          <w:lang w:val="en-US" w:eastAsia="zh-CN"/>
        </w:rPr>
        <w:t>投标</w:t>
      </w:r>
      <w:r>
        <w:rPr>
          <w:rFonts w:hint="eastAsia" w:ascii="宋体" w:hAnsi="宋体"/>
          <w:sz w:val="24"/>
          <w:lang w:eastAsia="zh-CN"/>
        </w:rPr>
        <w:t>文件</w:t>
      </w:r>
    </w:p>
    <w:p w14:paraId="0E755770">
      <w:pPr>
        <w:spacing w:line="360" w:lineRule="auto"/>
        <w:ind w:firstLine="480" w:firstLineChars="200"/>
        <w:rPr>
          <w:rFonts w:hint="eastAsia" w:ascii="宋体" w:hAnsi="宋体"/>
          <w:sz w:val="24"/>
        </w:rPr>
      </w:pPr>
      <w:r>
        <w:rPr>
          <w:rFonts w:hint="eastAsia" w:ascii="宋体" w:hAnsi="宋体"/>
          <w:sz w:val="24"/>
        </w:rPr>
        <w:t>（五）</w:t>
      </w:r>
      <w:r>
        <w:rPr>
          <w:rFonts w:hint="eastAsia" w:ascii="宋体" w:hAnsi="宋体"/>
          <w:sz w:val="24"/>
          <w:lang w:val="en-US" w:eastAsia="zh-CN"/>
        </w:rPr>
        <w:t>招标</w:t>
      </w:r>
      <w:r>
        <w:rPr>
          <w:rFonts w:hint="eastAsia" w:ascii="宋体" w:hAnsi="宋体"/>
          <w:sz w:val="24"/>
          <w:lang w:eastAsia="zh-CN"/>
        </w:rPr>
        <w:t>文件</w:t>
      </w:r>
    </w:p>
    <w:p w14:paraId="58B9F89D">
      <w:pPr>
        <w:spacing w:line="360" w:lineRule="auto"/>
        <w:ind w:firstLine="480" w:firstLineChars="200"/>
        <w:rPr>
          <w:rFonts w:hint="eastAsia" w:ascii="宋体" w:hAnsi="宋体"/>
          <w:sz w:val="24"/>
        </w:rPr>
      </w:pPr>
      <w:r>
        <w:rPr>
          <w:rFonts w:hint="eastAsia" w:ascii="宋体" w:hAnsi="宋体"/>
          <w:sz w:val="24"/>
        </w:rPr>
        <w:t>（六）本合同附件</w:t>
      </w:r>
    </w:p>
    <w:p w14:paraId="769DEF12">
      <w:pPr>
        <w:spacing w:line="360" w:lineRule="auto"/>
        <w:ind w:firstLine="480" w:firstLineChars="200"/>
        <w:rPr>
          <w:rFonts w:hint="eastAsia" w:ascii="宋体" w:hAnsi="宋体"/>
          <w:sz w:val="24"/>
        </w:rPr>
      </w:pPr>
      <w:r>
        <w:rPr>
          <w:rFonts w:hint="eastAsia" w:ascii="宋体" w:hAnsi="宋体"/>
          <w:sz w:val="24"/>
        </w:rPr>
        <w:t>同一层次的合同文件规定有矛盾的以较后时间制定的为准。</w:t>
      </w:r>
    </w:p>
    <w:p w14:paraId="5CCD615D">
      <w:pPr>
        <w:spacing w:line="360" w:lineRule="auto"/>
        <w:ind w:firstLine="480" w:firstLineChars="200"/>
        <w:outlineLvl w:val="1"/>
        <w:rPr>
          <w:rFonts w:hint="eastAsia" w:ascii="宋体" w:hAnsi="宋体"/>
          <w:sz w:val="24"/>
        </w:rPr>
      </w:pPr>
      <w:bookmarkStart w:id="415" w:name="_Toc30494"/>
      <w:r>
        <w:rPr>
          <w:rFonts w:hint="eastAsia" w:ascii="宋体" w:hAnsi="宋体"/>
          <w:sz w:val="24"/>
        </w:rPr>
        <w:t>二、合同的范围和条件</w:t>
      </w:r>
      <w:bookmarkEnd w:id="415"/>
    </w:p>
    <w:p w14:paraId="40907D41">
      <w:pPr>
        <w:spacing w:line="360" w:lineRule="auto"/>
        <w:ind w:firstLine="480" w:firstLineChars="200"/>
        <w:rPr>
          <w:rFonts w:hint="eastAsia" w:ascii="宋体" w:hAnsi="宋体"/>
          <w:sz w:val="24"/>
        </w:rPr>
      </w:pPr>
      <w:r>
        <w:rPr>
          <w:rFonts w:hint="eastAsia" w:ascii="宋体" w:hAnsi="宋体"/>
          <w:sz w:val="24"/>
        </w:rPr>
        <w:t>本合同的范围和条件应与上述合同文件的规定相一致。</w:t>
      </w:r>
    </w:p>
    <w:p w14:paraId="10709D32">
      <w:pPr>
        <w:spacing w:line="360" w:lineRule="auto"/>
        <w:ind w:firstLine="480" w:firstLineChars="200"/>
        <w:outlineLvl w:val="1"/>
        <w:rPr>
          <w:rFonts w:hint="eastAsia" w:ascii="宋体" w:hAnsi="宋体"/>
          <w:sz w:val="24"/>
        </w:rPr>
      </w:pPr>
      <w:bookmarkStart w:id="416" w:name="_Toc15408"/>
      <w:r>
        <w:rPr>
          <w:rFonts w:hint="eastAsia" w:ascii="宋体" w:hAnsi="宋体"/>
          <w:sz w:val="24"/>
        </w:rPr>
        <w:t>三、货物、数量以及规格</w:t>
      </w:r>
      <w:bookmarkEnd w:id="416"/>
    </w:p>
    <w:p w14:paraId="2FBC19EE">
      <w:pPr>
        <w:spacing w:line="360" w:lineRule="auto"/>
        <w:ind w:firstLine="480" w:firstLineChars="200"/>
        <w:rPr>
          <w:rFonts w:hint="eastAsia" w:ascii="宋体" w:hAnsi="宋体"/>
          <w:sz w:val="24"/>
        </w:rPr>
      </w:pPr>
      <w:r>
        <w:rPr>
          <w:rFonts w:hint="eastAsia" w:ascii="宋体" w:hAnsi="宋体"/>
          <w:sz w:val="24"/>
        </w:rPr>
        <w:t>本合同所提供的货物、数量以及规格等详见乙方投标文件报价清单（应包含品牌、型号、产地、技术参数、数量、单价、合计等信息）。</w:t>
      </w:r>
    </w:p>
    <w:p w14:paraId="3B7290D7">
      <w:pPr>
        <w:spacing w:line="360" w:lineRule="auto"/>
        <w:ind w:firstLine="480" w:firstLineChars="200"/>
        <w:outlineLvl w:val="1"/>
        <w:rPr>
          <w:rFonts w:hint="eastAsia" w:ascii="宋体" w:hAnsi="宋体"/>
          <w:sz w:val="24"/>
        </w:rPr>
      </w:pPr>
      <w:bookmarkStart w:id="417" w:name="_Toc29059"/>
      <w:r>
        <w:rPr>
          <w:rFonts w:hint="eastAsia" w:ascii="宋体" w:hAnsi="宋体"/>
          <w:sz w:val="24"/>
        </w:rPr>
        <w:t>四、合同金额</w:t>
      </w:r>
      <w:bookmarkEnd w:id="417"/>
    </w:p>
    <w:p w14:paraId="02AE08A8">
      <w:pPr>
        <w:spacing w:line="360" w:lineRule="auto"/>
        <w:ind w:firstLine="480" w:firstLineChars="200"/>
        <w:rPr>
          <w:rFonts w:hint="eastAsia" w:ascii="宋体" w:hAnsi="宋体"/>
          <w:sz w:val="24"/>
        </w:rPr>
      </w:pPr>
      <w:r>
        <w:rPr>
          <w:rFonts w:hint="eastAsia" w:ascii="宋体" w:hAnsi="宋体"/>
          <w:sz w:val="24"/>
        </w:rPr>
        <w:t>根据上述文件要求，合同金额为人民币</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元，大写：</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w:t>
      </w:r>
    </w:p>
    <w:p w14:paraId="396BF92C">
      <w:pPr>
        <w:spacing w:line="360" w:lineRule="auto"/>
        <w:ind w:firstLine="480" w:firstLineChars="200"/>
        <w:outlineLvl w:val="1"/>
        <w:rPr>
          <w:rFonts w:hint="eastAsia" w:ascii="宋体" w:hAnsi="宋体"/>
          <w:sz w:val="24"/>
        </w:rPr>
      </w:pPr>
      <w:bookmarkStart w:id="418" w:name="_Toc16227"/>
      <w:r>
        <w:rPr>
          <w:rFonts w:hint="eastAsia" w:ascii="宋体" w:hAnsi="宋体"/>
          <w:sz w:val="24"/>
        </w:rPr>
        <w:t>五、付款途径</w:t>
      </w:r>
      <w:bookmarkEnd w:id="418"/>
    </w:p>
    <w:p w14:paraId="7E77A665">
      <w:pPr>
        <w:spacing w:line="360" w:lineRule="auto"/>
        <w:ind w:firstLine="480" w:firstLineChars="200"/>
        <w:rPr>
          <w:rFonts w:hint="eastAsia" w:ascii="宋体" w:hAnsi="宋体"/>
          <w:sz w:val="24"/>
        </w:rPr>
      </w:pPr>
      <w:r>
        <w:rPr>
          <w:rFonts w:hint="eastAsia" w:ascii="宋体" w:hAnsi="宋体"/>
          <w:sz w:val="24"/>
          <w:lang w:eastAsia="zh-CN"/>
        </w:rPr>
        <w:t>□</w:t>
      </w:r>
      <w:r>
        <w:rPr>
          <w:rFonts w:hint="eastAsia" w:ascii="宋体" w:hAnsi="宋体"/>
          <w:sz w:val="24"/>
        </w:rPr>
        <w:t>国库集中支付    □甲方支付   □国库与甲方共同支付    □其他</w:t>
      </w:r>
    </w:p>
    <w:p w14:paraId="64AA5BC5">
      <w:pPr>
        <w:spacing w:line="360" w:lineRule="auto"/>
        <w:ind w:firstLine="480" w:firstLineChars="200"/>
        <w:rPr>
          <w:rFonts w:hint="eastAsia" w:ascii="宋体" w:hAnsi="宋体"/>
          <w:sz w:val="24"/>
          <w:lang w:eastAsia="zh-CN"/>
        </w:rPr>
      </w:pPr>
      <w:r>
        <w:rPr>
          <w:rFonts w:hint="eastAsia" w:ascii="宋体" w:hAnsi="宋体"/>
          <w:sz w:val="24"/>
        </w:rPr>
        <w:t>国库集中支付资金</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万元</w:t>
      </w:r>
      <w:r>
        <w:rPr>
          <w:rFonts w:hint="eastAsia" w:ascii="宋体" w:hAnsi="宋体"/>
          <w:sz w:val="24"/>
          <w:lang w:eastAsia="zh-CN"/>
        </w:rPr>
        <w:t>。</w:t>
      </w:r>
    </w:p>
    <w:p w14:paraId="070D56BC">
      <w:pPr>
        <w:spacing w:line="360" w:lineRule="auto"/>
        <w:ind w:firstLine="480" w:firstLineChars="200"/>
        <w:rPr>
          <w:rFonts w:hint="eastAsia" w:ascii="宋体" w:hAnsi="宋体"/>
          <w:sz w:val="24"/>
        </w:rPr>
      </w:pPr>
      <w:r>
        <w:rPr>
          <w:rFonts w:hint="eastAsia" w:ascii="宋体" w:hAnsi="宋体"/>
          <w:sz w:val="24"/>
        </w:rPr>
        <w:t>属国库集中支付的财政性资金，甲方应按照合同约定的付款期限，及时向同级财政部门报送资金支付申请，同级财政部门对支付申请审核无误后</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个工作日内将货款直接支付至乙方账户。</w:t>
      </w:r>
    </w:p>
    <w:p w14:paraId="1C694ADF">
      <w:pPr>
        <w:spacing w:line="360" w:lineRule="auto"/>
        <w:ind w:firstLine="480" w:firstLineChars="200"/>
        <w:rPr>
          <w:rFonts w:hint="eastAsia" w:ascii="宋体" w:hAnsi="宋体"/>
          <w:sz w:val="24"/>
        </w:rPr>
      </w:pPr>
      <w:r>
        <w:rPr>
          <w:rFonts w:hint="eastAsia" w:ascii="宋体" w:hAnsi="宋体"/>
          <w:sz w:val="24"/>
        </w:rPr>
        <w:t>六、付款方式</w:t>
      </w:r>
    </w:p>
    <w:p w14:paraId="3BA5D8B5">
      <w:pPr>
        <w:spacing w:line="360" w:lineRule="auto"/>
        <w:ind w:firstLine="480" w:firstLineChars="200"/>
        <w:rPr>
          <w:rFonts w:hint="eastAsia" w:ascii="宋体" w:hAnsi="宋体" w:cs="宋体"/>
          <w:color w:val="auto"/>
          <w:sz w:val="24"/>
          <w:szCs w:val="24"/>
          <w:u w:val="single"/>
          <w:lang w:val="en-US" w:eastAsia="zh-CN"/>
        </w:rPr>
      </w:pPr>
      <w:r>
        <w:rPr>
          <w:rFonts w:hint="eastAsia" w:ascii="宋体" w:hAnsi="宋体" w:cs="宋体"/>
          <w:color w:val="auto"/>
          <w:sz w:val="24"/>
          <w:szCs w:val="24"/>
          <w:u w:val="single"/>
          <w:lang w:val="en-US" w:eastAsia="zh-CN"/>
        </w:rPr>
        <w:t xml:space="preserve">                                            </w:t>
      </w:r>
    </w:p>
    <w:p w14:paraId="6BF48DD7">
      <w:pPr>
        <w:spacing w:line="360" w:lineRule="auto"/>
        <w:ind w:firstLine="480" w:firstLineChars="200"/>
        <w:rPr>
          <w:rFonts w:hint="eastAsia" w:ascii="宋体" w:hAnsi="宋体"/>
          <w:sz w:val="24"/>
        </w:rPr>
      </w:pPr>
      <w:r>
        <w:rPr>
          <w:rFonts w:hint="eastAsia" w:ascii="宋体" w:hAnsi="宋体"/>
          <w:sz w:val="24"/>
        </w:rPr>
        <w:t>七、交货安装</w:t>
      </w:r>
      <w:r>
        <w:rPr>
          <w:rFonts w:hint="eastAsia" w:ascii="宋体" w:hAnsi="宋体"/>
          <w:sz w:val="24"/>
        </w:rPr>
        <w:tab/>
      </w:r>
    </w:p>
    <w:p w14:paraId="453ADEF1">
      <w:pPr>
        <w:spacing w:line="360" w:lineRule="auto"/>
        <w:ind w:firstLine="480" w:firstLineChars="200"/>
        <w:rPr>
          <w:rFonts w:hint="eastAsia" w:ascii="宋体" w:hAnsi="宋体"/>
          <w:sz w:val="24"/>
        </w:rPr>
      </w:pPr>
      <w:r>
        <w:rPr>
          <w:rFonts w:hint="eastAsia" w:ascii="宋体" w:hAnsi="宋体"/>
          <w:sz w:val="24"/>
        </w:rPr>
        <w:t>1、交货与安装时间：合同签订并接到采购人供货通知后</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日内供货并安装调试完毕。</w:t>
      </w:r>
    </w:p>
    <w:p w14:paraId="27AC6662">
      <w:pPr>
        <w:spacing w:line="360" w:lineRule="auto"/>
        <w:ind w:firstLine="480" w:firstLineChars="200"/>
        <w:rPr>
          <w:rFonts w:hint="eastAsia" w:ascii="宋体" w:hAnsi="宋体"/>
          <w:sz w:val="24"/>
          <w:u w:val="single"/>
        </w:rPr>
      </w:pPr>
      <w:r>
        <w:rPr>
          <w:rFonts w:hint="eastAsia" w:ascii="宋体" w:hAnsi="宋体"/>
          <w:sz w:val="24"/>
          <w:lang w:val="en-US" w:eastAsia="zh-CN"/>
        </w:rPr>
        <w:t>2、交货地点：</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p>
    <w:p w14:paraId="4514FAC6">
      <w:pPr>
        <w:spacing w:line="360" w:lineRule="auto"/>
        <w:ind w:firstLine="480" w:firstLineChars="200"/>
        <w:rPr>
          <w:rFonts w:hint="eastAsia" w:ascii="宋体" w:hAnsi="宋体"/>
          <w:sz w:val="24"/>
        </w:rPr>
      </w:pPr>
      <w:r>
        <w:rPr>
          <w:rFonts w:hint="eastAsia" w:ascii="宋体" w:hAnsi="宋体"/>
          <w:sz w:val="24"/>
        </w:rPr>
        <w:t>3、风险负担：</w:t>
      </w:r>
    </w:p>
    <w:p w14:paraId="19D335DA">
      <w:pPr>
        <w:spacing w:line="360" w:lineRule="auto"/>
        <w:ind w:firstLine="480" w:firstLineChars="200"/>
        <w:rPr>
          <w:rFonts w:hint="eastAsia" w:ascii="宋体" w:hAnsi="宋体"/>
          <w:sz w:val="24"/>
        </w:rPr>
      </w:pPr>
      <w:r>
        <w:rPr>
          <w:rFonts w:hint="eastAsia" w:ascii="宋体" w:hAnsi="宋体"/>
          <w:sz w:val="24"/>
        </w:rPr>
        <w:t>货物毁损、灭失的风险在该货物通过甲乙双方联合验收交付前由乙方承担，通过联合验收交付后由甲方承担；因质量问题甲方拒收的，风险由乙方承担。</w:t>
      </w:r>
    </w:p>
    <w:p w14:paraId="1A7979A4">
      <w:pPr>
        <w:numPr>
          <w:ilvl w:val="0"/>
          <w:numId w:val="5"/>
        </w:numPr>
        <w:spacing w:line="360" w:lineRule="auto"/>
        <w:ind w:firstLine="480" w:firstLineChars="200"/>
        <w:rPr>
          <w:rFonts w:hint="eastAsia" w:ascii="宋体" w:hAnsi="宋体"/>
          <w:sz w:val="24"/>
          <w:lang w:val="en-US" w:eastAsia="zh-CN"/>
        </w:rPr>
      </w:pPr>
      <w:r>
        <w:rPr>
          <w:rFonts w:hint="eastAsia" w:ascii="宋体" w:hAnsi="宋体"/>
          <w:sz w:val="24"/>
          <w:lang w:val="en-US" w:eastAsia="zh-CN"/>
        </w:rPr>
        <w:t>货物清单：</w:t>
      </w:r>
    </w:p>
    <w:tbl>
      <w:tblPr>
        <w:tblStyle w:val="17"/>
        <w:tblW w:w="91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89"/>
        <w:gridCol w:w="963"/>
        <w:gridCol w:w="6"/>
        <w:gridCol w:w="951"/>
        <w:gridCol w:w="3198"/>
        <w:gridCol w:w="1117"/>
        <w:gridCol w:w="1"/>
        <w:gridCol w:w="2310"/>
        <w:gridCol w:w="1"/>
      </w:tblGrid>
      <w:tr w14:paraId="77879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 w:type="dxa"/>
          <w:trHeight w:val="528" w:hRule="atLeast"/>
          <w:jc w:val="center"/>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2A6B3634">
            <w:pPr>
              <w:keepNext w:val="0"/>
              <w:keepLines w:val="0"/>
              <w:widowControl/>
              <w:suppressLineNumbers w:val="0"/>
              <w:jc w:val="center"/>
              <w:textAlignment w:val="center"/>
              <w:rPr>
                <w:rFonts w:hint="eastAsia" w:ascii="宋体" w:hAnsi="宋体" w:eastAsia="宋体" w:cs="宋体"/>
                <w:b w:val="0"/>
                <w:bCs/>
                <w:i w:val="0"/>
                <w:color w:val="000000"/>
                <w:sz w:val="22"/>
                <w:szCs w:val="22"/>
                <w:u w:val="none"/>
              </w:rPr>
            </w:pPr>
            <w:r>
              <w:rPr>
                <w:rFonts w:hint="eastAsia" w:ascii="宋体" w:hAnsi="宋体" w:eastAsia="宋体" w:cs="宋体"/>
                <w:b w:val="0"/>
                <w:bCs/>
                <w:i w:val="0"/>
                <w:color w:val="000000"/>
                <w:kern w:val="0"/>
                <w:sz w:val="22"/>
                <w:szCs w:val="22"/>
                <w:u w:val="none"/>
                <w:lang w:val="en-US" w:eastAsia="zh-CN" w:bidi="ar"/>
              </w:rPr>
              <w:t>序号</w:t>
            </w:r>
          </w:p>
        </w:tc>
        <w:tc>
          <w:tcPr>
            <w:tcW w:w="963" w:type="dxa"/>
            <w:tcBorders>
              <w:top w:val="single" w:color="000000" w:sz="4" w:space="0"/>
              <w:left w:val="single" w:color="000000" w:sz="4" w:space="0"/>
              <w:bottom w:val="single" w:color="000000" w:sz="4" w:space="0"/>
              <w:right w:val="single" w:color="auto" w:sz="4" w:space="0"/>
            </w:tcBorders>
            <w:noWrap w:val="0"/>
            <w:vAlign w:val="center"/>
          </w:tcPr>
          <w:p w14:paraId="16BBF6D7">
            <w:pPr>
              <w:keepNext w:val="0"/>
              <w:keepLines w:val="0"/>
              <w:widowControl/>
              <w:suppressLineNumbers w:val="0"/>
              <w:jc w:val="center"/>
              <w:textAlignment w:val="center"/>
              <w:rPr>
                <w:rFonts w:hint="eastAsia" w:ascii="宋体" w:hAnsi="宋体" w:eastAsia="宋体" w:cs="宋体"/>
                <w:b w:val="0"/>
                <w:bCs/>
                <w:i w:val="0"/>
                <w:color w:val="000000"/>
                <w:sz w:val="22"/>
                <w:szCs w:val="22"/>
                <w:u w:val="none"/>
              </w:rPr>
            </w:pPr>
            <w:r>
              <w:rPr>
                <w:rFonts w:hint="eastAsia" w:ascii="宋体" w:hAnsi="宋体" w:eastAsia="宋体" w:cs="宋体"/>
                <w:b w:val="0"/>
                <w:bCs/>
                <w:i w:val="0"/>
                <w:color w:val="000000"/>
                <w:kern w:val="0"/>
                <w:sz w:val="22"/>
                <w:szCs w:val="22"/>
                <w:u w:val="none"/>
                <w:lang w:val="en-US" w:eastAsia="zh-CN" w:bidi="ar"/>
              </w:rPr>
              <w:t>项目名称</w:t>
            </w:r>
          </w:p>
        </w:tc>
        <w:tc>
          <w:tcPr>
            <w:tcW w:w="957" w:type="dxa"/>
            <w:gridSpan w:val="2"/>
            <w:tcBorders>
              <w:top w:val="single" w:color="000000" w:sz="4" w:space="0"/>
              <w:left w:val="single" w:color="auto" w:sz="4" w:space="0"/>
              <w:bottom w:val="single" w:color="000000" w:sz="4" w:space="0"/>
              <w:right w:val="single" w:color="000000" w:sz="4" w:space="0"/>
            </w:tcBorders>
            <w:noWrap w:val="0"/>
            <w:vAlign w:val="center"/>
          </w:tcPr>
          <w:p w14:paraId="33822727">
            <w:pPr>
              <w:keepNext w:val="0"/>
              <w:keepLines w:val="0"/>
              <w:widowControl/>
              <w:suppressLineNumbers w:val="0"/>
              <w:jc w:val="center"/>
              <w:textAlignment w:val="center"/>
              <w:rPr>
                <w:rFonts w:hint="eastAsia" w:ascii="宋体" w:hAnsi="宋体" w:eastAsia="宋体" w:cs="宋体"/>
                <w:b w:val="0"/>
                <w:bCs/>
                <w:i w:val="0"/>
                <w:color w:val="000000"/>
                <w:sz w:val="22"/>
                <w:szCs w:val="22"/>
                <w:u w:val="none"/>
              </w:rPr>
            </w:pPr>
            <w:r>
              <w:rPr>
                <w:rFonts w:hint="eastAsia" w:ascii="宋体" w:hAnsi="宋体" w:eastAsia="宋体" w:cs="宋体"/>
                <w:b w:val="0"/>
                <w:bCs/>
                <w:i w:val="0"/>
                <w:color w:val="000000"/>
                <w:kern w:val="0"/>
                <w:sz w:val="22"/>
                <w:szCs w:val="22"/>
                <w:u w:val="none"/>
                <w:lang w:val="en-US" w:eastAsia="zh-CN" w:bidi="ar"/>
              </w:rPr>
              <w:t>产品名称</w:t>
            </w:r>
          </w:p>
        </w:tc>
        <w:tc>
          <w:tcPr>
            <w:tcW w:w="3198" w:type="dxa"/>
            <w:tcBorders>
              <w:top w:val="single" w:color="000000" w:sz="4" w:space="0"/>
              <w:left w:val="single" w:color="000000" w:sz="4" w:space="0"/>
              <w:bottom w:val="single" w:color="000000" w:sz="4" w:space="0"/>
              <w:right w:val="single" w:color="000000" w:sz="4" w:space="0"/>
            </w:tcBorders>
            <w:noWrap w:val="0"/>
            <w:vAlign w:val="center"/>
          </w:tcPr>
          <w:p w14:paraId="1364850D">
            <w:pPr>
              <w:keepNext w:val="0"/>
              <w:keepLines w:val="0"/>
              <w:widowControl/>
              <w:suppressLineNumbers w:val="0"/>
              <w:jc w:val="center"/>
              <w:textAlignment w:val="center"/>
              <w:rPr>
                <w:rFonts w:hint="eastAsia" w:ascii="宋体" w:hAnsi="宋体" w:eastAsia="宋体" w:cs="宋体"/>
                <w:b w:val="0"/>
                <w:bCs/>
                <w:i w:val="0"/>
                <w:color w:val="000000"/>
                <w:sz w:val="22"/>
                <w:szCs w:val="22"/>
                <w:u w:val="none"/>
              </w:rPr>
            </w:pPr>
            <w:r>
              <w:rPr>
                <w:rFonts w:hint="eastAsia" w:ascii="宋体" w:hAnsi="宋体" w:eastAsia="宋体" w:cs="宋体"/>
                <w:b w:val="0"/>
                <w:bCs/>
                <w:i w:val="0"/>
                <w:color w:val="000000"/>
                <w:kern w:val="0"/>
                <w:sz w:val="22"/>
                <w:szCs w:val="22"/>
                <w:u w:val="none"/>
                <w:lang w:val="en-US" w:eastAsia="zh-CN" w:bidi="ar"/>
              </w:rPr>
              <w:t>品牌型号</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35056C11">
            <w:pPr>
              <w:keepNext w:val="0"/>
              <w:keepLines w:val="0"/>
              <w:widowControl/>
              <w:suppressLineNumbers w:val="0"/>
              <w:jc w:val="center"/>
              <w:textAlignment w:val="center"/>
              <w:rPr>
                <w:rFonts w:hint="eastAsia" w:ascii="宋体" w:hAnsi="宋体" w:eastAsia="宋体" w:cs="宋体"/>
                <w:b w:val="0"/>
                <w:bCs/>
                <w:i w:val="0"/>
                <w:color w:val="000000"/>
                <w:sz w:val="22"/>
                <w:szCs w:val="22"/>
                <w:u w:val="none"/>
              </w:rPr>
            </w:pPr>
            <w:r>
              <w:rPr>
                <w:rFonts w:hint="eastAsia" w:ascii="宋体" w:hAnsi="宋体" w:eastAsia="宋体" w:cs="宋体"/>
                <w:b w:val="0"/>
                <w:bCs/>
                <w:i w:val="0"/>
                <w:color w:val="000000"/>
                <w:kern w:val="0"/>
                <w:sz w:val="22"/>
                <w:szCs w:val="22"/>
                <w:u w:val="none"/>
                <w:lang w:val="en-US" w:eastAsia="zh-CN" w:bidi="ar"/>
              </w:rPr>
              <w:t>数量</w:t>
            </w:r>
          </w:p>
        </w:tc>
        <w:tc>
          <w:tcPr>
            <w:tcW w:w="2311" w:type="dxa"/>
            <w:gridSpan w:val="2"/>
            <w:tcBorders>
              <w:top w:val="single" w:color="000000" w:sz="4" w:space="0"/>
              <w:left w:val="single" w:color="000000" w:sz="4" w:space="0"/>
              <w:bottom w:val="single" w:color="000000" w:sz="4" w:space="0"/>
              <w:right w:val="single" w:color="000000" w:sz="4" w:space="0"/>
            </w:tcBorders>
            <w:noWrap w:val="0"/>
            <w:vAlign w:val="center"/>
          </w:tcPr>
          <w:p w14:paraId="274DD7E5">
            <w:pPr>
              <w:keepNext w:val="0"/>
              <w:keepLines w:val="0"/>
              <w:widowControl/>
              <w:suppressLineNumbers w:val="0"/>
              <w:jc w:val="center"/>
              <w:textAlignment w:val="center"/>
              <w:rPr>
                <w:rFonts w:hint="eastAsia" w:ascii="宋体" w:hAnsi="宋体" w:eastAsia="宋体" w:cs="宋体"/>
                <w:b w:val="0"/>
                <w:bCs/>
                <w:i w:val="0"/>
                <w:color w:val="000000"/>
                <w:kern w:val="0"/>
                <w:sz w:val="22"/>
                <w:szCs w:val="22"/>
                <w:u w:val="none"/>
                <w:lang w:val="en-US" w:eastAsia="zh-CN" w:bidi="ar"/>
              </w:rPr>
            </w:pPr>
            <w:r>
              <w:rPr>
                <w:rFonts w:hint="eastAsia" w:ascii="宋体" w:hAnsi="宋体" w:eastAsia="宋体" w:cs="宋体"/>
                <w:b w:val="0"/>
                <w:bCs/>
                <w:i w:val="0"/>
                <w:color w:val="000000"/>
                <w:kern w:val="0"/>
                <w:sz w:val="22"/>
                <w:szCs w:val="22"/>
                <w:u w:val="none"/>
                <w:lang w:val="en-US" w:eastAsia="zh-CN" w:bidi="ar"/>
              </w:rPr>
              <w:t>备注</w:t>
            </w:r>
          </w:p>
        </w:tc>
      </w:tr>
      <w:tr w14:paraId="30DC1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8" w:hRule="atLeast"/>
          <w:jc w:val="center"/>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448788C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969" w:type="dxa"/>
            <w:gridSpan w:val="2"/>
            <w:tcBorders>
              <w:top w:val="single" w:color="000000" w:sz="4" w:space="0"/>
              <w:left w:val="single" w:color="000000" w:sz="4" w:space="0"/>
              <w:right w:val="single" w:color="auto" w:sz="4" w:space="0"/>
            </w:tcBorders>
            <w:noWrap w:val="0"/>
            <w:vAlign w:val="center"/>
          </w:tcPr>
          <w:p w14:paraId="42FE5CB4">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951" w:type="dxa"/>
            <w:tcBorders>
              <w:top w:val="single" w:color="000000" w:sz="4" w:space="0"/>
              <w:left w:val="single" w:color="auto" w:sz="4" w:space="0"/>
              <w:right w:val="single" w:color="000000" w:sz="4" w:space="0"/>
            </w:tcBorders>
            <w:noWrap w:val="0"/>
            <w:vAlign w:val="center"/>
          </w:tcPr>
          <w:p w14:paraId="5094A0AB">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3198" w:type="dxa"/>
            <w:tcBorders>
              <w:top w:val="single" w:color="000000" w:sz="4" w:space="0"/>
              <w:left w:val="single" w:color="000000" w:sz="4" w:space="0"/>
              <w:bottom w:val="single" w:color="000000" w:sz="4" w:space="0"/>
              <w:right w:val="single" w:color="000000" w:sz="4" w:space="0"/>
            </w:tcBorders>
            <w:noWrap w:val="0"/>
            <w:vAlign w:val="center"/>
          </w:tcPr>
          <w:p w14:paraId="4B9AF58A">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118" w:type="dxa"/>
            <w:gridSpan w:val="2"/>
            <w:tcBorders>
              <w:top w:val="single" w:color="000000" w:sz="4" w:space="0"/>
              <w:left w:val="single" w:color="000000" w:sz="4" w:space="0"/>
              <w:bottom w:val="single" w:color="000000" w:sz="4" w:space="0"/>
              <w:right w:val="single" w:color="000000" w:sz="4" w:space="0"/>
            </w:tcBorders>
            <w:noWrap w:val="0"/>
            <w:vAlign w:val="center"/>
          </w:tcPr>
          <w:p w14:paraId="3F855501">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2311" w:type="dxa"/>
            <w:gridSpan w:val="2"/>
            <w:tcBorders>
              <w:top w:val="single" w:color="000000" w:sz="4" w:space="0"/>
              <w:left w:val="single" w:color="000000" w:sz="4" w:space="0"/>
              <w:bottom w:val="single" w:color="000000" w:sz="4" w:space="0"/>
              <w:right w:val="single" w:color="000000" w:sz="4" w:space="0"/>
            </w:tcBorders>
            <w:noWrap w:val="0"/>
            <w:vAlign w:val="center"/>
          </w:tcPr>
          <w:p w14:paraId="07F1DC1A">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14:paraId="6D68E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6" w:hRule="atLeast"/>
          <w:jc w:val="center"/>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418DFA6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969" w:type="dxa"/>
            <w:gridSpan w:val="2"/>
            <w:tcBorders>
              <w:top w:val="single" w:color="000000" w:sz="4" w:space="0"/>
              <w:left w:val="single" w:color="000000" w:sz="4" w:space="0"/>
              <w:right w:val="single" w:color="auto" w:sz="4" w:space="0"/>
            </w:tcBorders>
            <w:noWrap w:val="0"/>
            <w:vAlign w:val="center"/>
          </w:tcPr>
          <w:p w14:paraId="4614CABB">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951" w:type="dxa"/>
            <w:tcBorders>
              <w:top w:val="single" w:color="000000" w:sz="4" w:space="0"/>
              <w:left w:val="single" w:color="auto" w:sz="4" w:space="0"/>
              <w:right w:val="single" w:color="000000" w:sz="4" w:space="0"/>
            </w:tcBorders>
            <w:noWrap w:val="0"/>
            <w:vAlign w:val="center"/>
          </w:tcPr>
          <w:p w14:paraId="3CF7E471">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3198" w:type="dxa"/>
            <w:tcBorders>
              <w:top w:val="single" w:color="000000" w:sz="4" w:space="0"/>
              <w:left w:val="single" w:color="000000" w:sz="4" w:space="0"/>
              <w:bottom w:val="single" w:color="000000" w:sz="4" w:space="0"/>
              <w:right w:val="single" w:color="000000" w:sz="4" w:space="0"/>
            </w:tcBorders>
            <w:noWrap w:val="0"/>
            <w:vAlign w:val="center"/>
          </w:tcPr>
          <w:p w14:paraId="380514C7">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118" w:type="dxa"/>
            <w:gridSpan w:val="2"/>
            <w:tcBorders>
              <w:top w:val="single" w:color="000000" w:sz="4" w:space="0"/>
              <w:left w:val="single" w:color="000000" w:sz="4" w:space="0"/>
              <w:bottom w:val="single" w:color="000000" w:sz="4" w:space="0"/>
              <w:right w:val="single" w:color="000000" w:sz="4" w:space="0"/>
            </w:tcBorders>
            <w:noWrap w:val="0"/>
            <w:vAlign w:val="center"/>
          </w:tcPr>
          <w:p w14:paraId="0BF4D83B">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2311" w:type="dxa"/>
            <w:gridSpan w:val="2"/>
            <w:tcBorders>
              <w:top w:val="single" w:color="000000" w:sz="4" w:space="0"/>
              <w:left w:val="single" w:color="000000" w:sz="4" w:space="0"/>
              <w:bottom w:val="single" w:color="000000" w:sz="4" w:space="0"/>
              <w:right w:val="single" w:color="000000" w:sz="4" w:space="0"/>
            </w:tcBorders>
            <w:noWrap w:val="0"/>
            <w:vAlign w:val="center"/>
          </w:tcPr>
          <w:p w14:paraId="62B57ED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14:paraId="6570D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7" w:hRule="atLeast"/>
          <w:jc w:val="center"/>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79329A7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69" w:type="dxa"/>
            <w:gridSpan w:val="2"/>
            <w:tcBorders>
              <w:top w:val="single" w:color="000000" w:sz="4" w:space="0"/>
              <w:left w:val="single" w:color="000000" w:sz="4" w:space="0"/>
              <w:right w:val="single" w:color="auto" w:sz="4" w:space="0"/>
            </w:tcBorders>
            <w:noWrap w:val="0"/>
            <w:vAlign w:val="center"/>
          </w:tcPr>
          <w:p w14:paraId="020E0EBD">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951" w:type="dxa"/>
            <w:tcBorders>
              <w:top w:val="single" w:color="000000" w:sz="4" w:space="0"/>
              <w:left w:val="single" w:color="auto" w:sz="4" w:space="0"/>
              <w:right w:val="single" w:color="000000" w:sz="4" w:space="0"/>
            </w:tcBorders>
            <w:noWrap w:val="0"/>
            <w:vAlign w:val="center"/>
          </w:tcPr>
          <w:p w14:paraId="6F72AFCB">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3198" w:type="dxa"/>
            <w:tcBorders>
              <w:top w:val="single" w:color="000000" w:sz="4" w:space="0"/>
              <w:left w:val="single" w:color="000000" w:sz="4" w:space="0"/>
              <w:bottom w:val="single" w:color="000000" w:sz="4" w:space="0"/>
              <w:right w:val="single" w:color="000000" w:sz="4" w:space="0"/>
            </w:tcBorders>
            <w:noWrap w:val="0"/>
            <w:vAlign w:val="center"/>
          </w:tcPr>
          <w:p w14:paraId="07B8F8EC">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118" w:type="dxa"/>
            <w:gridSpan w:val="2"/>
            <w:tcBorders>
              <w:top w:val="single" w:color="000000" w:sz="4" w:space="0"/>
              <w:left w:val="single" w:color="000000" w:sz="4" w:space="0"/>
              <w:bottom w:val="single" w:color="000000" w:sz="4" w:space="0"/>
              <w:right w:val="single" w:color="000000" w:sz="4" w:space="0"/>
            </w:tcBorders>
            <w:noWrap w:val="0"/>
            <w:vAlign w:val="center"/>
          </w:tcPr>
          <w:p w14:paraId="0876E818">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2311" w:type="dxa"/>
            <w:gridSpan w:val="2"/>
            <w:tcBorders>
              <w:top w:val="single" w:color="000000" w:sz="4" w:space="0"/>
              <w:left w:val="single" w:color="000000" w:sz="4" w:space="0"/>
              <w:bottom w:val="single" w:color="000000" w:sz="4" w:space="0"/>
              <w:right w:val="single" w:color="000000" w:sz="4" w:space="0"/>
            </w:tcBorders>
            <w:noWrap w:val="0"/>
            <w:vAlign w:val="center"/>
          </w:tcPr>
          <w:p w14:paraId="12A20CD5">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14:paraId="32C81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0" w:hRule="atLeast"/>
          <w:jc w:val="center"/>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7F66791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969" w:type="dxa"/>
            <w:gridSpan w:val="2"/>
            <w:tcBorders>
              <w:top w:val="single" w:color="000000" w:sz="4" w:space="0"/>
              <w:left w:val="single" w:color="000000" w:sz="4" w:space="0"/>
              <w:right w:val="single" w:color="auto" w:sz="4" w:space="0"/>
            </w:tcBorders>
            <w:noWrap w:val="0"/>
            <w:vAlign w:val="center"/>
          </w:tcPr>
          <w:p w14:paraId="4883998A">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951" w:type="dxa"/>
            <w:tcBorders>
              <w:top w:val="single" w:color="000000" w:sz="4" w:space="0"/>
              <w:left w:val="single" w:color="auto" w:sz="4" w:space="0"/>
              <w:right w:val="single" w:color="000000" w:sz="4" w:space="0"/>
            </w:tcBorders>
            <w:noWrap w:val="0"/>
            <w:vAlign w:val="center"/>
          </w:tcPr>
          <w:p w14:paraId="75B8499C">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3198" w:type="dxa"/>
            <w:tcBorders>
              <w:top w:val="single" w:color="000000" w:sz="4" w:space="0"/>
              <w:left w:val="single" w:color="000000" w:sz="4" w:space="0"/>
              <w:bottom w:val="single" w:color="000000" w:sz="4" w:space="0"/>
              <w:right w:val="single" w:color="000000" w:sz="4" w:space="0"/>
            </w:tcBorders>
            <w:noWrap w:val="0"/>
            <w:vAlign w:val="center"/>
          </w:tcPr>
          <w:p w14:paraId="63220085">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118" w:type="dxa"/>
            <w:gridSpan w:val="2"/>
            <w:tcBorders>
              <w:top w:val="single" w:color="000000" w:sz="4" w:space="0"/>
              <w:left w:val="single" w:color="000000" w:sz="4" w:space="0"/>
              <w:bottom w:val="single" w:color="000000" w:sz="4" w:space="0"/>
              <w:right w:val="single" w:color="000000" w:sz="4" w:space="0"/>
            </w:tcBorders>
            <w:noWrap w:val="0"/>
            <w:vAlign w:val="center"/>
          </w:tcPr>
          <w:p w14:paraId="6E601086">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2311" w:type="dxa"/>
            <w:gridSpan w:val="2"/>
            <w:tcBorders>
              <w:top w:val="single" w:color="000000" w:sz="4" w:space="0"/>
              <w:left w:val="single" w:color="000000" w:sz="4" w:space="0"/>
              <w:bottom w:val="single" w:color="000000" w:sz="4" w:space="0"/>
              <w:right w:val="single" w:color="000000" w:sz="4" w:space="0"/>
            </w:tcBorders>
            <w:noWrap w:val="0"/>
            <w:vAlign w:val="center"/>
          </w:tcPr>
          <w:p w14:paraId="750BCD94">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14:paraId="35888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0" w:hRule="atLeast"/>
          <w:jc w:val="center"/>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00D6243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969" w:type="dxa"/>
            <w:gridSpan w:val="2"/>
            <w:tcBorders>
              <w:top w:val="single" w:color="000000" w:sz="4" w:space="0"/>
              <w:left w:val="single" w:color="000000" w:sz="4" w:space="0"/>
              <w:right w:val="single" w:color="auto" w:sz="4" w:space="0"/>
            </w:tcBorders>
            <w:noWrap w:val="0"/>
            <w:vAlign w:val="center"/>
          </w:tcPr>
          <w:p w14:paraId="13C9AE60">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951" w:type="dxa"/>
            <w:tcBorders>
              <w:top w:val="single" w:color="000000" w:sz="4" w:space="0"/>
              <w:left w:val="single" w:color="auto" w:sz="4" w:space="0"/>
              <w:right w:val="single" w:color="000000" w:sz="4" w:space="0"/>
            </w:tcBorders>
            <w:noWrap w:val="0"/>
            <w:vAlign w:val="center"/>
          </w:tcPr>
          <w:p w14:paraId="252AD1B4">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3198" w:type="dxa"/>
            <w:tcBorders>
              <w:top w:val="single" w:color="000000" w:sz="4" w:space="0"/>
              <w:left w:val="single" w:color="000000" w:sz="4" w:space="0"/>
              <w:bottom w:val="single" w:color="000000" w:sz="4" w:space="0"/>
              <w:right w:val="single" w:color="000000" w:sz="4" w:space="0"/>
            </w:tcBorders>
            <w:noWrap w:val="0"/>
            <w:vAlign w:val="center"/>
          </w:tcPr>
          <w:p w14:paraId="6E73B6DB">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118" w:type="dxa"/>
            <w:gridSpan w:val="2"/>
            <w:tcBorders>
              <w:top w:val="single" w:color="000000" w:sz="4" w:space="0"/>
              <w:left w:val="single" w:color="000000" w:sz="4" w:space="0"/>
              <w:bottom w:val="single" w:color="000000" w:sz="4" w:space="0"/>
              <w:right w:val="single" w:color="000000" w:sz="4" w:space="0"/>
            </w:tcBorders>
            <w:noWrap w:val="0"/>
            <w:vAlign w:val="center"/>
          </w:tcPr>
          <w:p w14:paraId="59132880">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2311" w:type="dxa"/>
            <w:gridSpan w:val="2"/>
            <w:tcBorders>
              <w:top w:val="single" w:color="000000" w:sz="4" w:space="0"/>
              <w:left w:val="single" w:color="000000" w:sz="4" w:space="0"/>
              <w:bottom w:val="single" w:color="000000" w:sz="4" w:space="0"/>
              <w:right w:val="single" w:color="000000" w:sz="4" w:space="0"/>
            </w:tcBorders>
            <w:noWrap w:val="0"/>
            <w:vAlign w:val="center"/>
          </w:tcPr>
          <w:p w14:paraId="4720EE6C">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14:paraId="5C99A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9" w:hRule="atLeast"/>
          <w:jc w:val="center"/>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1732A91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969" w:type="dxa"/>
            <w:gridSpan w:val="2"/>
            <w:tcBorders>
              <w:top w:val="single" w:color="000000" w:sz="4" w:space="0"/>
              <w:left w:val="single" w:color="000000" w:sz="4" w:space="0"/>
              <w:right w:val="single" w:color="auto" w:sz="4" w:space="0"/>
            </w:tcBorders>
            <w:noWrap w:val="0"/>
            <w:vAlign w:val="center"/>
          </w:tcPr>
          <w:p w14:paraId="140505E3">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951" w:type="dxa"/>
            <w:tcBorders>
              <w:top w:val="single" w:color="000000" w:sz="4" w:space="0"/>
              <w:left w:val="single" w:color="auto" w:sz="4" w:space="0"/>
              <w:right w:val="single" w:color="000000" w:sz="4" w:space="0"/>
            </w:tcBorders>
            <w:noWrap w:val="0"/>
            <w:vAlign w:val="center"/>
          </w:tcPr>
          <w:p w14:paraId="13EEA945">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3198" w:type="dxa"/>
            <w:tcBorders>
              <w:top w:val="single" w:color="000000" w:sz="4" w:space="0"/>
              <w:left w:val="single" w:color="000000" w:sz="4" w:space="0"/>
              <w:bottom w:val="single" w:color="000000" w:sz="4" w:space="0"/>
              <w:right w:val="single" w:color="000000" w:sz="4" w:space="0"/>
            </w:tcBorders>
            <w:noWrap w:val="0"/>
            <w:vAlign w:val="center"/>
          </w:tcPr>
          <w:p w14:paraId="03861432">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118" w:type="dxa"/>
            <w:gridSpan w:val="2"/>
            <w:tcBorders>
              <w:top w:val="single" w:color="000000" w:sz="4" w:space="0"/>
              <w:left w:val="single" w:color="000000" w:sz="4" w:space="0"/>
              <w:bottom w:val="single" w:color="000000" w:sz="4" w:space="0"/>
              <w:right w:val="single" w:color="000000" w:sz="4" w:space="0"/>
            </w:tcBorders>
            <w:noWrap w:val="0"/>
            <w:vAlign w:val="center"/>
          </w:tcPr>
          <w:p w14:paraId="3CC7DB95">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2311" w:type="dxa"/>
            <w:gridSpan w:val="2"/>
            <w:tcBorders>
              <w:top w:val="single" w:color="000000" w:sz="4" w:space="0"/>
              <w:left w:val="single" w:color="000000" w:sz="4" w:space="0"/>
              <w:bottom w:val="single" w:color="000000" w:sz="4" w:space="0"/>
              <w:right w:val="single" w:color="000000" w:sz="4" w:space="0"/>
            </w:tcBorders>
            <w:noWrap w:val="0"/>
            <w:vAlign w:val="center"/>
          </w:tcPr>
          <w:p w14:paraId="12D412D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r w14:paraId="078FEC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6" w:hRule="atLeast"/>
          <w:jc w:val="center"/>
        </w:trPr>
        <w:tc>
          <w:tcPr>
            <w:tcW w:w="589" w:type="dxa"/>
            <w:tcBorders>
              <w:top w:val="single" w:color="000000" w:sz="4" w:space="0"/>
              <w:left w:val="single" w:color="000000" w:sz="4" w:space="0"/>
              <w:bottom w:val="single" w:color="000000" w:sz="4" w:space="0"/>
              <w:right w:val="single" w:color="000000" w:sz="4" w:space="0"/>
            </w:tcBorders>
            <w:noWrap w:val="0"/>
            <w:vAlign w:val="center"/>
          </w:tcPr>
          <w:p w14:paraId="2ACBDA7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969" w:type="dxa"/>
            <w:gridSpan w:val="2"/>
            <w:tcBorders>
              <w:top w:val="single" w:color="000000" w:sz="4" w:space="0"/>
              <w:left w:val="single" w:color="000000" w:sz="4" w:space="0"/>
              <w:bottom w:val="single" w:color="000000" w:sz="4" w:space="0"/>
              <w:right w:val="single" w:color="auto" w:sz="4" w:space="0"/>
            </w:tcBorders>
            <w:noWrap w:val="0"/>
            <w:vAlign w:val="center"/>
          </w:tcPr>
          <w:p w14:paraId="109FC803">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951" w:type="dxa"/>
            <w:tcBorders>
              <w:top w:val="single" w:color="000000" w:sz="4" w:space="0"/>
              <w:left w:val="single" w:color="auto" w:sz="4" w:space="0"/>
              <w:bottom w:val="single" w:color="000000" w:sz="4" w:space="0"/>
              <w:right w:val="single" w:color="000000" w:sz="4" w:space="0"/>
            </w:tcBorders>
            <w:noWrap w:val="0"/>
            <w:vAlign w:val="center"/>
          </w:tcPr>
          <w:p w14:paraId="5F5FCBA4">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3198" w:type="dxa"/>
            <w:tcBorders>
              <w:top w:val="single" w:color="000000" w:sz="4" w:space="0"/>
              <w:left w:val="single" w:color="000000" w:sz="4" w:space="0"/>
              <w:bottom w:val="single" w:color="000000" w:sz="4" w:space="0"/>
              <w:right w:val="single" w:color="000000" w:sz="4" w:space="0"/>
            </w:tcBorders>
            <w:noWrap w:val="0"/>
            <w:vAlign w:val="center"/>
          </w:tcPr>
          <w:p w14:paraId="2264DF6E">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118" w:type="dxa"/>
            <w:gridSpan w:val="2"/>
            <w:tcBorders>
              <w:top w:val="single" w:color="000000" w:sz="4" w:space="0"/>
              <w:left w:val="single" w:color="000000" w:sz="4" w:space="0"/>
              <w:bottom w:val="single" w:color="000000" w:sz="4" w:space="0"/>
              <w:right w:val="single" w:color="000000" w:sz="4" w:space="0"/>
            </w:tcBorders>
            <w:noWrap w:val="0"/>
            <w:vAlign w:val="center"/>
          </w:tcPr>
          <w:p w14:paraId="0E44ABC8">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2311" w:type="dxa"/>
            <w:gridSpan w:val="2"/>
            <w:tcBorders>
              <w:top w:val="single" w:color="000000" w:sz="4" w:space="0"/>
              <w:left w:val="single" w:color="000000" w:sz="4" w:space="0"/>
              <w:bottom w:val="single" w:color="000000" w:sz="4" w:space="0"/>
              <w:right w:val="single" w:color="000000" w:sz="4" w:space="0"/>
            </w:tcBorders>
            <w:noWrap w:val="0"/>
            <w:vAlign w:val="center"/>
          </w:tcPr>
          <w:p w14:paraId="63E103B8">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p>
        </w:tc>
      </w:tr>
    </w:tbl>
    <w:p w14:paraId="72FF0FB5">
      <w:pPr>
        <w:spacing w:line="360" w:lineRule="auto"/>
        <w:ind w:firstLine="480" w:firstLineChars="200"/>
        <w:rPr>
          <w:rFonts w:hint="eastAsia" w:ascii="宋体" w:hAnsi="宋体"/>
          <w:sz w:val="24"/>
        </w:rPr>
      </w:pPr>
      <w:r>
        <w:rPr>
          <w:rFonts w:hint="eastAsia" w:ascii="宋体" w:hAnsi="宋体"/>
          <w:sz w:val="24"/>
        </w:rPr>
        <w:t>九、包装</w:t>
      </w:r>
    </w:p>
    <w:p w14:paraId="1CE7CA72">
      <w:pPr>
        <w:spacing w:line="360" w:lineRule="auto"/>
        <w:ind w:firstLine="480" w:firstLineChars="200"/>
        <w:rPr>
          <w:rFonts w:hint="eastAsia" w:ascii="宋体" w:hAnsi="宋体"/>
          <w:sz w:val="24"/>
        </w:rPr>
      </w:pPr>
      <w:r>
        <w:rPr>
          <w:rFonts w:hint="eastAsia" w:ascii="宋体" w:hAnsi="宋体"/>
          <w:sz w:val="24"/>
        </w:rPr>
        <w:t>货物的包装应按照国家或业务主管部门的技术规定执行，国家或业务主管部门无技术规定的，应当按双方约定采取足以保护货物安全、完好的包装方式。</w:t>
      </w:r>
    </w:p>
    <w:p w14:paraId="79E2FC2D">
      <w:pPr>
        <w:spacing w:line="360" w:lineRule="auto"/>
        <w:ind w:firstLine="480" w:firstLineChars="200"/>
        <w:outlineLvl w:val="1"/>
        <w:rPr>
          <w:rFonts w:hint="eastAsia" w:ascii="宋体" w:hAnsi="宋体"/>
          <w:sz w:val="24"/>
        </w:rPr>
      </w:pPr>
      <w:bookmarkStart w:id="419" w:name="_Toc23018"/>
      <w:r>
        <w:rPr>
          <w:rFonts w:hint="eastAsia" w:ascii="宋体" w:hAnsi="宋体"/>
          <w:sz w:val="24"/>
        </w:rPr>
        <w:t>十、运输要求</w:t>
      </w:r>
      <w:bookmarkEnd w:id="419"/>
    </w:p>
    <w:p w14:paraId="7D9C69B0">
      <w:pPr>
        <w:spacing w:line="360" w:lineRule="auto"/>
        <w:ind w:firstLine="480" w:firstLineChars="200"/>
        <w:rPr>
          <w:rFonts w:hint="eastAsia" w:ascii="宋体" w:hAnsi="宋体"/>
          <w:sz w:val="24"/>
        </w:rPr>
      </w:pPr>
      <w:r>
        <w:rPr>
          <w:rFonts w:hint="eastAsia" w:ascii="宋体" w:hAnsi="宋体"/>
          <w:sz w:val="24"/>
        </w:rPr>
        <w:t>1、运输方式及线路：                                             。</w:t>
      </w:r>
    </w:p>
    <w:p w14:paraId="338EE010">
      <w:pPr>
        <w:spacing w:line="360" w:lineRule="auto"/>
        <w:ind w:firstLine="480" w:firstLineChars="200"/>
        <w:rPr>
          <w:rFonts w:hint="eastAsia" w:ascii="宋体" w:hAnsi="宋体"/>
          <w:sz w:val="24"/>
        </w:rPr>
      </w:pPr>
      <w:r>
        <w:rPr>
          <w:rFonts w:hint="eastAsia" w:ascii="宋体" w:hAnsi="宋体"/>
          <w:sz w:val="24"/>
        </w:rPr>
        <w:t>2、运输及相关费用由乙方承担。</w:t>
      </w:r>
    </w:p>
    <w:p w14:paraId="1681E4A1">
      <w:pPr>
        <w:spacing w:line="360" w:lineRule="auto"/>
        <w:ind w:firstLine="480" w:firstLineChars="200"/>
        <w:outlineLvl w:val="1"/>
        <w:rPr>
          <w:rFonts w:hint="eastAsia" w:ascii="宋体" w:hAnsi="宋体"/>
          <w:sz w:val="24"/>
        </w:rPr>
      </w:pPr>
      <w:bookmarkStart w:id="420" w:name="_Toc21706"/>
      <w:r>
        <w:rPr>
          <w:rFonts w:hint="eastAsia" w:ascii="宋体" w:hAnsi="宋体"/>
          <w:sz w:val="24"/>
        </w:rPr>
        <w:t>十一、知识产权</w:t>
      </w:r>
      <w:bookmarkEnd w:id="420"/>
    </w:p>
    <w:p w14:paraId="69E21FEC">
      <w:pPr>
        <w:spacing w:line="360" w:lineRule="auto"/>
        <w:ind w:firstLine="480" w:firstLineChars="200"/>
        <w:rPr>
          <w:rFonts w:hint="eastAsia" w:ascii="宋体" w:hAnsi="宋体"/>
          <w:sz w:val="24"/>
        </w:rPr>
      </w:pPr>
      <w:r>
        <w:rPr>
          <w:rFonts w:hint="eastAsia" w:ascii="宋体" w:hAnsi="宋体"/>
          <w:sz w:val="24"/>
        </w:rPr>
        <w:t>乙方应保证甲方在中国境内使用货物或货物的任何一部分时，免受第三方提出的侵犯其知识产权的诉讼。</w:t>
      </w:r>
    </w:p>
    <w:p w14:paraId="1E1968BD">
      <w:pPr>
        <w:spacing w:line="360" w:lineRule="auto"/>
        <w:ind w:firstLine="480" w:firstLineChars="200"/>
        <w:outlineLvl w:val="1"/>
        <w:rPr>
          <w:rFonts w:hint="eastAsia" w:ascii="宋体" w:hAnsi="宋体"/>
          <w:sz w:val="24"/>
        </w:rPr>
      </w:pPr>
      <w:bookmarkStart w:id="421" w:name="_Toc16380"/>
      <w:r>
        <w:rPr>
          <w:rFonts w:hint="eastAsia" w:ascii="宋体" w:hAnsi="宋体"/>
          <w:sz w:val="24"/>
        </w:rPr>
        <w:t>十二、验收</w:t>
      </w:r>
      <w:bookmarkEnd w:id="421"/>
    </w:p>
    <w:p w14:paraId="4F9071FD">
      <w:pPr>
        <w:spacing w:line="360" w:lineRule="auto"/>
        <w:ind w:firstLine="480" w:firstLineChars="200"/>
        <w:rPr>
          <w:rFonts w:hint="eastAsia" w:ascii="宋体" w:hAnsi="宋体"/>
          <w:sz w:val="24"/>
        </w:rPr>
      </w:pPr>
      <w:r>
        <w:rPr>
          <w:rFonts w:hint="eastAsia" w:ascii="宋体" w:hAnsi="宋体"/>
          <w:sz w:val="24"/>
        </w:rPr>
        <w:t>1、货物运达甲方指定的交货地点后，由甲乙双方一同验收并签字确认。</w:t>
      </w:r>
    </w:p>
    <w:p w14:paraId="5361BDD4">
      <w:pPr>
        <w:spacing w:line="360" w:lineRule="auto"/>
        <w:ind w:firstLine="480" w:firstLineChars="200"/>
        <w:rPr>
          <w:rFonts w:hint="eastAsia" w:ascii="宋体" w:hAnsi="宋体"/>
          <w:sz w:val="24"/>
        </w:rPr>
      </w:pPr>
      <w:r>
        <w:rPr>
          <w:rFonts w:hint="eastAsia" w:ascii="宋体" w:hAnsi="宋体"/>
          <w:sz w:val="24"/>
        </w:rPr>
        <w:t>2、对货物的质量问题，甲方应在发现后向乙方提出书面异议，乙方在接到书面异议后，应当在</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日内负责处理。甲方逾期提出的，对所交货物视为符合合同的规定。如果乙方在投标文件及谈判过程中做出的书面说明及承诺中，有明确质量保证期的，适用质量保证期。</w:t>
      </w:r>
    </w:p>
    <w:p w14:paraId="2C4FD38E">
      <w:pPr>
        <w:spacing w:line="360" w:lineRule="auto"/>
        <w:ind w:firstLine="480" w:firstLineChars="200"/>
        <w:rPr>
          <w:rFonts w:hint="eastAsia" w:ascii="宋体" w:hAnsi="宋体"/>
          <w:sz w:val="24"/>
        </w:rPr>
      </w:pPr>
      <w:r>
        <w:rPr>
          <w:rFonts w:hint="eastAsia" w:ascii="宋体" w:hAnsi="宋体"/>
          <w:sz w:val="24"/>
        </w:rPr>
        <w:t>3、经双方共同验收，货物达不到质量或规格要求的，甲方可以拒收，并可解除合同且不承担任何法律责任。</w:t>
      </w:r>
    </w:p>
    <w:p w14:paraId="29EA0815">
      <w:pPr>
        <w:spacing w:line="360" w:lineRule="auto"/>
        <w:ind w:firstLine="480" w:firstLineChars="200"/>
        <w:outlineLvl w:val="1"/>
        <w:rPr>
          <w:rFonts w:hint="eastAsia" w:ascii="宋体" w:hAnsi="宋体"/>
          <w:sz w:val="24"/>
        </w:rPr>
      </w:pPr>
      <w:bookmarkStart w:id="422" w:name="_Toc31076"/>
      <w:r>
        <w:rPr>
          <w:rFonts w:hint="eastAsia" w:ascii="宋体" w:hAnsi="宋体"/>
          <w:sz w:val="24"/>
        </w:rPr>
        <w:t>十三、售后服务</w:t>
      </w:r>
      <w:bookmarkEnd w:id="422"/>
    </w:p>
    <w:p w14:paraId="5AB3859A">
      <w:pPr>
        <w:spacing w:line="360" w:lineRule="auto"/>
        <w:ind w:firstLine="480" w:firstLineChars="200"/>
        <w:rPr>
          <w:rFonts w:hint="eastAsia" w:ascii="宋体" w:hAnsi="宋体"/>
          <w:sz w:val="24"/>
        </w:rPr>
      </w:pPr>
      <w:r>
        <w:rPr>
          <w:rFonts w:hint="eastAsia" w:ascii="宋体" w:hAnsi="宋体"/>
          <w:sz w:val="24"/>
        </w:rPr>
        <w:t>1、乙方应按</w:t>
      </w:r>
      <w:r>
        <w:rPr>
          <w:rFonts w:hint="eastAsia" w:ascii="宋体" w:hAnsi="宋体"/>
          <w:sz w:val="24"/>
          <w:lang w:val="en-US" w:eastAsia="zh-CN"/>
        </w:rPr>
        <w:t>招标</w:t>
      </w:r>
      <w:r>
        <w:rPr>
          <w:rFonts w:hint="eastAsia" w:ascii="宋体" w:hAnsi="宋体"/>
          <w:sz w:val="24"/>
          <w:lang w:eastAsia="zh-CN"/>
        </w:rPr>
        <w:t>文件</w:t>
      </w:r>
      <w:r>
        <w:rPr>
          <w:rFonts w:hint="eastAsia" w:ascii="宋体" w:hAnsi="宋体"/>
          <w:sz w:val="24"/>
        </w:rPr>
        <w:t>、投标文件及乙方在谈判过程中做出的书面说明或承诺提供及时、快速、优质的售后服务。</w:t>
      </w:r>
    </w:p>
    <w:p w14:paraId="4C214F50">
      <w:pPr>
        <w:spacing w:line="360" w:lineRule="auto"/>
        <w:ind w:firstLine="480" w:firstLineChars="200"/>
        <w:rPr>
          <w:rFonts w:hint="eastAsia" w:ascii="宋体" w:hAnsi="宋体"/>
          <w:sz w:val="24"/>
        </w:rPr>
      </w:pPr>
      <w:r>
        <w:rPr>
          <w:rFonts w:hint="eastAsia" w:ascii="宋体" w:hAnsi="宋体"/>
          <w:sz w:val="24"/>
        </w:rPr>
        <w:t>2、乙方提供货物的质量保证期为</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个月（自交货验收合格之日算起）。</w:t>
      </w:r>
    </w:p>
    <w:p w14:paraId="5E7EF7B7">
      <w:pPr>
        <w:spacing w:line="360" w:lineRule="auto"/>
        <w:ind w:firstLine="480" w:firstLineChars="200"/>
        <w:rPr>
          <w:rFonts w:hint="eastAsia" w:ascii="宋体" w:hAnsi="宋体"/>
          <w:sz w:val="24"/>
          <w:lang w:val="en-US" w:eastAsia="zh-CN"/>
        </w:rPr>
      </w:pPr>
      <w:r>
        <w:rPr>
          <w:rFonts w:hint="eastAsia" w:ascii="宋体" w:hAnsi="宋体"/>
          <w:sz w:val="24"/>
          <w:lang w:val="en-US" w:eastAsia="zh-CN"/>
        </w:rPr>
        <w:t>3、其他售后服务内容：</w:t>
      </w:r>
    </w:p>
    <w:p w14:paraId="31AFE95A">
      <w:pPr>
        <w:spacing w:line="360" w:lineRule="auto"/>
        <w:ind w:firstLine="480" w:firstLineChars="200"/>
        <w:outlineLvl w:val="1"/>
        <w:rPr>
          <w:rFonts w:hint="eastAsia" w:ascii="宋体" w:hAnsi="宋体"/>
          <w:sz w:val="24"/>
        </w:rPr>
      </w:pPr>
      <w:bookmarkStart w:id="423" w:name="_Toc28900"/>
      <w:r>
        <w:rPr>
          <w:rFonts w:ascii="宋体" w:hAnsi="宋体"/>
          <w:sz w:val="24"/>
        </w:rPr>
        <w:t>十四、违约条款</w:t>
      </w:r>
      <w:bookmarkEnd w:id="423"/>
    </w:p>
    <w:p w14:paraId="066D21F4">
      <w:pPr>
        <w:spacing w:line="360" w:lineRule="auto"/>
        <w:ind w:firstLine="480" w:firstLineChars="200"/>
        <w:rPr>
          <w:rFonts w:ascii="宋体" w:hAnsi="宋体"/>
          <w:sz w:val="24"/>
        </w:rPr>
      </w:pPr>
      <w:r>
        <w:rPr>
          <w:rFonts w:hint="eastAsia" w:ascii="宋体" w:hAnsi="宋体"/>
          <w:sz w:val="24"/>
        </w:rPr>
        <w:t>1、乙方延迟交货，每延迟</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日，按应交付货物总额</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支付违约金。</w:t>
      </w:r>
    </w:p>
    <w:p w14:paraId="65224844">
      <w:pPr>
        <w:spacing w:line="360" w:lineRule="auto"/>
        <w:ind w:firstLine="480" w:firstLineChars="200"/>
        <w:rPr>
          <w:rFonts w:hint="eastAsia" w:ascii="宋体" w:hAnsi="宋体"/>
          <w:sz w:val="24"/>
        </w:rPr>
      </w:pPr>
      <w:r>
        <w:rPr>
          <w:rFonts w:hint="eastAsia" w:ascii="宋体" w:hAnsi="宋体"/>
          <w:sz w:val="24"/>
        </w:rPr>
        <w:t>2、乙方履行合同不符合规定，除应按合同约定及时调换外，在调换货物期间，应按调换货物金额每日</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向甲方支付违约金。</w:t>
      </w:r>
    </w:p>
    <w:p w14:paraId="39CAA149">
      <w:pPr>
        <w:spacing w:line="360" w:lineRule="auto"/>
        <w:ind w:firstLine="480" w:firstLineChars="200"/>
        <w:rPr>
          <w:rFonts w:hint="eastAsia" w:ascii="宋体" w:hAnsi="宋体"/>
          <w:sz w:val="24"/>
        </w:rPr>
      </w:pPr>
      <w:r>
        <w:rPr>
          <w:rFonts w:hint="eastAsia" w:ascii="宋体" w:hAnsi="宋体"/>
          <w:sz w:val="24"/>
        </w:rPr>
        <w:t>3、一方不按期履行合同，并经另一方提示后</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日内仍不履行合同的，守约方有权解除合同，违约方要承担相应的法律责任。</w:t>
      </w:r>
    </w:p>
    <w:p w14:paraId="3039B8AF">
      <w:pPr>
        <w:spacing w:line="360" w:lineRule="auto"/>
        <w:ind w:firstLine="480" w:firstLineChars="200"/>
        <w:rPr>
          <w:rFonts w:hint="eastAsia" w:ascii="宋体" w:hAnsi="宋体"/>
          <w:sz w:val="24"/>
        </w:rPr>
      </w:pPr>
      <w:r>
        <w:rPr>
          <w:rFonts w:hint="eastAsia" w:ascii="宋体" w:hAnsi="宋体"/>
          <w:sz w:val="24"/>
        </w:rPr>
        <w:t>4、如因一方违约，双方未能就赔偿损失达成协议，引起诉讼或仲裁时，违约方除应赔偿对方经济损失外，还应承担因诉讼或仲裁所支付的律师代理费等相关费用。</w:t>
      </w:r>
    </w:p>
    <w:p w14:paraId="2D874934">
      <w:pPr>
        <w:spacing w:line="360" w:lineRule="auto"/>
        <w:ind w:firstLine="480" w:firstLineChars="200"/>
        <w:rPr>
          <w:rFonts w:hint="eastAsia" w:ascii="宋体" w:hAnsi="宋体"/>
          <w:sz w:val="24"/>
        </w:rPr>
      </w:pPr>
      <w:r>
        <w:rPr>
          <w:rFonts w:hint="eastAsia" w:ascii="宋体" w:hAnsi="宋体"/>
          <w:sz w:val="24"/>
        </w:rPr>
        <w:t>5、其它应承担的违约责任，以《中华人民共和国合同法》和其它有关法律、法规规定为准，无相关规定的，双方协商解决。</w:t>
      </w:r>
    </w:p>
    <w:p w14:paraId="59CA2988">
      <w:pPr>
        <w:spacing w:line="360" w:lineRule="auto"/>
        <w:ind w:firstLine="480" w:firstLineChars="200"/>
        <w:rPr>
          <w:rFonts w:hint="eastAsia" w:ascii="宋体" w:hAnsi="宋体"/>
          <w:sz w:val="24"/>
        </w:rPr>
      </w:pPr>
      <w:r>
        <w:rPr>
          <w:rFonts w:hint="eastAsia" w:ascii="宋体" w:hAnsi="宋体"/>
          <w:sz w:val="24"/>
        </w:rPr>
        <w:t>6、按照本合同规定应该偿付的违约金、赔偿金等，应当在明确责任后</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日内，按银行规定或双方商定的结算办法付清，否则按逾期付款处理。</w:t>
      </w:r>
    </w:p>
    <w:p w14:paraId="3183A790">
      <w:pPr>
        <w:spacing w:line="360" w:lineRule="auto"/>
        <w:ind w:firstLine="480" w:firstLineChars="200"/>
        <w:outlineLvl w:val="1"/>
        <w:rPr>
          <w:rFonts w:hint="eastAsia" w:ascii="宋体" w:hAnsi="宋体"/>
          <w:sz w:val="24"/>
        </w:rPr>
      </w:pPr>
      <w:bookmarkStart w:id="424" w:name="_Toc8491"/>
      <w:r>
        <w:rPr>
          <w:rFonts w:ascii="宋体" w:hAnsi="宋体"/>
          <w:sz w:val="24"/>
        </w:rPr>
        <w:t>十五、不可抗力条款</w:t>
      </w:r>
      <w:bookmarkEnd w:id="424"/>
    </w:p>
    <w:p w14:paraId="65864C69">
      <w:pPr>
        <w:spacing w:line="360" w:lineRule="auto"/>
        <w:ind w:firstLine="480" w:firstLineChars="200"/>
        <w:rPr>
          <w:rFonts w:ascii="宋体" w:hAnsi="宋体"/>
          <w:sz w:val="24"/>
        </w:rPr>
      </w:pPr>
      <w:r>
        <w:rPr>
          <w:rFonts w:hint="eastAsia" w:ascii="宋体" w:hAnsi="宋体"/>
          <w:sz w:val="24"/>
        </w:rPr>
        <w:t>因不可抗力致使一方不能及时或完全履行合同的，应及时通知招标代理机构及另一方，双方互不承担责任，并在</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天内提供有关不可抗力的相应证明。合同未履行部分是否继续履行、如何履行等问题，可由双方协商解决。</w:t>
      </w:r>
    </w:p>
    <w:p w14:paraId="3D8553A3">
      <w:pPr>
        <w:spacing w:line="360" w:lineRule="auto"/>
        <w:ind w:firstLine="480" w:firstLineChars="200"/>
        <w:outlineLvl w:val="1"/>
        <w:rPr>
          <w:rFonts w:hint="eastAsia" w:ascii="宋体" w:hAnsi="宋体"/>
          <w:sz w:val="24"/>
        </w:rPr>
      </w:pPr>
      <w:bookmarkStart w:id="425" w:name="_Toc1580"/>
      <w:r>
        <w:rPr>
          <w:rFonts w:ascii="宋体" w:hAnsi="宋体"/>
          <w:sz w:val="24"/>
        </w:rPr>
        <w:t>十六、争议的解决方式</w:t>
      </w:r>
      <w:bookmarkEnd w:id="425"/>
    </w:p>
    <w:p w14:paraId="501DA7E7">
      <w:pPr>
        <w:spacing w:line="360" w:lineRule="auto"/>
        <w:ind w:firstLine="480" w:firstLineChars="200"/>
        <w:rPr>
          <w:rFonts w:ascii="宋体" w:hAnsi="宋体"/>
          <w:sz w:val="24"/>
        </w:rPr>
      </w:pPr>
      <w:r>
        <w:rPr>
          <w:rFonts w:hint="eastAsia" w:ascii="宋体" w:hAnsi="宋体"/>
          <w:sz w:val="24"/>
        </w:rPr>
        <w:t>合同发生纠纷时，双方应协商解决，协商不成可以采用下列方式解决：</w:t>
      </w:r>
    </w:p>
    <w:p w14:paraId="28E95344">
      <w:pPr>
        <w:spacing w:line="360" w:lineRule="auto"/>
        <w:ind w:firstLine="480" w:firstLineChars="200"/>
        <w:rPr>
          <w:rFonts w:hint="eastAsia" w:ascii="宋体" w:hAnsi="宋体"/>
          <w:sz w:val="24"/>
        </w:rPr>
      </w:pPr>
      <w:r>
        <w:rPr>
          <w:rFonts w:hint="eastAsia" w:ascii="宋体" w:hAnsi="宋体"/>
          <w:sz w:val="24"/>
        </w:rPr>
        <w:t>1、提交仲裁委员会仲裁；</w:t>
      </w:r>
    </w:p>
    <w:p w14:paraId="2BA18895">
      <w:pPr>
        <w:spacing w:line="360" w:lineRule="auto"/>
        <w:ind w:firstLine="480" w:firstLineChars="200"/>
        <w:rPr>
          <w:rFonts w:hint="eastAsia" w:ascii="宋体" w:hAnsi="宋体"/>
          <w:sz w:val="24"/>
        </w:rPr>
      </w:pPr>
      <w:r>
        <w:rPr>
          <w:rFonts w:hint="eastAsia" w:ascii="宋体" w:hAnsi="宋体"/>
          <w:sz w:val="24"/>
        </w:rPr>
        <w:t>2、向人民法院诉讼。</w:t>
      </w:r>
    </w:p>
    <w:p w14:paraId="2D17C900">
      <w:pPr>
        <w:spacing w:line="360" w:lineRule="auto"/>
        <w:ind w:firstLine="480" w:firstLineChars="200"/>
        <w:outlineLvl w:val="1"/>
        <w:rPr>
          <w:rFonts w:hint="eastAsia" w:ascii="宋体" w:hAnsi="宋体"/>
          <w:sz w:val="24"/>
        </w:rPr>
      </w:pPr>
      <w:bookmarkStart w:id="426" w:name="_Toc1816"/>
      <w:r>
        <w:rPr>
          <w:rFonts w:ascii="宋体" w:hAnsi="宋体"/>
          <w:sz w:val="24"/>
        </w:rPr>
        <w:t>十七、补充协议</w:t>
      </w:r>
      <w:bookmarkEnd w:id="426"/>
    </w:p>
    <w:p w14:paraId="11B576A0">
      <w:pPr>
        <w:spacing w:line="360" w:lineRule="auto"/>
        <w:ind w:firstLine="480" w:firstLineChars="200"/>
        <w:rPr>
          <w:rFonts w:ascii="宋体" w:hAnsi="宋体"/>
          <w:sz w:val="24"/>
        </w:rPr>
      </w:pPr>
      <w:r>
        <w:rPr>
          <w:rFonts w:hint="eastAsia" w:ascii="宋体" w:hAnsi="宋体"/>
          <w:sz w:val="24"/>
        </w:rPr>
        <w:t>合同未尽事宜，经双方协商可签订补充协议，所签订的补充协议与本合同具有同等的法律效力，补充协议的生效应符合本合同的有关规定。合同补充条款应同时报同级财政部门备案。</w:t>
      </w:r>
    </w:p>
    <w:p w14:paraId="0BB20A5C">
      <w:pPr>
        <w:spacing w:line="360" w:lineRule="auto"/>
        <w:ind w:firstLine="480" w:firstLineChars="200"/>
        <w:outlineLvl w:val="1"/>
        <w:rPr>
          <w:rFonts w:hint="eastAsia" w:ascii="宋体" w:hAnsi="宋体"/>
          <w:sz w:val="24"/>
        </w:rPr>
      </w:pPr>
      <w:bookmarkStart w:id="427" w:name="_Toc54"/>
      <w:r>
        <w:rPr>
          <w:rFonts w:hint="eastAsia" w:ascii="宋体" w:hAnsi="宋体"/>
          <w:sz w:val="24"/>
        </w:rPr>
        <w:t>十八、合同保存</w:t>
      </w:r>
      <w:bookmarkEnd w:id="427"/>
    </w:p>
    <w:p w14:paraId="270F408E">
      <w:pPr>
        <w:spacing w:line="360" w:lineRule="auto"/>
        <w:ind w:firstLine="480" w:firstLineChars="200"/>
        <w:rPr>
          <w:rFonts w:hint="eastAsia" w:ascii="宋体" w:hAnsi="宋体"/>
          <w:sz w:val="24"/>
          <w:u w:val="single"/>
        </w:rPr>
      </w:pPr>
      <w:r>
        <w:rPr>
          <w:rFonts w:hint="eastAsia" w:ascii="宋体" w:hAnsi="宋体"/>
          <w:sz w:val="24"/>
        </w:rPr>
        <w:t>本合同一式</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份，甲方</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份，乙方</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份，招标代理机构</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份 ，</w:t>
      </w:r>
      <w:r>
        <w:rPr>
          <w:rFonts w:hint="eastAsia" w:ascii="宋体" w:hAnsi="宋体"/>
          <w:sz w:val="24"/>
          <w:u w:val="single"/>
        </w:rPr>
        <w:t xml:space="preserve">  </w:t>
      </w:r>
    </w:p>
    <w:p w14:paraId="2ABA2AF8">
      <w:pPr>
        <w:spacing w:line="360" w:lineRule="auto"/>
        <w:ind w:firstLine="480" w:firstLineChars="200"/>
        <w:rPr>
          <w:rFonts w:hint="eastAsia" w:ascii="宋体" w:hAnsi="宋体"/>
          <w:sz w:val="24"/>
        </w:rPr>
      </w:pP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市（县、区）财政部门</w:t>
      </w:r>
      <w:r>
        <w:rPr>
          <w:rFonts w:hint="eastAsia" w:ascii="宋体" w:hAnsi="宋体"/>
          <w:sz w:val="24"/>
          <w:u w:val="single"/>
        </w:rPr>
        <w:t xml:space="preserve"> </w:t>
      </w:r>
      <w:r>
        <w:rPr>
          <w:rFonts w:hint="eastAsia" w:ascii="宋体" w:hAnsi="宋体"/>
          <w:sz w:val="24"/>
          <w:u w:val="single"/>
          <w:lang w:val="en-US" w:eastAsia="zh-CN"/>
        </w:rPr>
        <w:t>1</w:t>
      </w:r>
      <w:r>
        <w:rPr>
          <w:rFonts w:hint="eastAsia" w:ascii="宋体" w:hAnsi="宋体"/>
          <w:sz w:val="24"/>
          <w:u w:val="single"/>
        </w:rPr>
        <w:t xml:space="preserve"> </w:t>
      </w:r>
      <w:r>
        <w:rPr>
          <w:rFonts w:hint="eastAsia" w:ascii="宋体" w:hAnsi="宋体"/>
          <w:sz w:val="24"/>
        </w:rPr>
        <w:t>份。</w:t>
      </w:r>
    </w:p>
    <w:p w14:paraId="0124485C">
      <w:pPr>
        <w:spacing w:line="360" w:lineRule="auto"/>
        <w:ind w:firstLine="480" w:firstLineChars="200"/>
        <w:rPr>
          <w:rFonts w:hint="eastAsia" w:ascii="宋体" w:hAnsi="宋体"/>
          <w:sz w:val="24"/>
        </w:rPr>
      </w:pPr>
      <w:r>
        <w:rPr>
          <w:rFonts w:hint="eastAsia" w:ascii="宋体" w:hAnsi="宋体"/>
          <w:sz w:val="24"/>
        </w:rPr>
        <w:t xml:space="preserve">十九、其他需要补充的内容：                       </w:t>
      </w:r>
    </w:p>
    <w:p w14:paraId="5BF6F0DC">
      <w:pPr>
        <w:spacing w:line="360" w:lineRule="auto"/>
        <w:rPr>
          <w:rFonts w:hint="eastAsia" w:ascii="宋体" w:hAnsi="宋体"/>
          <w:sz w:val="24"/>
        </w:rPr>
      </w:pPr>
    </w:p>
    <w:p w14:paraId="49A7DE25">
      <w:pPr>
        <w:spacing w:line="360" w:lineRule="auto"/>
        <w:ind w:firstLine="480" w:firstLineChars="200"/>
        <w:rPr>
          <w:rFonts w:hint="eastAsia" w:ascii="宋体" w:hAnsi="宋体" w:eastAsia="宋体"/>
          <w:sz w:val="24"/>
          <w:lang w:val="en-US" w:eastAsia="zh-CN"/>
        </w:rPr>
      </w:pPr>
      <w:r>
        <w:rPr>
          <w:rFonts w:hint="eastAsia" w:ascii="宋体" w:hAnsi="宋体"/>
          <w:sz w:val="24"/>
        </w:rPr>
        <w:t xml:space="preserve">甲方：                              </w:t>
      </w:r>
      <w:r>
        <w:rPr>
          <w:rFonts w:hint="eastAsia" w:ascii="宋体" w:hAnsi="宋体"/>
          <w:sz w:val="24"/>
          <w:lang w:val="en-US" w:eastAsia="zh-CN"/>
        </w:rPr>
        <w:t xml:space="preserve">   </w:t>
      </w:r>
      <w:r>
        <w:rPr>
          <w:rFonts w:hint="eastAsia" w:ascii="宋体" w:hAnsi="宋体"/>
          <w:sz w:val="24"/>
        </w:rPr>
        <w:t>乙方：</w:t>
      </w:r>
    </w:p>
    <w:p w14:paraId="295CCD8A">
      <w:pPr>
        <w:spacing w:line="360" w:lineRule="auto"/>
        <w:ind w:firstLine="480" w:firstLineChars="200"/>
        <w:rPr>
          <w:rFonts w:hint="eastAsia" w:ascii="宋体" w:hAnsi="宋体"/>
          <w:sz w:val="24"/>
        </w:rPr>
      </w:pPr>
      <w:r>
        <w:rPr>
          <w:rFonts w:hint="eastAsia" w:ascii="宋体" w:hAnsi="宋体"/>
          <w:sz w:val="24"/>
        </w:rPr>
        <w:t xml:space="preserve">单位名称(公章)：                    </w:t>
      </w:r>
      <w:r>
        <w:rPr>
          <w:rFonts w:hint="eastAsia" w:ascii="宋体" w:hAnsi="宋体"/>
          <w:sz w:val="24"/>
          <w:lang w:val="en-US" w:eastAsia="zh-CN"/>
        </w:rPr>
        <w:t xml:space="preserve">   </w:t>
      </w:r>
      <w:r>
        <w:rPr>
          <w:rFonts w:hint="eastAsia" w:ascii="宋体" w:hAnsi="宋体"/>
          <w:sz w:val="24"/>
        </w:rPr>
        <w:t>单位名称(公章)：</w:t>
      </w:r>
    </w:p>
    <w:p w14:paraId="56AA93EB">
      <w:pPr>
        <w:spacing w:line="360" w:lineRule="auto"/>
        <w:ind w:firstLine="480" w:firstLineChars="200"/>
        <w:rPr>
          <w:rFonts w:hint="eastAsia" w:ascii="宋体" w:hAnsi="宋体"/>
          <w:sz w:val="24"/>
        </w:rPr>
      </w:pPr>
      <w:r>
        <w:rPr>
          <w:rFonts w:hint="eastAsia" w:ascii="宋体" w:hAnsi="宋体"/>
          <w:sz w:val="24"/>
        </w:rPr>
        <w:t xml:space="preserve">法定代表人或其授权代表（签字）：     </w:t>
      </w:r>
      <w:r>
        <w:rPr>
          <w:rFonts w:hint="eastAsia" w:ascii="宋体" w:hAnsi="宋体"/>
          <w:sz w:val="24"/>
          <w:lang w:val="en-US" w:eastAsia="zh-CN"/>
        </w:rPr>
        <w:t xml:space="preserve">  </w:t>
      </w:r>
      <w:r>
        <w:rPr>
          <w:rFonts w:hint="eastAsia" w:ascii="宋体" w:hAnsi="宋体"/>
          <w:sz w:val="24"/>
        </w:rPr>
        <w:t>法定代表人或其授权代表（签字）：</w:t>
      </w:r>
    </w:p>
    <w:p w14:paraId="1F068F08">
      <w:pPr>
        <w:spacing w:line="360" w:lineRule="auto"/>
        <w:ind w:firstLine="480" w:firstLineChars="200"/>
        <w:rPr>
          <w:rFonts w:hint="eastAsia" w:ascii="宋体" w:hAnsi="宋体" w:eastAsia="宋体"/>
          <w:sz w:val="24"/>
          <w:lang w:val="en-US" w:eastAsia="zh-CN"/>
        </w:rPr>
      </w:pPr>
      <w:r>
        <w:rPr>
          <w:rFonts w:hint="eastAsia" w:ascii="宋体" w:hAnsi="宋体"/>
          <w:sz w:val="24"/>
        </w:rPr>
        <w:t>开户银行：</w:t>
      </w:r>
      <w:r>
        <w:rPr>
          <w:rFonts w:hint="eastAsia" w:ascii="宋体" w:hAnsi="宋体"/>
          <w:sz w:val="24"/>
          <w:lang w:val="en-US" w:eastAsia="zh-CN"/>
        </w:rPr>
        <w:t xml:space="preserve">                             开户银行：</w:t>
      </w:r>
    </w:p>
    <w:p w14:paraId="088D743A">
      <w:pPr>
        <w:spacing w:line="360" w:lineRule="auto"/>
        <w:ind w:firstLine="480" w:firstLineChars="200"/>
        <w:rPr>
          <w:rFonts w:hint="eastAsia" w:ascii="宋体" w:hAnsi="宋体" w:eastAsia="宋体"/>
          <w:sz w:val="24"/>
          <w:lang w:val="en-US" w:eastAsia="zh-CN"/>
        </w:rPr>
      </w:pPr>
      <w:r>
        <w:rPr>
          <w:rFonts w:hint="eastAsia" w:ascii="宋体" w:hAnsi="宋体"/>
          <w:sz w:val="24"/>
        </w:rPr>
        <w:t>账号：</w:t>
      </w:r>
      <w:r>
        <w:rPr>
          <w:rFonts w:hint="eastAsia" w:ascii="宋体" w:hAnsi="宋体"/>
          <w:sz w:val="24"/>
          <w:lang w:val="en-US" w:eastAsia="zh-CN"/>
        </w:rPr>
        <w:t xml:space="preserve">                                 账号：</w:t>
      </w:r>
    </w:p>
    <w:p w14:paraId="49F140E7">
      <w:pPr>
        <w:spacing w:line="360" w:lineRule="auto"/>
        <w:ind w:firstLine="480" w:firstLineChars="200"/>
        <w:rPr>
          <w:rFonts w:hint="eastAsia" w:ascii="宋体" w:hAnsi="宋体" w:eastAsia="宋体"/>
          <w:sz w:val="24"/>
          <w:lang w:val="en-US" w:eastAsia="zh-CN"/>
        </w:rPr>
      </w:pPr>
      <w:r>
        <w:rPr>
          <w:rFonts w:hint="eastAsia" w:ascii="宋体" w:hAnsi="宋体"/>
          <w:sz w:val="24"/>
        </w:rPr>
        <w:t xml:space="preserve">联系电话：                          </w:t>
      </w:r>
      <w:r>
        <w:rPr>
          <w:rFonts w:hint="eastAsia" w:ascii="宋体" w:hAnsi="宋体"/>
          <w:sz w:val="24"/>
          <w:lang w:val="en-US" w:eastAsia="zh-CN"/>
        </w:rPr>
        <w:t xml:space="preserve">   </w:t>
      </w:r>
      <w:r>
        <w:rPr>
          <w:rFonts w:hint="eastAsia" w:ascii="宋体" w:hAnsi="宋体"/>
          <w:sz w:val="24"/>
        </w:rPr>
        <w:t>联系电话：</w:t>
      </w:r>
    </w:p>
    <w:p w14:paraId="4C7565B8">
      <w:pPr>
        <w:spacing w:line="360" w:lineRule="auto"/>
        <w:ind w:firstLine="480" w:firstLineChars="200"/>
        <w:rPr>
          <w:rFonts w:hint="eastAsia"/>
          <w:color w:val="auto"/>
          <w:sz w:val="36"/>
          <w:szCs w:val="36"/>
        </w:rPr>
        <w:sectPr>
          <w:footerReference r:id="rId10" w:type="default"/>
          <w:pgSz w:w="11906" w:h="16838"/>
          <w:pgMar w:top="1383" w:right="1383" w:bottom="1383" w:left="1383" w:header="851" w:footer="992" w:gutter="0"/>
          <w:cols w:space="720" w:num="1"/>
          <w:docGrid w:linePitch="312" w:charSpace="0"/>
        </w:sectPr>
      </w:pPr>
      <w:r>
        <w:rPr>
          <w:rFonts w:hint="eastAsia" w:ascii="宋体" w:hAnsi="宋体"/>
          <w:sz w:val="24"/>
        </w:rPr>
        <w:t>签订日期：</w:t>
      </w:r>
      <w:r>
        <w:rPr>
          <w:rFonts w:hint="eastAsia" w:ascii="宋体" w:hAnsi="宋体"/>
          <w:sz w:val="24"/>
          <w:lang w:val="en-US" w:eastAsia="zh-CN"/>
        </w:rPr>
        <w:t xml:space="preserve">    年  月  日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签订日期：</w:t>
      </w:r>
      <w:r>
        <w:rPr>
          <w:rFonts w:hint="eastAsia" w:ascii="宋体" w:hAnsi="宋体"/>
          <w:sz w:val="24"/>
          <w:lang w:val="en-US" w:eastAsia="zh-CN"/>
        </w:rPr>
        <w:t xml:space="preserve">    年  月  日</w:t>
      </w:r>
    </w:p>
    <w:p w14:paraId="4054C042">
      <w:pPr>
        <w:pStyle w:val="2"/>
        <w:numPr>
          <w:ilvl w:val="0"/>
          <w:numId w:val="6"/>
        </w:numPr>
        <w:spacing w:line="240" w:lineRule="auto"/>
        <w:jc w:val="center"/>
        <w:rPr>
          <w:rFonts w:hint="eastAsia" w:ascii="宋体" w:hAnsi="宋体" w:cs="宋体"/>
          <w:sz w:val="32"/>
          <w:szCs w:val="32"/>
        </w:rPr>
      </w:pPr>
      <w:r>
        <w:rPr>
          <w:rFonts w:hint="eastAsia" w:ascii="宋体" w:hAnsi="宋体" w:cs="宋体"/>
          <w:sz w:val="32"/>
          <w:szCs w:val="32"/>
        </w:rPr>
        <w:t xml:space="preserve">  商务要求</w:t>
      </w:r>
      <w:bookmarkEnd w:id="403"/>
      <w:bookmarkEnd w:id="404"/>
    </w:p>
    <w:p w14:paraId="2BD04DAF">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一、工期：合同签订后30天</w:t>
      </w:r>
    </w:p>
    <w:p w14:paraId="3B4E0B67">
      <w:pPr>
        <w:pStyle w:val="16"/>
        <w:spacing w:line="360" w:lineRule="auto"/>
        <w:ind w:left="0" w:leftChars="0" w:firstLine="480" w:firstLineChars="200"/>
        <w:rPr>
          <w:rFonts w:hint="default"/>
          <w:color w:val="auto"/>
          <w:lang w:val="en-US" w:eastAsia="zh-CN"/>
        </w:rPr>
      </w:pPr>
      <w:r>
        <w:rPr>
          <w:rFonts w:hint="eastAsia" w:ascii="宋体" w:hAnsi="宋体" w:eastAsia="宋体" w:cs="宋体"/>
          <w:color w:val="auto"/>
          <w:sz w:val="24"/>
          <w:szCs w:val="24"/>
          <w:lang w:val="en-US" w:eastAsia="zh-CN"/>
        </w:rPr>
        <w:t>质保期：1年</w:t>
      </w:r>
    </w:p>
    <w:p w14:paraId="62297B75">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二、地点</w:t>
      </w:r>
      <w:r>
        <w:rPr>
          <w:rFonts w:hint="eastAsia" w:ascii="宋体" w:hAnsi="宋体" w:eastAsia="宋体" w:cs="宋体"/>
          <w:color w:val="auto"/>
          <w:sz w:val="24"/>
          <w:szCs w:val="24"/>
          <w:lang w:val="en-US" w:eastAsia="zh-CN"/>
        </w:rPr>
        <w:t>：榆林高新区第二小学操场</w:t>
      </w:r>
    </w:p>
    <w:p w14:paraId="15654290">
      <w:pPr>
        <w:spacing w:line="360" w:lineRule="auto"/>
        <w:rPr>
          <w:rFonts w:hint="eastAsia" w:ascii="宋体" w:hAnsi="宋体" w:cs="宋体"/>
          <w:color w:val="auto"/>
          <w:sz w:val="24"/>
          <w:highlight w:val="none"/>
        </w:rPr>
      </w:pPr>
      <w:r>
        <w:rPr>
          <w:rFonts w:hint="eastAsia" w:ascii="宋体" w:hAnsi="宋体" w:cs="宋体"/>
          <w:color w:val="auto"/>
          <w:sz w:val="24"/>
          <w:highlight w:val="none"/>
        </w:rPr>
        <w:t>三、合同价款</w:t>
      </w:r>
    </w:p>
    <w:p w14:paraId="4C54E84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olor w:val="auto"/>
          <w:sz w:val="24"/>
          <w:highlight w:val="none"/>
        </w:rPr>
        <w:t>投标报价应为本次投标项目所包含的一切相关费用。</w:t>
      </w:r>
    </w:p>
    <w:p w14:paraId="7F76732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2、合同总价一次包死，不受市场价变化的影响。</w:t>
      </w:r>
    </w:p>
    <w:p w14:paraId="5FB9642B">
      <w:pPr>
        <w:spacing w:line="360" w:lineRule="auto"/>
        <w:outlineLvl w:val="1"/>
        <w:rPr>
          <w:rFonts w:hint="eastAsia" w:ascii="宋体" w:hAnsi="宋体" w:cs="宋体"/>
          <w:color w:val="auto"/>
          <w:sz w:val="24"/>
          <w:highlight w:val="none"/>
        </w:rPr>
      </w:pPr>
      <w:bookmarkStart w:id="428" w:name="_Toc16112"/>
      <w:r>
        <w:rPr>
          <w:rFonts w:hint="eastAsia" w:ascii="宋体" w:hAnsi="宋体" w:cs="宋体"/>
          <w:color w:val="auto"/>
          <w:sz w:val="24"/>
          <w:highlight w:val="none"/>
        </w:rPr>
        <w:t>四、款项结算</w:t>
      </w:r>
      <w:bookmarkEnd w:id="428"/>
    </w:p>
    <w:p w14:paraId="6122E1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cs="仿宋_GB2312"/>
          <w:color w:val="auto"/>
          <w:sz w:val="24"/>
          <w:highlight w:val="none"/>
        </w:rPr>
        <w:t>1、</w:t>
      </w:r>
      <w:r>
        <w:rPr>
          <w:rFonts w:hint="eastAsia" w:ascii="宋体" w:hAnsi="宋体" w:cs="仿宋_GB2312"/>
          <w:color w:val="auto"/>
          <w:sz w:val="24"/>
          <w:highlight w:val="none"/>
          <w:lang w:eastAsia="zh-CN"/>
        </w:rPr>
        <w:t>付款</w:t>
      </w:r>
      <w:r>
        <w:rPr>
          <w:rFonts w:hint="eastAsia" w:ascii="宋体" w:hAnsi="宋体" w:eastAsia="宋体" w:cs="宋体"/>
          <w:color w:val="auto"/>
          <w:sz w:val="24"/>
          <w:highlight w:val="none"/>
          <w:lang w:eastAsia="zh-CN"/>
        </w:rPr>
        <w:t>方式：</w:t>
      </w:r>
      <w:r>
        <w:rPr>
          <w:rFonts w:hint="eastAsia" w:ascii="宋体" w:hAnsi="宋体" w:eastAsia="宋体" w:cs="宋体"/>
          <w:color w:val="auto"/>
          <w:sz w:val="24"/>
          <w:highlight w:val="none"/>
          <w:lang w:val="en-US" w:eastAsia="zh-CN"/>
        </w:rPr>
        <w:t>完成临时用电设备安装调试并通过电力部门验收，一次性付款100%。</w:t>
      </w:r>
    </w:p>
    <w:p w14:paraId="680E78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仿宋_GB2312"/>
          <w:color w:val="auto"/>
          <w:sz w:val="24"/>
          <w:highlight w:val="none"/>
          <w:lang w:eastAsia="zh-CN"/>
        </w:rPr>
      </w:pPr>
      <w:r>
        <w:rPr>
          <w:rFonts w:hint="eastAsia" w:ascii="宋体" w:hAnsi="宋体" w:eastAsia="宋体" w:cs="仿宋_GB2312"/>
          <w:color w:val="auto"/>
          <w:sz w:val="24"/>
          <w:highlight w:val="none"/>
          <w:lang w:eastAsia="zh-CN"/>
        </w:rPr>
        <w:t>2、结算方式：按照国库集中支付有关规定执行，发票开采购人，</w:t>
      </w:r>
      <w:r>
        <w:rPr>
          <w:rFonts w:hint="eastAsia" w:ascii="宋体" w:hAnsi="宋体" w:eastAsia="宋体" w:cs="仿宋_GB2312"/>
          <w:color w:val="auto"/>
          <w:sz w:val="24"/>
          <w:highlight w:val="none"/>
          <w:lang w:val="en-US" w:eastAsia="zh-CN"/>
        </w:rPr>
        <w:t>开具增值税专用发票。</w:t>
      </w:r>
    </w:p>
    <w:p w14:paraId="772D06AF">
      <w:pPr>
        <w:spacing w:line="360" w:lineRule="auto"/>
        <w:outlineLvl w:val="1"/>
        <w:rPr>
          <w:rFonts w:hint="eastAsia" w:ascii="宋体" w:hAnsi="宋体" w:cs="宋体"/>
          <w:color w:val="auto"/>
          <w:sz w:val="24"/>
          <w:highlight w:val="none"/>
        </w:rPr>
      </w:pPr>
      <w:bookmarkStart w:id="429" w:name="_Toc9501"/>
      <w:r>
        <w:rPr>
          <w:rFonts w:hint="eastAsia" w:ascii="宋体" w:hAnsi="宋体" w:cs="宋体"/>
          <w:color w:val="auto"/>
          <w:sz w:val="24"/>
          <w:highlight w:val="none"/>
        </w:rPr>
        <w:t>五、运输</w:t>
      </w:r>
      <w:bookmarkEnd w:id="429"/>
    </w:p>
    <w:p w14:paraId="118F9513">
      <w:pPr>
        <w:spacing w:line="360" w:lineRule="auto"/>
        <w:ind w:firstLine="480" w:firstLineChars="200"/>
        <w:rPr>
          <w:rFonts w:hint="eastAsia" w:ascii="宋体" w:hAnsi="宋体" w:cs="宋体"/>
          <w:color w:val="auto"/>
          <w:sz w:val="24"/>
        </w:rPr>
      </w:pPr>
      <w:r>
        <w:rPr>
          <w:rFonts w:hint="eastAsia" w:ascii="宋体" w:hAnsi="宋体" w:cs="宋体"/>
          <w:color w:val="auto"/>
          <w:sz w:val="24"/>
        </w:rPr>
        <w:t>成交供应商负责所有产品的运输。确保产品安全、完整到达使用地点，运杂费用包含在总价内，包括产品从供货地点到使用地点的运输费、保险费、搬运等一切费用。</w:t>
      </w:r>
    </w:p>
    <w:p w14:paraId="002716C4">
      <w:pPr>
        <w:spacing w:line="360" w:lineRule="auto"/>
        <w:outlineLvl w:val="1"/>
        <w:rPr>
          <w:rFonts w:hint="eastAsia" w:ascii="宋体" w:hAnsi="宋体" w:cs="宋体"/>
          <w:color w:val="auto"/>
          <w:sz w:val="24"/>
        </w:rPr>
      </w:pPr>
      <w:bookmarkStart w:id="430" w:name="_Toc24134"/>
      <w:r>
        <w:rPr>
          <w:rFonts w:hint="eastAsia" w:ascii="宋体" w:hAnsi="宋体" w:cs="宋体"/>
          <w:color w:val="auto"/>
          <w:sz w:val="24"/>
        </w:rPr>
        <w:t>六、质量保证</w:t>
      </w:r>
      <w:bookmarkEnd w:id="430"/>
    </w:p>
    <w:p w14:paraId="159D89D7">
      <w:pPr>
        <w:spacing w:line="360" w:lineRule="auto"/>
        <w:ind w:firstLine="480" w:firstLineChars="200"/>
        <w:rPr>
          <w:rFonts w:hint="eastAsia" w:ascii="宋体" w:hAnsi="宋体" w:cs="宋体"/>
          <w:color w:val="auto"/>
          <w:sz w:val="24"/>
        </w:rPr>
      </w:pPr>
      <w:r>
        <w:rPr>
          <w:rFonts w:hint="eastAsia" w:ascii="宋体" w:hAnsi="宋体" w:cs="宋体"/>
          <w:color w:val="auto"/>
          <w:sz w:val="24"/>
        </w:rPr>
        <w:t>1、选用的产品必须保证技术指标先进、质量可靠、进货渠道正常，满足</w:t>
      </w:r>
      <w:r>
        <w:rPr>
          <w:rFonts w:hint="eastAsia" w:ascii="宋体" w:hAnsi="宋体" w:cs="宋体"/>
          <w:color w:val="auto"/>
          <w:sz w:val="24"/>
          <w:lang w:val="en-US" w:eastAsia="zh-CN"/>
        </w:rPr>
        <w:t>招标</w:t>
      </w:r>
      <w:r>
        <w:rPr>
          <w:rFonts w:hint="eastAsia" w:ascii="宋体" w:hAnsi="宋体" w:cs="宋体"/>
          <w:color w:val="auto"/>
          <w:sz w:val="24"/>
          <w:lang w:eastAsia="zh-CN"/>
        </w:rPr>
        <w:t>文件</w:t>
      </w:r>
      <w:r>
        <w:rPr>
          <w:rFonts w:hint="eastAsia" w:ascii="宋体" w:hAnsi="宋体" w:cs="宋体"/>
          <w:color w:val="auto"/>
          <w:sz w:val="24"/>
        </w:rPr>
        <w:t>要求。</w:t>
      </w:r>
    </w:p>
    <w:p w14:paraId="1F09077F">
      <w:pPr>
        <w:spacing w:line="360" w:lineRule="auto"/>
        <w:ind w:firstLine="480" w:firstLineChars="200"/>
        <w:rPr>
          <w:rFonts w:hint="eastAsia" w:ascii="宋体" w:hAnsi="宋体" w:cs="宋体"/>
          <w:color w:val="auto"/>
          <w:sz w:val="24"/>
        </w:rPr>
      </w:pPr>
      <w:r>
        <w:rPr>
          <w:rFonts w:hint="eastAsia" w:ascii="宋体" w:hAnsi="宋体" w:cs="宋体"/>
          <w:color w:val="auto"/>
          <w:sz w:val="24"/>
        </w:rPr>
        <w:t>2、产品符合国家要求，确保产品达到最佳使用状态。</w:t>
      </w:r>
    </w:p>
    <w:p w14:paraId="4EFEDC9C">
      <w:pPr>
        <w:spacing w:line="360" w:lineRule="auto"/>
        <w:rPr>
          <w:rFonts w:hint="eastAsia" w:ascii="宋体" w:hAnsi="宋体" w:cs="宋体"/>
          <w:color w:val="auto"/>
          <w:sz w:val="24"/>
        </w:rPr>
      </w:pPr>
      <w:bookmarkStart w:id="431" w:name="_Toc2159"/>
      <w:r>
        <w:rPr>
          <w:rFonts w:hint="eastAsia" w:ascii="宋体" w:hAnsi="宋体" w:cs="宋体"/>
          <w:color w:val="auto"/>
          <w:sz w:val="24"/>
        </w:rPr>
        <w:t>七、</w:t>
      </w:r>
      <w:bookmarkEnd w:id="431"/>
      <w:bookmarkStart w:id="432" w:name="_Toc32502"/>
      <w:r>
        <w:rPr>
          <w:rFonts w:hint="eastAsia" w:ascii="宋体" w:hAnsi="宋体" w:cs="宋体"/>
          <w:color w:val="auto"/>
          <w:sz w:val="24"/>
        </w:rPr>
        <w:t>违约责任</w:t>
      </w:r>
      <w:bookmarkEnd w:id="432"/>
    </w:p>
    <w:p w14:paraId="1CFD886C">
      <w:pPr>
        <w:spacing w:line="360" w:lineRule="auto"/>
        <w:ind w:firstLine="480" w:firstLineChars="200"/>
        <w:rPr>
          <w:rFonts w:hint="eastAsia" w:ascii="宋体" w:hAnsi="宋体" w:cs="宋体"/>
          <w:color w:val="auto"/>
          <w:sz w:val="24"/>
        </w:rPr>
      </w:pPr>
      <w:r>
        <w:rPr>
          <w:rFonts w:hint="eastAsia" w:ascii="宋体" w:hAnsi="宋体" w:cs="宋体"/>
          <w:color w:val="auto"/>
          <w:sz w:val="24"/>
        </w:rPr>
        <w:t>1、按《合同法》中的相关条款执行。</w:t>
      </w:r>
    </w:p>
    <w:p w14:paraId="18597E9E">
      <w:pPr>
        <w:spacing w:line="360" w:lineRule="auto"/>
        <w:ind w:firstLine="480" w:firstLineChars="200"/>
        <w:rPr>
          <w:rFonts w:hint="eastAsia" w:ascii="宋体" w:hAnsi="宋体" w:cs="宋体"/>
          <w:color w:val="auto"/>
          <w:sz w:val="24"/>
        </w:rPr>
      </w:pPr>
      <w:r>
        <w:rPr>
          <w:rFonts w:hint="eastAsia" w:ascii="宋体" w:hAnsi="宋体" w:cs="宋体"/>
          <w:color w:val="auto"/>
          <w:sz w:val="24"/>
        </w:rPr>
        <w:t>2、未按合同要求提供产品质量不能满足技术要求，采购人同招标公司有权终止合同和对供方违约行为进行追究，同时按政府采购法的有关规定进行相应的处罚。</w:t>
      </w:r>
    </w:p>
    <w:p w14:paraId="3C4C802F">
      <w:pPr>
        <w:spacing w:line="360" w:lineRule="auto"/>
        <w:outlineLvl w:val="1"/>
        <w:rPr>
          <w:rFonts w:hint="eastAsia" w:ascii="宋体" w:hAnsi="宋体" w:cs="宋体"/>
          <w:color w:val="auto"/>
          <w:sz w:val="24"/>
        </w:rPr>
      </w:pPr>
      <w:bookmarkStart w:id="433" w:name="_Toc6795"/>
      <w:r>
        <w:rPr>
          <w:rFonts w:hint="eastAsia" w:ascii="宋体" w:hAnsi="宋体" w:cs="宋体"/>
          <w:color w:val="auto"/>
          <w:sz w:val="24"/>
          <w:lang w:val="en-US" w:eastAsia="zh-CN"/>
        </w:rPr>
        <w:t>八</w:t>
      </w:r>
      <w:r>
        <w:rPr>
          <w:rFonts w:hint="eastAsia" w:ascii="宋体" w:hAnsi="宋体" w:cs="宋体"/>
          <w:color w:val="auto"/>
          <w:sz w:val="24"/>
        </w:rPr>
        <w:t>、验收</w:t>
      </w:r>
      <w:bookmarkEnd w:id="433"/>
    </w:p>
    <w:p w14:paraId="1C096395">
      <w:pPr>
        <w:spacing w:line="360" w:lineRule="auto"/>
        <w:ind w:firstLine="480" w:firstLineChars="200"/>
        <w:rPr>
          <w:rFonts w:hint="eastAsia" w:ascii="宋体" w:hAnsi="宋体" w:cs="宋体"/>
          <w:color w:val="auto"/>
          <w:sz w:val="24"/>
        </w:rPr>
      </w:pPr>
      <w:r>
        <w:rPr>
          <w:rFonts w:hint="eastAsia" w:ascii="宋体" w:hAnsi="宋体" w:cs="宋体"/>
          <w:color w:val="auto"/>
          <w:sz w:val="24"/>
        </w:rPr>
        <w:t>1、产品到货后，由采购人根据</w:t>
      </w:r>
      <w:r>
        <w:rPr>
          <w:rFonts w:hint="eastAsia" w:ascii="宋体" w:hAnsi="宋体" w:cs="宋体"/>
          <w:color w:val="auto"/>
          <w:sz w:val="24"/>
          <w:lang w:val="en-US" w:eastAsia="zh-CN"/>
        </w:rPr>
        <w:t>投标</w:t>
      </w:r>
      <w:r>
        <w:rPr>
          <w:rFonts w:hint="eastAsia" w:ascii="宋体" w:hAnsi="宋体" w:cs="宋体"/>
          <w:color w:val="auto"/>
          <w:sz w:val="24"/>
        </w:rPr>
        <w:t>文件及合同要求对产品验收，确认产品的产地、规格、型号和数量进行初验。验收方成员应当签字。</w:t>
      </w:r>
    </w:p>
    <w:p w14:paraId="45006C8F">
      <w:pPr>
        <w:spacing w:line="360" w:lineRule="auto"/>
        <w:ind w:firstLine="480" w:firstLineChars="200"/>
        <w:rPr>
          <w:rFonts w:hint="eastAsia" w:ascii="宋体" w:hAnsi="宋体" w:cs="宋体"/>
          <w:color w:val="auto"/>
          <w:sz w:val="24"/>
        </w:rPr>
      </w:pPr>
      <w:r>
        <w:rPr>
          <w:rFonts w:hint="eastAsia" w:ascii="宋体" w:hAnsi="宋体" w:cs="宋体"/>
          <w:color w:val="auto"/>
          <w:sz w:val="24"/>
        </w:rPr>
        <w:t>2、所有产品验收合格后，</w:t>
      </w:r>
      <w:r>
        <w:rPr>
          <w:rFonts w:hint="eastAsia" w:ascii="宋体" w:hAnsi="宋体" w:cs="宋体"/>
          <w:color w:val="auto"/>
          <w:sz w:val="24"/>
          <w:lang w:val="en-US" w:eastAsia="zh-CN"/>
        </w:rPr>
        <w:t>中标</w:t>
      </w:r>
      <w:r>
        <w:rPr>
          <w:rFonts w:hint="eastAsia" w:ascii="宋体" w:hAnsi="宋体" w:cs="宋体"/>
          <w:color w:val="auto"/>
          <w:sz w:val="24"/>
        </w:rPr>
        <w:t>供应商向采购人提交实施过程中的所有资料，以便采购单位日后对所有产品的管理和维护。</w:t>
      </w:r>
    </w:p>
    <w:p w14:paraId="52967BF7">
      <w:pPr>
        <w:pStyle w:val="5"/>
        <w:spacing w:line="360" w:lineRule="auto"/>
        <w:rPr>
          <w:rFonts w:hint="eastAsia" w:eastAsia="宋体"/>
          <w:lang w:val="en-US" w:eastAsia="zh-CN"/>
        </w:rPr>
      </w:pPr>
      <w:r>
        <w:rPr>
          <w:rFonts w:hint="eastAsia" w:ascii="宋体" w:hAnsi="宋体" w:cs="宋体"/>
          <w:color w:val="auto"/>
          <w:sz w:val="24"/>
          <w:lang w:val="en-US" w:eastAsia="zh-CN"/>
        </w:rPr>
        <w:t>3、</w:t>
      </w:r>
      <w:r>
        <w:rPr>
          <w:rFonts w:hint="default" w:ascii="宋体" w:hAnsi="宋体" w:eastAsia="宋体" w:cs="宋体"/>
          <w:b w:val="0"/>
          <w:bCs/>
          <w:kern w:val="2"/>
          <w:sz w:val="24"/>
          <w:szCs w:val="24"/>
          <w:lang w:val="en-US" w:eastAsia="zh-CN"/>
        </w:rPr>
        <w:t>采购人应当在供应商提出验收申请之日起10个工作日内完成验收。验收合格且满足合同约定支付条件的，采购人应当自交付之日起30日内支付款项，合同另有约定的，付款期限最长不得超过60日。不得以任何不合理理由延迟验收和付款，不得将招标文件和合同中未规定的义务作为验收和付款条件。</w:t>
      </w:r>
    </w:p>
    <w:p w14:paraId="321F590F">
      <w:pPr>
        <w:spacing w:line="360" w:lineRule="auto"/>
        <w:ind w:firstLine="480" w:firstLineChars="200"/>
        <w:rPr>
          <w:rFonts w:hint="eastAsia"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、验收依据：</w:t>
      </w:r>
    </w:p>
    <w:p w14:paraId="1DB88C44">
      <w:pPr>
        <w:spacing w:line="360" w:lineRule="auto"/>
        <w:ind w:firstLine="480" w:firstLineChars="200"/>
        <w:rPr>
          <w:rFonts w:hint="eastAsia"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-1、</w:t>
      </w:r>
      <w:r>
        <w:rPr>
          <w:rFonts w:hint="eastAsia" w:ascii="宋体" w:hAnsi="宋体" w:cs="宋体"/>
          <w:color w:val="auto"/>
          <w:sz w:val="24"/>
          <w:lang w:val="en-US" w:eastAsia="zh-CN"/>
        </w:rPr>
        <w:t>招标</w:t>
      </w:r>
      <w:r>
        <w:rPr>
          <w:rFonts w:hint="eastAsia" w:ascii="宋体" w:hAnsi="宋体" w:cs="宋体"/>
          <w:color w:val="auto"/>
          <w:sz w:val="24"/>
        </w:rPr>
        <w:t>文件、</w:t>
      </w:r>
      <w:r>
        <w:rPr>
          <w:rFonts w:hint="eastAsia" w:ascii="宋体" w:hAnsi="宋体" w:cs="宋体"/>
          <w:color w:val="auto"/>
          <w:sz w:val="24"/>
          <w:lang w:val="en-US" w:eastAsia="zh-CN"/>
        </w:rPr>
        <w:t>投标</w:t>
      </w:r>
      <w:r>
        <w:rPr>
          <w:rFonts w:hint="eastAsia" w:ascii="宋体" w:hAnsi="宋体" w:cs="宋体"/>
          <w:color w:val="auto"/>
          <w:sz w:val="24"/>
        </w:rPr>
        <w:t>文件、经济合同；</w:t>
      </w:r>
    </w:p>
    <w:p w14:paraId="46C40162">
      <w:pPr>
        <w:numPr>
          <w:ilvl w:val="0"/>
          <w:numId w:val="0"/>
        </w:numPr>
        <w:ind w:firstLine="480" w:firstLineChars="200"/>
        <w:rPr>
          <w:rFonts w:hint="eastAsia" w:ascii="宋体" w:hAnsi="宋体" w:cs="宋体"/>
          <w:color w:val="auto"/>
          <w:sz w:val="24"/>
        </w:rPr>
      </w:pPr>
      <w:r>
        <w:rPr>
          <w:rFonts w:hint="eastAsia" w:ascii="宋体" w:hAnsi="宋体" w:cs="宋体"/>
          <w:color w:val="auto"/>
          <w:sz w:val="24"/>
          <w:lang w:val="en-US" w:eastAsia="zh-CN"/>
        </w:rPr>
        <w:t>4</w:t>
      </w:r>
      <w:r>
        <w:rPr>
          <w:rFonts w:hint="eastAsia" w:ascii="宋体" w:hAnsi="宋体" w:cs="宋体"/>
          <w:color w:val="auto"/>
          <w:sz w:val="24"/>
        </w:rPr>
        <w:t>-2、国内相应的国家标准、行业标准及规范。</w:t>
      </w:r>
    </w:p>
    <w:p w14:paraId="686CF565">
      <w:pPr>
        <w:pStyle w:val="6"/>
        <w:rPr>
          <w:rFonts w:hint="eastAsia"/>
          <w:lang w:val="en-US" w:eastAsia="zh-CN"/>
        </w:rPr>
      </w:pPr>
    </w:p>
    <w:bookmarkEnd w:id="386"/>
    <w:bookmarkEnd w:id="387"/>
    <w:bookmarkEnd w:id="388"/>
    <w:bookmarkEnd w:id="389"/>
    <w:bookmarkEnd w:id="390"/>
    <w:bookmarkEnd w:id="391"/>
    <w:bookmarkEnd w:id="392"/>
    <w:bookmarkEnd w:id="393"/>
    <w:p w14:paraId="73539378">
      <w:pPr>
        <w:pStyle w:val="2"/>
        <w:spacing w:line="360" w:lineRule="auto"/>
        <w:jc w:val="center"/>
        <w:rPr>
          <w:rFonts w:ascii="宋体" w:hAnsi="宋体" w:cs="宋体"/>
          <w:color w:val="000000"/>
          <w:sz w:val="32"/>
          <w:szCs w:val="32"/>
        </w:rPr>
        <w:sectPr>
          <w:footerReference r:id="rId13" w:type="first"/>
          <w:headerReference r:id="rId11" w:type="default"/>
          <w:footerReference r:id="rId12" w:type="default"/>
          <w:footnotePr>
            <w:pos w:val="beneathText"/>
          </w:footnotePr>
          <w:pgSz w:w="11906" w:h="16838"/>
          <w:pgMar w:top="1701" w:right="1418" w:bottom="1701" w:left="1418" w:header="1091" w:footer="992" w:gutter="0"/>
          <w:cols w:space="720" w:num="1"/>
          <w:titlePg/>
          <w:docGrid w:type="lines" w:linePitch="312" w:charSpace="0"/>
        </w:sectPr>
      </w:pPr>
      <w:bookmarkStart w:id="434" w:name="_Toc17374"/>
      <w:bookmarkStart w:id="435" w:name="_Toc4552"/>
      <w:bookmarkStart w:id="436" w:name="_Toc1121"/>
      <w:bookmarkStart w:id="437" w:name="_Toc14536"/>
      <w:bookmarkStart w:id="438" w:name="_Toc32217"/>
      <w:bookmarkStart w:id="439" w:name="_Toc465958129"/>
      <w:bookmarkStart w:id="440" w:name="_Toc497711589"/>
      <w:bookmarkStart w:id="441" w:name="_Toc497546922"/>
      <w:bookmarkStart w:id="442" w:name="_Toc246928961"/>
      <w:bookmarkStart w:id="443" w:name="_Toc128557264"/>
      <w:bookmarkStart w:id="444" w:name="_Toc492955463"/>
      <w:bookmarkStart w:id="445" w:name="_Toc246928962"/>
      <w:bookmarkStart w:id="446" w:name="_Toc497712137"/>
      <w:bookmarkStart w:id="447" w:name="_Toc385992404"/>
      <w:bookmarkStart w:id="448" w:name="_Toc389620244"/>
      <w:bookmarkStart w:id="449" w:name="_Toc497551824"/>
    </w:p>
    <w:bookmarkEnd w:id="434"/>
    <w:bookmarkEnd w:id="435"/>
    <w:bookmarkEnd w:id="436"/>
    <w:bookmarkEnd w:id="437"/>
    <w:bookmarkEnd w:id="438"/>
    <w:p w14:paraId="2DB225AD">
      <w:pPr>
        <w:pStyle w:val="2"/>
        <w:keepNext/>
        <w:keepLines/>
        <w:pageBreakBefore w:val="0"/>
        <w:widowControl w:val="0"/>
        <w:numPr>
          <w:ilvl w:val="0"/>
          <w:numId w:val="7"/>
        </w:numPr>
        <w:kinsoku/>
        <w:wordWrap/>
        <w:overflowPunct/>
        <w:topLinePunct w:val="0"/>
        <w:autoSpaceDE/>
        <w:autoSpaceDN/>
        <w:bidi w:val="0"/>
        <w:adjustRightInd/>
        <w:snapToGrid/>
        <w:spacing w:line="420" w:lineRule="exact"/>
        <w:jc w:val="center"/>
        <w:textAlignment w:val="auto"/>
        <w:rPr>
          <w:rFonts w:hint="eastAsia"/>
          <w:color w:val="auto"/>
          <w:sz w:val="40"/>
          <w:szCs w:val="18"/>
          <w:highlight w:val="none"/>
        </w:rPr>
      </w:pPr>
      <w:bookmarkStart w:id="450" w:name="_Toc16909"/>
      <w:bookmarkStart w:id="451" w:name="_Toc8664"/>
      <w:r>
        <w:rPr>
          <w:rFonts w:hint="eastAsia"/>
          <w:color w:val="auto"/>
          <w:sz w:val="40"/>
          <w:szCs w:val="18"/>
          <w:highlight w:val="none"/>
        </w:rPr>
        <w:t>采购内容及要求</w:t>
      </w:r>
      <w:bookmarkEnd w:id="450"/>
    </w:p>
    <w:p w14:paraId="7A4E3F16">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8"/>
          <w:szCs w:val="28"/>
          <w:lang w:val="en-US" w:eastAsia="zh-CN"/>
        </w:rPr>
        <w:t>一、项目基本情况</w:t>
      </w:r>
      <w:r>
        <w:rPr>
          <w:rFonts w:hint="eastAsia" w:ascii="宋体" w:hAnsi="宋体" w:eastAsia="宋体" w:cs="宋体"/>
          <w:b/>
          <w:bCs/>
          <w:sz w:val="24"/>
          <w:szCs w:val="24"/>
          <w:lang w:val="en-US" w:eastAsia="zh-CN"/>
        </w:rPr>
        <w:t xml:space="preserve"> </w:t>
      </w:r>
    </w:p>
    <w:p w14:paraId="6AC6DB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榆林高新区第二小学人防工程拟建于高新二小的运动操场下，位于高新区建业大道西侧，兴安路东侧，桃李路北侧，健民路南侧的高新区第二小学操场下。总建筑面积10209.99平方米，地下人防工程为单建式人防工程，面积为8925.83㎡，核6常6，可停放约160辆车。</w:t>
      </w:r>
    </w:p>
    <w:p w14:paraId="1F3938E7">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二、采购内容及要求</w:t>
      </w:r>
    </w:p>
    <w:p w14:paraId="653609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1、满足榆林高新区第二小学人防工程施工用电要求；</w:t>
      </w:r>
    </w:p>
    <w:p w14:paraId="409E66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2、满足工程竣工后将施工临时用电转入地下人防工程作为永久电源</w:t>
      </w:r>
      <w:r>
        <w:rPr>
          <w:rFonts w:hint="eastAsia" w:ascii="宋体" w:hAnsi="宋体" w:cs="宋体"/>
          <w:sz w:val="24"/>
          <w:szCs w:val="24"/>
          <w:lang w:val="en-US" w:eastAsia="zh-CN"/>
        </w:rPr>
        <w:t>，符合地下</w:t>
      </w:r>
      <w:bookmarkStart w:id="645" w:name="_GoBack"/>
      <w:bookmarkEnd w:id="645"/>
      <w:r>
        <w:rPr>
          <w:rFonts w:hint="eastAsia" w:ascii="宋体" w:hAnsi="宋体" w:cs="宋体"/>
          <w:sz w:val="24"/>
          <w:szCs w:val="24"/>
          <w:lang w:val="en-US" w:eastAsia="zh-CN"/>
        </w:rPr>
        <w:t>配电室甲方要求标准</w:t>
      </w:r>
      <w:r>
        <w:rPr>
          <w:rFonts w:hint="eastAsia" w:ascii="宋体" w:hAnsi="宋体" w:eastAsia="宋体" w:cs="宋体"/>
          <w:sz w:val="24"/>
          <w:szCs w:val="24"/>
          <w:lang w:val="en-US" w:eastAsia="zh-CN"/>
        </w:rPr>
        <w:t>；</w:t>
      </w:r>
    </w:p>
    <w:p w14:paraId="57D6AA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3、以榆林高新区第二小学人防工程高压电气设计为基础进行施工用电的方案的设计和采购相关设备；</w:t>
      </w:r>
    </w:p>
    <w:p w14:paraId="5ED04E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4、安装容量500KVA。</w:t>
      </w:r>
    </w:p>
    <w:p w14:paraId="2BD45758">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三、地点、工期</w:t>
      </w:r>
    </w:p>
    <w:p w14:paraId="5E49EB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地点：榆林高新区第二小学</w:t>
      </w:r>
      <w:r>
        <w:rPr>
          <w:rFonts w:hint="eastAsia" w:ascii="宋体" w:hAnsi="宋体" w:eastAsia="宋体" w:cs="宋体"/>
          <w:sz w:val="24"/>
          <w:szCs w:val="24"/>
          <w:lang w:val="en-US" w:eastAsia="zh-CN"/>
        </w:rPr>
        <w:t>操场</w:t>
      </w:r>
    </w:p>
    <w:p w14:paraId="77BB8E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w:t>
      </w:r>
      <w:r>
        <w:rPr>
          <w:rFonts w:hint="eastAsia" w:ascii="宋体" w:hAnsi="宋体" w:eastAsia="宋体" w:cs="宋体"/>
          <w:sz w:val="24"/>
          <w:szCs w:val="24"/>
          <w:lang w:eastAsia="zh-CN"/>
        </w:rPr>
        <w:t>期：</w:t>
      </w:r>
      <w:r>
        <w:rPr>
          <w:rFonts w:hint="eastAsia" w:ascii="宋体" w:hAnsi="宋体" w:eastAsia="宋体" w:cs="宋体"/>
          <w:sz w:val="24"/>
          <w:szCs w:val="24"/>
          <w:lang w:val="en-US" w:eastAsia="zh-CN"/>
        </w:rPr>
        <w:t>30天</w:t>
      </w:r>
    </w:p>
    <w:p w14:paraId="72D76C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b/>
          <w:bCs/>
          <w:sz w:val="24"/>
          <w:szCs w:val="24"/>
          <w:lang w:val="en-US" w:eastAsia="zh-CN"/>
        </w:rPr>
        <w:t xml:space="preserve"> </w:t>
      </w:r>
      <w:r>
        <w:rPr>
          <w:rFonts w:hint="eastAsia" w:ascii="宋体" w:hAnsi="宋体" w:eastAsia="宋体" w:cs="宋体"/>
          <w:b/>
          <w:bCs/>
          <w:sz w:val="28"/>
          <w:szCs w:val="28"/>
          <w:lang w:val="en-US" w:eastAsia="zh-CN"/>
        </w:rPr>
        <w:t xml:space="preserve"> 四、验收标准</w:t>
      </w:r>
    </w:p>
    <w:p w14:paraId="234DCE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符合国家相关法律法规并通过电力部门验收。</w:t>
      </w:r>
    </w:p>
    <w:p w14:paraId="31019A00">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五、付款方式</w:t>
      </w:r>
    </w:p>
    <w:p w14:paraId="653B97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完成临时用电设备安装调试并通过电力部门验收，一次性付款100%。</w:t>
      </w:r>
    </w:p>
    <w:p w14:paraId="63772F1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六、技术参数要求</w:t>
      </w:r>
    </w:p>
    <w:p w14:paraId="3D2147C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1、10KV高压柜</w:t>
      </w:r>
    </w:p>
    <w:p w14:paraId="26BB1A81">
      <w:pPr>
        <w:pageBreakBefore w:val="0"/>
        <w:wordWrap/>
        <w:topLinePunct w:val="0"/>
        <w:autoSpaceDE/>
        <w:autoSpaceDN/>
        <w:bidi w:val="0"/>
        <w:spacing w:before="157" w:beforeLines="50" w:after="157" w:afterLines="50" w:line="20" w:lineRule="atLeast"/>
        <w:rPr>
          <w:rFonts w:hint="eastAsia" w:ascii="宋体" w:hAnsi="宋体" w:eastAsia="宋体" w:cs="宋体"/>
          <w:sz w:val="24"/>
          <w:szCs w:val="24"/>
          <w:lang w:eastAsia="zh-CN"/>
        </w:rPr>
      </w:pPr>
      <w:r>
        <w:rPr>
          <w:rFonts w:hint="eastAsia" w:ascii="宋体" w:hAnsi="宋体" w:eastAsia="宋体" w:cs="宋体"/>
          <w:sz w:val="24"/>
          <w:szCs w:val="24"/>
        </w:rPr>
        <w:t>本次供货范围包括</w:t>
      </w:r>
      <w:r>
        <w:rPr>
          <w:rFonts w:hint="eastAsia" w:ascii="宋体" w:hAnsi="宋体" w:eastAsia="宋体" w:cs="宋体"/>
          <w:sz w:val="24"/>
          <w:szCs w:val="24"/>
          <w:lang w:eastAsia="zh-CN"/>
        </w:rPr>
        <w:t>：</w:t>
      </w:r>
    </w:p>
    <w:tbl>
      <w:tblPr>
        <w:tblStyle w:val="18"/>
        <w:tblW w:w="10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012"/>
        <w:gridCol w:w="1438"/>
        <w:gridCol w:w="1087"/>
        <w:gridCol w:w="825"/>
        <w:gridCol w:w="1975"/>
        <w:gridCol w:w="2423"/>
      </w:tblGrid>
      <w:tr w14:paraId="3009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17" w:type="dxa"/>
            <w:noWrap w:val="0"/>
            <w:vAlign w:val="top"/>
          </w:tcPr>
          <w:p w14:paraId="4F46DB8A">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序号</w:t>
            </w:r>
          </w:p>
        </w:tc>
        <w:tc>
          <w:tcPr>
            <w:tcW w:w="2012" w:type="dxa"/>
            <w:noWrap w:val="0"/>
            <w:vAlign w:val="top"/>
          </w:tcPr>
          <w:p w14:paraId="2D6C686B">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名称</w:t>
            </w:r>
          </w:p>
        </w:tc>
        <w:tc>
          <w:tcPr>
            <w:tcW w:w="1438" w:type="dxa"/>
            <w:noWrap w:val="0"/>
            <w:vAlign w:val="top"/>
          </w:tcPr>
          <w:p w14:paraId="15FC8A86">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型号</w:t>
            </w:r>
          </w:p>
        </w:tc>
        <w:tc>
          <w:tcPr>
            <w:tcW w:w="1087" w:type="dxa"/>
            <w:noWrap w:val="0"/>
            <w:vAlign w:val="top"/>
          </w:tcPr>
          <w:p w14:paraId="19EBD285">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单位</w:t>
            </w:r>
          </w:p>
        </w:tc>
        <w:tc>
          <w:tcPr>
            <w:tcW w:w="825" w:type="dxa"/>
            <w:noWrap w:val="0"/>
            <w:vAlign w:val="top"/>
          </w:tcPr>
          <w:p w14:paraId="301C3CE0">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数量</w:t>
            </w:r>
          </w:p>
        </w:tc>
        <w:tc>
          <w:tcPr>
            <w:tcW w:w="1975" w:type="dxa"/>
            <w:noWrap w:val="0"/>
            <w:vAlign w:val="top"/>
          </w:tcPr>
          <w:p w14:paraId="41D193CA">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尺寸（宽*深*高）</w:t>
            </w:r>
          </w:p>
        </w:tc>
        <w:tc>
          <w:tcPr>
            <w:tcW w:w="2423" w:type="dxa"/>
            <w:noWrap w:val="0"/>
            <w:vAlign w:val="top"/>
          </w:tcPr>
          <w:p w14:paraId="00EC79AB">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备注</w:t>
            </w:r>
          </w:p>
        </w:tc>
      </w:tr>
      <w:tr w14:paraId="05D7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17" w:type="dxa"/>
            <w:noWrap w:val="0"/>
            <w:vAlign w:val="top"/>
          </w:tcPr>
          <w:p w14:paraId="6E4FF362">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2012" w:type="dxa"/>
            <w:noWrap w:val="0"/>
            <w:vAlign w:val="top"/>
          </w:tcPr>
          <w:p w14:paraId="4AA31F4D">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10kV进线柜</w:t>
            </w:r>
          </w:p>
        </w:tc>
        <w:tc>
          <w:tcPr>
            <w:tcW w:w="1438" w:type="dxa"/>
            <w:noWrap w:val="0"/>
            <w:vAlign w:val="center"/>
          </w:tcPr>
          <w:p w14:paraId="1729F325">
            <w:pPr>
              <w:spacing w:beforeLines="0" w:afterLines="0"/>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KYN28A-12</w:t>
            </w:r>
          </w:p>
        </w:tc>
        <w:tc>
          <w:tcPr>
            <w:tcW w:w="1087" w:type="dxa"/>
            <w:noWrap w:val="0"/>
            <w:vAlign w:val="top"/>
          </w:tcPr>
          <w:p w14:paraId="4A956352">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台</w:t>
            </w:r>
          </w:p>
        </w:tc>
        <w:tc>
          <w:tcPr>
            <w:tcW w:w="825" w:type="dxa"/>
            <w:noWrap w:val="0"/>
            <w:vAlign w:val="top"/>
          </w:tcPr>
          <w:p w14:paraId="700ADCD7">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975" w:type="dxa"/>
            <w:noWrap w:val="0"/>
            <w:vAlign w:val="top"/>
          </w:tcPr>
          <w:p w14:paraId="73294729">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650*1500*2300</w:t>
            </w:r>
          </w:p>
        </w:tc>
        <w:tc>
          <w:tcPr>
            <w:tcW w:w="2423" w:type="dxa"/>
            <w:noWrap w:val="0"/>
            <w:vAlign w:val="top"/>
          </w:tcPr>
          <w:p w14:paraId="7C96160A">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详见系统图（含母线）</w:t>
            </w:r>
          </w:p>
        </w:tc>
      </w:tr>
      <w:tr w14:paraId="5D80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17" w:type="dxa"/>
            <w:noWrap w:val="0"/>
            <w:vAlign w:val="top"/>
          </w:tcPr>
          <w:p w14:paraId="13C82772">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2012" w:type="dxa"/>
            <w:noWrap w:val="0"/>
            <w:vAlign w:val="top"/>
          </w:tcPr>
          <w:p w14:paraId="796139CD">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10kV计量柜</w:t>
            </w:r>
          </w:p>
        </w:tc>
        <w:tc>
          <w:tcPr>
            <w:tcW w:w="1438" w:type="dxa"/>
            <w:noWrap w:val="0"/>
            <w:vAlign w:val="center"/>
          </w:tcPr>
          <w:p w14:paraId="6C432E00">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KYN28A-12</w:t>
            </w:r>
          </w:p>
        </w:tc>
        <w:tc>
          <w:tcPr>
            <w:tcW w:w="1087" w:type="dxa"/>
            <w:noWrap w:val="0"/>
            <w:vAlign w:val="top"/>
          </w:tcPr>
          <w:p w14:paraId="50A6627B">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台</w:t>
            </w:r>
          </w:p>
        </w:tc>
        <w:tc>
          <w:tcPr>
            <w:tcW w:w="825" w:type="dxa"/>
            <w:noWrap w:val="0"/>
            <w:vAlign w:val="top"/>
          </w:tcPr>
          <w:p w14:paraId="51782E61">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975" w:type="dxa"/>
            <w:noWrap w:val="0"/>
            <w:vAlign w:val="top"/>
          </w:tcPr>
          <w:p w14:paraId="25777D0F">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650*1500*2300</w:t>
            </w:r>
          </w:p>
        </w:tc>
        <w:tc>
          <w:tcPr>
            <w:tcW w:w="2423" w:type="dxa"/>
            <w:noWrap w:val="0"/>
            <w:vAlign w:val="top"/>
          </w:tcPr>
          <w:p w14:paraId="7E5265EF">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eastAsia="zh-CN"/>
              </w:rPr>
            </w:pPr>
            <w:r>
              <w:rPr>
                <w:rFonts w:hint="eastAsia" w:ascii="宋体" w:hAnsi="宋体" w:eastAsia="宋体" w:cs="宋体"/>
                <w:color w:val="auto"/>
                <w:sz w:val="24"/>
                <w:szCs w:val="24"/>
                <w:vertAlign w:val="baseline"/>
                <w:lang w:val="en-US" w:eastAsia="zh-CN"/>
              </w:rPr>
              <w:t>详见系统图（含母线）</w:t>
            </w:r>
          </w:p>
        </w:tc>
      </w:tr>
      <w:tr w14:paraId="5427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17" w:type="dxa"/>
            <w:noWrap w:val="0"/>
            <w:vAlign w:val="top"/>
          </w:tcPr>
          <w:p w14:paraId="43A2144E">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3</w:t>
            </w:r>
          </w:p>
        </w:tc>
        <w:tc>
          <w:tcPr>
            <w:tcW w:w="2012" w:type="dxa"/>
            <w:noWrap w:val="0"/>
            <w:vAlign w:val="top"/>
          </w:tcPr>
          <w:p w14:paraId="62CA01DB">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10kV PT柜</w:t>
            </w:r>
          </w:p>
        </w:tc>
        <w:tc>
          <w:tcPr>
            <w:tcW w:w="1438" w:type="dxa"/>
            <w:noWrap w:val="0"/>
            <w:vAlign w:val="center"/>
          </w:tcPr>
          <w:p w14:paraId="0CFB9F88">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KYN28A-12</w:t>
            </w:r>
          </w:p>
        </w:tc>
        <w:tc>
          <w:tcPr>
            <w:tcW w:w="1087" w:type="dxa"/>
            <w:noWrap w:val="0"/>
            <w:vAlign w:val="top"/>
          </w:tcPr>
          <w:p w14:paraId="18C014CF">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台</w:t>
            </w:r>
          </w:p>
        </w:tc>
        <w:tc>
          <w:tcPr>
            <w:tcW w:w="825" w:type="dxa"/>
            <w:noWrap w:val="0"/>
            <w:vAlign w:val="top"/>
          </w:tcPr>
          <w:p w14:paraId="1BB02FF2">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975" w:type="dxa"/>
            <w:noWrap w:val="0"/>
            <w:vAlign w:val="top"/>
          </w:tcPr>
          <w:p w14:paraId="47B0A703">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650*1500*2300</w:t>
            </w:r>
          </w:p>
        </w:tc>
        <w:tc>
          <w:tcPr>
            <w:tcW w:w="2423" w:type="dxa"/>
            <w:noWrap w:val="0"/>
            <w:vAlign w:val="top"/>
          </w:tcPr>
          <w:p w14:paraId="023A98A9">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详见系统图（含母线）</w:t>
            </w:r>
          </w:p>
        </w:tc>
      </w:tr>
      <w:tr w14:paraId="0407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17" w:type="dxa"/>
            <w:noWrap w:val="0"/>
            <w:vAlign w:val="top"/>
          </w:tcPr>
          <w:p w14:paraId="445ACF15">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4</w:t>
            </w:r>
          </w:p>
        </w:tc>
        <w:tc>
          <w:tcPr>
            <w:tcW w:w="2012" w:type="dxa"/>
            <w:noWrap w:val="0"/>
            <w:vAlign w:val="top"/>
          </w:tcPr>
          <w:p w14:paraId="5A99DC13">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10kV出线柜</w:t>
            </w:r>
          </w:p>
        </w:tc>
        <w:tc>
          <w:tcPr>
            <w:tcW w:w="1438" w:type="dxa"/>
            <w:noWrap w:val="0"/>
            <w:vAlign w:val="center"/>
          </w:tcPr>
          <w:p w14:paraId="2040D816">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KYN28A-12</w:t>
            </w:r>
          </w:p>
        </w:tc>
        <w:tc>
          <w:tcPr>
            <w:tcW w:w="1087" w:type="dxa"/>
            <w:noWrap w:val="0"/>
            <w:vAlign w:val="top"/>
          </w:tcPr>
          <w:p w14:paraId="7D6A0C73">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台</w:t>
            </w:r>
          </w:p>
        </w:tc>
        <w:tc>
          <w:tcPr>
            <w:tcW w:w="825" w:type="dxa"/>
            <w:noWrap w:val="0"/>
            <w:vAlign w:val="top"/>
          </w:tcPr>
          <w:p w14:paraId="13BA1A5C">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1</w:t>
            </w:r>
          </w:p>
        </w:tc>
        <w:tc>
          <w:tcPr>
            <w:tcW w:w="1975" w:type="dxa"/>
            <w:noWrap w:val="0"/>
            <w:vAlign w:val="top"/>
          </w:tcPr>
          <w:p w14:paraId="24DF65B8">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650*1500*2300</w:t>
            </w:r>
          </w:p>
        </w:tc>
        <w:tc>
          <w:tcPr>
            <w:tcW w:w="2423" w:type="dxa"/>
            <w:noWrap w:val="0"/>
            <w:vAlign w:val="top"/>
          </w:tcPr>
          <w:p w14:paraId="01EBD28E">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详见系统图（含母线</w:t>
            </w:r>
          </w:p>
        </w:tc>
      </w:tr>
      <w:tr w14:paraId="60AA7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17" w:type="dxa"/>
            <w:noWrap w:val="0"/>
            <w:vAlign w:val="top"/>
          </w:tcPr>
          <w:p w14:paraId="60915623">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5</w:t>
            </w:r>
          </w:p>
        </w:tc>
        <w:tc>
          <w:tcPr>
            <w:tcW w:w="2012" w:type="dxa"/>
            <w:noWrap w:val="0"/>
            <w:vAlign w:val="top"/>
          </w:tcPr>
          <w:p w14:paraId="4D31169C">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配套综保装置</w:t>
            </w:r>
          </w:p>
        </w:tc>
        <w:tc>
          <w:tcPr>
            <w:tcW w:w="1438" w:type="dxa"/>
            <w:noWrap w:val="0"/>
            <w:vAlign w:val="top"/>
          </w:tcPr>
          <w:p w14:paraId="58B9B7A4">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进线和出线柜加装微机保护</w:t>
            </w:r>
          </w:p>
        </w:tc>
        <w:tc>
          <w:tcPr>
            <w:tcW w:w="1087" w:type="dxa"/>
            <w:noWrap w:val="0"/>
            <w:vAlign w:val="top"/>
          </w:tcPr>
          <w:p w14:paraId="11EED11E">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批</w:t>
            </w:r>
          </w:p>
        </w:tc>
        <w:tc>
          <w:tcPr>
            <w:tcW w:w="825" w:type="dxa"/>
            <w:noWrap w:val="0"/>
            <w:vAlign w:val="top"/>
          </w:tcPr>
          <w:p w14:paraId="4F3997FA">
            <w:pPr>
              <w:pageBreakBefore w:val="0"/>
              <w:wordWrap/>
              <w:topLinePunct w:val="0"/>
              <w:autoSpaceDE/>
              <w:autoSpaceDN/>
              <w:bidi w:val="0"/>
              <w:spacing w:before="157" w:beforeLines="50" w:after="157" w:afterLines="50" w:line="20" w:lineRule="atLeast"/>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1975" w:type="dxa"/>
            <w:noWrap w:val="0"/>
            <w:vAlign w:val="top"/>
          </w:tcPr>
          <w:p w14:paraId="28B8B15F">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p>
        </w:tc>
        <w:tc>
          <w:tcPr>
            <w:tcW w:w="2423" w:type="dxa"/>
            <w:noWrap w:val="0"/>
            <w:vAlign w:val="top"/>
          </w:tcPr>
          <w:p w14:paraId="576A5467">
            <w:pPr>
              <w:pageBreakBefore w:val="0"/>
              <w:wordWrap/>
              <w:topLinePunct w:val="0"/>
              <w:autoSpaceDE/>
              <w:autoSpaceDN/>
              <w:bidi w:val="0"/>
              <w:spacing w:before="157" w:beforeLines="50" w:after="157" w:afterLines="50" w:line="20" w:lineRule="atLeast"/>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详见系统图</w:t>
            </w:r>
          </w:p>
        </w:tc>
      </w:tr>
    </w:tbl>
    <w:p w14:paraId="057F4C78">
      <w:pPr>
        <w:pageBreakBefore w:val="0"/>
        <w:wordWrap/>
        <w:topLinePunct w:val="0"/>
        <w:autoSpaceDE/>
        <w:autoSpaceDN/>
        <w:bidi w:val="0"/>
        <w:spacing w:before="157" w:beforeLines="50" w:after="157" w:afterLines="50"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注：1.断路器合闸及储能电源（DC220V）由10kV开关柜厂家成套提供高频开关智能直流屏</w:t>
      </w:r>
      <w:r>
        <w:rPr>
          <w:rFonts w:hint="eastAsia" w:ascii="宋体" w:hAnsi="宋体" w:eastAsia="宋体" w:cs="宋体"/>
          <w:color w:val="auto"/>
          <w:sz w:val="24"/>
          <w:szCs w:val="24"/>
          <w:lang w:val="en-US" w:eastAsia="zh-CN"/>
        </w:rPr>
        <w:t>GZDW-40Ah/220V</w:t>
      </w:r>
      <w:r>
        <w:rPr>
          <w:rFonts w:hint="eastAsia" w:ascii="宋体" w:hAnsi="宋体" w:eastAsia="宋体" w:cs="宋体"/>
          <w:sz w:val="24"/>
          <w:szCs w:val="24"/>
          <w:lang w:val="en-US" w:eastAsia="zh-CN"/>
        </w:rPr>
        <w:t>。</w:t>
      </w:r>
    </w:p>
    <w:p w14:paraId="5B5B1B85">
      <w:pPr>
        <w:pageBreakBefore w:val="0"/>
        <w:wordWrap/>
        <w:topLinePunct w:val="0"/>
        <w:autoSpaceDE/>
        <w:autoSpaceDN/>
        <w:bidi w:val="0"/>
        <w:spacing w:before="157" w:beforeLines="50" w:after="157" w:afterLines="50" w:line="360" w:lineRule="auto"/>
        <w:ind w:firstLine="480"/>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vertAlign w:val="baseline"/>
          <w:lang w:val="en-US" w:eastAsia="zh-CN"/>
        </w:rPr>
        <w:t>10kV计量开关柜按供电局要求配置，满足验收要求。</w:t>
      </w:r>
    </w:p>
    <w:p w14:paraId="4C477328">
      <w:pPr>
        <w:pageBreakBefore w:val="0"/>
        <w:wordWrap/>
        <w:topLinePunct w:val="0"/>
        <w:autoSpaceDE/>
        <w:autoSpaceDN/>
        <w:bidi w:val="0"/>
        <w:spacing w:before="157" w:beforeLines="50" w:after="157" w:afterLines="50" w:line="360" w:lineRule="auto"/>
        <w:ind w:firstLine="480"/>
        <w:rPr>
          <w:rFonts w:hint="default" w:ascii="宋体" w:hAnsi="宋体" w:eastAsia="宋体" w:cs="宋体"/>
          <w:sz w:val="24"/>
          <w:szCs w:val="24"/>
          <w:lang w:val="en-US" w:eastAsia="zh-CN"/>
        </w:rPr>
      </w:pPr>
      <w:r>
        <w:rPr>
          <w:rFonts w:hint="eastAsia" w:ascii="宋体" w:hAnsi="宋体" w:eastAsia="宋体" w:cs="宋体"/>
          <w:sz w:val="24"/>
          <w:szCs w:val="24"/>
          <w:vertAlign w:val="baseline"/>
          <w:lang w:val="en-US" w:eastAsia="zh-CN"/>
        </w:rPr>
        <w:t>3.通讯系统按供电局要求配置，满足验收要求。</w:t>
      </w:r>
    </w:p>
    <w:p w14:paraId="7C6FB519">
      <w:pPr>
        <w:pStyle w:val="2"/>
        <w:pageBreakBefore w:val="0"/>
        <w:wordWrap/>
        <w:topLinePunct w:val="0"/>
        <w:autoSpaceDE/>
        <w:autoSpaceDN/>
        <w:bidi w:val="0"/>
        <w:spacing w:before="157" w:beforeLines="50" w:after="157" w:afterLines="50" w:line="360" w:lineRule="auto"/>
        <w:jc w:val="center"/>
        <w:rPr>
          <w:rFonts w:hint="default"/>
          <w:sz w:val="30"/>
          <w:szCs w:val="30"/>
          <w:lang w:val="en-US" w:eastAsia="zh-CN"/>
        </w:rPr>
      </w:pPr>
      <w:bookmarkStart w:id="452" w:name="_Toc11299"/>
      <w:bookmarkStart w:id="453" w:name="_Toc20954"/>
      <w:r>
        <w:rPr>
          <w:rFonts w:hint="eastAsia"/>
          <w:sz w:val="30"/>
          <w:szCs w:val="30"/>
          <w:lang w:val="en-US" w:eastAsia="zh-CN"/>
        </w:rPr>
        <w:t>一、主要技术要求</w:t>
      </w:r>
      <w:bookmarkEnd w:id="452"/>
      <w:bookmarkEnd w:id="453"/>
    </w:p>
    <w:p w14:paraId="7C5E2F20">
      <w:pPr>
        <w:pStyle w:val="3"/>
        <w:pageBreakBefore w:val="0"/>
        <w:wordWrap/>
        <w:topLinePunct w:val="0"/>
        <w:autoSpaceDE/>
        <w:autoSpaceDN/>
        <w:bidi w:val="0"/>
        <w:spacing w:before="157" w:beforeLines="50" w:after="157" w:afterLines="50" w:line="360" w:lineRule="auto"/>
        <w:rPr>
          <w:rFonts w:hint="eastAsia" w:ascii="宋体" w:hAnsi="宋体" w:eastAsia="宋体" w:cs="宋体"/>
          <w:sz w:val="28"/>
          <w:szCs w:val="28"/>
          <w:lang w:val="en-US" w:eastAsia="zh-CN"/>
        </w:rPr>
      </w:pPr>
      <w:bookmarkStart w:id="454" w:name="_Toc14698"/>
      <w:r>
        <w:rPr>
          <w:rFonts w:hint="eastAsia" w:ascii="宋体" w:hAnsi="宋体" w:eastAsia="宋体" w:cs="宋体"/>
          <w:sz w:val="28"/>
          <w:szCs w:val="28"/>
          <w:lang w:val="en-US" w:eastAsia="zh-CN"/>
        </w:rPr>
        <w:t>1.1使用环境条件</w:t>
      </w:r>
      <w:bookmarkEnd w:id="454"/>
    </w:p>
    <w:p w14:paraId="1875F6CA">
      <w:pPr>
        <w:pageBreakBefore w:val="0"/>
        <w:widowControl w:val="0"/>
        <w:numPr>
          <w:ilvl w:val="0"/>
          <w:numId w:val="0"/>
        </w:numPr>
        <w:wordWrap/>
        <w:topLinePunct w:val="0"/>
        <w:autoSpaceDE/>
        <w:autoSpaceDN/>
        <w:bidi w:val="0"/>
        <w:spacing w:before="157" w:beforeLines="50" w:after="157" w:afterLines="50"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高压柜使用环境条件包括（不限于）以下内容：</w:t>
      </w:r>
    </w:p>
    <w:p w14:paraId="6DD8DC3B">
      <w:pPr>
        <w:pageBreakBefore w:val="0"/>
        <w:widowControl w:val="0"/>
        <w:numPr>
          <w:ilvl w:val="0"/>
          <w:numId w:val="0"/>
        </w:numPr>
        <w:wordWrap/>
        <w:topLinePunct w:val="0"/>
        <w:autoSpaceDE/>
        <w:autoSpaceDN/>
        <w:bidi w:val="0"/>
        <w:spacing w:before="157" w:beforeLines="50" w:after="157" w:afterLines="50" w:line="360" w:lineRule="auto"/>
        <w:jc w:val="both"/>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1.1.1 使用地点：榆林市开发区； </w:t>
      </w:r>
    </w:p>
    <w:p w14:paraId="4F30DD8B">
      <w:pPr>
        <w:pageBreakBefore w:val="0"/>
        <w:widowControl w:val="0"/>
        <w:numPr>
          <w:ilvl w:val="0"/>
          <w:numId w:val="0"/>
        </w:numPr>
        <w:wordWrap/>
        <w:topLinePunct w:val="0"/>
        <w:autoSpaceDE/>
        <w:autoSpaceDN/>
        <w:bidi w:val="0"/>
        <w:spacing w:before="157" w:beforeLines="50" w:after="157" w:afterLines="50"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1.1.2 当地温、湿度条件：榆林市属大陆性气候。年平均气温10.7 ℃，昼夜温差达12-15 ℃，年最低气温-23.4℃（12 月），年最高气温37.4 （7月、8月） ℃。年平均降雨量400mm。</w:t>
      </w:r>
    </w:p>
    <w:p w14:paraId="60A4320C">
      <w:pPr>
        <w:pageBreakBefore w:val="0"/>
        <w:widowControl w:val="0"/>
        <w:numPr>
          <w:ilvl w:val="0"/>
          <w:numId w:val="0"/>
        </w:numPr>
        <w:wordWrap/>
        <w:topLinePunct w:val="0"/>
        <w:autoSpaceDE/>
        <w:autoSpaceDN/>
        <w:bidi w:val="0"/>
        <w:spacing w:before="157" w:beforeLines="50" w:after="157" w:afterLines="50" w:line="360" w:lineRule="auto"/>
        <w:jc w:val="both"/>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1.1.3 海拔：1300m内；</w:t>
      </w:r>
    </w:p>
    <w:p w14:paraId="3A2D1094">
      <w:pPr>
        <w:pageBreakBefore w:val="0"/>
        <w:widowControl w:val="0"/>
        <w:numPr>
          <w:ilvl w:val="0"/>
          <w:numId w:val="0"/>
        </w:numPr>
        <w:wordWrap/>
        <w:topLinePunct w:val="0"/>
        <w:autoSpaceDE/>
        <w:autoSpaceDN/>
        <w:bidi w:val="0"/>
        <w:spacing w:before="157" w:beforeLines="50" w:after="157" w:afterLines="50"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1.1.4 高压柜抗震级别：抗震设防烈度为6度。</w:t>
      </w:r>
    </w:p>
    <w:p w14:paraId="3DA09DFE">
      <w:pPr>
        <w:pStyle w:val="3"/>
        <w:pageBreakBefore w:val="0"/>
        <w:wordWrap/>
        <w:topLinePunct w:val="0"/>
        <w:autoSpaceDE/>
        <w:autoSpaceDN/>
        <w:bidi w:val="0"/>
        <w:spacing w:before="157" w:beforeLines="50" w:after="157" w:afterLines="50" w:line="360" w:lineRule="auto"/>
        <w:rPr>
          <w:rFonts w:hint="eastAsia" w:ascii="宋体" w:hAnsi="宋体" w:eastAsia="宋体" w:cs="宋体"/>
          <w:sz w:val="28"/>
          <w:szCs w:val="28"/>
          <w:lang w:val="en-US" w:eastAsia="zh-CN"/>
        </w:rPr>
      </w:pPr>
      <w:bookmarkStart w:id="455" w:name="_Toc16463"/>
      <w:r>
        <w:rPr>
          <w:rFonts w:hint="eastAsia" w:ascii="宋体" w:hAnsi="宋体" w:eastAsia="宋体" w:cs="宋体"/>
          <w:sz w:val="28"/>
          <w:szCs w:val="28"/>
          <w:lang w:val="en-US" w:eastAsia="zh-CN"/>
        </w:rPr>
        <w:t>1.2工作范围划分</w:t>
      </w:r>
      <w:bookmarkEnd w:id="455"/>
    </w:p>
    <w:p w14:paraId="7A851CEE">
      <w:pPr>
        <w:pageBreakBefore w:val="0"/>
        <w:widowControl w:val="0"/>
        <w:numPr>
          <w:ilvl w:val="0"/>
          <w:numId w:val="0"/>
        </w:numPr>
        <w:wordWrap/>
        <w:topLinePunct w:val="0"/>
        <w:autoSpaceDE/>
        <w:autoSpaceDN/>
        <w:bidi w:val="0"/>
        <w:spacing w:before="157" w:beforeLines="50" w:after="157" w:afterLines="50" w:line="360" w:lineRule="auto"/>
        <w:jc w:val="both"/>
        <w:rPr>
          <w:rFonts w:hint="eastAsia" w:ascii="宋体" w:hAnsi="宋体" w:eastAsia="宋体" w:cs="宋体"/>
          <w:color w:val="FF0000"/>
          <w:sz w:val="24"/>
          <w:szCs w:val="24"/>
          <w:lang w:val="en-US" w:eastAsia="zh-CN"/>
        </w:rPr>
      </w:pPr>
      <w:r>
        <w:rPr>
          <w:rFonts w:hint="eastAsia" w:ascii="宋体" w:hAnsi="宋体" w:eastAsia="宋体" w:cs="宋体"/>
          <w:sz w:val="24"/>
          <w:szCs w:val="24"/>
          <w:lang w:val="en-US" w:eastAsia="zh-CN"/>
        </w:rPr>
        <w:t>1.2.1 合同签订后，卖方向买方提供本技术文件及附件要求的高压柜相关图纸（不限于此），以满足高压柜正常设计、制造、安装、运行、维修、验收等各环节的需要为准。</w:t>
      </w:r>
    </w:p>
    <w:p w14:paraId="755359CB">
      <w:pPr>
        <w:pageBreakBefore w:val="0"/>
        <w:widowControl w:val="0"/>
        <w:numPr>
          <w:ilvl w:val="0"/>
          <w:numId w:val="0"/>
        </w:numPr>
        <w:wordWrap/>
        <w:topLinePunct w:val="0"/>
        <w:autoSpaceDE/>
        <w:autoSpaceDN/>
        <w:bidi w:val="0"/>
        <w:spacing w:before="157" w:beforeLines="50" w:after="157" w:afterLines="50"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1.2.2 卖方所提供物资满足相关标准规范要求。卖方提供的物资与需求计划要相匹配，不相匹配的，由卖方无偿更换。卖方提供的物资质量要保证。</w:t>
      </w:r>
      <w:bookmarkStart w:id="456" w:name="_bookmark9"/>
      <w:bookmarkEnd w:id="456"/>
      <w:bookmarkStart w:id="457" w:name="_bookmark10"/>
      <w:bookmarkEnd w:id="457"/>
      <w:bookmarkStart w:id="458" w:name="_bookmark8"/>
      <w:bookmarkEnd w:id="458"/>
      <w:r>
        <w:rPr>
          <w:rFonts w:hint="eastAsia" w:ascii="宋体" w:hAnsi="宋体" w:eastAsia="宋体" w:cs="宋体"/>
          <w:sz w:val="24"/>
          <w:szCs w:val="24"/>
          <w:lang w:val="en-US" w:eastAsia="zh-CN"/>
        </w:rPr>
        <w:t>卖方提供的物资符合国家、行业标准。</w:t>
      </w:r>
    </w:p>
    <w:p w14:paraId="1A81D749">
      <w:pPr>
        <w:pageBreakBefore w:val="0"/>
        <w:widowControl w:val="0"/>
        <w:numPr>
          <w:ilvl w:val="0"/>
          <w:numId w:val="0"/>
        </w:numPr>
        <w:wordWrap/>
        <w:topLinePunct w:val="0"/>
        <w:autoSpaceDE/>
        <w:autoSpaceDN/>
        <w:bidi w:val="0"/>
        <w:spacing w:before="157" w:beforeLines="50" w:after="157" w:afterLines="50" w:line="360" w:lineRule="auto"/>
        <w:jc w:val="both"/>
        <w:outlineLvl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1.2.3 买方工作范围</w:t>
      </w:r>
    </w:p>
    <w:p w14:paraId="5554AC5E">
      <w:pPr>
        <w:pageBreakBefore w:val="0"/>
        <w:widowControl w:val="0"/>
        <w:numPr>
          <w:ilvl w:val="0"/>
          <w:numId w:val="0"/>
        </w:numPr>
        <w:wordWrap/>
        <w:topLinePunct w:val="0"/>
        <w:autoSpaceDE/>
        <w:autoSpaceDN/>
        <w:bidi w:val="0"/>
        <w:spacing w:before="157" w:beforeLines="50" w:after="157" w:afterLines="50"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1.2.3.1 向卖方提供高压柜设计所需的必要设计条件。</w:t>
      </w:r>
    </w:p>
    <w:p w14:paraId="2ADB1842">
      <w:pPr>
        <w:pageBreakBefore w:val="0"/>
        <w:widowControl w:val="0"/>
        <w:numPr>
          <w:ilvl w:val="0"/>
          <w:numId w:val="0"/>
        </w:numPr>
        <w:wordWrap/>
        <w:topLinePunct w:val="0"/>
        <w:autoSpaceDE/>
        <w:autoSpaceDN/>
        <w:bidi w:val="0"/>
        <w:spacing w:before="157" w:beforeLines="50" w:after="157" w:afterLines="50" w:line="360" w:lineRule="auto"/>
        <w:jc w:val="both"/>
        <w:rPr>
          <w:rFonts w:hint="default"/>
          <w:sz w:val="24"/>
          <w:szCs w:val="24"/>
          <w:lang w:val="en-US" w:eastAsia="zh-CN"/>
        </w:rPr>
      </w:pPr>
      <w:r>
        <w:rPr>
          <w:rFonts w:hint="eastAsia" w:ascii="宋体" w:hAnsi="宋体" w:eastAsia="宋体" w:cs="宋体"/>
          <w:sz w:val="24"/>
          <w:szCs w:val="24"/>
          <w:lang w:val="en-US" w:eastAsia="zh-CN"/>
        </w:rPr>
        <w:t>1.2.3.2 卖方设计文件的确认和高压柜的验收。</w:t>
      </w:r>
    </w:p>
    <w:p w14:paraId="7F0C4DC7">
      <w:pPr>
        <w:pStyle w:val="3"/>
        <w:pageBreakBefore w:val="0"/>
        <w:wordWrap/>
        <w:topLinePunct w:val="0"/>
        <w:autoSpaceDE/>
        <w:autoSpaceDN/>
        <w:bidi w:val="0"/>
        <w:spacing w:before="157" w:beforeLines="50" w:after="157" w:afterLines="50" w:line="360" w:lineRule="auto"/>
        <w:rPr>
          <w:rFonts w:hint="eastAsia" w:ascii="宋体" w:hAnsi="宋体" w:eastAsia="宋体" w:cs="宋体"/>
          <w:sz w:val="28"/>
          <w:szCs w:val="28"/>
          <w:lang w:val="en-US" w:eastAsia="zh-CN"/>
        </w:rPr>
      </w:pPr>
      <w:bookmarkStart w:id="459" w:name="_Toc13137"/>
      <w:r>
        <w:rPr>
          <w:rFonts w:hint="eastAsia" w:ascii="宋体" w:hAnsi="宋体" w:eastAsia="宋体" w:cs="宋体"/>
          <w:sz w:val="28"/>
          <w:szCs w:val="28"/>
          <w:lang w:val="en-US" w:eastAsia="zh-CN"/>
        </w:rPr>
        <w:t>1.3设计、制造应遵守的规程、规范和标准</w:t>
      </w:r>
      <w:bookmarkEnd w:id="459"/>
    </w:p>
    <w:tbl>
      <w:tblPr>
        <w:tblStyle w:val="17"/>
        <w:tblW w:w="914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2604"/>
        <w:gridCol w:w="6536"/>
      </w:tblGrid>
      <w:tr w14:paraId="3A9BD3A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604" w:type="dxa"/>
            <w:noWrap w:val="0"/>
            <w:vAlign w:val="top"/>
          </w:tcPr>
          <w:p w14:paraId="5871158A">
            <w:pPr>
              <w:pStyle w:val="6"/>
              <w:spacing w:before="50" w:after="50" w:line="360" w:lineRule="auto"/>
              <w:ind w:firstLine="240" w:firstLineChars="100"/>
              <w:rPr>
                <w:rFonts w:ascii="宋体" w:hAnsi="宋体"/>
                <w:sz w:val="24"/>
                <w:highlight w:val="none"/>
              </w:rPr>
            </w:pPr>
            <w:r>
              <w:rPr>
                <w:rFonts w:ascii="宋体" w:hAnsi="宋体"/>
                <w:sz w:val="24"/>
                <w:highlight w:val="none"/>
              </w:rPr>
              <w:t>GB/T156-2007</w:t>
            </w:r>
            <w:r>
              <w:rPr>
                <w:rFonts w:ascii="宋体" w:hAnsi="宋体"/>
                <w:sz w:val="24"/>
                <w:highlight w:val="none"/>
              </w:rPr>
              <w:tab/>
            </w:r>
          </w:p>
        </w:tc>
        <w:tc>
          <w:tcPr>
            <w:tcW w:w="6536" w:type="dxa"/>
            <w:noWrap w:val="0"/>
            <w:vAlign w:val="top"/>
          </w:tcPr>
          <w:p w14:paraId="2C2853EA">
            <w:pPr>
              <w:pStyle w:val="6"/>
              <w:spacing w:before="50" w:after="50" w:line="360" w:lineRule="auto"/>
              <w:rPr>
                <w:rFonts w:ascii="宋体" w:hAnsi="宋体"/>
                <w:sz w:val="24"/>
                <w:highlight w:val="none"/>
              </w:rPr>
            </w:pPr>
            <w:r>
              <w:rPr>
                <w:rFonts w:hint="eastAsia" w:ascii="宋体" w:hAnsi="宋体"/>
                <w:sz w:val="24"/>
                <w:highlight w:val="none"/>
              </w:rPr>
              <w:t>标准电压</w:t>
            </w:r>
          </w:p>
        </w:tc>
      </w:tr>
      <w:tr w14:paraId="31CF667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604" w:type="dxa"/>
            <w:noWrap w:val="0"/>
            <w:vAlign w:val="top"/>
          </w:tcPr>
          <w:p w14:paraId="478638BD">
            <w:pPr>
              <w:pStyle w:val="6"/>
              <w:spacing w:before="50" w:after="50" w:line="360" w:lineRule="auto"/>
              <w:ind w:firstLine="240" w:firstLineChars="100"/>
              <w:rPr>
                <w:rFonts w:ascii="宋体" w:hAnsi="宋体"/>
                <w:sz w:val="24"/>
                <w:highlight w:val="none"/>
              </w:rPr>
            </w:pPr>
            <w:r>
              <w:rPr>
                <w:rFonts w:ascii="宋体" w:hAnsi="宋体"/>
                <w:sz w:val="24"/>
                <w:highlight w:val="none"/>
              </w:rPr>
              <w:t>GB311.1-</w:t>
            </w:r>
            <w:r>
              <w:rPr>
                <w:rFonts w:hint="eastAsia" w:ascii="宋体" w:hAnsi="宋体"/>
                <w:sz w:val="24"/>
                <w:highlight w:val="none"/>
              </w:rPr>
              <w:t>2012</w:t>
            </w:r>
          </w:p>
        </w:tc>
        <w:tc>
          <w:tcPr>
            <w:tcW w:w="6536" w:type="dxa"/>
            <w:noWrap w:val="0"/>
            <w:vAlign w:val="top"/>
          </w:tcPr>
          <w:p w14:paraId="0268809F">
            <w:pPr>
              <w:pStyle w:val="6"/>
              <w:spacing w:before="50" w:after="50" w:line="360" w:lineRule="auto"/>
              <w:rPr>
                <w:rFonts w:ascii="宋体" w:hAnsi="宋体"/>
                <w:sz w:val="24"/>
                <w:highlight w:val="none"/>
              </w:rPr>
            </w:pPr>
            <w:r>
              <w:rPr>
                <w:rFonts w:hint="eastAsia" w:ascii="宋体" w:hAnsi="宋体"/>
                <w:sz w:val="24"/>
                <w:highlight w:val="none"/>
              </w:rPr>
              <w:t>高压输变电设备的绝缘配合</w:t>
            </w:r>
          </w:p>
        </w:tc>
      </w:tr>
    </w:tbl>
    <w:p w14:paraId="3DC469E6">
      <w:pPr>
        <w:snapToGrid w:val="0"/>
        <w:spacing w:before="0" w:beforeAutospacing="0" w:after="0" w:afterAutospacing="0" w:line="360" w:lineRule="auto"/>
        <w:ind w:firstLine="240" w:firstLineChars="100"/>
        <w:jc w:val="both"/>
        <w:textAlignment w:val="baseline"/>
        <w:rPr>
          <w:rStyle w:val="25"/>
          <w:rFonts w:hint="eastAsia" w:ascii="宋体" w:hAnsi="宋体" w:eastAsia="宋体" w:cs="宋体"/>
          <w:b w:val="0"/>
          <w:i w:val="0"/>
          <w:caps w:val="0"/>
          <w:color w:val="000000"/>
          <w:spacing w:val="0"/>
          <w:w w:val="100"/>
          <w:kern w:val="2"/>
          <w:sz w:val="24"/>
          <w:szCs w:val="24"/>
          <w:lang w:val="en-US" w:eastAsia="zh-CN" w:bidi="ar-SA"/>
        </w:rPr>
      </w:pPr>
      <w:r>
        <w:rPr>
          <w:rStyle w:val="25"/>
          <w:rFonts w:hint="eastAsia" w:ascii="宋体" w:hAnsi="宋体" w:eastAsia="宋体" w:cs="宋体"/>
          <w:b w:val="0"/>
          <w:i w:val="0"/>
          <w:caps w:val="0"/>
          <w:color w:val="000000"/>
          <w:spacing w:val="0"/>
          <w:w w:val="100"/>
          <w:kern w:val="2"/>
          <w:sz w:val="24"/>
          <w:szCs w:val="24"/>
          <w:lang w:val="en-US" w:eastAsia="zh-CN" w:bidi="ar-SA"/>
        </w:rPr>
        <w:t>GB/T 5585-2018      电工用铜、铝及其合金母线</w:t>
      </w:r>
    </w:p>
    <w:p w14:paraId="5FB9F9C5">
      <w:pPr>
        <w:snapToGrid w:val="0"/>
        <w:spacing w:before="0" w:beforeAutospacing="0" w:after="0" w:afterAutospacing="0" w:line="360" w:lineRule="auto"/>
        <w:ind w:firstLine="240" w:firstLineChars="100"/>
        <w:jc w:val="both"/>
        <w:textAlignment w:val="baseline"/>
        <w:rPr>
          <w:rStyle w:val="25"/>
          <w:rFonts w:hint="eastAsia" w:ascii="宋体" w:hAnsi="宋体" w:eastAsia="宋体" w:cs="宋体"/>
          <w:b w:val="0"/>
          <w:i w:val="0"/>
          <w:caps w:val="0"/>
          <w:color w:val="000000"/>
          <w:spacing w:val="0"/>
          <w:w w:val="100"/>
          <w:kern w:val="2"/>
          <w:sz w:val="24"/>
          <w:szCs w:val="24"/>
          <w:lang w:val="en-US" w:eastAsia="zh-CN" w:bidi="ar-SA"/>
        </w:rPr>
      </w:pPr>
      <w:r>
        <w:rPr>
          <w:rStyle w:val="25"/>
          <w:rFonts w:hint="eastAsia" w:ascii="宋体" w:hAnsi="宋体" w:eastAsia="宋体" w:cs="宋体"/>
          <w:b w:val="0"/>
          <w:i w:val="0"/>
          <w:caps w:val="0"/>
          <w:color w:val="000000"/>
          <w:spacing w:val="0"/>
          <w:w w:val="100"/>
          <w:kern w:val="2"/>
          <w:sz w:val="24"/>
          <w:szCs w:val="24"/>
          <w:lang w:val="en-US" w:eastAsia="zh-CN" w:bidi="ar-SA"/>
        </w:rPr>
        <w:t>GB/T 1984-2014      高压交流断路器</w:t>
      </w:r>
    </w:p>
    <w:p w14:paraId="4AE622C9">
      <w:pPr>
        <w:snapToGrid w:val="0"/>
        <w:spacing w:before="0" w:beforeAutospacing="0" w:after="0" w:afterAutospacing="0" w:line="360" w:lineRule="auto"/>
        <w:ind w:firstLine="240" w:firstLineChars="100"/>
        <w:jc w:val="both"/>
        <w:textAlignment w:val="baseline"/>
        <w:rPr>
          <w:rStyle w:val="25"/>
          <w:rFonts w:hint="eastAsia" w:ascii="宋体" w:hAnsi="宋体" w:eastAsia="宋体" w:cs="宋体"/>
          <w:b w:val="0"/>
          <w:i w:val="0"/>
          <w:caps w:val="0"/>
          <w:color w:val="000000"/>
          <w:spacing w:val="0"/>
          <w:w w:val="100"/>
          <w:kern w:val="2"/>
          <w:sz w:val="24"/>
          <w:szCs w:val="24"/>
          <w:lang w:val="en-US" w:eastAsia="zh-CN" w:bidi="ar-SA"/>
        </w:rPr>
      </w:pPr>
      <w:r>
        <w:rPr>
          <w:rStyle w:val="25"/>
          <w:rFonts w:hint="eastAsia" w:ascii="宋体" w:hAnsi="宋体" w:eastAsia="宋体" w:cs="宋体"/>
          <w:b w:val="0"/>
          <w:i w:val="0"/>
          <w:caps w:val="0"/>
          <w:color w:val="000000"/>
          <w:spacing w:val="0"/>
          <w:w w:val="100"/>
          <w:kern w:val="2"/>
          <w:sz w:val="24"/>
          <w:szCs w:val="24"/>
          <w:lang w:val="en-US" w:eastAsia="zh-CN" w:bidi="ar-SA"/>
        </w:rPr>
        <w:t>GB/T 11022-2011     高压开关设备和控制设备标准的共用技术要求</w:t>
      </w:r>
    </w:p>
    <w:p w14:paraId="502E073D">
      <w:pPr>
        <w:snapToGrid w:val="0"/>
        <w:spacing w:before="0" w:beforeAutospacing="0" w:after="0" w:afterAutospacing="0" w:line="360" w:lineRule="auto"/>
        <w:ind w:firstLine="240" w:firstLineChars="100"/>
        <w:jc w:val="both"/>
        <w:textAlignment w:val="baseline"/>
        <w:rPr>
          <w:rStyle w:val="25"/>
          <w:rFonts w:hint="eastAsia" w:ascii="宋体" w:hAnsi="宋体" w:eastAsia="宋体" w:cs="宋体"/>
          <w:b w:val="0"/>
          <w:i w:val="0"/>
          <w:caps w:val="0"/>
          <w:color w:val="000000"/>
          <w:spacing w:val="0"/>
          <w:w w:val="100"/>
          <w:kern w:val="2"/>
          <w:sz w:val="24"/>
          <w:szCs w:val="24"/>
          <w:lang w:val="en-US" w:eastAsia="zh-CN" w:bidi="ar-SA"/>
        </w:rPr>
      </w:pPr>
      <w:r>
        <w:rPr>
          <w:rStyle w:val="25"/>
          <w:rFonts w:hint="eastAsia" w:ascii="宋体" w:hAnsi="宋体" w:eastAsia="宋体" w:cs="宋体"/>
          <w:b w:val="0"/>
          <w:i w:val="0"/>
          <w:caps w:val="0"/>
          <w:color w:val="000000"/>
          <w:spacing w:val="0"/>
          <w:w w:val="100"/>
          <w:kern w:val="2"/>
          <w:sz w:val="24"/>
          <w:szCs w:val="24"/>
          <w:lang w:val="en-US" w:eastAsia="zh-CN" w:bidi="ar-SA"/>
        </w:rPr>
        <w:t>GB/T 1408.1-2016    绝缘材料 电气强度试验方法 第1部分：工频下试验</w:t>
      </w:r>
    </w:p>
    <w:p w14:paraId="4E74EC82">
      <w:pPr>
        <w:snapToGrid w:val="0"/>
        <w:spacing w:before="0" w:beforeAutospacing="0" w:after="0" w:afterAutospacing="0" w:line="360" w:lineRule="auto"/>
        <w:ind w:left="2578" w:leftChars="85" w:hanging="2400" w:hangingChars="1000"/>
        <w:jc w:val="both"/>
        <w:textAlignment w:val="baseline"/>
        <w:rPr>
          <w:rStyle w:val="25"/>
          <w:rFonts w:hint="eastAsia" w:ascii="宋体" w:hAnsi="宋体" w:eastAsia="宋体" w:cs="宋体"/>
          <w:b w:val="0"/>
          <w:i w:val="0"/>
          <w:caps w:val="0"/>
          <w:color w:val="000000"/>
          <w:spacing w:val="0"/>
          <w:w w:val="100"/>
          <w:kern w:val="2"/>
          <w:sz w:val="24"/>
          <w:szCs w:val="24"/>
          <w:lang w:val="en-US" w:eastAsia="zh-CN" w:bidi="ar-SA"/>
        </w:rPr>
      </w:pPr>
      <w:r>
        <w:rPr>
          <w:rStyle w:val="25"/>
          <w:rFonts w:hint="eastAsia" w:ascii="宋体" w:hAnsi="宋体" w:eastAsia="宋体" w:cs="宋体"/>
          <w:b w:val="0"/>
          <w:i w:val="0"/>
          <w:caps w:val="0"/>
          <w:color w:val="000000"/>
          <w:spacing w:val="0"/>
          <w:w w:val="100"/>
          <w:kern w:val="2"/>
          <w:sz w:val="24"/>
          <w:szCs w:val="24"/>
          <w:lang w:val="en-US" w:eastAsia="zh-CN" w:bidi="ar-SA"/>
        </w:rPr>
        <w:t>GB/T 1408.2-2016    绝缘材料 电气强度试验方法 第2部分:对应用直流 电压试验的附加要求</w:t>
      </w:r>
    </w:p>
    <w:p w14:paraId="34E08B76">
      <w:pPr>
        <w:snapToGrid w:val="0"/>
        <w:spacing w:before="0" w:beforeAutospacing="0" w:after="0" w:afterAutospacing="0" w:line="360" w:lineRule="auto"/>
        <w:ind w:left="2578" w:leftChars="85" w:hanging="2400" w:hangingChars="1000"/>
        <w:jc w:val="both"/>
        <w:textAlignment w:val="baseline"/>
        <w:rPr>
          <w:rStyle w:val="25"/>
          <w:rFonts w:hint="eastAsia" w:ascii="宋体" w:hAnsi="宋体" w:eastAsia="宋体" w:cs="宋体"/>
          <w:b w:val="0"/>
          <w:i w:val="0"/>
          <w:caps w:val="0"/>
          <w:color w:val="000000"/>
          <w:spacing w:val="0"/>
          <w:w w:val="100"/>
          <w:kern w:val="2"/>
          <w:sz w:val="24"/>
          <w:szCs w:val="24"/>
          <w:lang w:val="en-US" w:eastAsia="zh-CN" w:bidi="ar-SA"/>
        </w:rPr>
      </w:pPr>
      <w:r>
        <w:rPr>
          <w:rStyle w:val="25"/>
          <w:rFonts w:hint="eastAsia" w:ascii="宋体" w:hAnsi="宋体" w:eastAsia="宋体" w:cs="宋体"/>
          <w:b w:val="0"/>
          <w:i w:val="0"/>
          <w:caps w:val="0"/>
          <w:color w:val="000000"/>
          <w:spacing w:val="0"/>
          <w:w w:val="100"/>
          <w:kern w:val="2"/>
          <w:sz w:val="24"/>
          <w:szCs w:val="24"/>
          <w:lang w:val="en-US" w:eastAsia="zh-CN" w:bidi="ar-SA"/>
        </w:rPr>
        <w:t>GB/T 1408.3-2016    绝缘材料 电气强度试验方法 第3部分：1.2/50μs冲击试验补充要求</w:t>
      </w:r>
    </w:p>
    <w:p w14:paraId="23C5B9FC">
      <w:pPr>
        <w:snapToGrid w:val="0"/>
        <w:spacing w:before="0" w:beforeAutospacing="0" w:after="0" w:afterAutospacing="0" w:line="360" w:lineRule="auto"/>
        <w:ind w:firstLine="240" w:firstLineChars="100"/>
        <w:jc w:val="both"/>
        <w:textAlignment w:val="baseline"/>
        <w:rPr>
          <w:rStyle w:val="25"/>
          <w:rFonts w:hint="eastAsia" w:ascii="宋体" w:hAnsi="宋体" w:eastAsia="宋体" w:cs="宋体"/>
          <w:b w:val="0"/>
          <w:i w:val="0"/>
          <w:caps w:val="0"/>
          <w:color w:val="000000"/>
          <w:spacing w:val="0"/>
          <w:w w:val="100"/>
          <w:kern w:val="2"/>
          <w:sz w:val="24"/>
          <w:szCs w:val="24"/>
          <w:lang w:val="en-US" w:eastAsia="zh-CN" w:bidi="ar-SA"/>
        </w:rPr>
      </w:pPr>
      <w:r>
        <w:rPr>
          <w:rStyle w:val="25"/>
          <w:rFonts w:hint="eastAsia" w:ascii="宋体" w:hAnsi="宋体" w:eastAsia="宋体" w:cs="宋体"/>
          <w:b w:val="0"/>
          <w:i w:val="0"/>
          <w:caps w:val="0"/>
          <w:color w:val="000000"/>
          <w:spacing w:val="0"/>
          <w:w w:val="100"/>
          <w:kern w:val="2"/>
          <w:sz w:val="24"/>
          <w:szCs w:val="24"/>
          <w:lang w:val="en-US" w:eastAsia="zh-CN" w:bidi="ar-SA"/>
        </w:rPr>
        <w:t>GB 3906-2020         3.6kV-40.5kV交流金属封闭开关设备和控制设备</w:t>
      </w:r>
    </w:p>
    <w:p w14:paraId="30EC89FA">
      <w:pPr>
        <w:snapToGrid w:val="0"/>
        <w:spacing w:before="0" w:beforeAutospacing="0" w:after="0" w:afterAutospacing="0" w:line="360" w:lineRule="auto"/>
        <w:ind w:firstLine="240" w:firstLineChars="100"/>
        <w:jc w:val="both"/>
        <w:textAlignment w:val="baseline"/>
        <w:rPr>
          <w:rStyle w:val="25"/>
          <w:rFonts w:hint="eastAsia" w:ascii="宋体" w:hAnsi="宋体" w:eastAsia="宋体" w:cs="宋体"/>
          <w:b w:val="0"/>
          <w:i w:val="0"/>
          <w:caps w:val="0"/>
          <w:color w:val="000000"/>
          <w:spacing w:val="0"/>
          <w:w w:val="100"/>
          <w:kern w:val="2"/>
          <w:sz w:val="24"/>
          <w:szCs w:val="24"/>
          <w:lang w:val="en-US" w:eastAsia="zh-CN" w:bidi="ar-SA"/>
        </w:rPr>
      </w:pPr>
      <w:r>
        <w:rPr>
          <w:rStyle w:val="25"/>
          <w:rFonts w:hint="eastAsia" w:ascii="宋体" w:hAnsi="宋体" w:eastAsia="宋体" w:cs="宋体"/>
          <w:b w:val="0"/>
          <w:i w:val="0"/>
          <w:caps w:val="0"/>
          <w:color w:val="000000"/>
          <w:spacing w:val="0"/>
          <w:w w:val="100"/>
          <w:kern w:val="2"/>
          <w:sz w:val="24"/>
          <w:szCs w:val="24"/>
          <w:lang w:val="en-US" w:eastAsia="zh-CN" w:bidi="ar-SA"/>
        </w:rPr>
        <w:t>GB/T 16927 -2017     高压试验技术</w:t>
      </w:r>
    </w:p>
    <w:p w14:paraId="08CD21CE">
      <w:pPr>
        <w:snapToGrid w:val="0"/>
        <w:spacing w:before="0" w:beforeAutospacing="0" w:after="0" w:afterAutospacing="0" w:line="360" w:lineRule="auto"/>
        <w:ind w:left="2838" w:leftChars="170" w:hanging="2481" w:hangingChars="1034"/>
        <w:jc w:val="both"/>
        <w:textAlignment w:val="baseline"/>
        <w:rPr>
          <w:rFonts w:hint="eastAsia" w:ascii="宋体" w:hAnsi="宋体" w:eastAsia="宋体" w:cs="宋体"/>
          <w:sz w:val="24"/>
          <w:szCs w:val="24"/>
        </w:rPr>
      </w:pPr>
      <w:r>
        <w:rPr>
          <w:rStyle w:val="25"/>
          <w:rFonts w:hint="eastAsia" w:ascii="宋体" w:hAnsi="宋体" w:eastAsia="宋体" w:cs="宋体"/>
          <w:b w:val="0"/>
          <w:i w:val="0"/>
          <w:caps w:val="0"/>
          <w:color w:val="000000"/>
          <w:spacing w:val="0"/>
          <w:w w:val="100"/>
          <w:kern w:val="2"/>
          <w:sz w:val="24"/>
          <w:szCs w:val="24"/>
          <w:lang w:val="en-US" w:eastAsia="zh-CN" w:bidi="ar-SA"/>
        </w:rPr>
        <w:t>GB/T 8287.1-2008    标称电压高于1000V系统用户内和户外支柱绝缘子  第1部分：瓷或玻璃绝缘子的试验</w:t>
      </w:r>
    </w:p>
    <w:p w14:paraId="0C4BAD2A">
      <w:pPr>
        <w:spacing w:line="360" w:lineRule="auto"/>
        <w:ind w:firstLine="480" w:firstLineChars="200"/>
        <w:rPr>
          <w:rFonts w:hint="eastAsia" w:ascii="宋体" w:hAnsi="宋体" w:eastAsia="宋体" w:cs="宋体"/>
          <w:sz w:val="24"/>
          <w:szCs w:val="24"/>
        </w:rPr>
      </w:pPr>
      <w:r>
        <w:rPr>
          <w:rFonts w:hint="eastAsia" w:ascii="宋体" w:hAnsi="宋体" w:eastAsia="宋体" w:cs="宋体"/>
          <w:position w:val="1"/>
          <w:sz w:val="24"/>
          <w:szCs w:val="24"/>
        </w:rPr>
        <w:t>GB 50150-2016</w:t>
      </w:r>
      <w:r>
        <w:rPr>
          <w:rFonts w:hint="eastAsia" w:ascii="宋体" w:hAnsi="宋体" w:eastAsia="宋体" w:cs="宋体"/>
          <w:spacing w:val="14"/>
          <w:position w:val="1"/>
          <w:sz w:val="24"/>
          <w:szCs w:val="24"/>
        </w:rPr>
        <w:t xml:space="preserve">       </w:t>
      </w:r>
      <w:r>
        <w:rPr>
          <w:rFonts w:hint="eastAsia" w:ascii="宋体" w:hAnsi="宋体" w:eastAsia="宋体" w:cs="宋体"/>
          <w:spacing w:val="14"/>
          <w:position w:val="1"/>
          <w:sz w:val="24"/>
          <w:szCs w:val="24"/>
          <w:lang w:val="en-US" w:eastAsia="zh-CN"/>
        </w:rPr>
        <w:t xml:space="preserve"> </w:t>
      </w:r>
      <w:r>
        <w:rPr>
          <w:rFonts w:hint="eastAsia" w:ascii="宋体" w:hAnsi="宋体" w:eastAsia="宋体" w:cs="宋体"/>
          <w:sz w:val="24"/>
          <w:szCs w:val="24"/>
        </w:rPr>
        <w:t>电气装置安装工程电气设备交接试验标准</w:t>
      </w:r>
    </w:p>
    <w:p w14:paraId="290A8223">
      <w:pPr>
        <w:spacing w:line="360" w:lineRule="auto"/>
        <w:ind w:firstLine="472" w:firstLineChars="200"/>
        <w:rPr>
          <w:rFonts w:hint="eastAsia" w:ascii="宋体" w:hAnsi="宋体" w:eastAsia="宋体" w:cs="宋体"/>
          <w:b w:val="0"/>
          <w:bCs w:val="0"/>
          <w:spacing w:val="14"/>
          <w:sz w:val="24"/>
          <w:szCs w:val="24"/>
        </w:rPr>
      </w:pPr>
      <w:r>
        <w:rPr>
          <w:rFonts w:hint="eastAsia" w:ascii="宋体" w:hAnsi="宋体" w:eastAsia="宋体" w:cs="宋体"/>
          <w:b w:val="0"/>
          <w:bCs w:val="0"/>
          <w:spacing w:val="-2"/>
          <w:sz w:val="24"/>
          <w:szCs w:val="24"/>
        </w:rPr>
        <w:t>GB/T</w:t>
      </w:r>
      <w:r>
        <w:rPr>
          <w:rFonts w:hint="eastAsia" w:ascii="宋体" w:hAnsi="宋体" w:eastAsia="宋体" w:cs="宋体"/>
          <w:b w:val="0"/>
          <w:bCs w:val="0"/>
          <w:spacing w:val="51"/>
          <w:sz w:val="24"/>
          <w:szCs w:val="24"/>
        </w:rPr>
        <w:t xml:space="preserve"> </w:t>
      </w:r>
      <w:r>
        <w:rPr>
          <w:rFonts w:hint="eastAsia" w:ascii="宋体" w:hAnsi="宋体" w:eastAsia="宋体" w:cs="宋体"/>
          <w:b w:val="0"/>
          <w:bCs w:val="0"/>
          <w:spacing w:val="-2"/>
          <w:sz w:val="24"/>
          <w:szCs w:val="24"/>
        </w:rPr>
        <w:t>311.1-2012</w:t>
      </w:r>
      <w:r>
        <w:rPr>
          <w:rFonts w:hint="eastAsia" w:ascii="宋体" w:hAnsi="宋体" w:eastAsia="宋体" w:cs="宋体"/>
          <w:b w:val="0"/>
          <w:bCs w:val="0"/>
          <w:spacing w:val="-2"/>
          <w:sz w:val="24"/>
          <w:szCs w:val="24"/>
          <w:lang w:val="en-US" w:eastAsia="zh-CN"/>
        </w:rPr>
        <w:t xml:space="preserve">        </w:t>
      </w:r>
      <w:r>
        <w:rPr>
          <w:rFonts w:hint="eastAsia" w:ascii="宋体" w:hAnsi="宋体" w:eastAsia="宋体" w:cs="宋体"/>
          <w:b w:val="0"/>
          <w:bCs w:val="0"/>
          <w:spacing w:val="14"/>
          <w:sz w:val="24"/>
          <w:szCs w:val="24"/>
        </w:rPr>
        <w:t>绝缘配合第1部分：定义、原则和规则</w:t>
      </w:r>
    </w:p>
    <w:p w14:paraId="32FF40A0">
      <w:pPr>
        <w:spacing w:line="360" w:lineRule="auto"/>
        <w:ind w:firstLine="472" w:firstLineChars="200"/>
        <w:rPr>
          <w:rFonts w:hint="eastAsia" w:ascii="宋体" w:hAnsi="宋体" w:eastAsia="宋体" w:cs="宋体"/>
          <w:spacing w:val="17"/>
          <w:sz w:val="24"/>
          <w:szCs w:val="24"/>
        </w:rPr>
      </w:pPr>
      <w:r>
        <w:rPr>
          <w:rFonts w:hint="eastAsia" w:ascii="宋体" w:hAnsi="宋体" w:eastAsia="宋体" w:cs="宋体"/>
          <w:spacing w:val="-2"/>
          <w:sz w:val="24"/>
          <w:szCs w:val="24"/>
        </w:rPr>
        <w:t>GB/T</w:t>
      </w:r>
      <w:r>
        <w:rPr>
          <w:rFonts w:hint="eastAsia" w:ascii="宋体" w:hAnsi="宋体" w:eastAsia="宋体" w:cs="宋体"/>
          <w:spacing w:val="51"/>
          <w:sz w:val="24"/>
          <w:szCs w:val="24"/>
        </w:rPr>
        <w:t xml:space="preserve"> </w:t>
      </w:r>
      <w:r>
        <w:rPr>
          <w:rFonts w:hint="eastAsia" w:ascii="宋体" w:hAnsi="宋体" w:eastAsia="宋体" w:cs="宋体"/>
          <w:spacing w:val="-2"/>
          <w:sz w:val="24"/>
          <w:szCs w:val="24"/>
        </w:rPr>
        <w:t>311.2-2013</w:t>
      </w:r>
      <w:r>
        <w:rPr>
          <w:rFonts w:hint="eastAsia" w:ascii="宋体" w:hAnsi="宋体" w:eastAsia="宋体" w:cs="宋体"/>
          <w:spacing w:val="-2"/>
          <w:sz w:val="24"/>
          <w:szCs w:val="24"/>
          <w:lang w:val="en-US" w:eastAsia="zh-CN"/>
        </w:rPr>
        <w:t xml:space="preserve">        </w:t>
      </w:r>
      <w:r>
        <w:rPr>
          <w:rFonts w:hint="eastAsia" w:ascii="宋体" w:hAnsi="宋体" w:eastAsia="宋体" w:cs="宋体"/>
          <w:spacing w:val="17"/>
          <w:sz w:val="24"/>
          <w:szCs w:val="24"/>
        </w:rPr>
        <w:t>绝缘配合第2部分：使用导则</w:t>
      </w:r>
    </w:p>
    <w:p w14:paraId="6D7DC5A1">
      <w:pPr>
        <w:spacing w:line="360" w:lineRule="auto"/>
        <w:ind w:firstLine="472" w:firstLineChars="200"/>
        <w:rPr>
          <w:rFonts w:hint="eastAsia" w:ascii="宋体" w:hAnsi="宋体" w:eastAsia="宋体" w:cs="宋体"/>
          <w:spacing w:val="-9"/>
          <w:sz w:val="24"/>
          <w:szCs w:val="24"/>
        </w:rPr>
      </w:pPr>
      <w:r>
        <w:rPr>
          <w:rFonts w:hint="eastAsia" w:ascii="宋体" w:hAnsi="宋体" w:eastAsia="宋体" w:cs="宋体"/>
          <w:spacing w:val="-2"/>
          <w:sz w:val="24"/>
          <w:szCs w:val="24"/>
        </w:rPr>
        <w:t>GB/T</w:t>
      </w:r>
      <w:r>
        <w:rPr>
          <w:rFonts w:hint="eastAsia" w:ascii="宋体" w:hAnsi="宋体" w:eastAsia="宋体" w:cs="宋体"/>
          <w:spacing w:val="18"/>
          <w:sz w:val="24"/>
          <w:szCs w:val="24"/>
        </w:rPr>
        <w:t xml:space="preserve"> </w:t>
      </w:r>
      <w:r>
        <w:rPr>
          <w:rFonts w:hint="eastAsia" w:ascii="宋体" w:hAnsi="宋体" w:eastAsia="宋体" w:cs="宋体"/>
          <w:spacing w:val="-2"/>
          <w:sz w:val="24"/>
          <w:szCs w:val="24"/>
        </w:rPr>
        <w:t>3797-2016</w:t>
      </w:r>
      <w:r>
        <w:rPr>
          <w:rFonts w:hint="eastAsia" w:ascii="宋体" w:hAnsi="宋体" w:eastAsia="宋体" w:cs="宋体"/>
          <w:spacing w:val="-2"/>
          <w:sz w:val="24"/>
          <w:szCs w:val="24"/>
          <w:lang w:val="en-US" w:eastAsia="zh-CN"/>
        </w:rPr>
        <w:t xml:space="preserve">         </w:t>
      </w:r>
      <w:r>
        <w:rPr>
          <w:rFonts w:hint="eastAsia" w:ascii="宋体" w:hAnsi="宋体" w:eastAsia="宋体" w:cs="宋体"/>
          <w:spacing w:val="-9"/>
          <w:sz w:val="24"/>
          <w:szCs w:val="24"/>
        </w:rPr>
        <w:t>电气控制设备</w:t>
      </w:r>
    </w:p>
    <w:p w14:paraId="57BAD20D">
      <w:pPr>
        <w:spacing w:line="360" w:lineRule="auto"/>
        <w:ind w:firstLine="472" w:firstLineChars="200"/>
        <w:rPr>
          <w:rFonts w:hint="eastAsia" w:ascii="宋体" w:hAnsi="宋体" w:eastAsia="宋体" w:cs="宋体"/>
          <w:sz w:val="24"/>
          <w:szCs w:val="24"/>
        </w:rPr>
      </w:pPr>
      <w:r>
        <w:rPr>
          <w:rFonts w:hint="eastAsia" w:ascii="宋体" w:hAnsi="宋体" w:eastAsia="宋体" w:cs="宋体"/>
          <w:spacing w:val="-2"/>
          <w:sz w:val="24"/>
          <w:szCs w:val="24"/>
        </w:rPr>
        <w:t>GB/T</w:t>
      </w:r>
      <w:r>
        <w:rPr>
          <w:rFonts w:hint="eastAsia" w:ascii="宋体" w:hAnsi="宋体" w:eastAsia="宋体" w:cs="宋体"/>
          <w:spacing w:val="51"/>
          <w:sz w:val="24"/>
          <w:szCs w:val="24"/>
        </w:rPr>
        <w:t xml:space="preserve"> </w:t>
      </w:r>
      <w:r>
        <w:rPr>
          <w:rFonts w:hint="eastAsia" w:ascii="宋体" w:hAnsi="宋体" w:eastAsia="宋体" w:cs="宋体"/>
          <w:spacing w:val="-2"/>
          <w:sz w:val="24"/>
          <w:szCs w:val="24"/>
        </w:rPr>
        <w:t>50062-2008</w:t>
      </w:r>
      <w:r>
        <w:rPr>
          <w:rFonts w:hint="eastAsia" w:ascii="宋体" w:hAnsi="宋体" w:eastAsia="宋体" w:cs="宋体"/>
          <w:spacing w:val="-2"/>
          <w:sz w:val="24"/>
          <w:szCs w:val="24"/>
          <w:lang w:val="en-US" w:eastAsia="zh-CN"/>
        </w:rPr>
        <w:t xml:space="preserve">        </w:t>
      </w:r>
      <w:r>
        <w:rPr>
          <w:rFonts w:hint="eastAsia" w:ascii="宋体" w:hAnsi="宋体" w:eastAsia="宋体" w:cs="宋体"/>
          <w:sz w:val="24"/>
          <w:szCs w:val="24"/>
        </w:rPr>
        <w:t>电力装置的继电保护和自动装置设计规范</w:t>
      </w:r>
    </w:p>
    <w:p w14:paraId="27ADFABB">
      <w:pPr>
        <w:spacing w:line="360" w:lineRule="auto"/>
        <w:ind w:firstLine="468" w:firstLineChars="200"/>
        <w:rPr>
          <w:rFonts w:hint="eastAsia" w:ascii="宋体" w:hAnsi="宋体" w:eastAsia="宋体" w:cs="宋体"/>
          <w:spacing w:val="-1"/>
          <w:sz w:val="24"/>
          <w:szCs w:val="24"/>
        </w:rPr>
      </w:pPr>
      <w:r>
        <w:rPr>
          <w:rFonts w:hint="eastAsia" w:ascii="宋体" w:hAnsi="宋体" w:eastAsia="宋体" w:cs="宋体"/>
          <w:spacing w:val="-3"/>
          <w:sz w:val="24"/>
          <w:szCs w:val="24"/>
        </w:rPr>
        <w:t>GB/T</w:t>
      </w:r>
      <w:r>
        <w:rPr>
          <w:rFonts w:hint="eastAsia" w:ascii="宋体" w:hAnsi="宋体" w:eastAsia="宋体" w:cs="宋体"/>
          <w:spacing w:val="65"/>
          <w:sz w:val="24"/>
          <w:szCs w:val="24"/>
        </w:rPr>
        <w:t xml:space="preserve"> </w:t>
      </w:r>
      <w:r>
        <w:rPr>
          <w:rFonts w:hint="eastAsia" w:ascii="宋体" w:hAnsi="宋体" w:eastAsia="宋体" w:cs="宋体"/>
          <w:spacing w:val="-3"/>
          <w:sz w:val="24"/>
          <w:szCs w:val="24"/>
        </w:rPr>
        <w:t>13384-2008</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1"/>
          <w:sz w:val="24"/>
          <w:szCs w:val="24"/>
        </w:rPr>
        <w:t>机电产品包装通用技术条件</w:t>
      </w:r>
    </w:p>
    <w:p w14:paraId="17EC5ED2">
      <w:pPr>
        <w:spacing w:line="360" w:lineRule="auto"/>
        <w:ind w:firstLine="468" w:firstLineChars="200"/>
        <w:rPr>
          <w:rFonts w:hint="eastAsia" w:ascii="宋体" w:hAnsi="宋体" w:eastAsia="宋体" w:cs="宋体"/>
          <w:spacing w:val="-2"/>
          <w:sz w:val="24"/>
          <w:szCs w:val="24"/>
        </w:rPr>
      </w:pPr>
      <w:r>
        <w:rPr>
          <w:rFonts w:hint="eastAsia" w:ascii="宋体" w:hAnsi="宋体" w:eastAsia="宋体" w:cs="宋体"/>
          <w:spacing w:val="-3"/>
          <w:sz w:val="24"/>
          <w:szCs w:val="24"/>
        </w:rPr>
        <w:t>GB/T</w:t>
      </w:r>
      <w:r>
        <w:rPr>
          <w:rFonts w:hint="eastAsia" w:ascii="宋体" w:hAnsi="宋体" w:eastAsia="宋体" w:cs="宋体"/>
          <w:spacing w:val="34"/>
          <w:sz w:val="24"/>
          <w:szCs w:val="24"/>
        </w:rPr>
        <w:t xml:space="preserve"> </w:t>
      </w:r>
      <w:r>
        <w:rPr>
          <w:rFonts w:hint="eastAsia" w:ascii="宋体" w:hAnsi="宋体" w:eastAsia="宋体" w:cs="宋体"/>
          <w:spacing w:val="-3"/>
          <w:sz w:val="24"/>
          <w:szCs w:val="24"/>
        </w:rPr>
        <w:t>11032-2010</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2"/>
          <w:sz w:val="24"/>
          <w:szCs w:val="24"/>
        </w:rPr>
        <w:t>交流无间隙金属氧化物避雷器</w:t>
      </w:r>
    </w:p>
    <w:p w14:paraId="03DD1701">
      <w:pPr>
        <w:spacing w:line="360" w:lineRule="auto"/>
        <w:ind w:firstLine="472" w:firstLineChars="200"/>
        <w:rPr>
          <w:rFonts w:hint="eastAsia" w:ascii="宋体" w:hAnsi="宋体" w:eastAsia="宋体" w:cs="宋体"/>
          <w:spacing w:val="9"/>
          <w:sz w:val="24"/>
          <w:szCs w:val="24"/>
        </w:rPr>
      </w:pPr>
      <w:r>
        <w:rPr>
          <w:rFonts w:hint="eastAsia" w:ascii="宋体" w:hAnsi="宋体" w:eastAsia="宋体" w:cs="宋体"/>
          <w:spacing w:val="-2"/>
          <w:sz w:val="24"/>
          <w:szCs w:val="24"/>
        </w:rPr>
        <w:t>GB/T</w:t>
      </w:r>
      <w:r>
        <w:rPr>
          <w:rFonts w:hint="eastAsia" w:ascii="宋体" w:hAnsi="宋体" w:eastAsia="宋体" w:cs="宋体"/>
          <w:spacing w:val="39"/>
          <w:sz w:val="24"/>
          <w:szCs w:val="24"/>
        </w:rPr>
        <w:t xml:space="preserve"> </w:t>
      </w:r>
      <w:r>
        <w:rPr>
          <w:rFonts w:hint="eastAsia" w:ascii="宋体" w:hAnsi="宋体" w:eastAsia="宋体" w:cs="宋体"/>
          <w:spacing w:val="-2"/>
          <w:sz w:val="24"/>
          <w:szCs w:val="24"/>
        </w:rPr>
        <w:t>7354-2018</w:t>
      </w:r>
      <w:r>
        <w:rPr>
          <w:rFonts w:hint="eastAsia" w:ascii="宋体" w:hAnsi="宋体" w:eastAsia="宋体" w:cs="宋体"/>
          <w:spacing w:val="-2"/>
          <w:sz w:val="24"/>
          <w:szCs w:val="24"/>
          <w:lang w:val="en-US" w:eastAsia="zh-CN"/>
        </w:rPr>
        <w:t xml:space="preserve">         </w:t>
      </w:r>
      <w:r>
        <w:rPr>
          <w:rFonts w:hint="eastAsia" w:ascii="宋体" w:hAnsi="宋体" w:eastAsia="宋体" w:cs="宋体"/>
          <w:spacing w:val="9"/>
          <w:sz w:val="24"/>
          <w:szCs w:val="24"/>
        </w:rPr>
        <w:t>高电压试验技术局部放电测量</w:t>
      </w:r>
    </w:p>
    <w:p w14:paraId="174CC3C8">
      <w:pPr>
        <w:spacing w:line="360" w:lineRule="auto"/>
        <w:ind w:firstLine="468" w:firstLineChars="200"/>
        <w:rPr>
          <w:rFonts w:hint="eastAsia" w:ascii="宋体" w:hAnsi="宋体" w:eastAsia="宋体" w:cs="宋体"/>
          <w:sz w:val="24"/>
          <w:szCs w:val="24"/>
        </w:rPr>
      </w:pPr>
      <w:r>
        <w:rPr>
          <w:rFonts w:hint="eastAsia" w:ascii="宋体" w:hAnsi="宋体" w:eastAsia="宋体" w:cs="宋体"/>
          <w:spacing w:val="-3"/>
          <w:sz w:val="24"/>
          <w:szCs w:val="24"/>
        </w:rPr>
        <w:t>GB/T</w:t>
      </w:r>
      <w:r>
        <w:rPr>
          <w:rFonts w:hint="eastAsia" w:ascii="宋体" w:hAnsi="宋体" w:eastAsia="宋体" w:cs="宋体"/>
          <w:spacing w:val="84"/>
          <w:sz w:val="24"/>
          <w:szCs w:val="24"/>
        </w:rPr>
        <w:t xml:space="preserve"> </w:t>
      </w:r>
      <w:r>
        <w:rPr>
          <w:rFonts w:hint="eastAsia" w:ascii="宋体" w:hAnsi="宋体" w:eastAsia="宋体" w:cs="宋体"/>
          <w:spacing w:val="-3"/>
          <w:sz w:val="24"/>
          <w:szCs w:val="24"/>
        </w:rPr>
        <w:t>13540-2009</w:t>
      </w:r>
      <w:r>
        <w:rPr>
          <w:rFonts w:hint="eastAsia" w:ascii="宋体" w:hAnsi="宋体" w:eastAsia="宋体" w:cs="宋体"/>
          <w:spacing w:val="-3"/>
          <w:sz w:val="24"/>
          <w:szCs w:val="24"/>
          <w:lang w:val="en-US" w:eastAsia="zh-CN"/>
        </w:rPr>
        <w:t xml:space="preserve">        </w:t>
      </w:r>
      <w:r>
        <w:rPr>
          <w:rFonts w:hint="eastAsia" w:ascii="宋体" w:hAnsi="宋体" w:eastAsia="宋体" w:cs="宋体"/>
          <w:sz w:val="24"/>
          <w:szCs w:val="24"/>
        </w:rPr>
        <w:t>高压开关设备和控制设备的抗震要求</w:t>
      </w:r>
    </w:p>
    <w:p w14:paraId="2C6E3DA3">
      <w:pPr>
        <w:spacing w:line="360" w:lineRule="auto"/>
        <w:ind w:firstLine="472" w:firstLineChars="200"/>
        <w:rPr>
          <w:rFonts w:hint="eastAsia" w:ascii="宋体" w:hAnsi="宋体" w:eastAsia="宋体" w:cs="宋体"/>
          <w:spacing w:val="-2"/>
          <w:sz w:val="24"/>
          <w:szCs w:val="24"/>
        </w:rPr>
      </w:pPr>
      <w:r>
        <w:rPr>
          <w:rFonts w:hint="eastAsia" w:ascii="宋体" w:hAnsi="宋体" w:eastAsia="宋体" w:cs="宋体"/>
          <w:spacing w:val="-2"/>
          <w:sz w:val="24"/>
          <w:szCs w:val="24"/>
        </w:rPr>
        <w:t>GB/T</w:t>
      </w:r>
      <w:r>
        <w:rPr>
          <w:rFonts w:hint="eastAsia" w:ascii="宋体" w:hAnsi="宋体" w:eastAsia="宋体" w:cs="宋体"/>
          <w:spacing w:val="67"/>
          <w:sz w:val="24"/>
          <w:szCs w:val="24"/>
        </w:rPr>
        <w:t xml:space="preserve"> </w:t>
      </w:r>
      <w:r>
        <w:rPr>
          <w:rFonts w:hint="eastAsia" w:ascii="宋体" w:hAnsi="宋体" w:eastAsia="宋体" w:cs="宋体"/>
          <w:spacing w:val="-2"/>
          <w:sz w:val="24"/>
          <w:szCs w:val="24"/>
        </w:rPr>
        <w:t>5273-2016</w:t>
      </w:r>
      <w:r>
        <w:rPr>
          <w:rFonts w:hint="eastAsia" w:ascii="宋体" w:hAnsi="宋体" w:eastAsia="宋体" w:cs="宋体"/>
          <w:spacing w:val="-2"/>
          <w:sz w:val="24"/>
          <w:szCs w:val="24"/>
          <w:lang w:val="en-US" w:eastAsia="zh-CN"/>
        </w:rPr>
        <w:t xml:space="preserve">         </w:t>
      </w:r>
      <w:r>
        <w:rPr>
          <w:rFonts w:hint="eastAsia" w:ascii="宋体" w:hAnsi="宋体" w:eastAsia="宋体" w:cs="宋体"/>
          <w:spacing w:val="-2"/>
          <w:sz w:val="24"/>
          <w:szCs w:val="24"/>
        </w:rPr>
        <w:t>高压电器端子尺寸标准化</w:t>
      </w:r>
    </w:p>
    <w:p w14:paraId="074C5864">
      <w:pPr>
        <w:spacing w:line="360" w:lineRule="auto"/>
        <w:ind w:firstLine="472" w:firstLineChars="200"/>
        <w:rPr>
          <w:rFonts w:hint="eastAsia" w:ascii="宋体" w:hAnsi="宋体" w:eastAsia="宋体" w:cs="宋体"/>
          <w:spacing w:val="5"/>
          <w:sz w:val="24"/>
          <w:szCs w:val="24"/>
        </w:rPr>
      </w:pPr>
      <w:r>
        <w:rPr>
          <w:rFonts w:hint="eastAsia" w:ascii="宋体" w:hAnsi="宋体" w:eastAsia="宋体" w:cs="宋体"/>
          <w:spacing w:val="-2"/>
          <w:sz w:val="24"/>
          <w:szCs w:val="24"/>
        </w:rPr>
        <w:t>GB/T</w:t>
      </w:r>
      <w:r>
        <w:rPr>
          <w:rFonts w:hint="eastAsia" w:ascii="宋体" w:hAnsi="宋体" w:eastAsia="宋体" w:cs="宋体"/>
          <w:spacing w:val="39"/>
          <w:sz w:val="24"/>
          <w:szCs w:val="24"/>
        </w:rPr>
        <w:t xml:space="preserve"> </w:t>
      </w:r>
      <w:r>
        <w:rPr>
          <w:rFonts w:hint="eastAsia" w:ascii="宋体" w:hAnsi="宋体" w:eastAsia="宋体" w:cs="宋体"/>
          <w:spacing w:val="-2"/>
          <w:sz w:val="24"/>
          <w:szCs w:val="24"/>
        </w:rPr>
        <w:t>4208-2017</w:t>
      </w:r>
      <w:r>
        <w:rPr>
          <w:rFonts w:hint="eastAsia" w:ascii="宋体" w:hAnsi="宋体" w:eastAsia="宋体" w:cs="宋体"/>
          <w:spacing w:val="-2"/>
          <w:sz w:val="24"/>
          <w:szCs w:val="24"/>
          <w:lang w:val="en-US" w:eastAsia="zh-CN"/>
        </w:rPr>
        <w:t xml:space="preserve">         </w:t>
      </w:r>
      <w:r>
        <w:rPr>
          <w:rFonts w:hint="eastAsia" w:ascii="宋体" w:hAnsi="宋体" w:eastAsia="宋体" w:cs="宋体"/>
          <w:spacing w:val="5"/>
          <w:sz w:val="24"/>
          <w:szCs w:val="24"/>
        </w:rPr>
        <w:t>外壳防护等级(</w:t>
      </w:r>
      <w:r>
        <w:rPr>
          <w:rFonts w:hint="eastAsia" w:ascii="宋体" w:hAnsi="宋体" w:eastAsia="宋体" w:cs="宋体"/>
          <w:sz w:val="24"/>
          <w:szCs w:val="24"/>
        </w:rPr>
        <w:t>IP</w:t>
      </w:r>
      <w:r>
        <w:rPr>
          <w:rFonts w:hint="eastAsia" w:ascii="宋体" w:hAnsi="宋体" w:eastAsia="宋体" w:cs="宋体"/>
          <w:spacing w:val="38"/>
          <w:sz w:val="24"/>
          <w:szCs w:val="24"/>
        </w:rPr>
        <w:t xml:space="preserve"> </w:t>
      </w:r>
      <w:r>
        <w:rPr>
          <w:rFonts w:hint="eastAsia" w:ascii="宋体" w:hAnsi="宋体" w:eastAsia="宋体" w:cs="宋体"/>
          <w:spacing w:val="5"/>
          <w:sz w:val="24"/>
          <w:szCs w:val="24"/>
        </w:rPr>
        <w:t>代码)</w:t>
      </w:r>
    </w:p>
    <w:p w14:paraId="6A822864">
      <w:pPr>
        <w:spacing w:line="360" w:lineRule="auto"/>
        <w:ind w:firstLine="468" w:firstLineChars="200"/>
        <w:rPr>
          <w:rFonts w:hint="eastAsia" w:ascii="宋体" w:hAnsi="宋体" w:eastAsia="宋体" w:cs="宋体"/>
          <w:spacing w:val="1"/>
          <w:sz w:val="24"/>
          <w:szCs w:val="24"/>
        </w:rPr>
      </w:pPr>
      <w:r>
        <w:rPr>
          <w:rFonts w:hint="eastAsia" w:ascii="宋体" w:hAnsi="宋体" w:eastAsia="宋体" w:cs="宋体"/>
          <w:spacing w:val="-3"/>
          <w:sz w:val="24"/>
          <w:szCs w:val="24"/>
        </w:rPr>
        <w:t>GB/T</w:t>
      </w:r>
      <w:r>
        <w:rPr>
          <w:rFonts w:hint="eastAsia" w:ascii="宋体" w:hAnsi="宋体" w:eastAsia="宋体" w:cs="宋体"/>
          <w:spacing w:val="79"/>
          <w:sz w:val="24"/>
          <w:szCs w:val="24"/>
        </w:rPr>
        <w:t xml:space="preserve"> </w:t>
      </w:r>
      <w:r>
        <w:rPr>
          <w:rFonts w:hint="eastAsia" w:ascii="宋体" w:hAnsi="宋体" w:eastAsia="宋体" w:cs="宋体"/>
          <w:spacing w:val="-3"/>
          <w:sz w:val="24"/>
          <w:szCs w:val="24"/>
        </w:rPr>
        <w:t>191-2008</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1"/>
          <w:sz w:val="24"/>
          <w:szCs w:val="24"/>
        </w:rPr>
        <w:t>包装储运图示标志</w:t>
      </w:r>
    </w:p>
    <w:p w14:paraId="232BDF16">
      <w:pPr>
        <w:spacing w:line="360" w:lineRule="auto"/>
        <w:ind w:left="2276" w:leftChars="185" w:hanging="1888" w:hangingChars="800"/>
        <w:rPr>
          <w:rFonts w:hint="eastAsia" w:ascii="宋体" w:hAnsi="宋体" w:eastAsia="宋体" w:cs="宋体"/>
          <w:spacing w:val="1"/>
          <w:sz w:val="24"/>
          <w:szCs w:val="24"/>
        </w:rPr>
      </w:pPr>
      <w:r>
        <w:rPr>
          <w:rFonts w:hint="eastAsia" w:ascii="宋体" w:hAnsi="宋体" w:eastAsia="宋体" w:cs="宋体"/>
          <w:spacing w:val="-2"/>
          <w:sz w:val="24"/>
          <w:szCs w:val="24"/>
        </w:rPr>
        <w:t>GB</w:t>
      </w:r>
      <w:r>
        <w:rPr>
          <w:rFonts w:hint="eastAsia" w:ascii="宋体" w:hAnsi="宋体" w:eastAsia="宋体" w:cs="宋体"/>
          <w:spacing w:val="14"/>
          <w:sz w:val="24"/>
          <w:szCs w:val="24"/>
        </w:rPr>
        <w:t xml:space="preserve"> </w:t>
      </w:r>
      <w:r>
        <w:rPr>
          <w:rFonts w:hint="eastAsia" w:ascii="宋体" w:hAnsi="宋体" w:eastAsia="宋体" w:cs="宋体"/>
          <w:spacing w:val="-2"/>
          <w:sz w:val="24"/>
          <w:szCs w:val="24"/>
        </w:rPr>
        <w:t>3906-2006</w:t>
      </w:r>
      <w:r>
        <w:rPr>
          <w:rFonts w:hint="eastAsia" w:ascii="宋体" w:hAnsi="宋体" w:eastAsia="宋体" w:cs="宋体"/>
          <w:spacing w:val="-2"/>
          <w:sz w:val="24"/>
          <w:szCs w:val="24"/>
          <w:lang w:val="en-US" w:eastAsia="zh-CN"/>
        </w:rPr>
        <w:t xml:space="preserve">          </w:t>
      </w:r>
      <w:r>
        <w:rPr>
          <w:rFonts w:hint="eastAsia" w:ascii="宋体" w:hAnsi="宋体" w:eastAsia="宋体" w:cs="宋体"/>
          <w:spacing w:val="1"/>
          <w:sz w:val="24"/>
          <w:szCs w:val="24"/>
        </w:rPr>
        <w:t>3.6</w:t>
      </w:r>
      <w:r>
        <w:rPr>
          <w:rFonts w:hint="eastAsia" w:ascii="宋体" w:hAnsi="宋体" w:eastAsia="宋体" w:cs="宋体"/>
          <w:sz w:val="24"/>
          <w:szCs w:val="24"/>
        </w:rPr>
        <w:t>kV</w:t>
      </w:r>
      <w:r>
        <w:rPr>
          <w:rFonts w:hint="eastAsia" w:ascii="宋体" w:hAnsi="宋体" w:eastAsia="宋体" w:cs="宋体"/>
          <w:spacing w:val="1"/>
          <w:sz w:val="24"/>
          <w:szCs w:val="24"/>
        </w:rPr>
        <w:t>～40.5</w:t>
      </w:r>
      <w:r>
        <w:rPr>
          <w:rFonts w:hint="eastAsia" w:ascii="宋体" w:hAnsi="宋体" w:eastAsia="宋体" w:cs="宋体"/>
          <w:sz w:val="24"/>
          <w:szCs w:val="24"/>
        </w:rPr>
        <w:t>kV</w:t>
      </w:r>
      <w:r>
        <w:rPr>
          <w:rFonts w:hint="eastAsia" w:ascii="宋体" w:hAnsi="宋体" w:eastAsia="宋体" w:cs="宋体"/>
          <w:spacing w:val="-33"/>
          <w:sz w:val="24"/>
          <w:szCs w:val="24"/>
        </w:rPr>
        <w:t xml:space="preserve"> </w:t>
      </w:r>
      <w:r>
        <w:rPr>
          <w:rFonts w:hint="eastAsia" w:ascii="宋体" w:hAnsi="宋体" w:eastAsia="宋体" w:cs="宋体"/>
          <w:spacing w:val="1"/>
          <w:sz w:val="24"/>
          <w:szCs w:val="24"/>
        </w:rPr>
        <w:t>交流金属封闭开关设备和控制设备</w:t>
      </w:r>
    </w:p>
    <w:p w14:paraId="4628DC16">
      <w:pPr>
        <w:spacing w:line="360" w:lineRule="auto"/>
        <w:ind w:firstLine="464" w:firstLineChars="200"/>
        <w:rPr>
          <w:rFonts w:hint="eastAsia" w:ascii="宋体" w:hAnsi="宋体" w:eastAsia="宋体" w:cs="宋体"/>
          <w:spacing w:val="-1"/>
          <w:sz w:val="24"/>
          <w:szCs w:val="24"/>
        </w:rPr>
      </w:pPr>
      <w:r>
        <w:rPr>
          <w:rFonts w:hint="eastAsia" w:ascii="宋体" w:hAnsi="宋体" w:eastAsia="宋体" w:cs="宋体"/>
          <w:spacing w:val="-4"/>
          <w:sz w:val="24"/>
          <w:szCs w:val="24"/>
        </w:rPr>
        <w:t>GB/T</w:t>
      </w:r>
      <w:r>
        <w:rPr>
          <w:rFonts w:hint="eastAsia" w:ascii="宋体" w:hAnsi="宋体" w:eastAsia="宋体" w:cs="宋体"/>
          <w:spacing w:val="33"/>
          <w:sz w:val="24"/>
          <w:szCs w:val="24"/>
        </w:rPr>
        <w:t xml:space="preserve"> </w:t>
      </w:r>
      <w:r>
        <w:rPr>
          <w:rFonts w:hint="eastAsia" w:ascii="宋体" w:hAnsi="宋体" w:eastAsia="宋体" w:cs="宋体"/>
          <w:spacing w:val="-4"/>
          <w:sz w:val="24"/>
          <w:szCs w:val="24"/>
        </w:rPr>
        <w:t>17626</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1"/>
          <w:sz w:val="24"/>
          <w:szCs w:val="24"/>
        </w:rPr>
        <w:t>电磁兼容  试验和测量技术</w:t>
      </w:r>
    </w:p>
    <w:tbl>
      <w:tblPr>
        <w:tblStyle w:val="17"/>
        <w:tblW w:w="914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2604"/>
        <w:gridCol w:w="6536"/>
      </w:tblGrid>
      <w:tr w14:paraId="46DA77A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604" w:type="dxa"/>
            <w:noWrap w:val="0"/>
            <w:vAlign w:val="top"/>
          </w:tcPr>
          <w:p w14:paraId="256DE78D">
            <w:pPr>
              <w:pStyle w:val="6"/>
              <w:spacing w:before="50" w:after="50" w:line="360" w:lineRule="auto"/>
              <w:ind w:firstLine="480" w:firstLineChars="200"/>
              <w:rPr>
                <w:rFonts w:ascii="宋体" w:hAnsi="宋体"/>
                <w:sz w:val="24"/>
                <w:highlight w:val="none"/>
              </w:rPr>
            </w:pPr>
            <w:r>
              <w:rPr>
                <w:rFonts w:ascii="宋体" w:hAnsi="宋体"/>
                <w:sz w:val="24"/>
                <w:highlight w:val="none"/>
              </w:rPr>
              <w:t>DL</w:t>
            </w:r>
            <w:r>
              <w:rPr>
                <w:rFonts w:hint="eastAsia" w:ascii="宋体" w:hAnsi="宋体"/>
                <w:sz w:val="24"/>
                <w:highlight w:val="none"/>
              </w:rPr>
              <w:t>/T</w:t>
            </w:r>
            <w:r>
              <w:rPr>
                <w:rFonts w:ascii="宋体" w:hAnsi="宋体"/>
                <w:sz w:val="24"/>
                <w:highlight w:val="none"/>
              </w:rPr>
              <w:t>402-</w:t>
            </w:r>
            <w:r>
              <w:rPr>
                <w:rFonts w:hint="eastAsia" w:ascii="宋体" w:hAnsi="宋体"/>
                <w:sz w:val="24"/>
                <w:highlight w:val="none"/>
              </w:rPr>
              <w:t>2016</w:t>
            </w:r>
            <w:r>
              <w:rPr>
                <w:rFonts w:ascii="宋体" w:hAnsi="宋体"/>
                <w:sz w:val="24"/>
                <w:highlight w:val="none"/>
              </w:rPr>
              <w:tab/>
            </w:r>
          </w:p>
        </w:tc>
        <w:tc>
          <w:tcPr>
            <w:tcW w:w="6536" w:type="dxa"/>
            <w:noWrap w:val="0"/>
            <w:vAlign w:val="top"/>
          </w:tcPr>
          <w:p w14:paraId="792B2899">
            <w:pPr>
              <w:pStyle w:val="6"/>
              <w:spacing w:before="50" w:after="50" w:line="360" w:lineRule="auto"/>
              <w:ind w:firstLine="720" w:firstLineChars="300"/>
              <w:rPr>
                <w:rFonts w:ascii="宋体" w:hAnsi="宋体"/>
                <w:sz w:val="24"/>
                <w:highlight w:val="none"/>
              </w:rPr>
            </w:pPr>
            <w:r>
              <w:rPr>
                <w:rFonts w:hint="eastAsia" w:ascii="宋体" w:hAnsi="宋体"/>
                <w:sz w:val="24"/>
                <w:highlight w:val="none"/>
              </w:rPr>
              <w:t>高压交流断路器</w:t>
            </w:r>
          </w:p>
        </w:tc>
      </w:tr>
      <w:tr w14:paraId="68A7C45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604" w:type="dxa"/>
            <w:noWrap w:val="0"/>
            <w:vAlign w:val="top"/>
          </w:tcPr>
          <w:p w14:paraId="05E8FFC8">
            <w:pPr>
              <w:pStyle w:val="6"/>
              <w:spacing w:before="50" w:after="50" w:line="360" w:lineRule="auto"/>
              <w:ind w:firstLine="480" w:firstLineChars="200"/>
              <w:rPr>
                <w:rFonts w:ascii="宋体" w:hAnsi="宋体"/>
                <w:sz w:val="24"/>
                <w:highlight w:val="none"/>
              </w:rPr>
            </w:pPr>
            <w:r>
              <w:rPr>
                <w:rFonts w:ascii="宋体" w:hAnsi="宋体"/>
                <w:sz w:val="24"/>
                <w:highlight w:val="none"/>
              </w:rPr>
              <w:t>DL/T</w:t>
            </w:r>
            <w:r>
              <w:rPr>
                <w:rFonts w:hint="eastAsia" w:ascii="宋体" w:hAnsi="宋体"/>
                <w:sz w:val="24"/>
                <w:highlight w:val="none"/>
              </w:rPr>
              <w:t>486</w:t>
            </w:r>
            <w:r>
              <w:rPr>
                <w:rFonts w:ascii="宋体" w:hAnsi="宋体"/>
                <w:sz w:val="24"/>
                <w:highlight w:val="none"/>
              </w:rPr>
              <w:t>-</w:t>
            </w:r>
            <w:r>
              <w:rPr>
                <w:rFonts w:hint="eastAsia" w:ascii="宋体" w:hAnsi="宋体"/>
                <w:sz w:val="24"/>
                <w:highlight w:val="none"/>
              </w:rPr>
              <w:t>2010</w:t>
            </w:r>
          </w:p>
        </w:tc>
        <w:tc>
          <w:tcPr>
            <w:tcW w:w="6536" w:type="dxa"/>
            <w:noWrap w:val="0"/>
            <w:vAlign w:val="top"/>
          </w:tcPr>
          <w:p w14:paraId="33C30F6A">
            <w:pPr>
              <w:pStyle w:val="6"/>
              <w:spacing w:before="50" w:after="50" w:line="360" w:lineRule="auto"/>
              <w:ind w:firstLine="720" w:firstLineChars="300"/>
              <w:rPr>
                <w:rFonts w:ascii="宋体" w:hAnsi="宋体"/>
                <w:sz w:val="24"/>
                <w:highlight w:val="none"/>
              </w:rPr>
            </w:pPr>
            <w:r>
              <w:rPr>
                <w:rFonts w:hint="eastAsia" w:ascii="宋体" w:hAnsi="宋体"/>
                <w:sz w:val="24"/>
                <w:highlight w:val="none"/>
              </w:rPr>
              <w:t>高压交流隔离开关和接地开关</w:t>
            </w:r>
          </w:p>
        </w:tc>
      </w:tr>
      <w:tr w14:paraId="13DD84AE">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604" w:type="dxa"/>
            <w:noWrap w:val="0"/>
            <w:vAlign w:val="top"/>
          </w:tcPr>
          <w:p w14:paraId="35A4621C">
            <w:pPr>
              <w:pStyle w:val="6"/>
              <w:spacing w:before="50" w:after="50" w:line="360" w:lineRule="auto"/>
              <w:ind w:firstLine="480" w:firstLineChars="200"/>
              <w:rPr>
                <w:rFonts w:ascii="宋体" w:hAnsi="宋体"/>
                <w:sz w:val="24"/>
                <w:highlight w:val="none"/>
              </w:rPr>
            </w:pPr>
            <w:r>
              <w:rPr>
                <w:rFonts w:ascii="宋体" w:hAnsi="宋体"/>
                <w:sz w:val="24"/>
                <w:highlight w:val="none"/>
              </w:rPr>
              <w:t>DL/T</w:t>
            </w:r>
            <w:r>
              <w:rPr>
                <w:rFonts w:hint="eastAsia" w:ascii="宋体" w:hAnsi="宋体"/>
                <w:sz w:val="24"/>
                <w:highlight w:val="none"/>
              </w:rPr>
              <w:t>593</w:t>
            </w:r>
            <w:r>
              <w:rPr>
                <w:rFonts w:ascii="宋体" w:hAnsi="宋体"/>
                <w:sz w:val="24"/>
                <w:highlight w:val="none"/>
              </w:rPr>
              <w:t>-</w:t>
            </w:r>
            <w:r>
              <w:rPr>
                <w:rFonts w:hint="eastAsia" w:ascii="宋体" w:hAnsi="宋体"/>
                <w:sz w:val="24"/>
                <w:highlight w:val="none"/>
              </w:rPr>
              <w:t>2016</w:t>
            </w:r>
          </w:p>
        </w:tc>
        <w:tc>
          <w:tcPr>
            <w:tcW w:w="6536" w:type="dxa"/>
            <w:noWrap w:val="0"/>
            <w:vAlign w:val="top"/>
          </w:tcPr>
          <w:p w14:paraId="6DDDDA1C">
            <w:pPr>
              <w:pStyle w:val="6"/>
              <w:spacing w:before="50" w:after="50" w:line="360" w:lineRule="auto"/>
              <w:ind w:firstLine="480" w:firstLineChars="200"/>
              <w:rPr>
                <w:rFonts w:ascii="宋体" w:hAnsi="宋体"/>
                <w:sz w:val="24"/>
                <w:highlight w:val="none"/>
              </w:rPr>
            </w:pPr>
            <w:r>
              <w:rPr>
                <w:rFonts w:hint="eastAsia" w:ascii="宋体" w:hAnsi="宋体"/>
                <w:sz w:val="24"/>
                <w:highlight w:val="none"/>
              </w:rPr>
              <w:t>高压开关设备和控制设备标准的共用技术要求</w:t>
            </w:r>
          </w:p>
        </w:tc>
      </w:tr>
      <w:tr w14:paraId="0296CB2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604" w:type="dxa"/>
            <w:noWrap w:val="0"/>
            <w:vAlign w:val="top"/>
          </w:tcPr>
          <w:p w14:paraId="001C54B4">
            <w:pPr>
              <w:pStyle w:val="6"/>
              <w:spacing w:before="50" w:after="50" w:line="360" w:lineRule="auto"/>
              <w:ind w:firstLine="480" w:firstLineChars="200"/>
              <w:rPr>
                <w:rFonts w:ascii="宋体" w:hAnsi="宋体"/>
                <w:sz w:val="24"/>
                <w:highlight w:val="none"/>
              </w:rPr>
            </w:pPr>
            <w:r>
              <w:rPr>
                <w:rFonts w:ascii="宋体" w:hAnsi="宋体"/>
                <w:sz w:val="24"/>
                <w:highlight w:val="none"/>
              </w:rPr>
              <w:t>DL/T404-2007</w:t>
            </w:r>
          </w:p>
        </w:tc>
        <w:tc>
          <w:tcPr>
            <w:tcW w:w="6536" w:type="dxa"/>
            <w:noWrap w:val="0"/>
            <w:vAlign w:val="top"/>
          </w:tcPr>
          <w:p w14:paraId="0BAF2165">
            <w:pPr>
              <w:pStyle w:val="6"/>
              <w:spacing w:before="50" w:after="50" w:line="360" w:lineRule="auto"/>
              <w:ind w:firstLine="480" w:firstLineChars="200"/>
              <w:rPr>
                <w:rFonts w:ascii="宋体" w:hAnsi="宋体"/>
                <w:sz w:val="24"/>
                <w:highlight w:val="none"/>
              </w:rPr>
            </w:pPr>
            <w:r>
              <w:rPr>
                <w:rFonts w:hint="eastAsia" w:ascii="宋体" w:hAnsi="宋体"/>
                <w:sz w:val="24"/>
                <w:highlight w:val="none"/>
              </w:rPr>
              <w:t>3.6kV～40.5kV交流金属封闭开关设备和控制设备</w:t>
            </w:r>
          </w:p>
        </w:tc>
      </w:tr>
      <w:tr w14:paraId="159CAB4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604" w:type="dxa"/>
            <w:noWrap w:val="0"/>
            <w:vAlign w:val="top"/>
          </w:tcPr>
          <w:p w14:paraId="42F6D937">
            <w:pPr>
              <w:pStyle w:val="6"/>
              <w:spacing w:before="50" w:after="50" w:line="360" w:lineRule="auto"/>
              <w:ind w:firstLine="480" w:firstLineChars="200"/>
              <w:rPr>
                <w:rFonts w:ascii="宋体" w:hAnsi="宋体"/>
                <w:sz w:val="24"/>
                <w:highlight w:val="none"/>
              </w:rPr>
            </w:pPr>
            <w:r>
              <w:rPr>
                <w:rFonts w:ascii="宋体" w:hAnsi="宋体"/>
                <w:sz w:val="24"/>
                <w:highlight w:val="none"/>
              </w:rPr>
              <w:t>DL/T403-20</w:t>
            </w:r>
            <w:r>
              <w:rPr>
                <w:rFonts w:hint="eastAsia" w:ascii="宋体" w:hAnsi="宋体"/>
                <w:sz w:val="24"/>
                <w:highlight w:val="none"/>
              </w:rPr>
              <w:t>17</w:t>
            </w:r>
          </w:p>
        </w:tc>
        <w:tc>
          <w:tcPr>
            <w:tcW w:w="6536" w:type="dxa"/>
            <w:noWrap w:val="0"/>
            <w:vAlign w:val="top"/>
          </w:tcPr>
          <w:p w14:paraId="55D7BEE4">
            <w:pPr>
              <w:pStyle w:val="6"/>
              <w:spacing w:before="50" w:after="50" w:line="360" w:lineRule="auto"/>
              <w:rPr>
                <w:rFonts w:ascii="宋体" w:hAnsi="宋体"/>
                <w:sz w:val="24"/>
                <w:highlight w:val="none"/>
              </w:rPr>
            </w:pPr>
            <w:r>
              <w:rPr>
                <w:rFonts w:hint="eastAsia"/>
                <w:sz w:val="24"/>
                <w:highlight w:val="none"/>
                <w:lang w:val="en-US" w:eastAsia="zh-CN"/>
              </w:rPr>
              <w:t xml:space="preserve">    </w:t>
            </w:r>
            <w:r>
              <w:rPr>
                <w:rFonts w:hint="eastAsia" w:ascii="宋体" w:hAnsi="宋体"/>
                <w:sz w:val="24"/>
                <w:highlight w:val="none"/>
              </w:rPr>
              <w:t>高压交流真空断路器</w:t>
            </w:r>
          </w:p>
        </w:tc>
      </w:tr>
      <w:tr w14:paraId="263638E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604" w:type="dxa"/>
            <w:noWrap w:val="0"/>
            <w:vAlign w:val="top"/>
          </w:tcPr>
          <w:p w14:paraId="4DF5B2A1">
            <w:pPr>
              <w:pStyle w:val="6"/>
              <w:spacing w:before="50" w:after="50" w:line="360" w:lineRule="auto"/>
              <w:ind w:firstLine="480" w:firstLineChars="200"/>
              <w:rPr>
                <w:rFonts w:ascii="宋体" w:hAnsi="宋体" w:eastAsia="宋体" w:cs="Times New Roman"/>
                <w:kern w:val="2"/>
                <w:sz w:val="24"/>
                <w:szCs w:val="24"/>
                <w:highlight w:val="none"/>
                <w:lang w:val="en-US" w:eastAsia="zh-CN" w:bidi="ar-SA"/>
              </w:rPr>
            </w:pPr>
            <w:r>
              <w:rPr>
                <w:rFonts w:hint="eastAsia" w:ascii="宋体" w:hAnsi="宋体"/>
                <w:sz w:val="24"/>
                <w:highlight w:val="none"/>
              </w:rPr>
              <w:t>DL/T486-2010</w:t>
            </w:r>
            <w:r>
              <w:rPr>
                <w:rFonts w:ascii="宋体" w:hAnsi="宋体"/>
                <w:sz w:val="24"/>
                <w:highlight w:val="none"/>
              </w:rPr>
              <w:tab/>
            </w:r>
          </w:p>
        </w:tc>
        <w:tc>
          <w:tcPr>
            <w:tcW w:w="6536" w:type="dxa"/>
            <w:noWrap w:val="0"/>
            <w:vAlign w:val="top"/>
          </w:tcPr>
          <w:p w14:paraId="5DE0DD24">
            <w:pPr>
              <w:pStyle w:val="6"/>
              <w:spacing w:before="50" w:after="50" w:line="360" w:lineRule="auto"/>
              <w:rPr>
                <w:rFonts w:hint="eastAsia" w:ascii="宋体" w:hAnsi="宋体" w:eastAsia="宋体" w:cs="Times New Roman"/>
                <w:kern w:val="2"/>
                <w:sz w:val="24"/>
                <w:szCs w:val="24"/>
                <w:highlight w:val="none"/>
                <w:lang w:val="en-US" w:eastAsia="zh-CN" w:bidi="ar-SA"/>
              </w:rPr>
            </w:pPr>
            <w:r>
              <w:rPr>
                <w:rFonts w:hint="eastAsia"/>
                <w:sz w:val="24"/>
                <w:highlight w:val="none"/>
                <w:lang w:val="en-US" w:eastAsia="zh-CN"/>
              </w:rPr>
              <w:t xml:space="preserve">    </w:t>
            </w:r>
            <w:r>
              <w:rPr>
                <w:rFonts w:hint="eastAsia" w:ascii="宋体" w:hAnsi="宋体"/>
                <w:sz w:val="24"/>
                <w:highlight w:val="none"/>
              </w:rPr>
              <w:t>高压交流隔离开关和接地开关</w:t>
            </w:r>
            <w:r>
              <w:rPr>
                <w:rFonts w:hint="eastAsia"/>
                <w:sz w:val="24"/>
                <w:highlight w:val="none"/>
                <w:lang w:val="en-US" w:eastAsia="zh-CN"/>
              </w:rPr>
              <w:t xml:space="preserve"> </w:t>
            </w:r>
          </w:p>
        </w:tc>
      </w:tr>
      <w:tr w14:paraId="131020B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604" w:type="dxa"/>
            <w:noWrap w:val="0"/>
            <w:vAlign w:val="top"/>
          </w:tcPr>
          <w:p w14:paraId="70818070">
            <w:pPr>
              <w:pStyle w:val="6"/>
              <w:spacing w:before="50" w:after="50" w:line="360" w:lineRule="auto"/>
              <w:ind w:firstLine="480" w:firstLineChars="200"/>
              <w:rPr>
                <w:rFonts w:ascii="宋体" w:hAnsi="宋体" w:eastAsia="宋体" w:cs="Times New Roman"/>
                <w:kern w:val="2"/>
                <w:sz w:val="24"/>
                <w:szCs w:val="24"/>
                <w:highlight w:val="none"/>
                <w:lang w:val="en-US" w:eastAsia="zh-CN" w:bidi="ar-SA"/>
              </w:rPr>
            </w:pPr>
            <w:r>
              <w:rPr>
                <w:rFonts w:ascii="宋体" w:hAnsi="宋体"/>
                <w:sz w:val="24"/>
                <w:highlight w:val="none"/>
              </w:rPr>
              <w:t>DL/T726-2013</w:t>
            </w:r>
          </w:p>
        </w:tc>
        <w:tc>
          <w:tcPr>
            <w:tcW w:w="6536" w:type="dxa"/>
            <w:noWrap w:val="0"/>
            <w:vAlign w:val="top"/>
          </w:tcPr>
          <w:p w14:paraId="5DBAFFB2">
            <w:pPr>
              <w:pStyle w:val="6"/>
              <w:spacing w:before="50" w:after="50" w:line="360" w:lineRule="auto"/>
              <w:rPr>
                <w:rFonts w:hint="eastAsia" w:ascii="宋体" w:hAnsi="宋体" w:eastAsia="宋体" w:cs="Times New Roman"/>
                <w:kern w:val="2"/>
                <w:sz w:val="24"/>
                <w:szCs w:val="24"/>
                <w:highlight w:val="none"/>
                <w:lang w:val="en-US" w:eastAsia="zh-CN" w:bidi="ar-SA"/>
              </w:rPr>
            </w:pPr>
            <w:r>
              <w:rPr>
                <w:rFonts w:hint="eastAsia"/>
                <w:sz w:val="24"/>
                <w:highlight w:val="none"/>
                <w:lang w:val="en-US" w:eastAsia="zh-CN"/>
              </w:rPr>
              <w:t xml:space="preserve">    </w:t>
            </w:r>
            <w:r>
              <w:rPr>
                <w:rFonts w:hint="eastAsia" w:ascii="宋体" w:hAnsi="宋体"/>
                <w:sz w:val="24"/>
                <w:highlight w:val="none"/>
              </w:rPr>
              <w:t>电力用电磁式电压互感器使用技术规范</w:t>
            </w:r>
            <w:r>
              <w:rPr>
                <w:rFonts w:hint="eastAsia"/>
                <w:sz w:val="24"/>
                <w:highlight w:val="none"/>
                <w:lang w:val="en-US" w:eastAsia="zh-CN"/>
              </w:rPr>
              <w:t xml:space="preserve"> </w:t>
            </w:r>
          </w:p>
        </w:tc>
      </w:tr>
      <w:tr w14:paraId="65D005A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604" w:type="dxa"/>
            <w:noWrap w:val="0"/>
            <w:vAlign w:val="top"/>
          </w:tcPr>
          <w:p w14:paraId="21921BDE">
            <w:pPr>
              <w:pStyle w:val="6"/>
              <w:spacing w:before="50" w:after="50" w:line="360" w:lineRule="auto"/>
              <w:ind w:firstLine="480" w:firstLineChars="200"/>
              <w:rPr>
                <w:rFonts w:ascii="宋体" w:hAnsi="宋体" w:eastAsia="宋体" w:cs="Times New Roman"/>
                <w:kern w:val="2"/>
                <w:sz w:val="24"/>
                <w:szCs w:val="24"/>
                <w:highlight w:val="none"/>
                <w:lang w:val="en-US" w:eastAsia="zh-CN" w:bidi="ar-SA"/>
              </w:rPr>
            </w:pPr>
            <w:r>
              <w:rPr>
                <w:rFonts w:ascii="宋体" w:hAnsi="宋体"/>
                <w:sz w:val="24"/>
                <w:highlight w:val="none"/>
              </w:rPr>
              <w:t>DL/T725-2013</w:t>
            </w:r>
          </w:p>
        </w:tc>
        <w:tc>
          <w:tcPr>
            <w:tcW w:w="6536" w:type="dxa"/>
            <w:noWrap w:val="0"/>
            <w:vAlign w:val="top"/>
          </w:tcPr>
          <w:p w14:paraId="6FAFDF5D">
            <w:pPr>
              <w:pStyle w:val="6"/>
              <w:spacing w:before="50" w:after="50" w:line="360" w:lineRule="auto"/>
              <w:ind w:firstLine="480" w:firstLineChars="200"/>
              <w:rPr>
                <w:rFonts w:hint="eastAsia" w:ascii="宋体" w:hAnsi="宋体"/>
                <w:sz w:val="24"/>
                <w:highlight w:val="none"/>
                <w:lang w:val="en-US" w:eastAsia="zh-CN"/>
              </w:rPr>
            </w:pPr>
            <w:r>
              <w:rPr>
                <w:rFonts w:hint="eastAsia" w:ascii="宋体" w:hAnsi="宋体"/>
                <w:sz w:val="24"/>
                <w:highlight w:val="none"/>
              </w:rPr>
              <w:t>电力用电流互感器使用技术规范</w:t>
            </w:r>
          </w:p>
        </w:tc>
      </w:tr>
      <w:tr w14:paraId="7A4E110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604" w:type="dxa"/>
            <w:noWrap w:val="0"/>
            <w:vAlign w:val="top"/>
          </w:tcPr>
          <w:p w14:paraId="09A1BDA2">
            <w:pPr>
              <w:pStyle w:val="6"/>
              <w:spacing w:before="50" w:after="50" w:line="360" w:lineRule="auto"/>
              <w:ind w:firstLine="480" w:firstLineChars="200"/>
              <w:rPr>
                <w:rFonts w:ascii="宋体" w:hAnsi="宋体"/>
                <w:sz w:val="24"/>
                <w:highlight w:val="none"/>
              </w:rPr>
            </w:pPr>
            <w:r>
              <w:rPr>
                <w:rFonts w:hint="eastAsia" w:ascii="宋体" w:hAnsi="宋体"/>
                <w:sz w:val="24"/>
                <w:highlight w:val="none"/>
              </w:rPr>
              <w:t>DL/T</w:t>
            </w:r>
            <w:r>
              <w:rPr>
                <w:rFonts w:ascii="宋体" w:hAnsi="宋体"/>
                <w:sz w:val="24"/>
                <w:highlight w:val="none"/>
              </w:rPr>
              <w:t>5136-2012</w:t>
            </w:r>
          </w:p>
        </w:tc>
        <w:tc>
          <w:tcPr>
            <w:tcW w:w="6536" w:type="dxa"/>
            <w:noWrap w:val="0"/>
            <w:vAlign w:val="top"/>
          </w:tcPr>
          <w:p w14:paraId="4CFE8043">
            <w:pPr>
              <w:pStyle w:val="6"/>
              <w:spacing w:before="50" w:after="50" w:line="360" w:lineRule="auto"/>
              <w:rPr>
                <w:rFonts w:hint="eastAsia" w:ascii="宋体" w:hAnsi="宋体" w:eastAsia="宋体"/>
                <w:sz w:val="24"/>
                <w:highlight w:val="none"/>
                <w:lang w:eastAsia="zh-CN"/>
              </w:rPr>
            </w:pPr>
            <w:r>
              <w:rPr>
                <w:rFonts w:hint="eastAsia"/>
                <w:sz w:val="24"/>
                <w:highlight w:val="none"/>
                <w:lang w:val="en-US" w:eastAsia="zh-CN"/>
              </w:rPr>
              <w:t xml:space="preserve">    </w:t>
            </w:r>
            <w:r>
              <w:rPr>
                <w:rFonts w:hint="eastAsia" w:ascii="宋体" w:hAnsi="宋体"/>
                <w:sz w:val="24"/>
                <w:highlight w:val="none"/>
              </w:rPr>
              <w:t>火力发电厂、变电所二次接线设计技术规程</w:t>
            </w:r>
            <w:r>
              <w:rPr>
                <w:rFonts w:hint="eastAsia"/>
                <w:sz w:val="24"/>
                <w:highlight w:val="none"/>
                <w:lang w:val="en-US" w:eastAsia="zh-CN"/>
              </w:rPr>
              <w:t xml:space="preserve"> </w:t>
            </w:r>
          </w:p>
        </w:tc>
      </w:tr>
      <w:tr w14:paraId="081A3F8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604" w:type="dxa"/>
            <w:noWrap w:val="0"/>
            <w:vAlign w:val="top"/>
          </w:tcPr>
          <w:p w14:paraId="081C8F3B">
            <w:pPr>
              <w:pStyle w:val="6"/>
              <w:spacing w:before="50" w:after="50" w:line="360" w:lineRule="auto"/>
              <w:ind w:firstLine="480" w:firstLineChars="200"/>
              <w:rPr>
                <w:rFonts w:ascii="宋体" w:hAnsi="宋体"/>
                <w:sz w:val="24"/>
                <w:highlight w:val="none"/>
              </w:rPr>
            </w:pPr>
            <w:r>
              <w:rPr>
                <w:rFonts w:hint="eastAsia" w:ascii="宋体" w:hAnsi="宋体"/>
                <w:sz w:val="24"/>
                <w:highlight w:val="none"/>
              </w:rPr>
              <w:t>DL/T5137-2001</w:t>
            </w:r>
          </w:p>
        </w:tc>
        <w:tc>
          <w:tcPr>
            <w:tcW w:w="6536" w:type="dxa"/>
            <w:noWrap w:val="0"/>
            <w:vAlign w:val="top"/>
          </w:tcPr>
          <w:p w14:paraId="7671FA75">
            <w:pPr>
              <w:pStyle w:val="6"/>
              <w:spacing w:before="50" w:after="50" w:line="360" w:lineRule="auto"/>
              <w:rPr>
                <w:rFonts w:hint="eastAsia" w:ascii="宋体" w:hAnsi="宋体" w:eastAsia="宋体"/>
                <w:sz w:val="24"/>
                <w:highlight w:val="none"/>
                <w:lang w:eastAsia="zh-CN"/>
              </w:rPr>
            </w:pPr>
            <w:r>
              <w:rPr>
                <w:rFonts w:hint="eastAsia"/>
                <w:sz w:val="24"/>
                <w:highlight w:val="none"/>
                <w:lang w:val="en-US" w:eastAsia="zh-CN"/>
              </w:rPr>
              <w:t xml:space="preserve">    </w:t>
            </w:r>
            <w:r>
              <w:rPr>
                <w:rFonts w:hint="eastAsia" w:ascii="宋体" w:hAnsi="宋体"/>
                <w:sz w:val="24"/>
                <w:highlight w:val="none"/>
              </w:rPr>
              <w:t>电测量及电能计量装置设计技术规程</w:t>
            </w:r>
            <w:r>
              <w:rPr>
                <w:rFonts w:hint="eastAsia"/>
                <w:sz w:val="24"/>
                <w:highlight w:val="none"/>
                <w:lang w:val="en-US" w:eastAsia="zh-CN"/>
              </w:rPr>
              <w:t xml:space="preserve"> </w:t>
            </w:r>
          </w:p>
        </w:tc>
      </w:tr>
      <w:tr w14:paraId="46A5D26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604" w:type="dxa"/>
            <w:noWrap w:val="0"/>
            <w:vAlign w:val="top"/>
          </w:tcPr>
          <w:p w14:paraId="55869B82">
            <w:pPr>
              <w:pStyle w:val="6"/>
              <w:spacing w:before="50" w:after="50" w:line="360" w:lineRule="auto"/>
              <w:ind w:firstLine="480" w:firstLineChars="200"/>
              <w:rPr>
                <w:rFonts w:ascii="宋体" w:hAnsi="宋体"/>
                <w:sz w:val="24"/>
                <w:highlight w:val="none"/>
              </w:rPr>
            </w:pPr>
            <w:r>
              <w:rPr>
                <w:rFonts w:hint="eastAsia" w:ascii="宋体" w:hAnsi="宋体"/>
                <w:sz w:val="24"/>
                <w:highlight w:val="none"/>
              </w:rPr>
              <w:t>IEC-255</w:t>
            </w:r>
          </w:p>
        </w:tc>
        <w:tc>
          <w:tcPr>
            <w:tcW w:w="6536" w:type="dxa"/>
            <w:noWrap w:val="0"/>
            <w:vAlign w:val="top"/>
          </w:tcPr>
          <w:p w14:paraId="4C92C233">
            <w:pPr>
              <w:pStyle w:val="6"/>
              <w:spacing w:before="50" w:after="50" w:line="360" w:lineRule="auto"/>
              <w:rPr>
                <w:rFonts w:hint="eastAsia" w:ascii="宋体" w:hAnsi="宋体" w:eastAsia="宋体"/>
                <w:sz w:val="24"/>
                <w:highlight w:val="none"/>
                <w:lang w:eastAsia="zh-CN"/>
              </w:rPr>
            </w:pPr>
            <w:r>
              <w:rPr>
                <w:rFonts w:hint="eastAsia"/>
                <w:sz w:val="24"/>
                <w:highlight w:val="none"/>
                <w:lang w:val="en-US" w:eastAsia="zh-CN"/>
              </w:rPr>
              <w:t xml:space="preserve">    </w:t>
            </w:r>
            <w:r>
              <w:rPr>
                <w:rFonts w:hint="eastAsia" w:ascii="宋体" w:hAnsi="宋体"/>
                <w:sz w:val="24"/>
                <w:highlight w:val="none"/>
              </w:rPr>
              <w:t>电气继电器</w:t>
            </w:r>
            <w:r>
              <w:rPr>
                <w:rFonts w:hint="eastAsia"/>
                <w:sz w:val="24"/>
                <w:highlight w:val="none"/>
                <w:lang w:val="en-US" w:eastAsia="zh-CN"/>
              </w:rPr>
              <w:t xml:space="preserve"> </w:t>
            </w:r>
          </w:p>
        </w:tc>
      </w:tr>
    </w:tbl>
    <w:p w14:paraId="7F8FBA44">
      <w:pPr>
        <w:pStyle w:val="26"/>
        <w:spacing w:line="360" w:lineRule="auto"/>
        <w:ind w:left="0" w:leftChars="0" w:firstLine="480" w:firstLineChars="200"/>
        <w:rPr>
          <w:rStyle w:val="27"/>
          <w:rFonts w:hint="eastAsia" w:ascii="宋体" w:hAnsi="宋体" w:eastAsia="宋体" w:cs="宋体"/>
          <w:b w:val="0"/>
          <w:bCs/>
          <w:sz w:val="24"/>
          <w:szCs w:val="24"/>
        </w:rPr>
      </w:pPr>
      <w:r>
        <w:rPr>
          <w:rStyle w:val="27"/>
          <w:rFonts w:hint="eastAsia" w:ascii="宋体" w:hAnsi="宋体" w:eastAsia="宋体" w:cs="宋体"/>
          <w:sz w:val="24"/>
          <w:szCs w:val="24"/>
        </w:rPr>
        <w:t>以上标准应按最新版本执行，</w:t>
      </w:r>
      <w:r>
        <w:rPr>
          <w:rStyle w:val="27"/>
          <w:rFonts w:hint="eastAsia" w:ascii="宋体" w:hAnsi="宋体" w:eastAsia="宋体" w:cs="宋体"/>
          <w:b w:val="0"/>
          <w:bCs/>
          <w:sz w:val="24"/>
          <w:szCs w:val="24"/>
          <w:lang w:val="en-US"/>
        </w:rPr>
        <w:t>以上</w:t>
      </w:r>
      <w:r>
        <w:rPr>
          <w:rStyle w:val="27"/>
          <w:rFonts w:hint="eastAsia" w:ascii="宋体" w:hAnsi="宋体" w:eastAsia="宋体" w:cs="宋体"/>
          <w:b w:val="0"/>
          <w:bCs/>
          <w:sz w:val="24"/>
          <w:szCs w:val="24"/>
        </w:rPr>
        <w:t>标准和规范</w:t>
      </w:r>
      <w:bookmarkStart w:id="460" w:name="_Toc16874"/>
      <w:r>
        <w:rPr>
          <w:rStyle w:val="27"/>
          <w:rFonts w:hint="eastAsia" w:ascii="宋体" w:hAnsi="宋体" w:eastAsia="宋体" w:cs="宋体"/>
          <w:b w:val="0"/>
          <w:bCs/>
          <w:sz w:val="24"/>
          <w:szCs w:val="24"/>
        </w:rPr>
        <w:t>是最低限度技术要求，并</w:t>
      </w:r>
      <w:r>
        <w:rPr>
          <w:rStyle w:val="27"/>
          <w:rFonts w:hint="eastAsia" w:ascii="宋体" w:hAnsi="宋体" w:eastAsia="宋体" w:cs="宋体"/>
          <w:b w:val="0"/>
          <w:bCs/>
          <w:sz w:val="24"/>
          <w:szCs w:val="24"/>
          <w:lang w:val="en-US"/>
        </w:rPr>
        <w:t>未</w:t>
      </w:r>
      <w:r>
        <w:rPr>
          <w:rStyle w:val="27"/>
          <w:rFonts w:hint="eastAsia" w:ascii="宋体" w:hAnsi="宋体" w:eastAsia="宋体" w:cs="宋体"/>
          <w:b w:val="0"/>
          <w:bCs/>
          <w:sz w:val="24"/>
          <w:szCs w:val="24"/>
        </w:rPr>
        <w:t>对一切技术细节做出规定，也未充分引述有关标准和规范的条文，卖方应保证提供符合招标文件和有关最新工业标准的优质产品。</w:t>
      </w:r>
      <w:bookmarkEnd w:id="460"/>
    </w:p>
    <w:p w14:paraId="20FE4FDB">
      <w:pPr>
        <w:spacing w:line="360" w:lineRule="auto"/>
        <w:outlineLvl w:val="0"/>
        <w:rPr>
          <w:rFonts w:ascii="宋体" w:hAnsi="宋体"/>
          <w:b/>
          <w:sz w:val="28"/>
          <w:szCs w:val="28"/>
          <w:highlight w:val="none"/>
        </w:rPr>
      </w:pPr>
      <w:bookmarkStart w:id="461" w:name="_Toc22528"/>
      <w:bookmarkStart w:id="462" w:name="_Toc2948"/>
      <w:r>
        <w:rPr>
          <w:rFonts w:hint="eastAsia" w:ascii="宋体" w:hAnsi="宋体"/>
          <w:b/>
          <w:sz w:val="28"/>
          <w:szCs w:val="28"/>
          <w:highlight w:val="none"/>
          <w:lang w:val="en-US" w:eastAsia="zh-CN"/>
        </w:rPr>
        <w:t>1.4</w:t>
      </w:r>
      <w:r>
        <w:rPr>
          <w:rFonts w:hint="eastAsia" w:ascii="宋体" w:hAnsi="宋体"/>
          <w:b/>
          <w:sz w:val="28"/>
          <w:szCs w:val="28"/>
          <w:highlight w:val="none"/>
        </w:rPr>
        <w:t>开关柜技术要求</w:t>
      </w:r>
      <w:bookmarkEnd w:id="461"/>
    </w:p>
    <w:p w14:paraId="1EBD4D78">
      <w:pPr>
        <w:pStyle w:val="6"/>
        <w:spacing w:before="50" w:after="50" w:line="360" w:lineRule="auto"/>
        <w:outlineLvl w:val="0"/>
        <w:rPr>
          <w:rFonts w:ascii="宋体" w:hAnsi="宋体"/>
          <w:b w:val="0"/>
          <w:bCs w:val="0"/>
          <w:sz w:val="24"/>
          <w:highlight w:val="none"/>
        </w:rPr>
      </w:pPr>
      <w:bookmarkStart w:id="463" w:name="_Toc9890"/>
      <w:r>
        <w:rPr>
          <w:rFonts w:hint="eastAsia" w:ascii="宋体" w:hAnsi="宋体"/>
          <w:b w:val="0"/>
          <w:bCs w:val="0"/>
          <w:sz w:val="24"/>
          <w:highlight w:val="none"/>
          <w:lang w:val="en-US" w:eastAsia="zh-CN"/>
        </w:rPr>
        <w:t>1</w:t>
      </w:r>
      <w:r>
        <w:rPr>
          <w:rFonts w:hint="eastAsia" w:ascii="宋体" w:hAnsi="宋体"/>
          <w:b w:val="0"/>
          <w:bCs w:val="0"/>
          <w:sz w:val="24"/>
          <w:highlight w:val="none"/>
        </w:rPr>
        <w:t>.</w:t>
      </w:r>
      <w:r>
        <w:rPr>
          <w:rFonts w:hint="eastAsia"/>
          <w:b w:val="0"/>
          <w:bCs w:val="0"/>
          <w:sz w:val="24"/>
          <w:highlight w:val="none"/>
          <w:lang w:val="en-US" w:eastAsia="zh-CN"/>
        </w:rPr>
        <w:t>4.1</w:t>
      </w:r>
      <w:r>
        <w:rPr>
          <w:rFonts w:hint="eastAsia" w:ascii="宋体" w:hAnsi="宋体"/>
          <w:b w:val="0"/>
          <w:bCs w:val="0"/>
          <w:sz w:val="24"/>
          <w:highlight w:val="none"/>
        </w:rPr>
        <w:t xml:space="preserve"> 开关柜额定参数</w:t>
      </w:r>
      <w:bookmarkEnd w:id="463"/>
    </w:p>
    <w:p w14:paraId="7039D5FF">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1.4.1.1</w:t>
      </w:r>
      <w:r>
        <w:rPr>
          <w:rFonts w:hint="eastAsia" w:ascii="宋体" w:hAnsi="宋体"/>
          <w:b w:val="0"/>
          <w:bCs w:val="0"/>
          <w:sz w:val="24"/>
          <w:highlight w:val="none"/>
        </w:rPr>
        <w:t xml:space="preserve"> 基本要求</w:t>
      </w:r>
    </w:p>
    <w:p w14:paraId="735DFC5A">
      <w:pPr>
        <w:spacing w:line="360" w:lineRule="auto"/>
        <w:ind w:firstLine="480" w:firstLineChars="200"/>
        <w:rPr>
          <w:b w:val="0"/>
          <w:bCs w:val="0"/>
          <w:sz w:val="24"/>
          <w:highlight w:val="none"/>
        </w:rPr>
      </w:pPr>
      <w:r>
        <w:rPr>
          <w:rFonts w:hint="eastAsia"/>
          <w:b w:val="0"/>
          <w:bCs w:val="0"/>
          <w:sz w:val="24"/>
          <w:highlight w:val="none"/>
        </w:rPr>
        <w:t>开关柜型式：户内交流铠装中置移开式金属封闭开关柜（KYN28-12）。</w:t>
      </w:r>
    </w:p>
    <w:p w14:paraId="18466254">
      <w:pPr>
        <w:pStyle w:val="6"/>
        <w:spacing w:before="50" w:after="50" w:line="360" w:lineRule="auto"/>
        <w:rPr>
          <w:rFonts w:ascii="宋体" w:hAnsi="宋体"/>
          <w:b w:val="0"/>
          <w:bCs w:val="0"/>
          <w:sz w:val="24"/>
          <w:highlight w:val="none"/>
        </w:rPr>
      </w:pPr>
      <w:r>
        <w:rPr>
          <w:rFonts w:hint="eastAsia" w:ascii="宋体" w:hAnsi="宋体"/>
          <w:b w:val="0"/>
          <w:bCs w:val="0"/>
          <w:sz w:val="24"/>
          <w:highlight w:val="none"/>
        </w:rPr>
        <w:t>额定电压：10</w:t>
      </w:r>
      <w:r>
        <w:rPr>
          <w:rFonts w:ascii="宋体" w:hAnsi="宋体"/>
          <w:b w:val="0"/>
          <w:bCs w:val="0"/>
          <w:sz w:val="24"/>
          <w:highlight w:val="none"/>
        </w:rPr>
        <w:t>kV</w:t>
      </w:r>
    </w:p>
    <w:p w14:paraId="7F8A1D6B">
      <w:pPr>
        <w:pStyle w:val="6"/>
        <w:spacing w:before="50" w:after="50" w:line="360" w:lineRule="auto"/>
        <w:rPr>
          <w:rFonts w:ascii="宋体" w:hAnsi="宋体"/>
          <w:b w:val="0"/>
          <w:bCs w:val="0"/>
          <w:sz w:val="24"/>
          <w:highlight w:val="none"/>
        </w:rPr>
      </w:pPr>
      <w:r>
        <w:rPr>
          <w:rFonts w:hint="eastAsia" w:ascii="宋体" w:hAnsi="宋体"/>
          <w:b w:val="0"/>
          <w:bCs w:val="0"/>
          <w:sz w:val="24"/>
          <w:highlight w:val="none"/>
        </w:rPr>
        <w:t>最高工作电压：12</w:t>
      </w:r>
      <w:r>
        <w:rPr>
          <w:rFonts w:ascii="宋体" w:hAnsi="宋体"/>
          <w:b w:val="0"/>
          <w:bCs w:val="0"/>
          <w:sz w:val="24"/>
          <w:highlight w:val="none"/>
        </w:rPr>
        <w:t>kV</w:t>
      </w:r>
    </w:p>
    <w:p w14:paraId="4CCA34A2">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额定频率：</w:t>
      </w:r>
      <w:r>
        <w:rPr>
          <w:rFonts w:ascii="宋体" w:hAnsi="宋体"/>
          <w:b w:val="0"/>
          <w:bCs w:val="0"/>
          <w:color w:val="auto"/>
          <w:sz w:val="24"/>
          <w:highlight w:val="none"/>
        </w:rPr>
        <w:t>50Hz</w:t>
      </w:r>
    </w:p>
    <w:p w14:paraId="31A82F81">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额定电流：详见施工图纸</w:t>
      </w:r>
    </w:p>
    <w:p w14:paraId="18364B29">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额定短时耐受电流及时间：</w:t>
      </w:r>
      <w:r>
        <w:rPr>
          <w:rFonts w:ascii="宋体" w:hAnsi="宋体"/>
          <w:b w:val="0"/>
          <w:bCs w:val="0"/>
          <w:color w:val="auto"/>
          <w:sz w:val="24"/>
          <w:highlight w:val="none"/>
        </w:rPr>
        <w:t>31.5k</w:t>
      </w:r>
      <w:r>
        <w:rPr>
          <w:rFonts w:hint="eastAsia" w:ascii="宋体" w:hAnsi="宋体"/>
          <w:b w:val="0"/>
          <w:bCs w:val="0"/>
          <w:color w:val="auto"/>
          <w:sz w:val="24"/>
          <w:highlight w:val="none"/>
        </w:rPr>
        <w:t>A（有效值）4s，详见施工图纸</w:t>
      </w:r>
    </w:p>
    <w:p w14:paraId="316BFA0C">
      <w:pPr>
        <w:pStyle w:val="6"/>
        <w:spacing w:before="50" w:after="50" w:line="360" w:lineRule="auto"/>
        <w:rPr>
          <w:rFonts w:ascii="宋体" w:hAnsi="宋体"/>
          <w:b w:val="0"/>
          <w:bCs w:val="0"/>
          <w:sz w:val="24"/>
          <w:highlight w:val="none"/>
        </w:rPr>
      </w:pPr>
      <w:r>
        <w:rPr>
          <w:rFonts w:hint="eastAsia" w:ascii="宋体" w:hAnsi="宋体"/>
          <w:b w:val="0"/>
          <w:bCs w:val="0"/>
          <w:sz w:val="24"/>
          <w:highlight w:val="none"/>
        </w:rPr>
        <w:t>额定峰值耐受电流(kA)：</w:t>
      </w:r>
      <w:r>
        <w:rPr>
          <w:rFonts w:ascii="宋体" w:hAnsi="宋体"/>
          <w:b w:val="0"/>
          <w:bCs w:val="0"/>
          <w:sz w:val="24"/>
          <w:highlight w:val="none"/>
        </w:rPr>
        <w:t>8</w:t>
      </w:r>
      <w:r>
        <w:rPr>
          <w:rFonts w:hint="eastAsia" w:ascii="宋体" w:hAnsi="宋体"/>
          <w:b w:val="0"/>
          <w:bCs w:val="0"/>
          <w:sz w:val="24"/>
          <w:highlight w:val="none"/>
        </w:rPr>
        <w:t>0（峰值）</w:t>
      </w:r>
    </w:p>
    <w:p w14:paraId="39ECC5F2">
      <w:pPr>
        <w:pStyle w:val="6"/>
        <w:spacing w:before="50" w:after="50" w:line="360" w:lineRule="auto"/>
        <w:rPr>
          <w:rFonts w:ascii="宋体" w:hAnsi="宋体"/>
          <w:b w:val="0"/>
          <w:bCs w:val="0"/>
          <w:sz w:val="24"/>
          <w:highlight w:val="none"/>
        </w:rPr>
      </w:pPr>
      <w:r>
        <w:rPr>
          <w:rFonts w:hint="eastAsia" w:ascii="宋体" w:hAnsi="宋体"/>
          <w:b w:val="0"/>
          <w:bCs w:val="0"/>
          <w:sz w:val="24"/>
          <w:highlight w:val="none"/>
          <w:lang w:val="en-US" w:eastAsia="zh-CN"/>
        </w:rPr>
        <w:t>1</w:t>
      </w:r>
      <w:r>
        <w:rPr>
          <w:rFonts w:hint="eastAsia" w:ascii="宋体" w:hAnsi="宋体"/>
          <w:b w:val="0"/>
          <w:bCs w:val="0"/>
          <w:sz w:val="24"/>
          <w:highlight w:val="none"/>
        </w:rPr>
        <w:t>.</w:t>
      </w:r>
      <w:r>
        <w:rPr>
          <w:rFonts w:hint="eastAsia"/>
          <w:b w:val="0"/>
          <w:bCs w:val="0"/>
          <w:sz w:val="24"/>
          <w:highlight w:val="none"/>
          <w:lang w:val="en-US" w:eastAsia="zh-CN"/>
        </w:rPr>
        <w:t>4</w:t>
      </w:r>
      <w:r>
        <w:rPr>
          <w:rFonts w:hint="eastAsia" w:ascii="宋体" w:hAnsi="宋体"/>
          <w:b w:val="0"/>
          <w:bCs w:val="0"/>
          <w:sz w:val="24"/>
          <w:highlight w:val="none"/>
        </w:rPr>
        <w:t>.</w:t>
      </w:r>
      <w:r>
        <w:rPr>
          <w:rFonts w:hint="eastAsia"/>
          <w:b w:val="0"/>
          <w:bCs w:val="0"/>
          <w:sz w:val="24"/>
          <w:highlight w:val="none"/>
          <w:lang w:val="en-US" w:eastAsia="zh-CN"/>
        </w:rPr>
        <w:t>1.</w:t>
      </w:r>
      <w:r>
        <w:rPr>
          <w:rFonts w:hint="eastAsia" w:ascii="宋体" w:hAnsi="宋体"/>
          <w:b w:val="0"/>
          <w:bCs w:val="0"/>
          <w:sz w:val="24"/>
          <w:highlight w:val="none"/>
        </w:rPr>
        <w:t>2 额定绝缘水平：</w:t>
      </w:r>
    </w:p>
    <w:p w14:paraId="7B49BF18">
      <w:pPr>
        <w:pStyle w:val="6"/>
        <w:spacing w:before="50" w:after="50" w:line="360" w:lineRule="auto"/>
        <w:rPr>
          <w:rFonts w:ascii="宋体" w:hAnsi="宋体"/>
          <w:b w:val="0"/>
          <w:bCs w:val="0"/>
          <w:sz w:val="24"/>
          <w:highlight w:val="none"/>
        </w:rPr>
      </w:pPr>
      <w:r>
        <w:rPr>
          <w:rFonts w:hint="eastAsia" w:ascii="宋体" w:hAnsi="宋体"/>
          <w:b w:val="0"/>
          <w:bCs w:val="0"/>
          <w:sz w:val="24"/>
          <w:highlight w:val="none"/>
        </w:rPr>
        <w:t>1）雷电冲击耐压：</w:t>
      </w:r>
    </w:p>
    <w:p w14:paraId="2461FCC5">
      <w:pPr>
        <w:pStyle w:val="6"/>
        <w:spacing w:before="50" w:after="50" w:line="360" w:lineRule="auto"/>
        <w:rPr>
          <w:rFonts w:ascii="宋体" w:hAnsi="宋体"/>
          <w:b w:val="0"/>
          <w:bCs w:val="0"/>
          <w:sz w:val="24"/>
          <w:highlight w:val="none"/>
        </w:rPr>
      </w:pPr>
      <w:r>
        <w:rPr>
          <w:rFonts w:hint="eastAsia" w:ascii="宋体" w:hAnsi="宋体"/>
          <w:b w:val="0"/>
          <w:bCs w:val="0"/>
          <w:sz w:val="24"/>
          <w:highlight w:val="none"/>
        </w:rPr>
        <w:t>相对地、相间，断路器断口：75</w:t>
      </w:r>
      <w:r>
        <w:rPr>
          <w:rFonts w:ascii="宋体" w:hAnsi="宋体"/>
          <w:b w:val="0"/>
          <w:bCs w:val="0"/>
          <w:sz w:val="24"/>
          <w:highlight w:val="none"/>
        </w:rPr>
        <w:t>kV</w:t>
      </w:r>
    </w:p>
    <w:p w14:paraId="00F99C0A">
      <w:pPr>
        <w:pStyle w:val="6"/>
        <w:spacing w:before="50" w:after="50" w:line="360" w:lineRule="auto"/>
        <w:rPr>
          <w:rFonts w:ascii="宋体" w:hAnsi="宋体"/>
          <w:b w:val="0"/>
          <w:bCs w:val="0"/>
          <w:sz w:val="24"/>
          <w:highlight w:val="none"/>
        </w:rPr>
      </w:pPr>
      <w:r>
        <w:rPr>
          <w:rFonts w:hint="eastAsia" w:ascii="宋体" w:hAnsi="宋体"/>
          <w:b w:val="0"/>
          <w:bCs w:val="0"/>
          <w:sz w:val="24"/>
          <w:highlight w:val="none"/>
        </w:rPr>
        <w:t>隔离断口：85</w:t>
      </w:r>
      <w:r>
        <w:rPr>
          <w:rFonts w:ascii="宋体" w:hAnsi="宋体"/>
          <w:b w:val="0"/>
          <w:bCs w:val="0"/>
          <w:sz w:val="24"/>
          <w:highlight w:val="none"/>
        </w:rPr>
        <w:t>kV</w:t>
      </w:r>
    </w:p>
    <w:p w14:paraId="7C070E82">
      <w:pPr>
        <w:pStyle w:val="6"/>
        <w:spacing w:before="50" w:after="50" w:line="360" w:lineRule="auto"/>
        <w:rPr>
          <w:rFonts w:ascii="宋体" w:hAnsi="宋体"/>
          <w:b w:val="0"/>
          <w:bCs w:val="0"/>
          <w:sz w:val="24"/>
          <w:highlight w:val="none"/>
        </w:rPr>
      </w:pPr>
      <w:r>
        <w:rPr>
          <w:rFonts w:hint="eastAsia" w:ascii="宋体" w:hAnsi="宋体"/>
          <w:b w:val="0"/>
          <w:bCs w:val="0"/>
          <w:sz w:val="24"/>
          <w:highlight w:val="none"/>
        </w:rPr>
        <w:t>2) 工频耐压</w:t>
      </w:r>
      <w:r>
        <w:rPr>
          <w:rFonts w:ascii="宋体" w:hAnsi="宋体"/>
          <w:b w:val="0"/>
          <w:bCs w:val="0"/>
          <w:sz w:val="24"/>
          <w:highlight w:val="none"/>
        </w:rPr>
        <w:t>(1min)</w:t>
      </w:r>
      <w:r>
        <w:rPr>
          <w:rFonts w:hint="eastAsia" w:ascii="宋体" w:hAnsi="宋体"/>
          <w:b w:val="0"/>
          <w:bCs w:val="0"/>
          <w:sz w:val="24"/>
          <w:highlight w:val="none"/>
        </w:rPr>
        <w:t>：</w:t>
      </w:r>
    </w:p>
    <w:p w14:paraId="4283B4C7">
      <w:pPr>
        <w:pStyle w:val="6"/>
        <w:spacing w:before="50" w:after="50" w:line="360" w:lineRule="auto"/>
        <w:rPr>
          <w:rFonts w:ascii="宋体" w:hAnsi="宋体"/>
          <w:b w:val="0"/>
          <w:bCs w:val="0"/>
          <w:sz w:val="24"/>
          <w:highlight w:val="none"/>
        </w:rPr>
      </w:pPr>
      <w:r>
        <w:rPr>
          <w:rFonts w:hint="eastAsia" w:ascii="宋体" w:hAnsi="宋体"/>
          <w:b w:val="0"/>
          <w:bCs w:val="0"/>
          <w:sz w:val="24"/>
          <w:highlight w:val="none"/>
        </w:rPr>
        <w:t>相对地、相间，断路器断口：42</w:t>
      </w:r>
      <w:r>
        <w:rPr>
          <w:rFonts w:ascii="宋体" w:hAnsi="宋体"/>
          <w:b w:val="0"/>
          <w:bCs w:val="0"/>
          <w:sz w:val="24"/>
          <w:highlight w:val="none"/>
        </w:rPr>
        <w:t>kV</w:t>
      </w:r>
    </w:p>
    <w:p w14:paraId="26DA4792">
      <w:pPr>
        <w:pStyle w:val="6"/>
        <w:spacing w:before="50" w:after="50" w:line="360" w:lineRule="auto"/>
        <w:rPr>
          <w:rFonts w:ascii="宋体" w:hAnsi="宋体"/>
          <w:b w:val="0"/>
          <w:bCs w:val="0"/>
          <w:sz w:val="24"/>
          <w:highlight w:val="none"/>
        </w:rPr>
      </w:pPr>
      <w:r>
        <w:rPr>
          <w:rFonts w:hint="eastAsia" w:ascii="宋体" w:hAnsi="宋体"/>
          <w:b w:val="0"/>
          <w:bCs w:val="0"/>
          <w:sz w:val="24"/>
          <w:highlight w:val="none"/>
        </w:rPr>
        <w:t>隔离断口：49</w:t>
      </w:r>
      <w:r>
        <w:rPr>
          <w:rFonts w:ascii="宋体" w:hAnsi="宋体"/>
          <w:b w:val="0"/>
          <w:bCs w:val="0"/>
          <w:sz w:val="24"/>
          <w:highlight w:val="none"/>
        </w:rPr>
        <w:t>kV</w:t>
      </w:r>
    </w:p>
    <w:p w14:paraId="0C5CDBA2">
      <w:pPr>
        <w:pStyle w:val="6"/>
        <w:spacing w:before="50" w:after="50" w:line="360" w:lineRule="auto"/>
        <w:rPr>
          <w:rFonts w:ascii="宋体" w:hAnsi="宋体"/>
          <w:b w:val="0"/>
          <w:bCs w:val="0"/>
          <w:sz w:val="24"/>
          <w:highlight w:val="none"/>
        </w:rPr>
      </w:pPr>
      <w:r>
        <w:rPr>
          <w:rFonts w:hint="eastAsia" w:ascii="宋体" w:hAnsi="宋体"/>
          <w:b w:val="0"/>
          <w:bCs w:val="0"/>
          <w:sz w:val="24"/>
          <w:highlight w:val="none"/>
        </w:rPr>
        <w:t>柜体防护等级：柜体防护等级为IP4X，断路器室门打开时防护等级为IP2X。</w:t>
      </w:r>
    </w:p>
    <w:p w14:paraId="606925DC">
      <w:pPr>
        <w:pStyle w:val="6"/>
        <w:spacing w:before="50" w:after="50" w:line="360" w:lineRule="auto"/>
        <w:rPr>
          <w:rFonts w:ascii="宋体" w:hAnsi="宋体"/>
          <w:b w:val="0"/>
          <w:bCs w:val="0"/>
          <w:sz w:val="24"/>
          <w:highlight w:val="none"/>
        </w:rPr>
      </w:pPr>
      <w:r>
        <w:rPr>
          <w:rFonts w:hint="eastAsia" w:ascii="宋体" w:hAnsi="宋体"/>
          <w:b w:val="0"/>
          <w:bCs w:val="0"/>
          <w:sz w:val="24"/>
          <w:highlight w:val="none"/>
          <w:lang w:val="en-US" w:eastAsia="zh-CN"/>
        </w:rPr>
        <w:t>1</w:t>
      </w:r>
      <w:r>
        <w:rPr>
          <w:rFonts w:hint="eastAsia" w:ascii="宋体" w:hAnsi="宋体"/>
          <w:b w:val="0"/>
          <w:bCs w:val="0"/>
          <w:sz w:val="24"/>
          <w:highlight w:val="none"/>
        </w:rPr>
        <w:t>.</w:t>
      </w:r>
      <w:r>
        <w:rPr>
          <w:rFonts w:hint="eastAsia"/>
          <w:b w:val="0"/>
          <w:bCs w:val="0"/>
          <w:sz w:val="24"/>
          <w:highlight w:val="none"/>
          <w:lang w:val="en-US" w:eastAsia="zh-CN"/>
        </w:rPr>
        <w:t>4</w:t>
      </w:r>
      <w:r>
        <w:rPr>
          <w:rFonts w:hint="eastAsia" w:ascii="宋体" w:hAnsi="宋体"/>
          <w:b w:val="0"/>
          <w:bCs w:val="0"/>
          <w:sz w:val="24"/>
          <w:highlight w:val="none"/>
        </w:rPr>
        <w:t>.</w:t>
      </w:r>
      <w:r>
        <w:rPr>
          <w:rFonts w:hint="eastAsia"/>
          <w:b w:val="0"/>
          <w:bCs w:val="0"/>
          <w:sz w:val="24"/>
          <w:highlight w:val="none"/>
          <w:lang w:val="en-US" w:eastAsia="zh-CN"/>
        </w:rPr>
        <w:t>1.</w:t>
      </w:r>
      <w:r>
        <w:rPr>
          <w:rFonts w:hint="eastAsia" w:ascii="宋体" w:hAnsi="宋体"/>
          <w:b w:val="0"/>
          <w:bCs w:val="0"/>
          <w:sz w:val="24"/>
          <w:highlight w:val="none"/>
        </w:rPr>
        <w:t>3柜体温升：按照</w:t>
      </w:r>
      <w:r>
        <w:rPr>
          <w:rFonts w:ascii="宋体" w:hAnsi="宋体"/>
          <w:b w:val="0"/>
          <w:bCs w:val="0"/>
          <w:sz w:val="24"/>
          <w:highlight w:val="none"/>
        </w:rPr>
        <w:t>DL/T593-</w:t>
      </w:r>
      <w:r>
        <w:rPr>
          <w:rFonts w:hint="eastAsia" w:ascii="宋体" w:hAnsi="宋体"/>
          <w:b w:val="0"/>
          <w:bCs w:val="0"/>
          <w:sz w:val="24"/>
          <w:highlight w:val="none"/>
        </w:rPr>
        <w:t>19</w:t>
      </w:r>
      <w:r>
        <w:rPr>
          <w:rFonts w:ascii="宋体" w:hAnsi="宋体"/>
          <w:b w:val="0"/>
          <w:bCs w:val="0"/>
          <w:sz w:val="24"/>
          <w:highlight w:val="none"/>
        </w:rPr>
        <w:t>96</w:t>
      </w:r>
      <w:r>
        <w:rPr>
          <w:rFonts w:hint="eastAsia" w:ascii="宋体" w:hAnsi="宋体"/>
          <w:b w:val="0"/>
          <w:bCs w:val="0"/>
          <w:sz w:val="24"/>
          <w:highlight w:val="none"/>
        </w:rPr>
        <w:t>第</w:t>
      </w:r>
      <w:r>
        <w:rPr>
          <w:rFonts w:ascii="宋体" w:hAnsi="宋体"/>
          <w:b w:val="0"/>
          <w:bCs w:val="0"/>
          <w:sz w:val="24"/>
          <w:highlight w:val="none"/>
        </w:rPr>
        <w:t>4.2.4.2</w:t>
      </w:r>
      <w:r>
        <w:rPr>
          <w:rFonts w:hint="eastAsia" w:ascii="宋体" w:hAnsi="宋体"/>
          <w:b w:val="0"/>
          <w:bCs w:val="0"/>
          <w:sz w:val="24"/>
          <w:highlight w:val="none"/>
        </w:rPr>
        <w:t>条执行，并作如下补充：</w:t>
      </w:r>
    </w:p>
    <w:p w14:paraId="61FFADB8">
      <w:pPr>
        <w:spacing w:line="360" w:lineRule="auto"/>
        <w:ind w:firstLine="597" w:firstLineChars="249"/>
        <w:rPr>
          <w:b w:val="0"/>
          <w:bCs w:val="0"/>
          <w:sz w:val="24"/>
          <w:highlight w:val="none"/>
        </w:rPr>
      </w:pPr>
      <w:r>
        <w:rPr>
          <w:rFonts w:hint="eastAsia"/>
          <w:b w:val="0"/>
          <w:bCs w:val="0"/>
          <w:sz w:val="24"/>
          <w:highlight w:val="none"/>
        </w:rPr>
        <w:t>运行人员易触及部位≤</w:t>
      </w:r>
      <w:r>
        <w:rPr>
          <w:b w:val="0"/>
          <w:bCs w:val="0"/>
          <w:sz w:val="24"/>
          <w:highlight w:val="none"/>
        </w:rPr>
        <w:t>30K</w:t>
      </w:r>
      <w:r>
        <w:rPr>
          <w:rFonts w:hint="eastAsia"/>
          <w:b w:val="0"/>
          <w:bCs w:val="0"/>
          <w:sz w:val="24"/>
          <w:highlight w:val="none"/>
        </w:rPr>
        <w:t>；可触及但正常操作时无需触及部位</w:t>
      </w:r>
      <w:r>
        <w:rPr>
          <w:b w:val="0"/>
          <w:bCs w:val="0"/>
          <w:sz w:val="24"/>
          <w:highlight w:val="none"/>
        </w:rPr>
        <w:t xml:space="preserve"> </w:t>
      </w:r>
      <w:r>
        <w:rPr>
          <w:rFonts w:hint="eastAsia"/>
          <w:b w:val="0"/>
          <w:bCs w:val="0"/>
          <w:sz w:val="24"/>
          <w:highlight w:val="none"/>
        </w:rPr>
        <w:t>≤</w:t>
      </w:r>
      <w:r>
        <w:rPr>
          <w:b w:val="0"/>
          <w:bCs w:val="0"/>
          <w:sz w:val="24"/>
          <w:highlight w:val="none"/>
        </w:rPr>
        <w:t>40K</w:t>
      </w:r>
      <w:r>
        <w:rPr>
          <w:rFonts w:hint="eastAsia"/>
          <w:b w:val="0"/>
          <w:bCs w:val="0"/>
          <w:sz w:val="24"/>
          <w:highlight w:val="none"/>
        </w:rPr>
        <w:t>；运行人员不易触及个别部位</w:t>
      </w:r>
      <w:r>
        <w:rPr>
          <w:b w:val="0"/>
          <w:bCs w:val="0"/>
          <w:sz w:val="24"/>
          <w:highlight w:val="none"/>
        </w:rPr>
        <w:t xml:space="preserve"> </w:t>
      </w:r>
      <w:r>
        <w:rPr>
          <w:rFonts w:hint="eastAsia"/>
          <w:b w:val="0"/>
          <w:bCs w:val="0"/>
          <w:sz w:val="24"/>
          <w:highlight w:val="none"/>
        </w:rPr>
        <w:t>≤</w:t>
      </w:r>
      <w:r>
        <w:rPr>
          <w:b w:val="0"/>
          <w:bCs w:val="0"/>
          <w:sz w:val="24"/>
          <w:highlight w:val="none"/>
        </w:rPr>
        <w:t>65K</w:t>
      </w:r>
      <w:r>
        <w:rPr>
          <w:rFonts w:hint="eastAsia"/>
          <w:b w:val="0"/>
          <w:bCs w:val="0"/>
          <w:sz w:val="24"/>
          <w:highlight w:val="none"/>
        </w:rPr>
        <w:t>。</w:t>
      </w:r>
    </w:p>
    <w:p w14:paraId="4170535B">
      <w:pPr>
        <w:pStyle w:val="6"/>
        <w:spacing w:before="50" w:after="50" w:line="360" w:lineRule="auto"/>
        <w:rPr>
          <w:rFonts w:ascii="宋体" w:hAnsi="宋体"/>
          <w:b w:val="0"/>
          <w:bCs w:val="0"/>
          <w:sz w:val="24"/>
          <w:highlight w:val="none"/>
        </w:rPr>
      </w:pPr>
      <w:r>
        <w:rPr>
          <w:rFonts w:hint="eastAsia" w:ascii="宋体" w:hAnsi="宋体"/>
          <w:b w:val="0"/>
          <w:bCs w:val="0"/>
          <w:sz w:val="24"/>
          <w:highlight w:val="none"/>
          <w:lang w:val="en-US" w:eastAsia="zh-CN"/>
        </w:rPr>
        <w:t>1</w:t>
      </w:r>
      <w:r>
        <w:rPr>
          <w:rFonts w:hint="eastAsia" w:ascii="宋体" w:hAnsi="宋体"/>
          <w:b w:val="0"/>
          <w:bCs w:val="0"/>
          <w:sz w:val="24"/>
          <w:highlight w:val="none"/>
        </w:rPr>
        <w:t>.</w:t>
      </w:r>
      <w:r>
        <w:rPr>
          <w:rFonts w:hint="eastAsia"/>
          <w:b w:val="0"/>
          <w:bCs w:val="0"/>
          <w:sz w:val="24"/>
          <w:highlight w:val="none"/>
          <w:lang w:val="en-US" w:eastAsia="zh-CN"/>
        </w:rPr>
        <w:t>4</w:t>
      </w:r>
      <w:r>
        <w:rPr>
          <w:rFonts w:hint="eastAsia" w:ascii="宋体" w:hAnsi="宋体"/>
          <w:b w:val="0"/>
          <w:bCs w:val="0"/>
          <w:sz w:val="24"/>
          <w:highlight w:val="none"/>
        </w:rPr>
        <w:t>.</w:t>
      </w:r>
      <w:r>
        <w:rPr>
          <w:rFonts w:hint="eastAsia"/>
          <w:b w:val="0"/>
          <w:bCs w:val="0"/>
          <w:sz w:val="24"/>
          <w:highlight w:val="none"/>
          <w:lang w:val="en-US" w:eastAsia="zh-CN"/>
        </w:rPr>
        <w:t>1.</w:t>
      </w:r>
      <w:r>
        <w:rPr>
          <w:rFonts w:hint="eastAsia" w:ascii="宋体" w:hAnsi="宋体"/>
          <w:b w:val="0"/>
          <w:bCs w:val="0"/>
          <w:sz w:val="24"/>
          <w:highlight w:val="none"/>
        </w:rPr>
        <w:t>4接地开关机械操作次数2000次。</w:t>
      </w:r>
    </w:p>
    <w:p w14:paraId="4AD5E355">
      <w:pPr>
        <w:pStyle w:val="6"/>
        <w:spacing w:before="50" w:after="50" w:line="360" w:lineRule="auto"/>
        <w:rPr>
          <w:rFonts w:ascii="宋体" w:hAnsi="宋体"/>
          <w:b w:val="0"/>
          <w:bCs w:val="0"/>
          <w:sz w:val="24"/>
          <w:highlight w:val="none"/>
        </w:rPr>
      </w:pPr>
      <w:r>
        <w:rPr>
          <w:rFonts w:hint="eastAsia" w:ascii="宋体" w:hAnsi="宋体"/>
          <w:b w:val="0"/>
          <w:bCs w:val="0"/>
          <w:sz w:val="24"/>
          <w:highlight w:val="none"/>
          <w:lang w:val="en-US" w:eastAsia="zh-CN"/>
        </w:rPr>
        <w:t>1</w:t>
      </w:r>
      <w:r>
        <w:rPr>
          <w:rFonts w:hint="eastAsia" w:ascii="宋体" w:hAnsi="宋体"/>
          <w:b w:val="0"/>
          <w:bCs w:val="0"/>
          <w:sz w:val="24"/>
          <w:highlight w:val="none"/>
        </w:rPr>
        <w:t>.</w:t>
      </w:r>
      <w:r>
        <w:rPr>
          <w:rFonts w:hint="eastAsia"/>
          <w:b w:val="0"/>
          <w:bCs w:val="0"/>
          <w:sz w:val="24"/>
          <w:highlight w:val="none"/>
          <w:lang w:val="en-US" w:eastAsia="zh-CN"/>
        </w:rPr>
        <w:t>4</w:t>
      </w:r>
      <w:r>
        <w:rPr>
          <w:rFonts w:hint="eastAsia" w:ascii="宋体" w:hAnsi="宋体"/>
          <w:b w:val="0"/>
          <w:bCs w:val="0"/>
          <w:sz w:val="24"/>
          <w:highlight w:val="none"/>
        </w:rPr>
        <w:t>.</w:t>
      </w:r>
      <w:r>
        <w:rPr>
          <w:rFonts w:hint="eastAsia"/>
          <w:b w:val="0"/>
          <w:bCs w:val="0"/>
          <w:sz w:val="24"/>
          <w:highlight w:val="none"/>
          <w:lang w:val="en-US" w:eastAsia="zh-CN"/>
        </w:rPr>
        <w:t>1.</w:t>
      </w:r>
      <w:r>
        <w:rPr>
          <w:rFonts w:hint="eastAsia" w:ascii="宋体" w:hAnsi="宋体"/>
          <w:b w:val="0"/>
          <w:bCs w:val="0"/>
          <w:sz w:val="24"/>
          <w:highlight w:val="none"/>
        </w:rPr>
        <w:t xml:space="preserve">5 结构要求： </w:t>
      </w:r>
    </w:p>
    <w:p w14:paraId="7B1F2C20">
      <w:pPr>
        <w:spacing w:line="360" w:lineRule="auto"/>
        <w:ind w:firstLine="597" w:firstLineChars="249"/>
        <w:rPr>
          <w:b w:val="0"/>
          <w:bCs w:val="0"/>
          <w:sz w:val="24"/>
          <w:highlight w:val="none"/>
        </w:rPr>
      </w:pPr>
      <w:r>
        <w:rPr>
          <w:rFonts w:hint="eastAsia"/>
          <w:b w:val="0"/>
          <w:bCs w:val="0"/>
          <w:sz w:val="24"/>
          <w:highlight w:val="none"/>
        </w:rPr>
        <w:t>中置式开关柜结构设计除应满足</w:t>
      </w:r>
      <w:r>
        <w:rPr>
          <w:rFonts w:ascii="宋体" w:hAnsi="宋体"/>
          <w:b w:val="0"/>
          <w:bCs w:val="0"/>
          <w:sz w:val="24"/>
          <w:highlight w:val="none"/>
        </w:rPr>
        <w:t>GB 3906-</w:t>
      </w:r>
      <w:r>
        <w:rPr>
          <w:rFonts w:hint="eastAsia" w:ascii="宋体" w:hAnsi="宋体"/>
          <w:b w:val="0"/>
          <w:bCs w:val="0"/>
          <w:sz w:val="24"/>
          <w:highlight w:val="none"/>
        </w:rPr>
        <w:t>2006</w:t>
      </w:r>
      <w:r>
        <w:rPr>
          <w:rFonts w:hint="eastAsia"/>
          <w:b w:val="0"/>
          <w:bCs w:val="0"/>
          <w:sz w:val="24"/>
          <w:highlight w:val="none"/>
        </w:rPr>
        <w:t>《</w:t>
      </w:r>
      <w:r>
        <w:rPr>
          <w:rFonts w:hint="eastAsia" w:ascii="宋体" w:hAnsi="宋体"/>
          <w:b w:val="0"/>
          <w:bCs w:val="0"/>
          <w:sz w:val="24"/>
          <w:highlight w:val="none"/>
        </w:rPr>
        <w:t>3.6kV～40.5kV交流金属封闭开关设备和控制设备</w:t>
      </w:r>
      <w:r>
        <w:rPr>
          <w:rFonts w:hint="eastAsia"/>
          <w:b w:val="0"/>
          <w:bCs w:val="0"/>
          <w:sz w:val="24"/>
          <w:highlight w:val="none"/>
        </w:rPr>
        <w:t>》之要求外，还应满足下列要求：</w:t>
      </w:r>
    </w:p>
    <w:p w14:paraId="15EA3F91">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1)</w:t>
      </w:r>
      <w:r>
        <w:rPr>
          <w:rFonts w:hint="eastAsia" w:ascii="宋体" w:hAnsi="宋体"/>
          <w:b w:val="0"/>
          <w:bCs w:val="0"/>
          <w:sz w:val="24"/>
          <w:highlight w:val="none"/>
        </w:rPr>
        <w:t>开关柜柜体材料应采用敷铝锌板(≥2mm)，外形应平整美观，尺寸800（1000）×1500×2300mm。</w:t>
      </w:r>
    </w:p>
    <w:p w14:paraId="09FFCD68">
      <w:pPr>
        <w:spacing w:line="360" w:lineRule="auto"/>
        <w:rPr>
          <w:rFonts w:ascii="宋体" w:hAnsi="宋体" w:cs="宋体"/>
          <w:b w:val="0"/>
          <w:bCs w:val="0"/>
          <w:color w:val="auto"/>
          <w:sz w:val="24"/>
          <w:highlight w:val="none"/>
        </w:rPr>
      </w:pPr>
      <w:r>
        <w:rPr>
          <w:rFonts w:hint="eastAsia" w:ascii="宋体" w:hAnsi="宋体"/>
          <w:b w:val="0"/>
          <w:bCs w:val="0"/>
          <w:sz w:val="24"/>
          <w:highlight w:val="none"/>
          <w:lang w:val="en-US" w:eastAsia="zh-CN"/>
        </w:rPr>
        <w:t>2)</w:t>
      </w:r>
      <w:r>
        <w:rPr>
          <w:rFonts w:hint="eastAsia" w:ascii="宋体" w:hAnsi="宋体"/>
          <w:b w:val="0"/>
          <w:bCs w:val="0"/>
          <w:sz w:val="24"/>
          <w:highlight w:val="none"/>
        </w:rPr>
        <w:t xml:space="preserve"> </w:t>
      </w:r>
      <w:r>
        <w:rPr>
          <w:rFonts w:hint="eastAsia" w:ascii="宋体" w:hAnsi="宋体" w:cs="宋体"/>
          <w:b w:val="0"/>
          <w:bCs w:val="0"/>
          <w:sz w:val="24"/>
          <w:highlight w:val="none"/>
        </w:rPr>
        <w:t>开关柜应为组装式框架结构。要求支撑结构采用复合折边工艺。所有部件有足够的强度，能承受运输、安装和运行时短路所引起的作用力而不致于损坏。</w:t>
      </w:r>
      <w:r>
        <w:rPr>
          <w:rFonts w:hint="eastAsia" w:ascii="宋体" w:hAnsi="宋体"/>
          <w:b w:val="0"/>
          <w:bCs w:val="0"/>
          <w:sz w:val="24"/>
          <w:highlight w:val="none"/>
        </w:rPr>
        <w:t>柜体的外壳和各</w:t>
      </w:r>
      <w:r>
        <w:rPr>
          <w:rFonts w:hint="eastAsia" w:ascii="宋体" w:hAnsi="宋体"/>
          <w:b w:val="0"/>
          <w:bCs w:val="0"/>
          <w:color w:val="auto"/>
          <w:sz w:val="24"/>
          <w:highlight w:val="none"/>
        </w:rPr>
        <w:t>功能单元之间的隔板均采用≥2mm敷铝锌板弯折后栓接而成</w:t>
      </w:r>
      <w:r>
        <w:rPr>
          <w:rFonts w:hint="eastAsia" w:ascii="宋体" w:hAnsi="宋体" w:cs="宋体"/>
          <w:b w:val="0"/>
          <w:bCs w:val="0"/>
          <w:color w:val="auto"/>
          <w:sz w:val="24"/>
          <w:highlight w:val="none"/>
        </w:rPr>
        <w:t>，满足强度要求。所有开关柜母线套管安装板采用</w:t>
      </w:r>
      <w:r>
        <w:rPr>
          <w:rFonts w:hint="eastAsia" w:ascii="宋体" w:hAnsi="宋体" w:cs="宋体"/>
          <w:b w:val="0"/>
          <w:bCs w:val="0"/>
          <w:color w:val="auto"/>
          <w:sz w:val="24"/>
          <w:highlight w:val="none"/>
          <w:lang w:val="en-US" w:eastAsia="zh-CN"/>
        </w:rPr>
        <w:t>2mm铝板</w:t>
      </w:r>
      <w:r>
        <w:rPr>
          <w:rFonts w:hint="eastAsia" w:ascii="宋体" w:hAnsi="宋体" w:cs="宋体"/>
          <w:b w:val="0"/>
          <w:bCs w:val="0"/>
          <w:color w:val="auto"/>
          <w:sz w:val="24"/>
          <w:highlight w:val="none"/>
        </w:rPr>
        <w:t>，互感器安装板厚度2.5mm板材</w:t>
      </w:r>
      <w:r>
        <w:rPr>
          <w:rFonts w:hint="eastAsia" w:ascii="宋体" w:hAnsi="宋体" w:cs="宋体"/>
          <w:b w:val="0"/>
          <w:bCs w:val="0"/>
          <w:color w:val="auto"/>
          <w:sz w:val="24"/>
          <w:highlight w:val="none"/>
          <w:lang w:eastAsia="zh-CN"/>
        </w:rPr>
        <w:t>（</w:t>
      </w:r>
      <w:r>
        <w:rPr>
          <w:rFonts w:hint="eastAsia" w:ascii="宋体" w:hAnsi="宋体" w:cs="宋体"/>
          <w:b w:val="0"/>
          <w:bCs w:val="0"/>
          <w:color w:val="auto"/>
          <w:sz w:val="24"/>
          <w:highlight w:val="none"/>
          <w:lang w:val="en-US" w:eastAsia="zh-CN"/>
        </w:rPr>
        <w:t>满足强度</w:t>
      </w:r>
      <w:r>
        <w:rPr>
          <w:rFonts w:hint="eastAsia" w:ascii="宋体" w:hAnsi="宋体" w:cs="宋体"/>
          <w:b w:val="0"/>
          <w:bCs w:val="0"/>
          <w:color w:val="auto"/>
          <w:sz w:val="24"/>
          <w:highlight w:val="none"/>
          <w:lang w:eastAsia="zh-CN"/>
        </w:rPr>
        <w:t>）</w:t>
      </w:r>
      <w:r>
        <w:rPr>
          <w:rFonts w:hint="eastAsia" w:ascii="宋体" w:hAnsi="宋体" w:cs="宋体"/>
          <w:b w:val="0"/>
          <w:bCs w:val="0"/>
          <w:color w:val="auto"/>
          <w:sz w:val="24"/>
          <w:highlight w:val="none"/>
        </w:rPr>
        <w:t>，满足支撑强度要求。</w:t>
      </w:r>
    </w:p>
    <w:p w14:paraId="500AFCF2">
      <w:pPr>
        <w:spacing w:line="360" w:lineRule="auto"/>
        <w:rPr>
          <w:rFonts w:ascii="宋体" w:hAnsi="宋体"/>
          <w:b w:val="0"/>
          <w:bCs w:val="0"/>
          <w:color w:val="auto"/>
          <w:sz w:val="24"/>
          <w:highlight w:val="none"/>
        </w:rPr>
      </w:pPr>
      <w:r>
        <w:rPr>
          <w:rFonts w:hint="eastAsia" w:ascii="宋体" w:hAnsi="宋体" w:cs="宋体"/>
          <w:b w:val="0"/>
          <w:bCs w:val="0"/>
          <w:color w:val="auto"/>
          <w:sz w:val="24"/>
          <w:highlight w:val="none"/>
        </w:rPr>
        <w:t>开关柜从结构上考虑内部故障的影响，柜顶设有压力释放板。开关柜的防护等级为IP4X，柜门打开时为IP2X。</w:t>
      </w:r>
      <w:r>
        <w:rPr>
          <w:rFonts w:hint="eastAsia" w:ascii="宋体" w:hAnsi="宋体" w:eastAsia="宋体" w:cs="宋体"/>
          <w:color w:val="auto"/>
          <w:sz w:val="24"/>
          <w:szCs w:val="24"/>
          <w:highlight w:val="none"/>
          <w:lang w:val="en-US" w:eastAsia="zh-CN"/>
        </w:rPr>
        <w:t>柜体颜色：敷铝锌板材质，门板颜色：RAL7035</w:t>
      </w:r>
      <w:r>
        <w:rPr>
          <w:rStyle w:val="25"/>
          <w:rFonts w:hint="eastAsia" w:ascii="宋体" w:hAnsi="宋体" w:eastAsia="宋体" w:cs="宋体"/>
          <w:b w:val="0"/>
          <w:bCs w:val="0"/>
          <w:i w:val="0"/>
          <w:caps w:val="0"/>
          <w:color w:val="auto"/>
          <w:spacing w:val="0"/>
          <w:w w:val="100"/>
          <w:kern w:val="2"/>
          <w:sz w:val="24"/>
          <w:szCs w:val="24"/>
          <w:lang w:val="en-US" w:eastAsia="zh-CN" w:bidi="ar-SA"/>
        </w:rPr>
        <w:t>。</w:t>
      </w:r>
    </w:p>
    <w:p w14:paraId="18377D67">
      <w:pPr>
        <w:pStyle w:val="16"/>
        <w:adjustRightInd w:val="0"/>
        <w:snapToGrid w:val="0"/>
        <w:spacing w:after="0" w:line="360" w:lineRule="auto"/>
        <w:ind w:left="0" w:leftChars="0" w:firstLine="0" w:firstLineChars="0"/>
        <w:rPr>
          <w:rFonts w:ascii="宋体" w:hAnsi="宋体"/>
          <w:b w:val="0"/>
          <w:bCs w:val="0"/>
          <w:sz w:val="24"/>
          <w:highlight w:val="none"/>
        </w:rPr>
      </w:pPr>
      <w:r>
        <w:rPr>
          <w:rFonts w:hint="eastAsia" w:ascii="宋体" w:hAnsi="宋体"/>
          <w:b w:val="0"/>
          <w:bCs w:val="0"/>
          <w:sz w:val="24"/>
          <w:highlight w:val="none"/>
          <w:lang w:val="en-US" w:eastAsia="zh-CN"/>
        </w:rPr>
        <w:t>3)</w:t>
      </w:r>
      <w:r>
        <w:rPr>
          <w:rFonts w:hint="eastAsia"/>
          <w:b w:val="0"/>
          <w:bCs w:val="0"/>
          <w:sz w:val="24"/>
          <w:highlight w:val="none"/>
        </w:rPr>
        <w:t>在正常操作和维护时需要打开的盖板和门，应不需要工具即可打开或移动，并应有可靠的连锁装置来保证操作者的安全。柜门要求内部加强防护。开关柜充分考虑抗内燃弧功能，开关柜柜门需采用多道衬板、加强筋以及借助“迷宫型”压力缓解通道设计方式，不能采取简单的防护门板，需有抗内燃弧措施。在正常操作和维护时不需要打开的盖板和门，若不使用工具，应不能打开、拆下或移动。开关柜柜门运用旋转式门锁，以提高整体抗内燃弧性能。柜内绝缘隔板及套管应用SMC等阻燃、憎水性材料制成。</w:t>
      </w:r>
      <w:r>
        <w:rPr>
          <w:rFonts w:hint="eastAsia" w:ascii="宋体" w:hAnsi="宋体"/>
          <w:b w:val="0"/>
          <w:bCs w:val="0"/>
          <w:sz w:val="24"/>
          <w:highlight w:val="none"/>
        </w:rPr>
        <w:t>开关柜的安装与调试均可在柜前进行，且开关柜门关闭后仍然可以在柜前进行操作。</w:t>
      </w:r>
    </w:p>
    <w:p w14:paraId="7CF3469B">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4)</w:t>
      </w:r>
      <w:r>
        <w:rPr>
          <w:rFonts w:hint="eastAsia" w:ascii="宋体" w:hAnsi="宋体"/>
          <w:b w:val="0"/>
          <w:bCs w:val="0"/>
          <w:sz w:val="24"/>
          <w:highlight w:val="none"/>
        </w:rPr>
        <w:t>开关柜内所配一次设备（含接地开关）都应与断路器参数相配合，各元件的动、热稳定性必须满足要求。</w:t>
      </w:r>
    </w:p>
    <w:p w14:paraId="38D3729A">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5)</w:t>
      </w:r>
      <w:r>
        <w:rPr>
          <w:rFonts w:hint="eastAsia" w:ascii="宋体" w:hAnsi="宋体"/>
          <w:b w:val="0"/>
          <w:bCs w:val="0"/>
          <w:sz w:val="24"/>
          <w:highlight w:val="none"/>
        </w:rPr>
        <w:t>中置式开关柜的断路器小车应灵活轻便并具有良好的互换性。断路器小车处在“试验”位置和“隔开”位置而隔离断口未达到规定值之前，以及当辅助回路未完全断开的任一位置时，仍应保持与接地铜排连接。</w:t>
      </w:r>
    </w:p>
    <w:p w14:paraId="5432BC31">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6)</w:t>
      </w:r>
      <w:r>
        <w:rPr>
          <w:rFonts w:hint="eastAsia" w:ascii="宋体" w:hAnsi="宋体"/>
          <w:b w:val="0"/>
          <w:bCs w:val="0"/>
          <w:sz w:val="24"/>
          <w:highlight w:val="none"/>
        </w:rPr>
        <w:t>开关柜各小室的正面提供铰链门开启角度100度,各铰链门配有门制动器和锁紧螺钉, 在开关的背面有可拆卸的板或铰链门。接地开关门上设观察窗，观察窗位置应使观察者便于观察必须监视的组件及关键部位的任意工作位置。观察窗须达到外壳所规定的防护等级。</w:t>
      </w:r>
    </w:p>
    <w:p w14:paraId="3B472C5E">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7)</w:t>
      </w:r>
      <w:r>
        <w:rPr>
          <w:rFonts w:hint="eastAsia" w:ascii="宋体" w:hAnsi="宋体"/>
          <w:b w:val="0"/>
          <w:bCs w:val="0"/>
          <w:sz w:val="24"/>
          <w:highlight w:val="none"/>
        </w:rPr>
        <w:t xml:space="preserve"> 开关柜内，要求其母线、断路器、出线和仪表等均有单独的隔离小室，小室与小室间隔离。母线室、电缆室、断路器室应分别设压力释放通道。开关柜前门应为铰链门，且在开关“试验”位置时，也能关闭，开关柜背后为可拆卸的盖板。盖板上应设观察窗。</w:t>
      </w:r>
    </w:p>
    <w:p w14:paraId="4D6C6554">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8)</w:t>
      </w:r>
      <w:r>
        <w:rPr>
          <w:rFonts w:hint="eastAsia" w:ascii="宋体" w:hAnsi="宋体"/>
          <w:b w:val="0"/>
          <w:bCs w:val="0"/>
          <w:sz w:val="24"/>
          <w:highlight w:val="none"/>
        </w:rPr>
        <w:t>高压开关柜应优先采用简单可靠的机械闭锁装置，满足五防要求：</w:t>
      </w:r>
    </w:p>
    <w:p w14:paraId="76711289">
      <w:pPr>
        <w:pStyle w:val="6"/>
        <w:spacing w:before="50" w:after="50" w:line="360" w:lineRule="auto"/>
        <w:ind w:firstLine="480" w:firstLineChars="200"/>
        <w:rPr>
          <w:rFonts w:ascii="宋体" w:hAnsi="宋体"/>
          <w:b w:val="0"/>
          <w:bCs w:val="0"/>
          <w:sz w:val="24"/>
          <w:highlight w:val="none"/>
        </w:rPr>
      </w:pPr>
      <w:r>
        <w:rPr>
          <w:rFonts w:hint="eastAsia" w:ascii="宋体" w:hAnsi="宋体"/>
          <w:b w:val="0"/>
          <w:bCs w:val="0"/>
          <w:sz w:val="24"/>
          <w:highlight w:val="none"/>
        </w:rPr>
        <w:t>防止误分、合断路器</w:t>
      </w:r>
    </w:p>
    <w:p w14:paraId="3953F3FE">
      <w:pPr>
        <w:pStyle w:val="6"/>
        <w:spacing w:before="50" w:after="50" w:line="360" w:lineRule="auto"/>
        <w:ind w:firstLine="480" w:firstLineChars="200"/>
        <w:rPr>
          <w:rFonts w:ascii="宋体" w:hAnsi="宋体"/>
          <w:b w:val="0"/>
          <w:bCs w:val="0"/>
          <w:sz w:val="24"/>
          <w:highlight w:val="none"/>
        </w:rPr>
      </w:pPr>
      <w:r>
        <w:rPr>
          <w:rFonts w:hint="eastAsia" w:ascii="宋体" w:hAnsi="宋体"/>
          <w:b w:val="0"/>
          <w:bCs w:val="0"/>
          <w:sz w:val="24"/>
          <w:highlight w:val="none"/>
        </w:rPr>
        <w:t>防止带负荷分隔离插头</w:t>
      </w:r>
    </w:p>
    <w:p w14:paraId="623087BF">
      <w:pPr>
        <w:pStyle w:val="6"/>
        <w:spacing w:before="50" w:after="50" w:line="360" w:lineRule="auto"/>
        <w:ind w:firstLine="480" w:firstLineChars="200"/>
        <w:rPr>
          <w:rFonts w:ascii="宋体" w:hAnsi="宋体"/>
          <w:b w:val="0"/>
          <w:bCs w:val="0"/>
          <w:sz w:val="24"/>
          <w:highlight w:val="none"/>
        </w:rPr>
      </w:pPr>
      <w:r>
        <w:rPr>
          <w:rFonts w:hint="eastAsia" w:ascii="宋体" w:hAnsi="宋体"/>
          <w:b w:val="0"/>
          <w:bCs w:val="0"/>
          <w:sz w:val="24"/>
          <w:highlight w:val="none"/>
        </w:rPr>
        <w:t>防止带接地刀送电</w:t>
      </w:r>
    </w:p>
    <w:p w14:paraId="0B3DE9A0">
      <w:pPr>
        <w:pStyle w:val="6"/>
        <w:spacing w:before="50" w:after="50" w:line="360" w:lineRule="auto"/>
        <w:ind w:firstLine="480" w:firstLineChars="200"/>
        <w:rPr>
          <w:rFonts w:ascii="宋体" w:hAnsi="宋体"/>
          <w:b w:val="0"/>
          <w:bCs w:val="0"/>
          <w:sz w:val="24"/>
          <w:highlight w:val="none"/>
        </w:rPr>
      </w:pPr>
      <w:r>
        <w:rPr>
          <w:rFonts w:hint="eastAsia" w:ascii="宋体" w:hAnsi="宋体"/>
          <w:b w:val="0"/>
          <w:bCs w:val="0"/>
          <w:sz w:val="24"/>
          <w:highlight w:val="none"/>
        </w:rPr>
        <w:t>防止带电合接地刀</w:t>
      </w:r>
    </w:p>
    <w:p w14:paraId="7C5F39D0">
      <w:pPr>
        <w:pStyle w:val="6"/>
        <w:spacing w:before="50" w:after="50" w:line="360" w:lineRule="auto"/>
        <w:ind w:firstLine="480" w:firstLineChars="200"/>
        <w:rPr>
          <w:rFonts w:ascii="宋体" w:hAnsi="宋体"/>
          <w:b w:val="0"/>
          <w:bCs w:val="0"/>
          <w:sz w:val="24"/>
          <w:highlight w:val="none"/>
        </w:rPr>
      </w:pPr>
      <w:r>
        <w:rPr>
          <w:rFonts w:hint="eastAsia" w:ascii="宋体" w:hAnsi="宋体"/>
          <w:b w:val="0"/>
          <w:bCs w:val="0"/>
          <w:sz w:val="24"/>
          <w:highlight w:val="none"/>
        </w:rPr>
        <w:t>防止误入带电柜内</w:t>
      </w:r>
    </w:p>
    <w:p w14:paraId="75337833">
      <w:pPr>
        <w:numPr>
          <w:ilvl w:val="1"/>
          <w:numId w:val="8"/>
        </w:numPr>
        <w:adjustRightInd w:val="0"/>
        <w:snapToGrid w:val="0"/>
        <w:spacing w:line="360" w:lineRule="auto"/>
        <w:rPr>
          <w:rFonts w:ascii="宋体" w:hAnsi="宋体"/>
          <w:b w:val="0"/>
          <w:bCs w:val="0"/>
          <w:sz w:val="24"/>
          <w:highlight w:val="none"/>
        </w:rPr>
      </w:pPr>
      <w:r>
        <w:rPr>
          <w:rFonts w:hint="eastAsia" w:ascii="宋体" w:hAnsi="宋体"/>
          <w:b w:val="0"/>
          <w:bCs w:val="0"/>
          <w:sz w:val="24"/>
          <w:highlight w:val="none"/>
        </w:rPr>
        <w:t>只有当断路器手车完全到达试验和工作位置时，断路器才能合闸。</w:t>
      </w:r>
    </w:p>
    <w:p w14:paraId="2C039B11">
      <w:pPr>
        <w:numPr>
          <w:ilvl w:val="1"/>
          <w:numId w:val="8"/>
        </w:numPr>
        <w:adjustRightInd w:val="0"/>
        <w:snapToGrid w:val="0"/>
        <w:spacing w:line="360" w:lineRule="auto"/>
        <w:rPr>
          <w:rFonts w:ascii="宋体" w:hAnsi="宋体"/>
          <w:b w:val="0"/>
          <w:bCs w:val="0"/>
          <w:sz w:val="24"/>
          <w:highlight w:val="none"/>
        </w:rPr>
      </w:pPr>
      <w:r>
        <w:rPr>
          <w:rFonts w:hint="eastAsia" w:ascii="宋体" w:hAnsi="宋体"/>
          <w:b w:val="0"/>
          <w:bCs w:val="0"/>
          <w:sz w:val="24"/>
          <w:highlight w:val="none"/>
        </w:rPr>
        <w:t>当断路器手车在试验或运行位置失去控制电源时，断路器不能合闸。</w:t>
      </w:r>
    </w:p>
    <w:p w14:paraId="7102F5C9">
      <w:pPr>
        <w:numPr>
          <w:ilvl w:val="1"/>
          <w:numId w:val="8"/>
        </w:numPr>
        <w:adjustRightInd w:val="0"/>
        <w:snapToGrid w:val="0"/>
        <w:spacing w:line="360" w:lineRule="auto"/>
        <w:rPr>
          <w:rFonts w:ascii="宋体" w:hAnsi="宋体"/>
          <w:b w:val="0"/>
          <w:bCs w:val="0"/>
          <w:sz w:val="24"/>
          <w:highlight w:val="none"/>
        </w:rPr>
      </w:pPr>
      <w:r>
        <w:rPr>
          <w:rFonts w:hint="eastAsia" w:ascii="宋体" w:hAnsi="宋体"/>
          <w:b w:val="0"/>
          <w:bCs w:val="0"/>
          <w:sz w:val="24"/>
          <w:highlight w:val="none"/>
        </w:rPr>
        <w:t>只有当断路器手车在试验/隔离位置或移开位置，接地开关才能合闸。</w:t>
      </w:r>
    </w:p>
    <w:p w14:paraId="729075D9">
      <w:pPr>
        <w:numPr>
          <w:ilvl w:val="1"/>
          <w:numId w:val="8"/>
        </w:numPr>
        <w:adjustRightInd w:val="0"/>
        <w:snapToGrid w:val="0"/>
        <w:spacing w:line="360" w:lineRule="auto"/>
        <w:rPr>
          <w:rFonts w:ascii="宋体" w:hAnsi="宋体"/>
          <w:b w:val="0"/>
          <w:bCs w:val="0"/>
          <w:sz w:val="24"/>
          <w:highlight w:val="none"/>
        </w:rPr>
      </w:pPr>
      <w:r>
        <w:rPr>
          <w:rFonts w:hint="eastAsia" w:ascii="宋体" w:hAnsi="宋体"/>
          <w:b w:val="0"/>
          <w:bCs w:val="0"/>
          <w:sz w:val="24"/>
          <w:highlight w:val="none"/>
        </w:rPr>
        <w:t>当接地开关及断路器分闸时，手车才能从试验/隔离位置移向工作位置。</w:t>
      </w:r>
    </w:p>
    <w:p w14:paraId="372B7910">
      <w:pPr>
        <w:numPr>
          <w:ilvl w:val="1"/>
          <w:numId w:val="8"/>
        </w:numPr>
        <w:adjustRightInd w:val="0"/>
        <w:snapToGrid w:val="0"/>
        <w:spacing w:line="360" w:lineRule="auto"/>
        <w:rPr>
          <w:rFonts w:ascii="宋体" w:hAnsi="宋体"/>
          <w:b w:val="0"/>
          <w:bCs w:val="0"/>
          <w:sz w:val="24"/>
          <w:highlight w:val="none"/>
        </w:rPr>
      </w:pPr>
      <w:r>
        <w:rPr>
          <w:rFonts w:hint="eastAsia" w:ascii="宋体" w:hAnsi="宋体"/>
          <w:b w:val="0"/>
          <w:bCs w:val="0"/>
          <w:sz w:val="24"/>
          <w:highlight w:val="none"/>
        </w:rPr>
        <w:t>当接地开关合闸和断路器合闸时，手车不能从试验/隔离位置移向工作位置。</w:t>
      </w:r>
    </w:p>
    <w:p w14:paraId="5DA1594D">
      <w:pPr>
        <w:numPr>
          <w:ilvl w:val="1"/>
          <w:numId w:val="8"/>
        </w:numPr>
        <w:adjustRightInd w:val="0"/>
        <w:snapToGrid w:val="0"/>
        <w:spacing w:line="360" w:lineRule="auto"/>
        <w:rPr>
          <w:rFonts w:ascii="宋体" w:hAnsi="宋体"/>
          <w:b w:val="0"/>
          <w:bCs w:val="0"/>
          <w:sz w:val="24"/>
          <w:highlight w:val="none"/>
        </w:rPr>
      </w:pPr>
      <w:r>
        <w:rPr>
          <w:rFonts w:hint="eastAsia" w:ascii="宋体" w:hAnsi="宋体"/>
          <w:b w:val="0"/>
          <w:bCs w:val="0"/>
          <w:sz w:val="24"/>
          <w:highlight w:val="none"/>
        </w:rPr>
        <w:t>当手车处于工作位置时，二次插头被锁定，不能拔除。</w:t>
      </w:r>
    </w:p>
    <w:p w14:paraId="3510F8A6">
      <w:pPr>
        <w:numPr>
          <w:ilvl w:val="1"/>
          <w:numId w:val="8"/>
        </w:numPr>
        <w:adjustRightInd w:val="0"/>
        <w:snapToGrid w:val="0"/>
        <w:spacing w:line="360" w:lineRule="auto"/>
        <w:rPr>
          <w:rFonts w:ascii="宋体" w:hAnsi="宋体"/>
          <w:b w:val="0"/>
          <w:bCs w:val="0"/>
          <w:sz w:val="24"/>
          <w:szCs w:val="24"/>
          <w:highlight w:val="none"/>
        </w:rPr>
      </w:pPr>
      <w:r>
        <w:rPr>
          <w:rFonts w:hint="eastAsia"/>
          <w:b w:val="0"/>
          <w:bCs w:val="0"/>
          <w:sz w:val="24"/>
          <w:szCs w:val="24"/>
          <w:highlight w:val="none"/>
        </w:rPr>
        <w:t>只有接地开关合闸时,电缆室门才允许打开，且只有关闭电缆室门后，接地开关才允许被分闸。</w:t>
      </w:r>
    </w:p>
    <w:p w14:paraId="05E6210C">
      <w:pPr>
        <w:spacing w:line="360" w:lineRule="auto"/>
        <w:ind w:firstLine="597" w:firstLineChars="249"/>
        <w:rPr>
          <w:b w:val="0"/>
          <w:bCs w:val="0"/>
          <w:sz w:val="24"/>
          <w:highlight w:val="none"/>
        </w:rPr>
      </w:pPr>
      <w:r>
        <w:rPr>
          <w:rFonts w:hint="eastAsia"/>
          <w:b w:val="0"/>
          <w:bCs w:val="0"/>
          <w:sz w:val="24"/>
          <w:highlight w:val="none"/>
        </w:rPr>
        <w:t>对难以实现机械“五防”的部分，如母分开关柜与隔离柜之间等，可采用电气闭锁。开关柜应装有能反映线路侧有无电压的带电显示器</w:t>
      </w:r>
      <w:r>
        <w:rPr>
          <w:rFonts w:hint="eastAsia" w:ascii="宋体" w:hAnsi="宋体"/>
          <w:b w:val="0"/>
          <w:bCs w:val="0"/>
          <w:sz w:val="24"/>
          <w:highlight w:val="none"/>
        </w:rPr>
        <w:t>。</w:t>
      </w:r>
    </w:p>
    <w:p w14:paraId="53EA208E">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9)</w:t>
      </w:r>
      <w:r>
        <w:rPr>
          <w:rFonts w:hint="eastAsia" w:ascii="宋体" w:hAnsi="宋体"/>
          <w:b w:val="0"/>
          <w:bCs w:val="0"/>
          <w:sz w:val="24"/>
          <w:highlight w:val="none"/>
        </w:rPr>
        <w:t xml:space="preserve"> 开关柜小车的推进，抽出应灵活方便，对仪表小室无冲击影响。并且在推进、抽出时不得冲击母线侧静触头。相同规格的开关柜小车应有互换性。</w:t>
      </w:r>
    </w:p>
    <w:p w14:paraId="219399F2">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10)</w:t>
      </w:r>
      <w:r>
        <w:rPr>
          <w:rFonts w:hint="eastAsia" w:ascii="宋体" w:hAnsi="宋体"/>
          <w:b w:val="0"/>
          <w:bCs w:val="0"/>
          <w:sz w:val="24"/>
          <w:highlight w:val="none"/>
        </w:rPr>
        <w:t>开关柜内母线室、电缆室应设照明，电压交流220V，需使用节能灯，不得使用白炽灯。</w:t>
      </w:r>
    </w:p>
    <w:p w14:paraId="38F7AC8C">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11)</w:t>
      </w:r>
      <w:r>
        <w:rPr>
          <w:rFonts w:hint="eastAsia" w:ascii="宋体" w:hAnsi="宋体"/>
          <w:b w:val="0"/>
          <w:bCs w:val="0"/>
          <w:sz w:val="24"/>
          <w:highlight w:val="none"/>
        </w:rPr>
        <w:t>开关柜应有良好的通风条件，如通风设有百叶窗或其他通风口时，应设有防止漏水、防小动物进入的措施，并符合有关部门标准。</w:t>
      </w:r>
    </w:p>
    <w:p w14:paraId="0F1AC403">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12)</w:t>
      </w:r>
      <w:r>
        <w:rPr>
          <w:rFonts w:hint="eastAsia" w:ascii="宋体" w:hAnsi="宋体"/>
          <w:b w:val="0"/>
          <w:bCs w:val="0"/>
          <w:sz w:val="24"/>
          <w:highlight w:val="none"/>
        </w:rPr>
        <w:t>手车在柜体中应有明显的工作位置、试验位置和断开位置之分，各位置均能自动锁位和安全接地，为保证检修安全，在一次插头上装有触头盒及安全挡板，并能自动进行开闭。</w:t>
      </w:r>
    </w:p>
    <w:p w14:paraId="6F677D68">
      <w:pPr>
        <w:adjustRightInd w:val="0"/>
        <w:snapToGrid w:val="0"/>
        <w:spacing w:line="360" w:lineRule="auto"/>
        <w:rPr>
          <w:rFonts w:ascii="宋体" w:hAnsi="宋体"/>
          <w:b w:val="0"/>
          <w:bCs w:val="0"/>
          <w:sz w:val="24"/>
          <w:szCs w:val="24"/>
          <w:highlight w:val="none"/>
        </w:rPr>
      </w:pPr>
      <w:r>
        <w:rPr>
          <w:rFonts w:hint="eastAsia" w:ascii="宋体" w:hAnsi="宋体"/>
          <w:b w:val="0"/>
          <w:bCs w:val="0"/>
          <w:sz w:val="24"/>
          <w:highlight w:val="none"/>
          <w:lang w:val="en-US" w:eastAsia="zh-CN"/>
        </w:rPr>
        <w:t>13)</w:t>
      </w:r>
      <w:r>
        <w:rPr>
          <w:rFonts w:hint="eastAsia"/>
          <w:b w:val="0"/>
          <w:bCs w:val="0"/>
          <w:sz w:val="24"/>
          <w:szCs w:val="24"/>
          <w:highlight w:val="none"/>
        </w:rPr>
        <w:t>开关柜内各小室应隔离，为防止柜顶主母线发生短路故障波及，要求在母线小室柜间加装隔离套管。金属封闭式高压开关柜必须有防止因本柜故障殃及相邻高压开关柜的隔离措施。</w:t>
      </w:r>
      <w:r>
        <w:rPr>
          <w:rFonts w:hint="eastAsia" w:ascii="宋体" w:hAnsi="宋体"/>
          <w:b w:val="0"/>
          <w:bCs w:val="0"/>
          <w:sz w:val="24"/>
          <w:szCs w:val="24"/>
          <w:highlight w:val="none"/>
        </w:rPr>
        <w:t>金属封闭式高压开关柜应能防止因本身缺陷、异常或误操作导致的内电弧伤及工作人员。</w:t>
      </w:r>
    </w:p>
    <w:p w14:paraId="506AFF78">
      <w:pPr>
        <w:pStyle w:val="6"/>
        <w:spacing w:before="50" w:after="50" w:line="360" w:lineRule="auto"/>
        <w:rPr>
          <w:rFonts w:ascii="宋体" w:hAnsi="宋体"/>
          <w:b w:val="0"/>
          <w:bCs w:val="0"/>
          <w:sz w:val="24"/>
          <w:szCs w:val="24"/>
          <w:highlight w:val="none"/>
        </w:rPr>
      </w:pPr>
      <w:r>
        <w:rPr>
          <w:rFonts w:hint="eastAsia"/>
          <w:b w:val="0"/>
          <w:bCs w:val="0"/>
          <w:sz w:val="24"/>
          <w:szCs w:val="24"/>
          <w:highlight w:val="none"/>
          <w:lang w:val="en-US" w:eastAsia="zh-CN"/>
        </w:rPr>
        <w:t>14)</w:t>
      </w:r>
      <w:r>
        <w:rPr>
          <w:rFonts w:hint="eastAsia" w:ascii="宋体" w:hAnsi="宋体"/>
          <w:b w:val="0"/>
          <w:bCs w:val="0"/>
          <w:sz w:val="24"/>
          <w:szCs w:val="24"/>
          <w:highlight w:val="none"/>
        </w:rPr>
        <w:t>柜内如采用绝缘母线，应具有防潮和阻燃性能以及足够的介电强度；提供绝缘母线相间或对地最小距离。</w:t>
      </w:r>
    </w:p>
    <w:p w14:paraId="510DFD3E">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15)</w:t>
      </w:r>
      <w:r>
        <w:rPr>
          <w:rFonts w:hint="eastAsia" w:ascii="宋体" w:hAnsi="宋体"/>
          <w:b w:val="0"/>
          <w:bCs w:val="0"/>
          <w:sz w:val="24"/>
          <w:highlight w:val="none"/>
        </w:rPr>
        <w:t>柜内裸导体间及裸导体对地的净距，应满足电力工业行业标准（</w:t>
      </w:r>
      <w:r>
        <w:rPr>
          <w:rFonts w:ascii="宋体" w:hAnsi="宋体"/>
          <w:b w:val="0"/>
          <w:bCs w:val="0"/>
          <w:sz w:val="24"/>
          <w:highlight w:val="none"/>
        </w:rPr>
        <w:t>DL/T593</w:t>
      </w:r>
      <w:r>
        <w:rPr>
          <w:rFonts w:hint="eastAsia" w:ascii="宋体" w:hAnsi="宋体"/>
          <w:b w:val="0"/>
          <w:bCs w:val="0"/>
          <w:sz w:val="24"/>
          <w:highlight w:val="none"/>
        </w:rPr>
        <w:t>）的要求。（如达不到应采取措施加强绝缘，若采用隔板隔离，其隔板必须具有优质的防潮耐电弧阻燃性能）。</w:t>
      </w:r>
    </w:p>
    <w:p w14:paraId="174F7FEC">
      <w:pPr>
        <w:adjustRightInd w:val="0"/>
        <w:snapToGrid w:val="0"/>
        <w:spacing w:line="360" w:lineRule="auto"/>
        <w:rPr>
          <w:rFonts w:ascii="宋体" w:hAnsi="宋体"/>
          <w:b w:val="0"/>
          <w:bCs w:val="0"/>
          <w:sz w:val="24"/>
          <w:szCs w:val="24"/>
          <w:highlight w:val="none"/>
        </w:rPr>
      </w:pPr>
      <w:r>
        <w:rPr>
          <w:rFonts w:hint="eastAsia" w:ascii="宋体" w:hAnsi="宋体"/>
          <w:b w:val="0"/>
          <w:bCs w:val="0"/>
          <w:sz w:val="24"/>
          <w:highlight w:val="none"/>
          <w:lang w:val="en-US" w:eastAsia="zh-CN"/>
        </w:rPr>
        <w:t>16)</w:t>
      </w:r>
      <w:r>
        <w:rPr>
          <w:rFonts w:hint="eastAsia"/>
          <w:b w:val="0"/>
          <w:bCs w:val="0"/>
          <w:sz w:val="24"/>
          <w:szCs w:val="24"/>
          <w:highlight w:val="none"/>
        </w:rPr>
        <w:t>开关柜内手车室及电缆室内设电加热器（AC220），各开关柜的加热器应均匀接至加热小母线上，加热器可在柜外由开关控制其投入或切除，加热器投入后按整定湿度自动通电或断开。电缆头的安装位置及连接方式必须考虑检修、试验时便于拆线及接线；</w:t>
      </w:r>
    </w:p>
    <w:p w14:paraId="50FE4C79">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17)</w:t>
      </w:r>
      <w:r>
        <w:rPr>
          <w:rFonts w:hint="eastAsia" w:ascii="宋体" w:hAnsi="宋体"/>
          <w:b w:val="0"/>
          <w:bCs w:val="0"/>
          <w:sz w:val="24"/>
          <w:highlight w:val="none"/>
        </w:rPr>
        <w:t>所有用螺栓固定的主母和分支母线接头，</w:t>
      </w:r>
      <w:r>
        <w:rPr>
          <w:rFonts w:hint="eastAsia" w:ascii="宋体" w:hAnsi="宋体" w:cs="宋体"/>
          <w:b w:val="0"/>
          <w:bCs w:val="0"/>
          <w:sz w:val="24"/>
          <w:highlight w:val="none"/>
        </w:rPr>
        <w:t>对铜导体镀锡，并</w:t>
      </w:r>
      <w:r>
        <w:rPr>
          <w:rFonts w:hint="eastAsia" w:ascii="宋体" w:hAnsi="宋体"/>
          <w:b w:val="0"/>
          <w:bCs w:val="0"/>
          <w:sz w:val="24"/>
          <w:highlight w:val="none"/>
        </w:rPr>
        <w:t>保证其温升不超过标准值，在长期使用期间，从标准温度到额定满负荷温度，固定螺栓的初始接触压力值不应降低，每个连接点不应少于两个螺栓。</w:t>
      </w:r>
    </w:p>
    <w:p w14:paraId="5AEFA095">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18)</w:t>
      </w:r>
      <w:r>
        <w:rPr>
          <w:rFonts w:hint="eastAsia" w:ascii="宋体" w:hAnsi="宋体"/>
          <w:b w:val="0"/>
          <w:bCs w:val="0"/>
          <w:sz w:val="24"/>
          <w:highlight w:val="none"/>
        </w:rPr>
        <w:t>供方对母线的每个接点进行接触电阻测试，需达到标准：</w:t>
      </w:r>
      <w:r>
        <w:rPr>
          <w:rFonts w:ascii="宋体" w:hAnsi="宋体"/>
          <w:b w:val="0"/>
          <w:bCs w:val="0"/>
          <w:sz w:val="24"/>
          <w:highlight w:val="none"/>
        </w:rPr>
        <w:t>630A&lt;30u</w:t>
      </w:r>
      <w:r>
        <w:rPr>
          <w:rFonts w:hint="eastAsia" w:ascii="宋体" w:hAnsi="宋体"/>
          <w:b w:val="0"/>
          <w:bCs w:val="0"/>
          <w:sz w:val="24"/>
          <w:highlight w:val="none"/>
        </w:rPr>
        <w:t>Ω、</w:t>
      </w:r>
      <w:r>
        <w:rPr>
          <w:rFonts w:ascii="宋体" w:hAnsi="宋体"/>
          <w:b w:val="0"/>
          <w:bCs w:val="0"/>
          <w:sz w:val="24"/>
          <w:highlight w:val="none"/>
        </w:rPr>
        <w:t>800A-1000A&lt;20u</w:t>
      </w:r>
      <w:r>
        <w:rPr>
          <w:rFonts w:hint="eastAsia" w:ascii="宋体" w:hAnsi="宋体"/>
          <w:b w:val="0"/>
          <w:bCs w:val="0"/>
          <w:sz w:val="24"/>
          <w:highlight w:val="none"/>
        </w:rPr>
        <w:t>Ω、</w:t>
      </w:r>
      <w:r>
        <w:rPr>
          <w:rFonts w:ascii="宋体" w:hAnsi="宋体"/>
          <w:b w:val="0"/>
          <w:bCs w:val="0"/>
          <w:sz w:val="24"/>
          <w:highlight w:val="none"/>
        </w:rPr>
        <w:t>2500A&lt;15u</w:t>
      </w:r>
      <w:r>
        <w:rPr>
          <w:rFonts w:hint="eastAsia" w:ascii="宋体" w:hAnsi="宋体"/>
          <w:b w:val="0"/>
          <w:bCs w:val="0"/>
          <w:sz w:val="24"/>
          <w:highlight w:val="none"/>
        </w:rPr>
        <w:t>Ω、</w:t>
      </w:r>
      <w:r>
        <w:rPr>
          <w:rFonts w:ascii="宋体" w:hAnsi="宋体"/>
          <w:b w:val="0"/>
          <w:bCs w:val="0"/>
          <w:sz w:val="24"/>
          <w:highlight w:val="none"/>
        </w:rPr>
        <w:t>3000A&lt;10u</w:t>
      </w:r>
      <w:r>
        <w:rPr>
          <w:rFonts w:hint="eastAsia" w:ascii="宋体" w:hAnsi="宋体"/>
          <w:b w:val="0"/>
          <w:bCs w:val="0"/>
          <w:sz w:val="24"/>
          <w:highlight w:val="none"/>
        </w:rPr>
        <w:t>Ω以保证母线接触可靠。</w:t>
      </w:r>
    </w:p>
    <w:p w14:paraId="49A46BA6">
      <w:pPr>
        <w:pStyle w:val="16"/>
        <w:adjustRightInd w:val="0"/>
        <w:snapToGrid w:val="0"/>
        <w:spacing w:after="0" w:line="360" w:lineRule="auto"/>
        <w:ind w:left="0" w:leftChars="0" w:firstLine="0" w:firstLineChars="0"/>
        <w:rPr>
          <w:rFonts w:ascii="宋体" w:hAnsi="宋体"/>
          <w:b w:val="0"/>
          <w:bCs w:val="0"/>
          <w:sz w:val="24"/>
          <w:highlight w:val="none"/>
        </w:rPr>
      </w:pPr>
      <w:r>
        <w:rPr>
          <w:rFonts w:hint="eastAsia" w:ascii="宋体" w:hAnsi="宋体"/>
          <w:b w:val="0"/>
          <w:bCs w:val="0"/>
          <w:sz w:val="24"/>
          <w:szCs w:val="20"/>
          <w:highlight w:val="none"/>
          <w:lang w:val="en-US" w:eastAsia="zh-CN"/>
        </w:rPr>
        <w:t>19)</w:t>
      </w:r>
      <w:r>
        <w:rPr>
          <w:rFonts w:hint="eastAsia"/>
          <w:b w:val="0"/>
          <w:bCs w:val="0"/>
          <w:sz w:val="24"/>
          <w:highlight w:val="none"/>
        </w:rPr>
        <w:t>母线</w:t>
      </w:r>
      <w:r>
        <w:rPr>
          <w:rFonts w:hint="eastAsia" w:ascii="宋体" w:hAnsi="宋体" w:cs="宋体"/>
          <w:b w:val="0"/>
          <w:bCs w:val="0"/>
          <w:sz w:val="24"/>
          <w:highlight w:val="none"/>
        </w:rPr>
        <w:t>采用铜排，要求含铜＞99.9%，严禁铜包铝，全程搪锡</w:t>
      </w:r>
      <w:r>
        <w:rPr>
          <w:rFonts w:hint="eastAsia" w:ascii="宋体" w:hAnsi="宋体" w:cs="宋体"/>
          <w:b w:val="0"/>
          <w:bCs w:val="0"/>
          <w:sz w:val="24"/>
          <w:highlight w:val="none"/>
          <w:lang w:val="en-US" w:eastAsia="zh-CN"/>
        </w:rPr>
        <w:t>(镀锡工艺)</w:t>
      </w:r>
      <w:r>
        <w:rPr>
          <w:rFonts w:hint="eastAsia" w:ascii="宋体" w:hAnsi="宋体" w:cs="宋体"/>
          <w:b w:val="0"/>
          <w:bCs w:val="0"/>
          <w:sz w:val="24"/>
          <w:highlight w:val="none"/>
        </w:rPr>
        <w:t>，</w:t>
      </w:r>
      <w:r>
        <w:rPr>
          <w:rFonts w:hint="eastAsia"/>
          <w:b w:val="0"/>
          <w:bCs w:val="0"/>
          <w:sz w:val="24"/>
          <w:highlight w:val="none"/>
        </w:rPr>
        <w:t>应标明相别的颜色，</w:t>
      </w:r>
      <w:r>
        <w:rPr>
          <w:b w:val="0"/>
          <w:bCs w:val="0"/>
          <w:sz w:val="24"/>
          <w:highlight w:val="none"/>
        </w:rPr>
        <w:t>A</w:t>
      </w:r>
      <w:r>
        <w:rPr>
          <w:rFonts w:hint="eastAsia"/>
          <w:b w:val="0"/>
          <w:bCs w:val="0"/>
          <w:sz w:val="24"/>
          <w:highlight w:val="none"/>
        </w:rPr>
        <w:t>、</w:t>
      </w:r>
      <w:r>
        <w:rPr>
          <w:b w:val="0"/>
          <w:bCs w:val="0"/>
          <w:sz w:val="24"/>
          <w:highlight w:val="none"/>
        </w:rPr>
        <w:t>B</w:t>
      </w:r>
      <w:r>
        <w:rPr>
          <w:rFonts w:hint="eastAsia"/>
          <w:b w:val="0"/>
          <w:bCs w:val="0"/>
          <w:sz w:val="24"/>
          <w:highlight w:val="none"/>
        </w:rPr>
        <w:t>、</w:t>
      </w:r>
      <w:r>
        <w:rPr>
          <w:b w:val="0"/>
          <w:bCs w:val="0"/>
          <w:sz w:val="24"/>
          <w:highlight w:val="none"/>
        </w:rPr>
        <w:t>C</w:t>
      </w:r>
      <w:r>
        <w:rPr>
          <w:rFonts w:hint="eastAsia"/>
          <w:b w:val="0"/>
          <w:bCs w:val="0"/>
          <w:sz w:val="24"/>
          <w:highlight w:val="none"/>
        </w:rPr>
        <w:t>相分别为黄、绿、红色。</w:t>
      </w:r>
      <w:r>
        <w:rPr>
          <w:rFonts w:hint="eastAsia" w:ascii="宋体" w:hAnsi="宋体" w:cs="宋体"/>
          <w:b w:val="0"/>
          <w:bCs w:val="0"/>
          <w:sz w:val="24"/>
          <w:highlight w:val="none"/>
        </w:rPr>
        <w:t>开关柜内主母线、分支母线等所有母排拐弯处应采取倒角打磨等措施，防止电场畸变，</w:t>
      </w:r>
      <w:r>
        <w:rPr>
          <w:rFonts w:hint="eastAsia"/>
          <w:b w:val="0"/>
          <w:bCs w:val="0"/>
          <w:sz w:val="24"/>
          <w:highlight w:val="none"/>
        </w:rPr>
        <w:t xml:space="preserve">柜内各相间与对地间净距均符合相关标准的规定。 </w:t>
      </w:r>
    </w:p>
    <w:p w14:paraId="738119A2">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20)</w:t>
      </w:r>
      <w:r>
        <w:rPr>
          <w:rFonts w:hint="eastAsia" w:ascii="宋体" w:hAnsi="宋体"/>
          <w:b w:val="0"/>
          <w:bCs w:val="0"/>
          <w:sz w:val="24"/>
          <w:highlight w:val="none"/>
        </w:rPr>
        <w:t>高压开关柜中各组件及其支持绝缘件的绝缘爬电比距（高压电器组件外绝缘的爬电距离与最高电压之比）应按凝露型考虑，其纯瓷绝缘不小于</w:t>
      </w:r>
      <w:r>
        <w:rPr>
          <w:rFonts w:ascii="宋体" w:hAnsi="宋体"/>
          <w:b w:val="0"/>
          <w:bCs w:val="0"/>
          <w:sz w:val="24"/>
          <w:highlight w:val="none"/>
        </w:rPr>
        <w:t>1.8cm/kV</w:t>
      </w:r>
      <w:r>
        <w:rPr>
          <w:rFonts w:hint="eastAsia" w:ascii="宋体" w:hAnsi="宋体"/>
          <w:b w:val="0"/>
          <w:bCs w:val="0"/>
          <w:sz w:val="24"/>
          <w:highlight w:val="none"/>
        </w:rPr>
        <w:t>，环氧树脂绝缘不小于</w:t>
      </w:r>
      <w:r>
        <w:rPr>
          <w:rFonts w:ascii="宋体" w:hAnsi="宋体"/>
          <w:b w:val="0"/>
          <w:bCs w:val="0"/>
          <w:sz w:val="24"/>
          <w:highlight w:val="none"/>
        </w:rPr>
        <w:t>2.0cm/kV</w:t>
      </w:r>
      <w:r>
        <w:rPr>
          <w:rFonts w:hint="eastAsia" w:ascii="宋体" w:hAnsi="宋体"/>
          <w:b w:val="0"/>
          <w:bCs w:val="0"/>
          <w:sz w:val="24"/>
          <w:highlight w:val="none"/>
        </w:rPr>
        <w:t>。</w:t>
      </w:r>
    </w:p>
    <w:p w14:paraId="073CB055">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21)</w:t>
      </w:r>
      <w:r>
        <w:rPr>
          <w:rFonts w:hint="eastAsia" w:ascii="宋体" w:hAnsi="宋体"/>
          <w:b w:val="0"/>
          <w:bCs w:val="0"/>
          <w:sz w:val="24"/>
          <w:highlight w:val="none"/>
        </w:rPr>
        <w:t>主母线支承绝缘子的吸潮性能应很低，在设备使用期间，不应降低机械和介质强度。</w:t>
      </w:r>
    </w:p>
    <w:p w14:paraId="6780DF55">
      <w:pPr>
        <w:adjustRightInd w:val="0"/>
        <w:snapToGrid w:val="0"/>
        <w:spacing w:line="360" w:lineRule="auto"/>
        <w:rPr>
          <w:rFonts w:ascii="宋体" w:hAnsi="宋体"/>
          <w:b w:val="0"/>
          <w:bCs w:val="0"/>
          <w:sz w:val="24"/>
          <w:highlight w:val="none"/>
        </w:rPr>
      </w:pPr>
      <w:r>
        <w:rPr>
          <w:rFonts w:hint="eastAsia" w:ascii="宋体" w:hAnsi="宋体"/>
          <w:b w:val="0"/>
          <w:bCs w:val="0"/>
          <w:sz w:val="24"/>
          <w:highlight w:val="none"/>
          <w:lang w:val="en-US" w:eastAsia="zh-CN"/>
        </w:rPr>
        <w:t>22)</w:t>
      </w:r>
      <w:r>
        <w:rPr>
          <w:rFonts w:hint="eastAsia" w:ascii="宋体" w:hAnsi="宋体"/>
          <w:b w:val="0"/>
          <w:bCs w:val="0"/>
          <w:sz w:val="24"/>
          <w:highlight w:val="none"/>
        </w:rPr>
        <w:t>开关柜中的接地母线应能承受断路器的瞬时及短时额定电流而不超过额定温升。至少提供两个接地端子供其与变电所接地网连接（接触面应进行搪锡处理）。接地端子采用</w:t>
      </w:r>
      <w:r>
        <w:rPr>
          <w:rFonts w:ascii="宋体" w:hAnsi="宋体"/>
          <w:b w:val="0"/>
          <w:bCs w:val="0"/>
          <w:sz w:val="24"/>
          <w:highlight w:val="none"/>
        </w:rPr>
        <w:t>M12</w:t>
      </w:r>
      <w:r>
        <w:rPr>
          <w:rFonts w:hint="eastAsia" w:ascii="宋体" w:hAnsi="宋体"/>
          <w:b w:val="0"/>
          <w:bCs w:val="0"/>
          <w:sz w:val="24"/>
          <w:highlight w:val="none"/>
        </w:rPr>
        <w:t>螺栓。</w:t>
      </w:r>
    </w:p>
    <w:p w14:paraId="064F604A">
      <w:pPr>
        <w:spacing w:line="360" w:lineRule="auto"/>
        <w:ind w:firstLine="480" w:firstLineChars="200"/>
        <w:rPr>
          <w:rFonts w:ascii="宋体" w:hAnsi="宋体" w:cs="宋体"/>
          <w:b w:val="0"/>
          <w:bCs w:val="0"/>
          <w:sz w:val="24"/>
          <w:highlight w:val="none"/>
        </w:rPr>
      </w:pPr>
      <w:r>
        <w:rPr>
          <w:rFonts w:hint="eastAsia" w:ascii="宋体" w:hAnsi="宋体"/>
          <w:b w:val="0"/>
          <w:bCs w:val="0"/>
          <w:sz w:val="24"/>
          <w:highlight w:val="none"/>
          <w:lang w:val="en-US" w:eastAsia="zh-CN"/>
        </w:rPr>
        <w:t xml:space="preserve">a. </w:t>
      </w:r>
      <w:r>
        <w:rPr>
          <w:rFonts w:hint="eastAsia" w:ascii="宋体" w:hAnsi="宋体" w:cs="宋体"/>
          <w:b w:val="0"/>
          <w:bCs w:val="0"/>
          <w:sz w:val="24"/>
          <w:highlight w:val="none"/>
        </w:rPr>
        <w:t>沿所有高压开关柜的整个长度延伸方向应设有专用的接地导体。此导体应为铜质，在接地故障时其电流密度规定不应超过200A/mm2，但接地母线的最小截面为50X</w:t>
      </w:r>
      <w:r>
        <w:rPr>
          <w:rFonts w:hint="eastAsia" w:ascii="宋体" w:hAnsi="宋体" w:cs="宋体"/>
          <w:b w:val="0"/>
          <w:bCs w:val="0"/>
          <w:sz w:val="24"/>
          <w:highlight w:val="none"/>
          <w:lang w:val="en-US" w:eastAsia="zh-CN"/>
        </w:rPr>
        <w:t>5</w:t>
      </w:r>
      <w:r>
        <w:rPr>
          <w:rFonts w:hint="eastAsia" w:ascii="宋体" w:hAnsi="宋体" w:cs="宋体"/>
          <w:b w:val="0"/>
          <w:bCs w:val="0"/>
          <w:sz w:val="24"/>
          <w:highlight w:val="none"/>
        </w:rPr>
        <w:t>mm铜排。该接地导体应设有与接地网相连的固定连接端子，应有明显的接地标志。</w:t>
      </w:r>
    </w:p>
    <w:p w14:paraId="0518D84A">
      <w:pPr>
        <w:adjustRightInd w:val="0"/>
        <w:snapToGrid w:val="0"/>
        <w:spacing w:line="360" w:lineRule="auto"/>
        <w:ind w:firstLine="480" w:firstLineChars="200"/>
        <w:rPr>
          <w:rFonts w:ascii="宋体" w:hAnsi="宋体"/>
          <w:b w:val="0"/>
          <w:bCs w:val="0"/>
          <w:sz w:val="24"/>
          <w:highlight w:val="none"/>
        </w:rPr>
      </w:pPr>
      <w:r>
        <w:rPr>
          <w:rFonts w:hint="eastAsia" w:ascii="宋体" w:hAnsi="宋体"/>
          <w:b w:val="0"/>
          <w:bCs w:val="0"/>
          <w:sz w:val="24"/>
          <w:highlight w:val="none"/>
          <w:lang w:val="en-US" w:eastAsia="zh-CN"/>
        </w:rPr>
        <w:t>b.</w:t>
      </w:r>
      <w:r>
        <w:rPr>
          <w:rFonts w:hint="eastAsia" w:ascii="宋体" w:hAnsi="宋体"/>
          <w:b w:val="0"/>
          <w:bCs w:val="0"/>
          <w:sz w:val="24"/>
          <w:highlight w:val="none"/>
        </w:rPr>
        <w:t>接地回路所能承受的峰值耐受电流和短时耐受电流应与主回路相适应；专用接地导体应承受可能出现的最大短时耐受电流；接地汇流排以及与之连接的导体截面，应能通过额定短路开断电流的87%。</w:t>
      </w:r>
    </w:p>
    <w:p w14:paraId="7142DD9F">
      <w:pPr>
        <w:adjustRightInd w:val="0"/>
        <w:snapToGrid w:val="0"/>
        <w:spacing w:line="360" w:lineRule="auto"/>
        <w:ind w:firstLine="480" w:firstLineChars="200"/>
        <w:rPr>
          <w:rFonts w:ascii="宋体" w:hAnsi="宋体"/>
          <w:b w:val="0"/>
          <w:bCs w:val="0"/>
          <w:sz w:val="24"/>
          <w:highlight w:val="none"/>
        </w:rPr>
      </w:pPr>
      <w:r>
        <w:rPr>
          <w:rFonts w:hint="eastAsia" w:ascii="宋体" w:hAnsi="宋体"/>
          <w:b w:val="0"/>
          <w:bCs w:val="0"/>
          <w:sz w:val="24"/>
          <w:highlight w:val="none"/>
          <w:lang w:val="en-US" w:eastAsia="zh-CN"/>
        </w:rPr>
        <w:t>c.</w:t>
      </w:r>
      <w:r>
        <w:rPr>
          <w:rFonts w:hint="eastAsia" w:ascii="宋体" w:hAnsi="宋体"/>
          <w:b w:val="0"/>
          <w:bCs w:val="0"/>
          <w:sz w:val="24"/>
          <w:highlight w:val="none"/>
        </w:rPr>
        <w:t>高压开关柜的金属骨架及其安装于柜内的高压电器元件的金属支架应有符合技术条件的接地，且与专门的接地导体连接牢固。</w:t>
      </w:r>
    </w:p>
    <w:p w14:paraId="7E2D78C8">
      <w:pPr>
        <w:adjustRightInd w:val="0"/>
        <w:snapToGrid w:val="0"/>
        <w:spacing w:line="360" w:lineRule="auto"/>
        <w:ind w:firstLine="480" w:firstLineChars="200"/>
        <w:rPr>
          <w:rFonts w:ascii="宋体" w:hAnsi="宋体"/>
          <w:b w:val="0"/>
          <w:bCs w:val="0"/>
          <w:sz w:val="24"/>
          <w:highlight w:val="none"/>
        </w:rPr>
      </w:pPr>
      <w:r>
        <w:rPr>
          <w:rFonts w:hint="eastAsia" w:ascii="宋体" w:hAnsi="宋体"/>
          <w:b w:val="0"/>
          <w:bCs w:val="0"/>
          <w:sz w:val="24"/>
          <w:highlight w:val="none"/>
          <w:lang w:val="en-US" w:eastAsia="zh-CN"/>
        </w:rPr>
        <w:t>d.</w:t>
      </w:r>
      <w:r>
        <w:rPr>
          <w:rFonts w:hint="eastAsia" w:ascii="宋体" w:hAnsi="宋体"/>
          <w:b w:val="0"/>
          <w:bCs w:val="0"/>
          <w:sz w:val="24"/>
          <w:highlight w:val="none"/>
        </w:rPr>
        <w:t>高压开关柜之间的专用接地导体均应相互连接，并通过专用端子连接牢固。</w:t>
      </w:r>
    </w:p>
    <w:p w14:paraId="5389AD08">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23)</w:t>
      </w:r>
      <w:r>
        <w:rPr>
          <w:rFonts w:hint="eastAsia" w:ascii="宋体" w:hAnsi="宋体"/>
          <w:b w:val="0"/>
          <w:bCs w:val="0"/>
          <w:sz w:val="24"/>
          <w:highlight w:val="none"/>
        </w:rPr>
        <w:t>开关柜中的电流互感器技术数据应满足设计要求，其二次绕组按设计要求在端子排上进行连接。电流互感器布置在电缆间隔内应便于维护和检修。</w:t>
      </w:r>
    </w:p>
    <w:p w14:paraId="38327462">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24)</w:t>
      </w:r>
      <w:r>
        <w:rPr>
          <w:rFonts w:hint="eastAsia" w:ascii="宋体" w:hAnsi="宋体"/>
          <w:b w:val="0"/>
          <w:bCs w:val="0"/>
          <w:sz w:val="24"/>
          <w:highlight w:val="none"/>
        </w:rPr>
        <w:t>电压互感器放在单独的间隔内，并配有一次熔断器，当允许检查和进入开关柜内更换一次熔断器时，电压互感器与一次熔断器要完全隔离，为防止铁磁谐振过电压，应设置消谐装置。</w:t>
      </w:r>
    </w:p>
    <w:p w14:paraId="3039C047">
      <w:pPr>
        <w:pStyle w:val="16"/>
        <w:adjustRightInd w:val="0"/>
        <w:snapToGrid w:val="0"/>
        <w:spacing w:after="0" w:line="360" w:lineRule="auto"/>
        <w:ind w:left="0" w:leftChars="0" w:firstLine="0" w:firstLineChars="0"/>
        <w:rPr>
          <w:rFonts w:ascii="宋体" w:hAnsi="宋体"/>
          <w:b w:val="0"/>
          <w:bCs w:val="0"/>
          <w:sz w:val="24"/>
          <w:highlight w:val="none"/>
        </w:rPr>
      </w:pPr>
      <w:r>
        <w:rPr>
          <w:rFonts w:hint="eastAsia" w:ascii="宋体" w:hAnsi="宋体"/>
          <w:b w:val="0"/>
          <w:bCs w:val="0"/>
          <w:sz w:val="24"/>
          <w:highlight w:val="none"/>
          <w:lang w:val="en-US" w:eastAsia="zh-CN"/>
        </w:rPr>
        <w:t>25)</w:t>
      </w:r>
      <w:r>
        <w:rPr>
          <w:rFonts w:hint="eastAsia"/>
          <w:b w:val="0"/>
          <w:bCs w:val="0"/>
          <w:sz w:val="24"/>
          <w:highlight w:val="none"/>
        </w:rPr>
        <w:t>开关柜内各连接处采用平面联接，并具有防止电腐蚀功能。所用活动门应用多股软铜线明显可靠接地。</w:t>
      </w:r>
    </w:p>
    <w:p w14:paraId="66B1AD90">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26)</w:t>
      </w:r>
      <w:r>
        <w:rPr>
          <w:rFonts w:hint="eastAsia" w:ascii="宋体" w:hAnsi="宋体"/>
          <w:b w:val="0"/>
          <w:bCs w:val="0"/>
          <w:sz w:val="24"/>
          <w:highlight w:val="none"/>
        </w:rPr>
        <w:t>每台开关柜应设置铭牌，铭牌的位置应易于运行操作人员观察。</w:t>
      </w:r>
    </w:p>
    <w:p w14:paraId="42870F77">
      <w:pPr>
        <w:pStyle w:val="6"/>
        <w:spacing w:before="50" w:after="50" w:line="360" w:lineRule="auto"/>
        <w:rPr>
          <w:rFonts w:ascii="宋体" w:hAnsi="宋体"/>
          <w:b w:val="0"/>
          <w:bCs w:val="0"/>
          <w:sz w:val="24"/>
          <w:highlight w:val="none"/>
        </w:rPr>
      </w:pPr>
      <w:r>
        <w:rPr>
          <w:rFonts w:hint="eastAsia"/>
          <w:b w:val="0"/>
          <w:bCs w:val="0"/>
          <w:sz w:val="24"/>
          <w:highlight w:val="none"/>
          <w:lang w:val="en-US" w:eastAsia="zh-CN"/>
        </w:rPr>
        <w:t>27)</w:t>
      </w:r>
      <w:r>
        <w:rPr>
          <w:rFonts w:hint="eastAsia" w:ascii="宋体" w:hAnsi="宋体"/>
          <w:b w:val="0"/>
          <w:bCs w:val="0"/>
          <w:sz w:val="24"/>
          <w:highlight w:val="none"/>
        </w:rPr>
        <w:t>每台开关柜制作时柜体上应加入标志：回路图、名称、编号。</w:t>
      </w:r>
    </w:p>
    <w:p w14:paraId="0720D8C7">
      <w:pPr>
        <w:pStyle w:val="6"/>
        <w:spacing w:before="50" w:after="50" w:line="360" w:lineRule="auto"/>
        <w:rPr>
          <w:rFonts w:ascii="宋体" w:hAnsi="宋体"/>
          <w:b w:val="0"/>
          <w:bCs w:val="0"/>
          <w:color w:val="auto"/>
          <w:sz w:val="24"/>
          <w:highlight w:val="none"/>
        </w:rPr>
      </w:pPr>
      <w:r>
        <w:rPr>
          <w:rFonts w:hint="eastAsia"/>
          <w:b w:val="0"/>
          <w:bCs w:val="0"/>
          <w:color w:val="auto"/>
          <w:sz w:val="24"/>
          <w:highlight w:val="none"/>
          <w:lang w:val="en-US" w:eastAsia="zh-CN"/>
        </w:rPr>
        <w:t>28)</w:t>
      </w:r>
      <w:r>
        <w:rPr>
          <w:rFonts w:hint="eastAsia" w:ascii="宋体" w:hAnsi="宋体"/>
          <w:b w:val="0"/>
          <w:bCs w:val="0"/>
          <w:color w:val="auto"/>
          <w:sz w:val="24"/>
          <w:highlight w:val="none"/>
        </w:rPr>
        <w:t>各型开关柜及配套主材数量：</w:t>
      </w:r>
    </w:p>
    <w:p w14:paraId="2ABB8C7E">
      <w:pPr>
        <w:spacing w:line="360" w:lineRule="auto"/>
        <w:rPr>
          <w:b w:val="0"/>
          <w:bCs w:val="0"/>
          <w:color w:val="auto"/>
          <w:sz w:val="24"/>
          <w:highlight w:val="none"/>
        </w:rPr>
      </w:pPr>
      <w:r>
        <w:rPr>
          <w:rFonts w:hint="eastAsia"/>
          <w:b w:val="0"/>
          <w:bCs w:val="0"/>
          <w:color w:val="auto"/>
          <w:sz w:val="24"/>
          <w:highlight w:val="none"/>
        </w:rPr>
        <w:t>中置式开关柜KYN28-12：高压配电室共</w:t>
      </w:r>
      <w:r>
        <w:rPr>
          <w:rFonts w:hint="eastAsia" w:ascii="宋体" w:hAnsi="宋体"/>
          <w:b w:val="0"/>
          <w:bCs w:val="0"/>
          <w:color w:val="auto"/>
          <w:sz w:val="24"/>
          <w:highlight w:val="none"/>
          <w:lang w:val="en-US" w:eastAsia="zh-CN"/>
        </w:rPr>
        <w:t>4</w:t>
      </w:r>
      <w:r>
        <w:rPr>
          <w:rFonts w:hint="eastAsia"/>
          <w:b w:val="0"/>
          <w:bCs w:val="0"/>
          <w:color w:val="auto"/>
          <w:sz w:val="24"/>
          <w:highlight w:val="none"/>
        </w:rPr>
        <w:t>面</w:t>
      </w:r>
      <w:r>
        <w:rPr>
          <w:rFonts w:hint="eastAsia" w:ascii="宋体" w:hAnsi="宋体"/>
          <w:b w:val="0"/>
          <w:bCs w:val="0"/>
          <w:color w:val="auto"/>
          <w:sz w:val="24"/>
          <w:highlight w:val="none"/>
        </w:rPr>
        <w:t>，</w:t>
      </w:r>
      <w:r>
        <w:rPr>
          <w:rFonts w:hint="eastAsia"/>
          <w:b w:val="0"/>
          <w:bCs w:val="0"/>
          <w:color w:val="auto"/>
          <w:sz w:val="24"/>
          <w:highlight w:val="none"/>
        </w:rPr>
        <w:t>详见</w:t>
      </w:r>
      <w:r>
        <w:rPr>
          <w:rFonts w:hint="eastAsia"/>
          <w:b w:val="0"/>
          <w:bCs w:val="0"/>
          <w:color w:val="auto"/>
          <w:sz w:val="24"/>
          <w:highlight w:val="none"/>
          <w:lang w:val="en-US" w:eastAsia="zh-CN"/>
        </w:rPr>
        <w:t>配电系统图</w:t>
      </w:r>
      <w:r>
        <w:rPr>
          <w:rFonts w:hint="eastAsia"/>
          <w:b w:val="0"/>
          <w:bCs w:val="0"/>
          <w:color w:val="auto"/>
          <w:sz w:val="24"/>
          <w:highlight w:val="none"/>
        </w:rPr>
        <w:t>。</w:t>
      </w:r>
    </w:p>
    <w:p w14:paraId="4B9C5214">
      <w:pPr>
        <w:pStyle w:val="6"/>
        <w:spacing w:before="50" w:after="50" w:line="360" w:lineRule="auto"/>
        <w:outlineLvl w:val="0"/>
        <w:rPr>
          <w:rFonts w:ascii="宋体" w:hAnsi="宋体"/>
          <w:b w:val="0"/>
          <w:bCs w:val="0"/>
          <w:color w:val="auto"/>
          <w:sz w:val="24"/>
          <w:highlight w:val="none"/>
        </w:rPr>
      </w:pPr>
      <w:bookmarkStart w:id="464" w:name="_Toc23296"/>
      <w:r>
        <w:rPr>
          <w:rFonts w:hint="eastAsia" w:ascii="宋体" w:hAnsi="宋体"/>
          <w:b w:val="0"/>
          <w:bCs w:val="0"/>
          <w:color w:val="auto"/>
          <w:sz w:val="24"/>
          <w:highlight w:val="none"/>
          <w:lang w:val="en-US" w:eastAsia="zh-CN"/>
        </w:rPr>
        <w:t>1</w:t>
      </w:r>
      <w:r>
        <w:rPr>
          <w:rFonts w:hint="eastAsia" w:ascii="宋体" w:hAnsi="宋体"/>
          <w:b w:val="0"/>
          <w:bCs w:val="0"/>
          <w:color w:val="auto"/>
          <w:sz w:val="24"/>
          <w:highlight w:val="none"/>
        </w:rPr>
        <w:t>.</w:t>
      </w:r>
      <w:r>
        <w:rPr>
          <w:rFonts w:hint="eastAsia"/>
          <w:b w:val="0"/>
          <w:bCs w:val="0"/>
          <w:color w:val="auto"/>
          <w:sz w:val="24"/>
          <w:highlight w:val="none"/>
          <w:lang w:val="en-US" w:eastAsia="zh-CN"/>
        </w:rPr>
        <w:t xml:space="preserve">4.2 </w:t>
      </w:r>
      <w:r>
        <w:rPr>
          <w:rFonts w:hint="eastAsia" w:ascii="宋体" w:hAnsi="宋体"/>
          <w:b w:val="0"/>
          <w:bCs w:val="0"/>
          <w:color w:val="auto"/>
          <w:sz w:val="24"/>
          <w:highlight w:val="none"/>
        </w:rPr>
        <w:t>柜内元件详细技术要求</w:t>
      </w:r>
      <w:bookmarkEnd w:id="464"/>
    </w:p>
    <w:p w14:paraId="2FAF6622">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lang w:val="en-US" w:eastAsia="zh-CN"/>
        </w:rPr>
        <w:t>1</w:t>
      </w:r>
      <w:r>
        <w:rPr>
          <w:rFonts w:hint="eastAsia" w:ascii="宋体" w:hAnsi="宋体"/>
          <w:b w:val="0"/>
          <w:bCs w:val="0"/>
          <w:color w:val="auto"/>
          <w:sz w:val="24"/>
          <w:highlight w:val="none"/>
        </w:rPr>
        <w:t>.</w:t>
      </w:r>
      <w:r>
        <w:rPr>
          <w:rFonts w:hint="eastAsia"/>
          <w:b w:val="0"/>
          <w:bCs w:val="0"/>
          <w:color w:val="auto"/>
          <w:sz w:val="24"/>
          <w:highlight w:val="none"/>
          <w:lang w:val="en-US" w:eastAsia="zh-CN"/>
        </w:rPr>
        <w:t>4</w:t>
      </w:r>
      <w:r>
        <w:rPr>
          <w:rFonts w:hint="eastAsia" w:ascii="宋体" w:hAnsi="宋体"/>
          <w:b w:val="0"/>
          <w:bCs w:val="0"/>
          <w:color w:val="auto"/>
          <w:sz w:val="24"/>
          <w:highlight w:val="none"/>
        </w:rPr>
        <w:t>.</w:t>
      </w:r>
      <w:r>
        <w:rPr>
          <w:rFonts w:hint="eastAsia"/>
          <w:b w:val="0"/>
          <w:bCs w:val="0"/>
          <w:color w:val="auto"/>
          <w:sz w:val="24"/>
          <w:highlight w:val="none"/>
          <w:lang w:val="en-US" w:eastAsia="zh-CN"/>
        </w:rPr>
        <w:t>2.</w:t>
      </w:r>
      <w:r>
        <w:rPr>
          <w:rFonts w:hint="eastAsia" w:ascii="宋体" w:hAnsi="宋体"/>
          <w:b w:val="0"/>
          <w:bCs w:val="0"/>
          <w:color w:val="auto"/>
          <w:sz w:val="24"/>
          <w:highlight w:val="none"/>
        </w:rPr>
        <w:t>1 高压真空断路器（</w:t>
      </w:r>
      <w:r>
        <w:rPr>
          <w:rFonts w:hint="eastAsia"/>
          <w:b w:val="0"/>
          <w:bCs w:val="0"/>
          <w:color w:val="auto"/>
          <w:sz w:val="24"/>
          <w:highlight w:val="none"/>
          <w:lang w:val="en-US" w:eastAsia="zh-CN"/>
        </w:rPr>
        <w:t>VS1</w:t>
      </w:r>
      <w:r>
        <w:rPr>
          <w:rFonts w:hint="eastAsia" w:ascii="宋体" w:hAnsi="宋体"/>
          <w:b w:val="0"/>
          <w:bCs w:val="0"/>
          <w:color w:val="auto"/>
          <w:sz w:val="24"/>
          <w:highlight w:val="none"/>
        </w:rPr>
        <w:t>）</w:t>
      </w:r>
    </w:p>
    <w:p w14:paraId="352C75E8">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lang w:val="en-US" w:eastAsia="zh-CN"/>
        </w:rPr>
        <w:t>1</w:t>
      </w:r>
      <w:r>
        <w:rPr>
          <w:rFonts w:hint="eastAsia" w:ascii="宋体" w:hAnsi="宋体"/>
          <w:b w:val="0"/>
          <w:bCs w:val="0"/>
          <w:color w:val="auto"/>
          <w:sz w:val="24"/>
          <w:highlight w:val="none"/>
        </w:rPr>
        <w:t>）额定电压（kV）：12</w:t>
      </w:r>
    </w:p>
    <w:p w14:paraId="547BF3B6">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lang w:val="en-US" w:eastAsia="zh-CN"/>
        </w:rPr>
        <w:t>2</w:t>
      </w:r>
      <w:r>
        <w:rPr>
          <w:rFonts w:hint="eastAsia" w:ascii="宋体" w:hAnsi="宋体"/>
          <w:b w:val="0"/>
          <w:bCs w:val="0"/>
          <w:color w:val="auto"/>
          <w:sz w:val="24"/>
          <w:highlight w:val="none"/>
        </w:rPr>
        <w:t>）最高工作电压（kV）：12</w:t>
      </w:r>
    </w:p>
    <w:p w14:paraId="3B372AE5">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lang w:val="en-US" w:eastAsia="zh-CN"/>
        </w:rPr>
        <w:t>3</w:t>
      </w:r>
      <w:r>
        <w:rPr>
          <w:rFonts w:hint="eastAsia" w:ascii="宋体" w:hAnsi="宋体"/>
          <w:b w:val="0"/>
          <w:bCs w:val="0"/>
          <w:color w:val="auto"/>
          <w:sz w:val="24"/>
          <w:highlight w:val="none"/>
        </w:rPr>
        <w:t>）额定电流（A）：详见图纸。</w:t>
      </w:r>
    </w:p>
    <w:p w14:paraId="018B136E">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lang w:val="en-US" w:eastAsia="zh-CN"/>
        </w:rPr>
        <w:t>4</w:t>
      </w:r>
      <w:r>
        <w:rPr>
          <w:rFonts w:hint="eastAsia" w:ascii="宋体" w:hAnsi="宋体"/>
          <w:b w:val="0"/>
          <w:bCs w:val="0"/>
          <w:color w:val="auto"/>
          <w:sz w:val="24"/>
          <w:highlight w:val="none"/>
        </w:rPr>
        <w:t>）额定频率：50Hz</w:t>
      </w:r>
    </w:p>
    <w:p w14:paraId="72BC1F95">
      <w:pPr>
        <w:spacing w:before="50" w:after="50" w:line="360" w:lineRule="auto"/>
        <w:rPr>
          <w:rFonts w:hint="default" w:ascii="宋体" w:hAnsi="宋体" w:eastAsia="宋体"/>
          <w:b w:val="0"/>
          <w:bCs w:val="0"/>
          <w:color w:val="auto"/>
          <w:sz w:val="24"/>
          <w:highlight w:val="none"/>
          <w:lang w:val="en-US" w:eastAsia="zh-CN"/>
        </w:rPr>
      </w:pPr>
      <w:r>
        <w:rPr>
          <w:rFonts w:hint="eastAsia" w:ascii="宋体" w:hAnsi="宋体"/>
          <w:b w:val="0"/>
          <w:bCs w:val="0"/>
          <w:color w:val="auto"/>
          <w:sz w:val="24"/>
          <w:highlight w:val="none"/>
          <w:lang w:val="en-US" w:eastAsia="zh-CN"/>
        </w:rPr>
        <w:t>5</w:t>
      </w:r>
      <w:r>
        <w:rPr>
          <w:rFonts w:hint="eastAsia" w:ascii="宋体" w:hAnsi="宋体"/>
          <w:b w:val="0"/>
          <w:bCs w:val="0"/>
          <w:color w:val="auto"/>
          <w:sz w:val="24"/>
          <w:highlight w:val="none"/>
        </w:rPr>
        <w:t>）额定短路开断电流（k</w:t>
      </w:r>
      <w:r>
        <w:rPr>
          <w:rFonts w:ascii="宋体" w:hAnsi="宋体"/>
          <w:b w:val="0"/>
          <w:bCs w:val="0"/>
          <w:color w:val="auto"/>
          <w:sz w:val="24"/>
          <w:highlight w:val="none"/>
        </w:rPr>
        <w:t>A）</w:t>
      </w:r>
      <w:r>
        <w:rPr>
          <w:rFonts w:hint="eastAsia" w:ascii="宋体" w:hAnsi="宋体"/>
          <w:b w:val="0"/>
          <w:bCs w:val="0"/>
          <w:color w:val="auto"/>
          <w:sz w:val="24"/>
          <w:highlight w:val="none"/>
        </w:rPr>
        <w:t>：</w:t>
      </w:r>
      <w:r>
        <w:rPr>
          <w:rFonts w:hint="eastAsia" w:ascii="宋体" w:hAnsi="宋体"/>
          <w:b w:val="0"/>
          <w:bCs w:val="0"/>
          <w:color w:val="auto"/>
          <w:sz w:val="24"/>
          <w:highlight w:val="none"/>
          <w:lang w:val="en-US" w:eastAsia="zh-CN"/>
        </w:rPr>
        <w:t>25</w:t>
      </w:r>
    </w:p>
    <w:p w14:paraId="49CAD1F2">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lang w:val="en-US" w:eastAsia="zh-CN"/>
        </w:rPr>
        <w:t>6</w:t>
      </w:r>
      <w:r>
        <w:rPr>
          <w:rFonts w:hint="eastAsia" w:ascii="宋体" w:hAnsi="宋体"/>
          <w:b w:val="0"/>
          <w:bCs w:val="0"/>
          <w:color w:val="auto"/>
          <w:sz w:val="24"/>
          <w:highlight w:val="none"/>
        </w:rPr>
        <w:t>）额定关合电流峰值（k</w:t>
      </w:r>
      <w:r>
        <w:rPr>
          <w:rFonts w:ascii="宋体" w:hAnsi="宋体"/>
          <w:b w:val="0"/>
          <w:bCs w:val="0"/>
          <w:color w:val="auto"/>
          <w:sz w:val="24"/>
          <w:highlight w:val="none"/>
        </w:rPr>
        <w:t>A）</w:t>
      </w:r>
      <w:r>
        <w:rPr>
          <w:rFonts w:hint="eastAsia" w:ascii="宋体" w:hAnsi="宋体"/>
          <w:b w:val="0"/>
          <w:bCs w:val="0"/>
          <w:color w:val="auto"/>
          <w:sz w:val="24"/>
          <w:highlight w:val="none"/>
        </w:rPr>
        <w:t xml:space="preserve">： </w:t>
      </w:r>
      <w:r>
        <w:rPr>
          <w:rFonts w:ascii="宋体" w:hAnsi="宋体"/>
          <w:b w:val="0"/>
          <w:bCs w:val="0"/>
          <w:color w:val="auto"/>
          <w:sz w:val="24"/>
          <w:highlight w:val="none"/>
        </w:rPr>
        <w:t>80</w:t>
      </w:r>
    </w:p>
    <w:p w14:paraId="0A548A3D">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lang w:val="en-US" w:eastAsia="zh-CN"/>
        </w:rPr>
        <w:t>7</w:t>
      </w:r>
      <w:r>
        <w:rPr>
          <w:rFonts w:hint="eastAsia" w:ascii="宋体" w:hAnsi="宋体"/>
          <w:b w:val="0"/>
          <w:bCs w:val="0"/>
          <w:color w:val="auto"/>
          <w:sz w:val="24"/>
          <w:highlight w:val="none"/>
        </w:rPr>
        <w:t>）额定热稳定电流（</w:t>
      </w:r>
      <w:r>
        <w:rPr>
          <w:rFonts w:ascii="宋体" w:hAnsi="宋体"/>
          <w:b w:val="0"/>
          <w:bCs w:val="0"/>
          <w:color w:val="auto"/>
          <w:sz w:val="24"/>
          <w:highlight w:val="none"/>
        </w:rPr>
        <w:t>k</w:t>
      </w:r>
      <w:r>
        <w:rPr>
          <w:rFonts w:hint="eastAsia" w:ascii="宋体" w:hAnsi="宋体"/>
          <w:b w:val="0"/>
          <w:bCs w:val="0"/>
          <w:color w:val="auto"/>
          <w:sz w:val="24"/>
          <w:highlight w:val="none"/>
        </w:rPr>
        <w:t>A/4s）：</w:t>
      </w:r>
      <w:r>
        <w:rPr>
          <w:rFonts w:ascii="宋体" w:hAnsi="宋体"/>
          <w:b w:val="0"/>
          <w:bCs w:val="0"/>
          <w:color w:val="auto"/>
          <w:sz w:val="24"/>
          <w:highlight w:val="none"/>
        </w:rPr>
        <w:t xml:space="preserve"> 31.5</w:t>
      </w:r>
    </w:p>
    <w:p w14:paraId="0F43EF16">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lang w:val="en-US" w:eastAsia="zh-CN"/>
        </w:rPr>
        <w:t>8</w:t>
      </w:r>
      <w:r>
        <w:rPr>
          <w:rFonts w:hint="eastAsia" w:ascii="宋体" w:hAnsi="宋体"/>
          <w:b w:val="0"/>
          <w:bCs w:val="0"/>
          <w:color w:val="auto"/>
          <w:sz w:val="24"/>
          <w:highlight w:val="none"/>
        </w:rPr>
        <w:t>）额定耐受电压（</w:t>
      </w:r>
      <w:r>
        <w:rPr>
          <w:rFonts w:ascii="宋体" w:hAnsi="宋体"/>
          <w:b w:val="0"/>
          <w:bCs w:val="0"/>
          <w:color w:val="auto"/>
          <w:sz w:val="24"/>
          <w:highlight w:val="none"/>
        </w:rPr>
        <w:t>k</w:t>
      </w:r>
      <w:r>
        <w:rPr>
          <w:rFonts w:hint="eastAsia" w:ascii="宋体" w:hAnsi="宋体"/>
          <w:b w:val="0"/>
          <w:bCs w:val="0"/>
          <w:color w:val="auto"/>
          <w:sz w:val="24"/>
          <w:highlight w:val="none"/>
        </w:rPr>
        <w:t>V）：42</w:t>
      </w:r>
    </w:p>
    <w:p w14:paraId="2F88918E">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lang w:val="en-US" w:eastAsia="zh-CN"/>
        </w:rPr>
        <w:t>9</w:t>
      </w:r>
      <w:r>
        <w:rPr>
          <w:rFonts w:hint="eastAsia" w:ascii="宋体" w:hAnsi="宋体"/>
          <w:b w:val="0"/>
          <w:bCs w:val="0"/>
          <w:color w:val="auto"/>
          <w:sz w:val="24"/>
          <w:highlight w:val="none"/>
        </w:rPr>
        <w:t>）合闸时间（ms）：≤70</w:t>
      </w:r>
    </w:p>
    <w:p w14:paraId="1486740B">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1</w:t>
      </w:r>
      <w:r>
        <w:rPr>
          <w:rFonts w:hint="eastAsia" w:ascii="宋体" w:hAnsi="宋体"/>
          <w:b w:val="0"/>
          <w:bCs w:val="0"/>
          <w:color w:val="auto"/>
          <w:sz w:val="24"/>
          <w:highlight w:val="none"/>
          <w:lang w:val="en-US" w:eastAsia="zh-CN"/>
        </w:rPr>
        <w:t>0</w:t>
      </w:r>
      <w:r>
        <w:rPr>
          <w:rFonts w:hint="eastAsia" w:ascii="宋体" w:hAnsi="宋体"/>
          <w:b w:val="0"/>
          <w:bCs w:val="0"/>
          <w:color w:val="auto"/>
          <w:sz w:val="24"/>
          <w:highlight w:val="none"/>
        </w:rPr>
        <w:t>）分闸时间（ms）：≤50</w:t>
      </w:r>
    </w:p>
    <w:p w14:paraId="4A0B1267">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1</w:t>
      </w:r>
      <w:r>
        <w:rPr>
          <w:rFonts w:hint="eastAsia" w:ascii="宋体" w:hAnsi="宋体"/>
          <w:b w:val="0"/>
          <w:bCs w:val="0"/>
          <w:color w:val="auto"/>
          <w:sz w:val="24"/>
          <w:highlight w:val="none"/>
          <w:lang w:val="en-US" w:eastAsia="zh-CN"/>
        </w:rPr>
        <w:t>1</w:t>
      </w:r>
      <w:r>
        <w:rPr>
          <w:rFonts w:hint="eastAsia" w:ascii="宋体" w:hAnsi="宋体"/>
          <w:b w:val="0"/>
          <w:bCs w:val="0"/>
          <w:color w:val="auto"/>
          <w:sz w:val="24"/>
          <w:highlight w:val="none"/>
        </w:rPr>
        <w:t>）额定短路开断电流的直流分量：52%</w:t>
      </w:r>
    </w:p>
    <w:p w14:paraId="6B1BC9FE">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1</w:t>
      </w:r>
      <w:r>
        <w:rPr>
          <w:rFonts w:hint="eastAsia" w:ascii="宋体" w:hAnsi="宋体"/>
          <w:b w:val="0"/>
          <w:bCs w:val="0"/>
          <w:color w:val="auto"/>
          <w:sz w:val="24"/>
          <w:highlight w:val="none"/>
          <w:lang w:val="en-US" w:eastAsia="zh-CN"/>
        </w:rPr>
        <w:t>2</w:t>
      </w:r>
      <w:r>
        <w:rPr>
          <w:rFonts w:hint="eastAsia" w:ascii="宋体" w:hAnsi="宋体"/>
          <w:b w:val="0"/>
          <w:bCs w:val="0"/>
          <w:color w:val="auto"/>
          <w:sz w:val="24"/>
          <w:highlight w:val="none"/>
        </w:rPr>
        <w:t>）额定短路电流开断次数：30次</w:t>
      </w:r>
    </w:p>
    <w:p w14:paraId="679B8439">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1</w:t>
      </w:r>
      <w:r>
        <w:rPr>
          <w:rFonts w:hint="eastAsia" w:ascii="宋体" w:hAnsi="宋体"/>
          <w:b w:val="0"/>
          <w:bCs w:val="0"/>
          <w:color w:val="auto"/>
          <w:sz w:val="24"/>
          <w:highlight w:val="none"/>
          <w:lang w:val="en-US" w:eastAsia="zh-CN"/>
        </w:rPr>
        <w:t>3</w:t>
      </w:r>
      <w:r>
        <w:rPr>
          <w:rFonts w:hint="eastAsia" w:ascii="宋体" w:hAnsi="宋体"/>
          <w:b w:val="0"/>
          <w:bCs w:val="0"/>
          <w:color w:val="auto"/>
          <w:sz w:val="24"/>
          <w:highlight w:val="none"/>
        </w:rPr>
        <w:t xml:space="preserve">）额定电流开断次数： </w:t>
      </w:r>
      <w:r>
        <w:rPr>
          <w:rFonts w:hint="eastAsia" w:ascii="宋体" w:hAnsi="宋体"/>
          <w:b w:val="0"/>
          <w:bCs w:val="0"/>
          <w:color w:val="auto"/>
          <w:sz w:val="24"/>
          <w:highlight w:val="none"/>
          <w:lang w:val="en-US" w:eastAsia="zh-CN"/>
        </w:rPr>
        <w:t>1</w:t>
      </w:r>
      <w:r>
        <w:rPr>
          <w:rFonts w:hint="eastAsia" w:ascii="宋体" w:hAnsi="宋体"/>
          <w:b w:val="0"/>
          <w:bCs w:val="0"/>
          <w:color w:val="auto"/>
          <w:sz w:val="24"/>
          <w:highlight w:val="none"/>
        </w:rPr>
        <w:t>0000次</w:t>
      </w:r>
    </w:p>
    <w:p w14:paraId="2DDB20D1">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1</w:t>
      </w:r>
      <w:r>
        <w:rPr>
          <w:rFonts w:hint="eastAsia" w:ascii="宋体" w:hAnsi="宋体"/>
          <w:b w:val="0"/>
          <w:bCs w:val="0"/>
          <w:color w:val="auto"/>
          <w:sz w:val="24"/>
          <w:highlight w:val="none"/>
          <w:lang w:val="en-US" w:eastAsia="zh-CN"/>
        </w:rPr>
        <w:t>4</w:t>
      </w:r>
      <w:r>
        <w:rPr>
          <w:rFonts w:hint="eastAsia" w:ascii="宋体" w:hAnsi="宋体"/>
          <w:b w:val="0"/>
          <w:bCs w:val="0"/>
          <w:color w:val="auto"/>
          <w:sz w:val="24"/>
          <w:highlight w:val="none"/>
        </w:rPr>
        <w:t xml:space="preserve">）机械寿命： </w:t>
      </w:r>
      <w:r>
        <w:rPr>
          <w:rFonts w:hint="eastAsia" w:ascii="宋体" w:hAnsi="宋体"/>
          <w:b w:val="0"/>
          <w:bCs w:val="0"/>
          <w:color w:val="auto"/>
          <w:sz w:val="24"/>
          <w:highlight w:val="none"/>
          <w:lang w:val="en-US" w:eastAsia="zh-CN"/>
        </w:rPr>
        <w:t>3</w:t>
      </w:r>
      <w:r>
        <w:rPr>
          <w:rFonts w:hint="eastAsia" w:ascii="宋体" w:hAnsi="宋体"/>
          <w:b w:val="0"/>
          <w:bCs w:val="0"/>
          <w:color w:val="auto"/>
          <w:sz w:val="24"/>
          <w:highlight w:val="none"/>
        </w:rPr>
        <w:t>0000次</w:t>
      </w:r>
    </w:p>
    <w:p w14:paraId="4E63E442">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1</w:t>
      </w:r>
      <w:r>
        <w:rPr>
          <w:rFonts w:hint="eastAsia" w:ascii="宋体" w:hAnsi="宋体"/>
          <w:b w:val="0"/>
          <w:bCs w:val="0"/>
          <w:color w:val="auto"/>
          <w:sz w:val="24"/>
          <w:highlight w:val="none"/>
          <w:lang w:val="en-US" w:eastAsia="zh-CN"/>
        </w:rPr>
        <w:t>5</w:t>
      </w:r>
      <w:r>
        <w:rPr>
          <w:rFonts w:hint="eastAsia" w:ascii="宋体" w:hAnsi="宋体"/>
          <w:b w:val="0"/>
          <w:bCs w:val="0"/>
          <w:color w:val="auto"/>
          <w:sz w:val="24"/>
          <w:highlight w:val="none"/>
        </w:rPr>
        <w:t>）操作机构型式：弹簧机构，储能电机电源DC220V</w:t>
      </w:r>
    </w:p>
    <w:p w14:paraId="7FA282DB">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1</w:t>
      </w:r>
      <w:r>
        <w:rPr>
          <w:rFonts w:hint="eastAsia" w:ascii="宋体" w:hAnsi="宋体"/>
          <w:b w:val="0"/>
          <w:bCs w:val="0"/>
          <w:color w:val="auto"/>
          <w:sz w:val="24"/>
          <w:highlight w:val="none"/>
          <w:lang w:val="en-US" w:eastAsia="zh-CN"/>
        </w:rPr>
        <w:t>6</w:t>
      </w:r>
      <w:r>
        <w:rPr>
          <w:rFonts w:hint="eastAsia" w:ascii="宋体" w:hAnsi="宋体"/>
          <w:b w:val="0"/>
          <w:bCs w:val="0"/>
          <w:color w:val="auto"/>
          <w:sz w:val="24"/>
          <w:highlight w:val="none"/>
        </w:rPr>
        <w:t>）合闸线圈电压、电流：DC220V</w:t>
      </w:r>
    </w:p>
    <w:p w14:paraId="56AE23A3">
      <w:p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1</w:t>
      </w:r>
      <w:r>
        <w:rPr>
          <w:rFonts w:hint="eastAsia" w:ascii="宋体" w:hAnsi="宋体"/>
          <w:b w:val="0"/>
          <w:bCs w:val="0"/>
          <w:color w:val="auto"/>
          <w:sz w:val="24"/>
          <w:highlight w:val="none"/>
          <w:lang w:val="en-US" w:eastAsia="zh-CN"/>
        </w:rPr>
        <w:t>7</w:t>
      </w:r>
      <w:r>
        <w:rPr>
          <w:rFonts w:hint="eastAsia" w:ascii="宋体" w:hAnsi="宋体"/>
          <w:b w:val="0"/>
          <w:bCs w:val="0"/>
          <w:color w:val="auto"/>
          <w:sz w:val="24"/>
          <w:highlight w:val="none"/>
        </w:rPr>
        <w:t>）分闸线圈电压、电流：DC220V</w:t>
      </w:r>
    </w:p>
    <w:p w14:paraId="74A9BA09">
      <w:pPr>
        <w:spacing w:before="50" w:after="50" w:line="360" w:lineRule="auto"/>
        <w:rPr>
          <w:rFonts w:hint="eastAsia" w:ascii="宋体" w:hAnsi="宋体"/>
          <w:b w:val="0"/>
          <w:bCs w:val="0"/>
          <w:color w:val="auto"/>
          <w:sz w:val="24"/>
          <w:highlight w:val="none"/>
        </w:rPr>
      </w:pPr>
      <w:r>
        <w:rPr>
          <w:rFonts w:ascii="宋体" w:hAnsi="宋体"/>
          <w:b w:val="0"/>
          <w:bCs w:val="0"/>
          <w:color w:val="auto"/>
          <w:sz w:val="24"/>
          <w:highlight w:val="none"/>
        </w:rPr>
        <w:t>1</w:t>
      </w:r>
      <w:r>
        <w:rPr>
          <w:rFonts w:hint="eastAsia" w:ascii="宋体" w:hAnsi="宋体"/>
          <w:b w:val="0"/>
          <w:bCs w:val="0"/>
          <w:color w:val="auto"/>
          <w:sz w:val="24"/>
          <w:highlight w:val="none"/>
          <w:lang w:val="en-US" w:eastAsia="zh-CN"/>
        </w:rPr>
        <w:t>8</w:t>
      </w:r>
      <w:r>
        <w:rPr>
          <w:rFonts w:hint="eastAsia" w:ascii="宋体" w:hAnsi="宋体"/>
          <w:b w:val="0"/>
          <w:bCs w:val="0"/>
          <w:color w:val="auto"/>
          <w:sz w:val="24"/>
          <w:highlight w:val="none"/>
        </w:rPr>
        <w:t>）采用标准：GB1984、GB/T 11022、JB/T 3855、DL/T 403</w:t>
      </w:r>
    </w:p>
    <w:p w14:paraId="294C6FF0">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3.</w:t>
      </w:r>
      <w:r>
        <w:rPr>
          <w:rFonts w:hint="eastAsia"/>
          <w:b w:val="0"/>
          <w:bCs w:val="0"/>
          <w:color w:val="auto"/>
          <w:sz w:val="24"/>
          <w:highlight w:val="none"/>
          <w:lang w:val="en-US" w:eastAsia="zh-CN"/>
        </w:rPr>
        <w:t>4.</w:t>
      </w:r>
      <w:r>
        <w:rPr>
          <w:rFonts w:hint="eastAsia" w:ascii="宋体" w:hAnsi="宋体"/>
          <w:b w:val="0"/>
          <w:bCs w:val="0"/>
          <w:color w:val="auto"/>
          <w:sz w:val="24"/>
          <w:highlight w:val="none"/>
        </w:rPr>
        <w:t>2</w:t>
      </w:r>
      <w:r>
        <w:rPr>
          <w:rFonts w:hint="eastAsia"/>
          <w:b w:val="0"/>
          <w:bCs w:val="0"/>
          <w:color w:val="auto"/>
          <w:sz w:val="24"/>
          <w:highlight w:val="none"/>
          <w:lang w:val="en-US" w:eastAsia="zh-CN"/>
        </w:rPr>
        <w:t xml:space="preserve">.2 </w:t>
      </w:r>
      <w:r>
        <w:rPr>
          <w:rFonts w:hint="eastAsia" w:ascii="宋体" w:hAnsi="宋体"/>
          <w:b w:val="0"/>
          <w:bCs w:val="0"/>
          <w:color w:val="auto"/>
          <w:sz w:val="24"/>
          <w:highlight w:val="none"/>
        </w:rPr>
        <w:t>操动机构</w:t>
      </w:r>
    </w:p>
    <w:p w14:paraId="1F49A52F">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1）断路器应采用由电动机储能的弹簧操动机构；电源采用</w:t>
      </w:r>
      <w:r>
        <w:rPr>
          <w:rFonts w:ascii="宋体" w:hAnsi="宋体"/>
          <w:b w:val="0"/>
          <w:bCs w:val="0"/>
          <w:color w:val="auto"/>
          <w:sz w:val="24"/>
          <w:highlight w:val="none"/>
        </w:rPr>
        <w:t>DC220V</w:t>
      </w:r>
      <w:r>
        <w:rPr>
          <w:rFonts w:hint="eastAsia" w:ascii="宋体" w:hAnsi="宋体"/>
          <w:b w:val="0"/>
          <w:bCs w:val="0"/>
          <w:color w:val="auto"/>
          <w:sz w:val="24"/>
          <w:highlight w:val="none"/>
        </w:rPr>
        <w:t>。失去电源时，可以手动储能。</w:t>
      </w:r>
    </w:p>
    <w:p w14:paraId="0DC1AA3C">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2）应提供机械手动合分闸装置，以便在失去控制电源时操作断路器。该手动装置应有防误动措施，机械具有防跳功能。</w:t>
      </w:r>
    </w:p>
    <w:p w14:paraId="23C9C72B">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3）所有控制设备，包括合分闸线圈，应采用正常工作电压为DC22</w:t>
      </w:r>
      <w:r>
        <w:rPr>
          <w:rFonts w:ascii="宋体" w:hAnsi="宋体"/>
          <w:b w:val="0"/>
          <w:bCs w:val="0"/>
          <w:color w:val="auto"/>
          <w:sz w:val="24"/>
          <w:highlight w:val="none"/>
        </w:rPr>
        <w:t>0V</w:t>
      </w:r>
      <w:r>
        <w:rPr>
          <w:rFonts w:hint="eastAsia" w:ascii="宋体" w:hAnsi="宋体"/>
          <w:b w:val="0"/>
          <w:bCs w:val="0"/>
          <w:color w:val="auto"/>
          <w:sz w:val="24"/>
          <w:highlight w:val="none"/>
        </w:rPr>
        <w:t>的直流系统。其操作电压范围：</w:t>
      </w:r>
    </w:p>
    <w:p w14:paraId="631B6085">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合闸线圈</w:t>
      </w:r>
      <w:r>
        <w:rPr>
          <w:rFonts w:ascii="宋体" w:hAnsi="宋体"/>
          <w:b w:val="0"/>
          <w:bCs w:val="0"/>
          <w:color w:val="auto"/>
          <w:sz w:val="24"/>
          <w:highlight w:val="none"/>
        </w:rPr>
        <w:t xml:space="preserve">   80%</w:t>
      </w:r>
      <w:r>
        <w:rPr>
          <w:rFonts w:hint="eastAsia" w:ascii="宋体" w:hAnsi="宋体"/>
          <w:b w:val="0"/>
          <w:bCs w:val="0"/>
          <w:color w:val="auto"/>
          <w:sz w:val="24"/>
          <w:highlight w:val="none"/>
        </w:rPr>
        <w:t>～</w:t>
      </w:r>
      <w:r>
        <w:rPr>
          <w:rFonts w:ascii="宋体" w:hAnsi="宋体"/>
          <w:b w:val="0"/>
          <w:bCs w:val="0"/>
          <w:color w:val="auto"/>
          <w:sz w:val="24"/>
          <w:highlight w:val="none"/>
        </w:rPr>
        <w:t>110%</w:t>
      </w:r>
      <w:r>
        <w:rPr>
          <w:rFonts w:hint="eastAsia" w:ascii="宋体" w:hAnsi="宋体"/>
          <w:b w:val="0"/>
          <w:bCs w:val="0"/>
          <w:color w:val="auto"/>
          <w:sz w:val="24"/>
          <w:highlight w:val="none"/>
        </w:rPr>
        <w:t xml:space="preserve"> Ue</w:t>
      </w:r>
    </w:p>
    <w:p w14:paraId="340E4770">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分闸线圈</w:t>
      </w:r>
      <w:r>
        <w:rPr>
          <w:rFonts w:ascii="宋体" w:hAnsi="宋体"/>
          <w:b w:val="0"/>
          <w:bCs w:val="0"/>
          <w:color w:val="auto"/>
          <w:sz w:val="24"/>
          <w:highlight w:val="none"/>
        </w:rPr>
        <w:t xml:space="preserve">   65%</w:t>
      </w:r>
      <w:r>
        <w:rPr>
          <w:rFonts w:hint="eastAsia" w:ascii="宋体" w:hAnsi="宋体"/>
          <w:b w:val="0"/>
          <w:bCs w:val="0"/>
          <w:color w:val="auto"/>
          <w:sz w:val="24"/>
          <w:highlight w:val="none"/>
        </w:rPr>
        <w:t>～</w:t>
      </w:r>
      <w:r>
        <w:rPr>
          <w:rFonts w:ascii="宋体" w:hAnsi="宋体"/>
          <w:b w:val="0"/>
          <w:bCs w:val="0"/>
          <w:color w:val="auto"/>
          <w:sz w:val="24"/>
          <w:highlight w:val="none"/>
        </w:rPr>
        <w:t>110%</w:t>
      </w:r>
      <w:r>
        <w:rPr>
          <w:rFonts w:hint="eastAsia" w:ascii="宋体" w:hAnsi="宋体"/>
          <w:b w:val="0"/>
          <w:bCs w:val="0"/>
          <w:color w:val="auto"/>
          <w:sz w:val="24"/>
          <w:highlight w:val="none"/>
        </w:rPr>
        <w:t xml:space="preserve"> Ue</w:t>
      </w:r>
    </w:p>
    <w:p w14:paraId="3117CE7A">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跳闸线圈不应动作的电压</w:t>
      </w:r>
      <w:r>
        <w:rPr>
          <w:rFonts w:ascii="宋体" w:hAnsi="宋体"/>
          <w:b w:val="0"/>
          <w:bCs w:val="0"/>
          <w:color w:val="auto"/>
          <w:sz w:val="24"/>
          <w:highlight w:val="none"/>
        </w:rPr>
        <w:t xml:space="preserve">   30%</w:t>
      </w:r>
      <w:r>
        <w:rPr>
          <w:rFonts w:hint="eastAsia" w:ascii="宋体" w:hAnsi="宋体"/>
          <w:b w:val="0"/>
          <w:bCs w:val="0"/>
          <w:color w:val="auto"/>
          <w:sz w:val="24"/>
          <w:highlight w:val="none"/>
        </w:rPr>
        <w:t xml:space="preserve"> Ue</w:t>
      </w:r>
    </w:p>
    <w:p w14:paraId="54AE361A">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4）应安装能显示断路器操作次数的计数器。该计数器与操作回路应无电气联系，且不影响断路器的合分闸操作。</w:t>
      </w:r>
    </w:p>
    <w:p w14:paraId="47758066">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5）每台断路器至少应有12个备用的辅助接点（6个常开、6个常闭），弹簧储能状况除接入控制回路的接点外，还至少应有</w:t>
      </w:r>
      <w:r>
        <w:rPr>
          <w:rFonts w:ascii="宋体" w:hAnsi="宋体"/>
          <w:b w:val="0"/>
          <w:bCs w:val="0"/>
          <w:color w:val="auto"/>
          <w:sz w:val="24"/>
          <w:highlight w:val="none"/>
        </w:rPr>
        <w:t>2</w:t>
      </w:r>
      <w:r>
        <w:rPr>
          <w:rFonts w:hint="eastAsia" w:ascii="宋体" w:hAnsi="宋体"/>
          <w:b w:val="0"/>
          <w:bCs w:val="0"/>
          <w:color w:val="auto"/>
          <w:sz w:val="24"/>
          <w:highlight w:val="none"/>
        </w:rPr>
        <w:t>个备用的接点（</w:t>
      </w:r>
      <w:r>
        <w:rPr>
          <w:rFonts w:ascii="宋体" w:hAnsi="宋体"/>
          <w:b w:val="0"/>
          <w:bCs w:val="0"/>
          <w:color w:val="auto"/>
          <w:sz w:val="24"/>
          <w:highlight w:val="none"/>
        </w:rPr>
        <w:t>1</w:t>
      </w:r>
      <w:r>
        <w:rPr>
          <w:rFonts w:hint="eastAsia" w:ascii="宋体" w:hAnsi="宋体"/>
          <w:b w:val="0"/>
          <w:bCs w:val="0"/>
          <w:color w:val="auto"/>
          <w:sz w:val="24"/>
          <w:highlight w:val="none"/>
        </w:rPr>
        <w:t>个常开、</w:t>
      </w:r>
      <w:r>
        <w:rPr>
          <w:rFonts w:ascii="宋体" w:hAnsi="宋体"/>
          <w:b w:val="0"/>
          <w:bCs w:val="0"/>
          <w:color w:val="auto"/>
          <w:sz w:val="24"/>
          <w:highlight w:val="none"/>
        </w:rPr>
        <w:t>1</w:t>
      </w:r>
      <w:r>
        <w:rPr>
          <w:rFonts w:hint="eastAsia" w:ascii="宋体" w:hAnsi="宋体"/>
          <w:b w:val="0"/>
          <w:bCs w:val="0"/>
          <w:color w:val="auto"/>
          <w:sz w:val="24"/>
          <w:highlight w:val="none"/>
        </w:rPr>
        <w:t>个常闭），以供其它用途使用。手车至少应有8个备用的辅助接（4个常开、4个常闭），接地刀闸至少应有4个备用的辅助接点（2个常开、2个常闭），上述辅助接点均应引至开关柜端子排上。用于断路器控制回路的辅助接点应能可靠地切断断路器分合闸操作电流。</w:t>
      </w:r>
    </w:p>
    <w:p w14:paraId="14F742C0">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6）断路器有可靠的"防跳"功能。</w:t>
      </w:r>
    </w:p>
    <w:p w14:paraId="045A8D99">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7）断路器的操动机构, 在任何状态都可以电气和机械跳闸。</w:t>
      </w:r>
    </w:p>
    <w:p w14:paraId="18FF442D">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8）电气操作的断路器, 均有就地跳、合闸的操作设施（无需打开断路器小室的门就可操作），当断路器在就地试验和断开位置时，断路器的远方操作回路被闭锁。</w:t>
      </w:r>
    </w:p>
    <w:p w14:paraId="49E8023C">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9）断路器柜一次插头表面镀银, 当一次插头闭合有稍许偏移, 不增加其接触电阻。</w:t>
      </w:r>
    </w:p>
    <w:p w14:paraId="0EA77361">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10）所有操动机构和辅助开关的接线除有特殊要求外, 均采用相同接线, 以保证开关柜的小车有互换性。</w:t>
      </w:r>
    </w:p>
    <w:p w14:paraId="5E3629AE">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lang w:val="en-US" w:eastAsia="zh-CN"/>
        </w:rPr>
        <w:t>1</w:t>
      </w:r>
      <w:r>
        <w:rPr>
          <w:rFonts w:hint="eastAsia" w:ascii="宋体" w:hAnsi="宋体"/>
          <w:b w:val="0"/>
          <w:bCs w:val="0"/>
          <w:color w:val="auto"/>
          <w:sz w:val="24"/>
          <w:highlight w:val="none"/>
        </w:rPr>
        <w:t>.</w:t>
      </w:r>
      <w:r>
        <w:rPr>
          <w:rFonts w:hint="eastAsia"/>
          <w:b w:val="0"/>
          <w:bCs w:val="0"/>
          <w:color w:val="auto"/>
          <w:sz w:val="24"/>
          <w:highlight w:val="none"/>
          <w:lang w:val="en-US" w:eastAsia="zh-CN"/>
        </w:rPr>
        <w:t>4.</w:t>
      </w:r>
      <w:r>
        <w:rPr>
          <w:rFonts w:hint="eastAsia" w:ascii="宋体" w:hAnsi="宋体"/>
          <w:b w:val="0"/>
          <w:bCs w:val="0"/>
          <w:color w:val="auto"/>
          <w:sz w:val="24"/>
          <w:highlight w:val="none"/>
        </w:rPr>
        <w:t>2.</w:t>
      </w:r>
      <w:r>
        <w:rPr>
          <w:rFonts w:hint="eastAsia"/>
          <w:b w:val="0"/>
          <w:bCs w:val="0"/>
          <w:color w:val="auto"/>
          <w:sz w:val="24"/>
          <w:highlight w:val="none"/>
          <w:lang w:val="en-US" w:eastAsia="zh-CN"/>
        </w:rPr>
        <w:t>4</w:t>
      </w:r>
      <w:r>
        <w:rPr>
          <w:rFonts w:hint="eastAsia" w:ascii="宋体" w:hAnsi="宋体"/>
          <w:b w:val="0"/>
          <w:bCs w:val="0"/>
          <w:color w:val="auto"/>
          <w:sz w:val="24"/>
          <w:highlight w:val="none"/>
        </w:rPr>
        <w:t>电流互感器</w:t>
      </w:r>
    </w:p>
    <w:p w14:paraId="705245DB">
      <w:pPr>
        <w:spacing w:line="360" w:lineRule="auto"/>
        <w:ind w:firstLine="597" w:firstLineChars="249"/>
        <w:rPr>
          <w:b w:val="0"/>
          <w:bCs w:val="0"/>
          <w:color w:val="auto"/>
          <w:sz w:val="24"/>
          <w:highlight w:val="none"/>
        </w:rPr>
      </w:pPr>
      <w:r>
        <w:rPr>
          <w:rFonts w:hint="eastAsia"/>
          <w:b w:val="0"/>
          <w:bCs w:val="0"/>
          <w:color w:val="auto"/>
          <w:sz w:val="24"/>
          <w:highlight w:val="none"/>
        </w:rPr>
        <w:t>采用环氧浇注型，全绝缘全密封，其额定参数应与开关柜一致。</w:t>
      </w:r>
    </w:p>
    <w:p w14:paraId="5ED99C82">
      <w:pPr>
        <w:pStyle w:val="6"/>
        <w:numPr>
          <w:ilvl w:val="0"/>
          <w:numId w:val="9"/>
        </w:numPr>
        <w:spacing w:before="50" w:after="50" w:line="360" w:lineRule="auto"/>
        <w:rPr>
          <w:rFonts w:hint="eastAsia" w:ascii="宋体" w:hAnsi="宋体"/>
          <w:b w:val="0"/>
          <w:bCs w:val="0"/>
          <w:color w:val="auto"/>
          <w:sz w:val="24"/>
          <w:highlight w:val="none"/>
        </w:rPr>
      </w:pPr>
      <w:r>
        <w:rPr>
          <w:rFonts w:hint="eastAsia" w:ascii="宋体" w:hAnsi="宋体"/>
          <w:b w:val="0"/>
          <w:bCs w:val="0"/>
          <w:color w:val="auto"/>
          <w:sz w:val="24"/>
          <w:highlight w:val="none"/>
        </w:rPr>
        <w:t>型号：LZZBJ9-10</w:t>
      </w:r>
    </w:p>
    <w:p w14:paraId="0788716D">
      <w:pPr>
        <w:pStyle w:val="6"/>
        <w:numPr>
          <w:ilvl w:val="0"/>
          <w:numId w:val="9"/>
        </w:numPr>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额定电流比：详见图纸</w:t>
      </w:r>
    </w:p>
    <w:p w14:paraId="1BE73D81">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3）二次额定电流：5A</w:t>
      </w:r>
    </w:p>
    <w:p w14:paraId="39C5E866">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4</w:t>
      </w:r>
      <w:r>
        <w:rPr>
          <w:rFonts w:hint="eastAsia"/>
          <w:b w:val="0"/>
          <w:bCs w:val="0"/>
          <w:color w:val="auto"/>
          <w:sz w:val="24"/>
          <w:highlight w:val="none"/>
          <w:lang w:eastAsia="zh-CN"/>
        </w:rPr>
        <w:t>）</w:t>
      </w:r>
      <w:r>
        <w:rPr>
          <w:rFonts w:hint="eastAsia" w:ascii="宋体" w:hAnsi="宋体"/>
          <w:b w:val="0"/>
          <w:bCs w:val="0"/>
          <w:color w:val="auto"/>
          <w:sz w:val="24"/>
          <w:highlight w:val="none"/>
        </w:rPr>
        <w:t>准确度等级： 详见图纸</w:t>
      </w:r>
    </w:p>
    <w:p w14:paraId="399C91C7">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5)额定1秒短时热稳定电流，不小于31.5kA；额定动稳定电流,不小于80kA</w:t>
      </w:r>
    </w:p>
    <w:p w14:paraId="1F1B23C4">
      <w:pPr>
        <w:pStyle w:val="6"/>
        <w:spacing w:before="50" w:after="50" w:line="360" w:lineRule="auto"/>
        <w:rPr>
          <w:rFonts w:ascii="宋体" w:hAnsi="宋体"/>
          <w:b w:val="0"/>
          <w:bCs w:val="0"/>
          <w:color w:val="auto"/>
          <w:sz w:val="24"/>
          <w:highlight w:val="none"/>
        </w:rPr>
      </w:pPr>
      <w:r>
        <w:rPr>
          <w:rFonts w:hint="eastAsia"/>
          <w:b w:val="0"/>
          <w:bCs w:val="0"/>
          <w:color w:val="auto"/>
          <w:sz w:val="24"/>
          <w:highlight w:val="none"/>
          <w:lang w:val="en-US" w:eastAsia="zh-CN"/>
        </w:rPr>
        <w:t>6</w:t>
      </w:r>
      <w:r>
        <w:rPr>
          <w:rFonts w:hint="eastAsia" w:ascii="宋体" w:hAnsi="宋体"/>
          <w:b w:val="0"/>
          <w:bCs w:val="0"/>
          <w:color w:val="auto"/>
          <w:sz w:val="24"/>
          <w:highlight w:val="none"/>
        </w:rPr>
        <w:t>）局部放电量：≤10PC</w:t>
      </w:r>
    </w:p>
    <w:p w14:paraId="25B48484">
      <w:pPr>
        <w:pStyle w:val="6"/>
        <w:spacing w:before="50" w:after="50" w:line="360" w:lineRule="auto"/>
        <w:rPr>
          <w:rFonts w:ascii="宋体" w:hAnsi="宋体"/>
          <w:b w:val="0"/>
          <w:bCs w:val="0"/>
          <w:color w:val="auto"/>
          <w:sz w:val="24"/>
          <w:highlight w:val="none"/>
        </w:rPr>
      </w:pPr>
      <w:r>
        <w:rPr>
          <w:rFonts w:hint="eastAsia"/>
          <w:b w:val="0"/>
          <w:bCs w:val="0"/>
          <w:color w:val="auto"/>
          <w:sz w:val="24"/>
          <w:highlight w:val="none"/>
          <w:lang w:val="en-US" w:eastAsia="zh-CN"/>
        </w:rPr>
        <w:t>7</w:t>
      </w:r>
      <w:r>
        <w:rPr>
          <w:rFonts w:hint="eastAsia" w:ascii="宋体" w:hAnsi="宋体"/>
          <w:b w:val="0"/>
          <w:bCs w:val="0"/>
          <w:color w:val="auto"/>
          <w:sz w:val="24"/>
          <w:highlight w:val="none"/>
        </w:rPr>
        <w:t>）采用标准：GB1208、IEC185</w:t>
      </w:r>
    </w:p>
    <w:p w14:paraId="7FAB8DB1">
      <w:pPr>
        <w:pStyle w:val="6"/>
        <w:spacing w:before="50" w:after="50" w:line="360" w:lineRule="auto"/>
        <w:rPr>
          <w:rFonts w:ascii="宋体" w:hAnsi="宋体"/>
          <w:b w:val="0"/>
          <w:bCs w:val="0"/>
          <w:color w:val="auto"/>
          <w:sz w:val="24"/>
          <w:highlight w:val="none"/>
          <w:u w:val="none"/>
        </w:rPr>
      </w:pPr>
      <w:r>
        <w:rPr>
          <w:rFonts w:hint="eastAsia" w:ascii="宋体" w:hAnsi="宋体"/>
          <w:b w:val="0"/>
          <w:bCs w:val="0"/>
          <w:color w:val="auto"/>
          <w:sz w:val="24"/>
          <w:highlight w:val="none"/>
          <w:lang w:val="en-US" w:eastAsia="zh-CN"/>
        </w:rPr>
        <w:t>1</w:t>
      </w:r>
      <w:r>
        <w:rPr>
          <w:rFonts w:ascii="宋体" w:hAnsi="宋体"/>
          <w:b w:val="0"/>
          <w:bCs w:val="0"/>
          <w:color w:val="auto"/>
          <w:sz w:val="24"/>
          <w:highlight w:val="none"/>
        </w:rPr>
        <w:t>.</w:t>
      </w:r>
      <w:r>
        <w:rPr>
          <w:rFonts w:hint="eastAsia"/>
          <w:b w:val="0"/>
          <w:bCs w:val="0"/>
          <w:color w:val="auto"/>
          <w:sz w:val="24"/>
          <w:highlight w:val="none"/>
          <w:lang w:val="en-US" w:eastAsia="zh-CN"/>
        </w:rPr>
        <w:t>4.</w:t>
      </w:r>
      <w:r>
        <w:rPr>
          <w:rFonts w:hint="eastAsia" w:ascii="宋体" w:hAnsi="宋体"/>
          <w:b w:val="0"/>
          <w:bCs w:val="0"/>
          <w:color w:val="auto"/>
          <w:sz w:val="24"/>
          <w:highlight w:val="none"/>
        </w:rPr>
        <w:t>2</w:t>
      </w:r>
      <w:r>
        <w:rPr>
          <w:rFonts w:ascii="宋体" w:hAnsi="宋体"/>
          <w:b w:val="0"/>
          <w:bCs w:val="0"/>
          <w:color w:val="auto"/>
          <w:sz w:val="24"/>
          <w:highlight w:val="none"/>
        </w:rPr>
        <w:t>.</w:t>
      </w:r>
      <w:r>
        <w:rPr>
          <w:rFonts w:hint="eastAsia"/>
          <w:b w:val="0"/>
          <w:bCs w:val="0"/>
          <w:color w:val="auto"/>
          <w:sz w:val="24"/>
          <w:highlight w:val="none"/>
          <w:lang w:val="en-US" w:eastAsia="zh-CN"/>
        </w:rPr>
        <w:t>5</w:t>
      </w:r>
      <w:r>
        <w:rPr>
          <w:rFonts w:hint="eastAsia" w:ascii="宋体" w:hAnsi="宋体"/>
          <w:b w:val="0"/>
          <w:bCs w:val="0"/>
          <w:color w:val="auto"/>
          <w:sz w:val="24"/>
          <w:highlight w:val="none"/>
          <w:u w:val="none"/>
        </w:rPr>
        <w:t>过电压保护器</w:t>
      </w:r>
    </w:p>
    <w:p w14:paraId="1F7E0E0C">
      <w:pPr>
        <w:pStyle w:val="6"/>
        <w:spacing w:before="50" w:after="50" w:line="360" w:lineRule="auto"/>
        <w:rPr>
          <w:rFonts w:ascii="宋体" w:hAnsi="宋体"/>
          <w:b w:val="0"/>
          <w:bCs w:val="0"/>
          <w:color w:val="auto"/>
          <w:sz w:val="24"/>
          <w:highlight w:val="none"/>
          <w:u w:val="single"/>
        </w:rPr>
      </w:pPr>
      <w:r>
        <w:rPr>
          <w:rFonts w:hint="eastAsia"/>
          <w:b w:val="0"/>
          <w:bCs w:val="0"/>
          <w:color w:val="auto"/>
          <w:sz w:val="24"/>
          <w:highlight w:val="none"/>
          <w:u w:val="none"/>
          <w:lang w:val="en-US" w:eastAsia="zh-CN"/>
        </w:rPr>
        <w:t>1)</w:t>
      </w:r>
      <w:r>
        <w:rPr>
          <w:rFonts w:hint="eastAsia" w:ascii="宋体" w:hAnsi="宋体"/>
          <w:b w:val="0"/>
          <w:bCs w:val="0"/>
          <w:color w:val="auto"/>
          <w:sz w:val="24"/>
          <w:highlight w:val="none"/>
          <w:u w:val="none"/>
        </w:rPr>
        <w:t>型式：组合式过电压保护器，带计数功能。</w:t>
      </w:r>
    </w:p>
    <w:p w14:paraId="7E5C32E5">
      <w:pPr>
        <w:pStyle w:val="6"/>
        <w:spacing w:before="50" w:after="50" w:line="360" w:lineRule="auto"/>
        <w:rPr>
          <w:rFonts w:ascii="宋体" w:hAnsi="宋体"/>
          <w:b w:val="0"/>
          <w:bCs w:val="0"/>
          <w:color w:val="auto"/>
          <w:sz w:val="24"/>
          <w:highlight w:val="none"/>
        </w:rPr>
      </w:pPr>
      <w:r>
        <w:rPr>
          <w:rFonts w:hint="eastAsia"/>
          <w:b w:val="0"/>
          <w:bCs w:val="0"/>
          <w:color w:val="auto"/>
          <w:sz w:val="24"/>
          <w:highlight w:val="none"/>
          <w:lang w:val="en-US" w:eastAsia="zh-CN"/>
        </w:rPr>
        <w:t>2)</w:t>
      </w:r>
      <w:r>
        <w:rPr>
          <w:rFonts w:hint="eastAsia" w:ascii="宋体" w:hAnsi="宋体"/>
          <w:b w:val="0"/>
          <w:bCs w:val="0"/>
          <w:color w:val="auto"/>
          <w:sz w:val="24"/>
          <w:highlight w:val="none"/>
        </w:rPr>
        <w:t>各进出线柜内安装过电压保护器。技术参数如下：</w:t>
      </w:r>
    </w:p>
    <w:p w14:paraId="4295A9A0">
      <w:pPr>
        <w:pStyle w:val="6"/>
        <w:numPr>
          <w:ilvl w:val="0"/>
          <w:numId w:val="0"/>
        </w:numPr>
        <w:spacing w:before="50" w:after="50" w:line="360" w:lineRule="auto"/>
        <w:rPr>
          <w:rFonts w:ascii="宋体" w:hAnsi="宋体"/>
          <w:b w:val="0"/>
          <w:bCs w:val="0"/>
          <w:color w:val="auto"/>
          <w:sz w:val="24"/>
          <w:highlight w:val="none"/>
        </w:rPr>
      </w:pPr>
      <w:r>
        <w:rPr>
          <w:rFonts w:hint="eastAsia"/>
          <w:b w:val="0"/>
          <w:bCs w:val="0"/>
          <w:color w:val="auto"/>
          <w:sz w:val="24"/>
          <w:highlight w:val="none"/>
          <w:lang w:val="en-US" w:eastAsia="zh-CN"/>
        </w:rPr>
        <w:t>a.</w:t>
      </w:r>
      <w:r>
        <w:rPr>
          <w:rFonts w:hint="eastAsia" w:ascii="宋体" w:hAnsi="宋体"/>
          <w:b w:val="0"/>
          <w:bCs w:val="0"/>
          <w:color w:val="auto"/>
          <w:sz w:val="24"/>
          <w:highlight w:val="none"/>
        </w:rPr>
        <w:t>组合式过电压保护器，2ms方波电流600A。</w:t>
      </w:r>
    </w:p>
    <w:p w14:paraId="7B355399">
      <w:pPr>
        <w:pStyle w:val="6"/>
        <w:numPr>
          <w:ilvl w:val="0"/>
          <w:numId w:val="0"/>
        </w:numPr>
        <w:spacing w:before="50" w:after="50" w:line="360" w:lineRule="auto"/>
        <w:ind w:leftChars="0"/>
        <w:rPr>
          <w:rFonts w:ascii="宋体" w:hAnsi="宋体"/>
          <w:b w:val="0"/>
          <w:bCs w:val="0"/>
          <w:color w:val="auto"/>
          <w:sz w:val="24"/>
          <w:highlight w:val="none"/>
        </w:rPr>
      </w:pPr>
      <w:r>
        <w:rPr>
          <w:rFonts w:hint="eastAsia"/>
          <w:b w:val="0"/>
          <w:bCs w:val="0"/>
          <w:color w:val="auto"/>
          <w:sz w:val="24"/>
          <w:highlight w:val="none"/>
          <w:lang w:val="en-US" w:eastAsia="zh-CN"/>
        </w:rPr>
        <w:t>b.</w:t>
      </w:r>
      <w:r>
        <w:rPr>
          <w:rFonts w:hint="eastAsia" w:ascii="宋体" w:hAnsi="宋体"/>
          <w:b w:val="0"/>
          <w:bCs w:val="0"/>
          <w:color w:val="auto"/>
          <w:sz w:val="24"/>
          <w:highlight w:val="none"/>
        </w:rPr>
        <w:t>保护器持续运行电压：12.7kV.</w:t>
      </w:r>
    </w:p>
    <w:p w14:paraId="60475AB2">
      <w:pPr>
        <w:pStyle w:val="6"/>
        <w:numPr>
          <w:ilvl w:val="0"/>
          <w:numId w:val="0"/>
        </w:numPr>
        <w:spacing w:before="50" w:after="50" w:line="360" w:lineRule="auto"/>
        <w:ind w:leftChars="0"/>
        <w:rPr>
          <w:rFonts w:ascii="宋体" w:hAnsi="宋体"/>
          <w:b w:val="0"/>
          <w:bCs w:val="0"/>
          <w:color w:val="auto"/>
          <w:sz w:val="24"/>
          <w:highlight w:val="none"/>
        </w:rPr>
      </w:pPr>
      <w:r>
        <w:rPr>
          <w:rFonts w:hint="eastAsia"/>
          <w:b w:val="0"/>
          <w:bCs w:val="0"/>
          <w:color w:val="auto"/>
          <w:sz w:val="24"/>
          <w:highlight w:val="none"/>
          <w:lang w:val="en-US" w:eastAsia="zh-CN"/>
        </w:rPr>
        <w:t>c.</w:t>
      </w:r>
      <w:r>
        <w:rPr>
          <w:rFonts w:hint="eastAsia" w:ascii="宋体" w:hAnsi="宋体"/>
          <w:b w:val="0"/>
          <w:bCs w:val="0"/>
          <w:color w:val="auto"/>
          <w:sz w:val="24"/>
          <w:highlight w:val="none"/>
        </w:rPr>
        <w:t>保护对象额定电压：10kV.</w:t>
      </w:r>
    </w:p>
    <w:p w14:paraId="77CC73CF">
      <w:pPr>
        <w:pStyle w:val="6"/>
        <w:numPr>
          <w:ilvl w:val="0"/>
          <w:numId w:val="0"/>
        </w:numPr>
        <w:spacing w:before="50" w:after="50" w:line="360" w:lineRule="auto"/>
        <w:ind w:leftChars="0"/>
        <w:rPr>
          <w:rFonts w:ascii="宋体" w:hAnsi="宋体"/>
          <w:b w:val="0"/>
          <w:bCs w:val="0"/>
          <w:color w:val="auto"/>
          <w:sz w:val="24"/>
          <w:highlight w:val="none"/>
        </w:rPr>
      </w:pPr>
      <w:r>
        <w:rPr>
          <w:rFonts w:hint="eastAsia"/>
          <w:b w:val="0"/>
          <w:bCs w:val="0"/>
          <w:color w:val="auto"/>
          <w:sz w:val="24"/>
          <w:highlight w:val="none"/>
          <w:lang w:val="en-US" w:eastAsia="zh-CN"/>
        </w:rPr>
        <w:t>d.</w:t>
      </w:r>
      <w:r>
        <w:rPr>
          <w:rFonts w:hint="eastAsia" w:ascii="宋体" w:hAnsi="宋体"/>
          <w:b w:val="0"/>
          <w:bCs w:val="0"/>
          <w:color w:val="auto"/>
          <w:sz w:val="24"/>
          <w:highlight w:val="none"/>
        </w:rPr>
        <w:t>5kA雷击冲击电流残压：不大于40kV.</w:t>
      </w:r>
    </w:p>
    <w:p w14:paraId="0CDED11D">
      <w:pPr>
        <w:pStyle w:val="6"/>
        <w:numPr>
          <w:ilvl w:val="0"/>
          <w:numId w:val="0"/>
        </w:numPr>
        <w:spacing w:before="50" w:after="50" w:line="360" w:lineRule="auto"/>
        <w:ind w:leftChars="0"/>
        <w:rPr>
          <w:rFonts w:ascii="宋体" w:hAnsi="宋体" w:cs="宋体"/>
          <w:b w:val="0"/>
          <w:bCs w:val="0"/>
          <w:color w:val="auto"/>
          <w:szCs w:val="28"/>
          <w:highlight w:val="none"/>
        </w:rPr>
      </w:pPr>
      <w:r>
        <w:rPr>
          <w:rFonts w:hint="eastAsia"/>
          <w:b w:val="0"/>
          <w:bCs w:val="0"/>
          <w:color w:val="auto"/>
          <w:sz w:val="24"/>
          <w:highlight w:val="none"/>
          <w:lang w:val="en-US" w:eastAsia="zh-CN"/>
        </w:rPr>
        <w:t>e.</w:t>
      </w:r>
      <w:r>
        <w:rPr>
          <w:rFonts w:hint="eastAsia" w:ascii="宋体" w:hAnsi="宋体"/>
          <w:b w:val="0"/>
          <w:bCs w:val="0"/>
          <w:color w:val="auto"/>
          <w:sz w:val="24"/>
          <w:highlight w:val="none"/>
        </w:rPr>
        <w:t>工频放电电压：25kV r.m.s</w:t>
      </w:r>
    </w:p>
    <w:p w14:paraId="11907C27">
      <w:pPr>
        <w:pStyle w:val="6"/>
        <w:numPr>
          <w:ilvl w:val="0"/>
          <w:numId w:val="0"/>
        </w:numPr>
        <w:spacing w:before="50" w:after="50" w:line="360" w:lineRule="auto"/>
        <w:rPr>
          <w:rFonts w:ascii="宋体" w:hAnsi="宋体"/>
          <w:b w:val="0"/>
          <w:bCs w:val="0"/>
          <w:color w:val="auto"/>
          <w:sz w:val="24"/>
          <w:highlight w:val="none"/>
        </w:rPr>
      </w:pPr>
      <w:r>
        <w:rPr>
          <w:rFonts w:hint="eastAsia"/>
          <w:b w:val="0"/>
          <w:bCs w:val="0"/>
          <w:color w:val="auto"/>
          <w:sz w:val="24"/>
          <w:highlight w:val="none"/>
          <w:lang w:val="en-US" w:eastAsia="zh-CN"/>
        </w:rPr>
        <w:t>f.</w:t>
      </w:r>
      <w:r>
        <w:rPr>
          <w:rFonts w:hint="eastAsia" w:ascii="宋体" w:hAnsi="宋体"/>
          <w:b w:val="0"/>
          <w:bCs w:val="0"/>
          <w:color w:val="auto"/>
          <w:sz w:val="24"/>
          <w:highlight w:val="none"/>
        </w:rPr>
        <w:t>含放电计数器J型</w:t>
      </w:r>
    </w:p>
    <w:p w14:paraId="0B868425">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lang w:val="en-US" w:eastAsia="zh-CN"/>
        </w:rPr>
        <w:t>1</w:t>
      </w:r>
      <w:r>
        <w:rPr>
          <w:rFonts w:hint="eastAsia" w:ascii="宋体" w:hAnsi="宋体"/>
          <w:b w:val="0"/>
          <w:bCs w:val="0"/>
          <w:color w:val="auto"/>
          <w:sz w:val="24"/>
          <w:highlight w:val="none"/>
        </w:rPr>
        <w:t>.</w:t>
      </w:r>
      <w:r>
        <w:rPr>
          <w:rFonts w:hint="eastAsia"/>
          <w:b w:val="0"/>
          <w:bCs w:val="0"/>
          <w:color w:val="auto"/>
          <w:sz w:val="24"/>
          <w:highlight w:val="none"/>
          <w:lang w:val="en-US" w:eastAsia="zh-CN"/>
        </w:rPr>
        <w:t>4.</w:t>
      </w:r>
      <w:r>
        <w:rPr>
          <w:rFonts w:hint="eastAsia" w:ascii="宋体" w:hAnsi="宋体"/>
          <w:b w:val="0"/>
          <w:bCs w:val="0"/>
          <w:color w:val="auto"/>
          <w:sz w:val="24"/>
          <w:highlight w:val="none"/>
        </w:rPr>
        <w:t>2.</w:t>
      </w:r>
      <w:r>
        <w:rPr>
          <w:rFonts w:hint="eastAsia"/>
          <w:b w:val="0"/>
          <w:bCs w:val="0"/>
          <w:color w:val="auto"/>
          <w:sz w:val="24"/>
          <w:highlight w:val="none"/>
          <w:lang w:val="en-US" w:eastAsia="zh-CN"/>
        </w:rPr>
        <w:t>6</w:t>
      </w:r>
      <w:r>
        <w:rPr>
          <w:rFonts w:hint="eastAsia" w:ascii="宋体" w:hAnsi="宋体"/>
          <w:b w:val="0"/>
          <w:bCs w:val="0"/>
          <w:color w:val="auto"/>
          <w:sz w:val="24"/>
          <w:highlight w:val="none"/>
        </w:rPr>
        <w:t xml:space="preserve"> 接地开关</w:t>
      </w:r>
    </w:p>
    <w:p w14:paraId="1D76A4D8">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1）</w:t>
      </w:r>
      <w:r>
        <w:rPr>
          <w:rFonts w:hint="eastAsia"/>
          <w:b w:val="0"/>
          <w:bCs w:val="0"/>
          <w:color w:val="auto"/>
          <w:sz w:val="24"/>
          <w:highlight w:val="none"/>
          <w:lang w:val="en-US" w:eastAsia="zh-CN"/>
        </w:rPr>
        <w:t xml:space="preserve"> </w:t>
      </w:r>
      <w:r>
        <w:rPr>
          <w:rFonts w:hint="eastAsia" w:ascii="宋体" w:hAnsi="宋体"/>
          <w:b w:val="0"/>
          <w:bCs w:val="0"/>
          <w:color w:val="auto"/>
          <w:sz w:val="24"/>
          <w:highlight w:val="none"/>
        </w:rPr>
        <w:t>型号：JN15-12</w:t>
      </w:r>
    </w:p>
    <w:p w14:paraId="70E9E7D8">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2）</w:t>
      </w:r>
      <w:r>
        <w:rPr>
          <w:rFonts w:hint="eastAsia"/>
          <w:b w:val="0"/>
          <w:bCs w:val="0"/>
          <w:color w:val="auto"/>
          <w:sz w:val="24"/>
          <w:highlight w:val="none"/>
          <w:lang w:val="en-US" w:eastAsia="zh-CN"/>
        </w:rPr>
        <w:t xml:space="preserve"> </w:t>
      </w:r>
      <w:r>
        <w:rPr>
          <w:rFonts w:hint="eastAsia" w:ascii="宋体" w:hAnsi="宋体"/>
          <w:b w:val="0"/>
          <w:bCs w:val="0"/>
          <w:color w:val="auto"/>
          <w:sz w:val="24"/>
          <w:highlight w:val="none"/>
        </w:rPr>
        <w:t>额定电压（kV）：12</w:t>
      </w:r>
    </w:p>
    <w:p w14:paraId="5DF3D18E">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3）</w:t>
      </w:r>
      <w:r>
        <w:rPr>
          <w:rFonts w:hint="eastAsia"/>
          <w:b w:val="0"/>
          <w:bCs w:val="0"/>
          <w:color w:val="auto"/>
          <w:sz w:val="24"/>
          <w:highlight w:val="none"/>
          <w:lang w:val="en-US" w:eastAsia="zh-CN"/>
        </w:rPr>
        <w:t xml:space="preserve"> </w:t>
      </w:r>
      <w:r>
        <w:rPr>
          <w:rFonts w:hint="eastAsia" w:ascii="宋体" w:hAnsi="宋体"/>
          <w:b w:val="0"/>
          <w:bCs w:val="0"/>
          <w:color w:val="auto"/>
          <w:sz w:val="24"/>
          <w:highlight w:val="none"/>
        </w:rPr>
        <w:t>最高工作电压（kV）：12</w:t>
      </w:r>
    </w:p>
    <w:p w14:paraId="2F00F5E7">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4）</w:t>
      </w:r>
      <w:r>
        <w:rPr>
          <w:rFonts w:hint="eastAsia"/>
          <w:b w:val="0"/>
          <w:bCs w:val="0"/>
          <w:color w:val="auto"/>
          <w:sz w:val="24"/>
          <w:highlight w:val="none"/>
          <w:lang w:val="en-US" w:eastAsia="zh-CN"/>
        </w:rPr>
        <w:t xml:space="preserve"> </w:t>
      </w:r>
      <w:r>
        <w:rPr>
          <w:rFonts w:hint="eastAsia" w:ascii="宋体" w:hAnsi="宋体"/>
          <w:b w:val="0"/>
          <w:bCs w:val="0"/>
          <w:color w:val="auto"/>
          <w:sz w:val="24"/>
          <w:highlight w:val="none"/>
        </w:rPr>
        <w:t>额定电流（A）：1250A</w:t>
      </w:r>
    </w:p>
    <w:p w14:paraId="01DFE109">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5）</w:t>
      </w:r>
      <w:r>
        <w:rPr>
          <w:rFonts w:hint="eastAsia"/>
          <w:b w:val="0"/>
          <w:bCs w:val="0"/>
          <w:color w:val="auto"/>
          <w:sz w:val="24"/>
          <w:highlight w:val="none"/>
          <w:lang w:val="en-US" w:eastAsia="zh-CN"/>
        </w:rPr>
        <w:t xml:space="preserve"> </w:t>
      </w:r>
      <w:r>
        <w:rPr>
          <w:rFonts w:hint="eastAsia" w:ascii="宋体" w:hAnsi="宋体"/>
          <w:b w:val="0"/>
          <w:bCs w:val="0"/>
          <w:color w:val="auto"/>
          <w:sz w:val="24"/>
          <w:highlight w:val="none"/>
        </w:rPr>
        <w:t>额定短时耐受电流及时间：</w:t>
      </w:r>
      <w:r>
        <w:rPr>
          <w:rFonts w:ascii="宋体" w:hAnsi="宋体"/>
          <w:b w:val="0"/>
          <w:bCs w:val="0"/>
          <w:color w:val="auto"/>
          <w:sz w:val="24"/>
          <w:highlight w:val="none"/>
        </w:rPr>
        <w:t xml:space="preserve"> 31.5kA</w:t>
      </w:r>
      <w:r>
        <w:rPr>
          <w:rFonts w:hint="eastAsia" w:ascii="宋体" w:hAnsi="宋体"/>
          <w:b w:val="0"/>
          <w:bCs w:val="0"/>
          <w:color w:val="auto"/>
          <w:sz w:val="24"/>
          <w:highlight w:val="none"/>
        </w:rPr>
        <w:t>，4</w:t>
      </w:r>
      <w:r>
        <w:rPr>
          <w:rFonts w:ascii="宋体" w:hAnsi="宋体"/>
          <w:b w:val="0"/>
          <w:bCs w:val="0"/>
          <w:color w:val="auto"/>
          <w:sz w:val="24"/>
          <w:highlight w:val="none"/>
        </w:rPr>
        <w:t>s</w:t>
      </w:r>
    </w:p>
    <w:p w14:paraId="359C7217">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6）</w:t>
      </w:r>
      <w:r>
        <w:rPr>
          <w:rFonts w:hint="eastAsia"/>
          <w:b w:val="0"/>
          <w:bCs w:val="0"/>
          <w:color w:val="auto"/>
          <w:sz w:val="24"/>
          <w:highlight w:val="none"/>
          <w:lang w:val="en-US" w:eastAsia="zh-CN"/>
        </w:rPr>
        <w:t xml:space="preserve"> </w:t>
      </w:r>
      <w:r>
        <w:rPr>
          <w:rFonts w:hint="eastAsia" w:ascii="宋体" w:hAnsi="宋体"/>
          <w:b w:val="0"/>
          <w:bCs w:val="0"/>
          <w:color w:val="auto"/>
          <w:sz w:val="24"/>
          <w:highlight w:val="none"/>
        </w:rPr>
        <w:t>额定峰值耐受电流：</w:t>
      </w:r>
      <w:r>
        <w:rPr>
          <w:rFonts w:ascii="宋体" w:hAnsi="宋体"/>
          <w:b w:val="0"/>
          <w:bCs w:val="0"/>
          <w:color w:val="auto"/>
          <w:sz w:val="24"/>
          <w:highlight w:val="none"/>
        </w:rPr>
        <w:t xml:space="preserve"> 8</w:t>
      </w:r>
      <w:r>
        <w:rPr>
          <w:rFonts w:hint="eastAsia" w:ascii="宋体" w:hAnsi="宋体"/>
          <w:b w:val="0"/>
          <w:bCs w:val="0"/>
          <w:color w:val="auto"/>
          <w:sz w:val="24"/>
          <w:highlight w:val="none"/>
        </w:rPr>
        <w:t>0</w:t>
      </w:r>
      <w:r>
        <w:rPr>
          <w:rFonts w:ascii="宋体" w:hAnsi="宋体"/>
          <w:b w:val="0"/>
          <w:bCs w:val="0"/>
          <w:color w:val="auto"/>
          <w:sz w:val="24"/>
          <w:highlight w:val="none"/>
        </w:rPr>
        <w:t>kA</w:t>
      </w:r>
      <w:r>
        <w:rPr>
          <w:rFonts w:hint="eastAsia" w:ascii="宋体" w:hAnsi="宋体"/>
          <w:b w:val="0"/>
          <w:bCs w:val="0"/>
          <w:color w:val="auto"/>
          <w:sz w:val="24"/>
          <w:highlight w:val="none"/>
        </w:rPr>
        <w:t xml:space="preserve">  </w:t>
      </w:r>
    </w:p>
    <w:p w14:paraId="5B1BD6EF">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lang w:val="en-US" w:eastAsia="zh-CN"/>
        </w:rPr>
        <w:t>1</w:t>
      </w:r>
      <w:r>
        <w:rPr>
          <w:rFonts w:hint="eastAsia" w:ascii="宋体" w:hAnsi="宋体"/>
          <w:b w:val="0"/>
          <w:bCs w:val="0"/>
          <w:color w:val="auto"/>
          <w:sz w:val="24"/>
          <w:highlight w:val="none"/>
        </w:rPr>
        <w:t>.</w:t>
      </w:r>
      <w:r>
        <w:rPr>
          <w:rFonts w:hint="eastAsia"/>
          <w:b w:val="0"/>
          <w:bCs w:val="0"/>
          <w:color w:val="auto"/>
          <w:sz w:val="24"/>
          <w:highlight w:val="none"/>
          <w:lang w:val="en-US" w:eastAsia="zh-CN"/>
        </w:rPr>
        <w:t>4.</w:t>
      </w:r>
      <w:r>
        <w:rPr>
          <w:rFonts w:hint="eastAsia" w:ascii="宋体" w:hAnsi="宋体"/>
          <w:b w:val="0"/>
          <w:bCs w:val="0"/>
          <w:color w:val="auto"/>
          <w:sz w:val="24"/>
          <w:highlight w:val="none"/>
        </w:rPr>
        <w:t>2.</w:t>
      </w:r>
      <w:r>
        <w:rPr>
          <w:rFonts w:hint="eastAsia"/>
          <w:b w:val="0"/>
          <w:bCs w:val="0"/>
          <w:color w:val="auto"/>
          <w:sz w:val="24"/>
          <w:highlight w:val="none"/>
          <w:lang w:val="en-US" w:eastAsia="zh-CN"/>
        </w:rPr>
        <w:t>9</w:t>
      </w:r>
      <w:r>
        <w:rPr>
          <w:rFonts w:hint="eastAsia" w:ascii="宋体" w:hAnsi="宋体"/>
          <w:b w:val="0"/>
          <w:bCs w:val="0"/>
          <w:color w:val="auto"/>
          <w:sz w:val="24"/>
          <w:highlight w:val="none"/>
        </w:rPr>
        <w:t xml:space="preserve"> 母线</w:t>
      </w:r>
    </w:p>
    <w:p w14:paraId="4164811F">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1）主母线</w:t>
      </w:r>
    </w:p>
    <w:p w14:paraId="2DF2A64D">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采用铜母线，母线规格见系统图。</w:t>
      </w:r>
    </w:p>
    <w:p w14:paraId="0929A4DF">
      <w:pPr>
        <w:spacing w:line="360" w:lineRule="auto"/>
        <w:ind w:firstLine="597" w:firstLineChars="249"/>
        <w:rPr>
          <w:b w:val="0"/>
          <w:bCs w:val="0"/>
          <w:color w:val="auto"/>
          <w:sz w:val="24"/>
          <w:highlight w:val="none"/>
        </w:rPr>
      </w:pPr>
      <w:r>
        <w:rPr>
          <w:rFonts w:hint="eastAsia"/>
          <w:b w:val="0"/>
          <w:bCs w:val="0"/>
          <w:color w:val="auto"/>
          <w:sz w:val="24"/>
          <w:highlight w:val="none"/>
        </w:rPr>
        <w:t>在长期使用期间, 从标准环境温度到额定满负荷温度,固定螺栓的初始接触压力值,不降低每个连接点, 不少于两个螺栓, 全部母线用热缩套管包覆, 即绝缘母线，并用颜色区分相别。母线应固定在足以承受侧向短路力以及纵向热胀缩的绝缘子上；</w:t>
      </w:r>
    </w:p>
    <w:p w14:paraId="588B76F8">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在额定持续电流下，母线及其连接点的温升应符合</w:t>
      </w:r>
      <w:r>
        <w:rPr>
          <w:rFonts w:ascii="宋体" w:hAnsi="宋体"/>
          <w:b w:val="0"/>
          <w:bCs w:val="0"/>
          <w:color w:val="auto"/>
          <w:sz w:val="24"/>
          <w:highlight w:val="none"/>
        </w:rPr>
        <w:t>IEC</w:t>
      </w:r>
      <w:r>
        <w:rPr>
          <w:rFonts w:hint="eastAsia" w:ascii="宋体" w:hAnsi="宋体"/>
          <w:b w:val="0"/>
          <w:bCs w:val="0"/>
          <w:color w:val="auto"/>
          <w:sz w:val="24"/>
          <w:highlight w:val="none"/>
        </w:rPr>
        <w:t>的标准。</w:t>
      </w:r>
    </w:p>
    <w:p w14:paraId="425A8A9B">
      <w:pPr>
        <w:pStyle w:val="6"/>
        <w:spacing w:before="50" w:after="50" w:line="360" w:lineRule="auto"/>
        <w:rPr>
          <w:rFonts w:ascii="宋体" w:hAnsi="宋体"/>
          <w:b w:val="0"/>
          <w:bCs w:val="0"/>
          <w:color w:val="auto"/>
          <w:sz w:val="24"/>
          <w:highlight w:val="none"/>
        </w:rPr>
      </w:pPr>
      <w:r>
        <w:rPr>
          <w:rFonts w:hint="eastAsia" w:ascii="宋体" w:hAnsi="宋体"/>
          <w:b w:val="0"/>
          <w:bCs w:val="0"/>
          <w:color w:val="auto"/>
          <w:sz w:val="24"/>
          <w:highlight w:val="none"/>
        </w:rPr>
        <w:t>2）小母线</w:t>
      </w:r>
    </w:p>
    <w:p w14:paraId="130D8CBD">
      <w:pPr>
        <w:pStyle w:val="6"/>
        <w:spacing w:before="50" w:after="50" w:line="360" w:lineRule="auto"/>
        <w:rPr>
          <w:rFonts w:ascii="宋体" w:hAnsi="宋体"/>
          <w:color w:val="auto"/>
          <w:sz w:val="24"/>
          <w:highlight w:val="none"/>
        </w:rPr>
      </w:pPr>
      <w:r>
        <w:rPr>
          <w:rFonts w:hint="eastAsia" w:ascii="宋体" w:hAnsi="宋体"/>
          <w:color w:val="auto"/>
          <w:sz w:val="24"/>
          <w:highlight w:val="none"/>
        </w:rPr>
        <w:t>柜顶小母线规格：φ6紫铜棒，数量按16根考虑，最终以施工图为准。</w:t>
      </w:r>
    </w:p>
    <w:p w14:paraId="4B1CABC6">
      <w:pPr>
        <w:pStyle w:val="6"/>
        <w:spacing w:before="50" w:after="50" w:line="360" w:lineRule="auto"/>
        <w:rPr>
          <w:rFonts w:ascii="宋体" w:hAnsi="宋体"/>
          <w:color w:val="auto"/>
          <w:sz w:val="24"/>
          <w:highlight w:val="none"/>
        </w:rPr>
      </w:pPr>
      <w:r>
        <w:rPr>
          <w:rFonts w:hint="eastAsia" w:ascii="宋体" w:hAnsi="宋体"/>
          <w:color w:val="auto"/>
          <w:sz w:val="24"/>
          <w:highlight w:val="none"/>
        </w:rPr>
        <w:t>3）接地母线</w:t>
      </w:r>
    </w:p>
    <w:p w14:paraId="23D38BC9">
      <w:pPr>
        <w:spacing w:line="360" w:lineRule="auto"/>
        <w:ind w:firstLine="597" w:firstLineChars="249"/>
        <w:rPr>
          <w:color w:val="auto"/>
          <w:sz w:val="24"/>
          <w:highlight w:val="none"/>
        </w:rPr>
      </w:pPr>
      <w:r>
        <w:rPr>
          <w:rFonts w:hint="eastAsia"/>
          <w:color w:val="auto"/>
          <w:sz w:val="24"/>
          <w:highlight w:val="none"/>
        </w:rPr>
        <w:t>接地母线能承受断路器的瞬时及短时额定电流而不超过额定温升。接地母线与开关柜构架及接地端子用螺栓连接</w:t>
      </w:r>
      <w:r>
        <w:rPr>
          <w:rFonts w:hint="eastAsia"/>
          <w:color w:val="auto"/>
          <w:sz w:val="24"/>
          <w:highlight w:val="none"/>
          <w:lang w:val="en-US" w:eastAsia="zh-CN"/>
        </w:rPr>
        <w:t>,</w:t>
      </w:r>
      <w:r>
        <w:rPr>
          <w:rFonts w:hint="eastAsia"/>
          <w:color w:val="auto"/>
          <w:sz w:val="24"/>
          <w:highlight w:val="none"/>
        </w:rPr>
        <w:t>接地母线的最小截面为50X</w:t>
      </w:r>
      <w:r>
        <w:rPr>
          <w:rFonts w:hint="eastAsia"/>
          <w:color w:val="auto"/>
          <w:sz w:val="24"/>
          <w:highlight w:val="none"/>
          <w:lang w:val="en-US" w:eastAsia="zh-CN"/>
        </w:rPr>
        <w:t>5</w:t>
      </w:r>
      <w:r>
        <w:rPr>
          <w:rFonts w:hint="eastAsia"/>
          <w:color w:val="auto"/>
          <w:sz w:val="24"/>
          <w:highlight w:val="none"/>
        </w:rPr>
        <w:t>mm铜排。金属封闭式高压开关柜的隔板要求为金属隔板、绝缘板并有可靠的接地。</w:t>
      </w:r>
    </w:p>
    <w:p w14:paraId="2B0E50D6">
      <w:pPr>
        <w:pStyle w:val="6"/>
        <w:spacing w:before="50" w:after="50" w:line="360" w:lineRule="auto"/>
        <w:rPr>
          <w:rFonts w:ascii="宋体" w:hAnsi="宋体"/>
          <w:color w:val="auto"/>
          <w:sz w:val="24"/>
          <w:highlight w:val="none"/>
        </w:rPr>
      </w:pPr>
      <w:r>
        <w:rPr>
          <w:rFonts w:hint="eastAsia" w:ascii="宋体" w:hAnsi="宋体"/>
          <w:color w:val="auto"/>
          <w:sz w:val="24"/>
          <w:highlight w:val="none"/>
        </w:rPr>
        <w:t>4）开关柜母线由开关柜成套供货。</w:t>
      </w:r>
    </w:p>
    <w:p w14:paraId="71E4867D">
      <w:pPr>
        <w:pStyle w:val="6"/>
        <w:spacing w:before="50" w:after="50" w:line="360" w:lineRule="auto"/>
        <w:rPr>
          <w:rFonts w:ascii="宋体" w:hAnsi="宋体"/>
          <w:color w:val="auto"/>
          <w:sz w:val="24"/>
          <w:highlight w:val="none"/>
        </w:rPr>
      </w:pPr>
      <w:r>
        <w:rPr>
          <w:rFonts w:hint="eastAsia" w:ascii="宋体" w:hAnsi="宋体"/>
          <w:color w:val="auto"/>
          <w:sz w:val="24"/>
          <w:highlight w:val="none"/>
        </w:rPr>
        <w:t>5）所有母线不得使用铜包铝工艺。</w:t>
      </w:r>
    </w:p>
    <w:p w14:paraId="701083F2">
      <w:pPr>
        <w:pStyle w:val="6"/>
        <w:spacing w:before="50" w:after="50" w:line="360" w:lineRule="auto"/>
        <w:rPr>
          <w:rFonts w:ascii="宋体" w:hAnsi="宋体"/>
          <w:color w:val="auto"/>
          <w:sz w:val="24"/>
          <w:highlight w:val="none"/>
        </w:rPr>
      </w:pPr>
      <w:r>
        <w:rPr>
          <w:rFonts w:hint="eastAsia" w:ascii="宋体" w:hAnsi="宋体"/>
          <w:color w:val="auto"/>
          <w:sz w:val="24"/>
          <w:highlight w:val="none"/>
        </w:rPr>
        <w:t>3.</w:t>
      </w:r>
      <w:r>
        <w:rPr>
          <w:rFonts w:hint="eastAsia"/>
          <w:color w:val="auto"/>
          <w:sz w:val="24"/>
          <w:highlight w:val="none"/>
          <w:lang w:val="en-US" w:eastAsia="zh-CN"/>
        </w:rPr>
        <w:t>4.</w:t>
      </w:r>
      <w:r>
        <w:rPr>
          <w:rFonts w:hint="eastAsia" w:ascii="宋体" w:hAnsi="宋体"/>
          <w:color w:val="auto"/>
          <w:sz w:val="24"/>
          <w:highlight w:val="none"/>
        </w:rPr>
        <w:t>2.1</w:t>
      </w:r>
      <w:r>
        <w:rPr>
          <w:rFonts w:hint="eastAsia"/>
          <w:color w:val="auto"/>
          <w:sz w:val="24"/>
          <w:highlight w:val="none"/>
          <w:lang w:val="en-US" w:eastAsia="zh-CN"/>
        </w:rPr>
        <w:t>0</w:t>
      </w:r>
      <w:r>
        <w:rPr>
          <w:rFonts w:hint="eastAsia" w:ascii="宋体" w:hAnsi="宋体"/>
          <w:color w:val="auto"/>
          <w:sz w:val="24"/>
          <w:highlight w:val="none"/>
        </w:rPr>
        <w:t>二次部分技术要求</w:t>
      </w:r>
    </w:p>
    <w:p w14:paraId="0ECC8F84">
      <w:pPr>
        <w:pStyle w:val="6"/>
        <w:spacing w:before="50" w:after="50" w:line="360" w:lineRule="auto"/>
        <w:rPr>
          <w:rFonts w:ascii="宋体" w:hAnsi="宋体"/>
          <w:color w:val="auto"/>
          <w:sz w:val="24"/>
          <w:highlight w:val="none"/>
        </w:rPr>
      </w:pPr>
      <w:r>
        <w:rPr>
          <w:rFonts w:hint="eastAsia"/>
          <w:color w:val="auto"/>
          <w:sz w:val="24"/>
          <w:highlight w:val="none"/>
          <w:lang w:val="en-US" w:eastAsia="zh-CN"/>
        </w:rPr>
        <w:t>1)</w:t>
      </w:r>
      <w:r>
        <w:rPr>
          <w:rFonts w:hint="eastAsia" w:ascii="宋体" w:hAnsi="宋体"/>
          <w:color w:val="auto"/>
          <w:sz w:val="24"/>
          <w:highlight w:val="none"/>
        </w:rPr>
        <w:t>开关柜上端子排的接线及其排列应与需方提供的图纸一致。对外引接电缆均经过端子排，端子排上至少应还有</w:t>
      </w:r>
      <w:r>
        <w:rPr>
          <w:rFonts w:ascii="宋体" w:hAnsi="宋体"/>
          <w:color w:val="auto"/>
          <w:sz w:val="24"/>
          <w:highlight w:val="none"/>
        </w:rPr>
        <w:t>20%</w:t>
      </w:r>
      <w:r>
        <w:rPr>
          <w:rFonts w:hint="eastAsia" w:ascii="宋体" w:hAnsi="宋体"/>
          <w:color w:val="auto"/>
          <w:sz w:val="24"/>
          <w:highlight w:val="none"/>
        </w:rPr>
        <w:t>的备用端子</w:t>
      </w:r>
      <w:r>
        <w:rPr>
          <w:rFonts w:hint="eastAsia"/>
          <w:color w:val="auto"/>
          <w:sz w:val="24"/>
          <w:highlight w:val="none"/>
          <w:lang w:val="en-US" w:eastAsia="zh-CN"/>
        </w:rPr>
        <w:t>,</w:t>
      </w:r>
      <w:r>
        <w:rPr>
          <w:rFonts w:hint="eastAsia" w:ascii="宋体" w:hAnsi="宋体"/>
          <w:color w:val="auto"/>
          <w:sz w:val="24"/>
          <w:highlight w:val="none"/>
        </w:rPr>
        <w:t>柜内布线应满足下列要求：</w:t>
      </w:r>
    </w:p>
    <w:p w14:paraId="7F5CFABF">
      <w:pPr>
        <w:pStyle w:val="6"/>
        <w:spacing w:before="50" w:after="50" w:line="360" w:lineRule="auto"/>
        <w:rPr>
          <w:rFonts w:ascii="宋体" w:hAnsi="宋体"/>
          <w:color w:val="auto"/>
          <w:sz w:val="24"/>
          <w:highlight w:val="none"/>
        </w:rPr>
      </w:pPr>
      <w:r>
        <w:rPr>
          <w:rFonts w:hint="eastAsia"/>
          <w:color w:val="auto"/>
          <w:sz w:val="24"/>
          <w:highlight w:val="none"/>
          <w:lang w:val="en-US" w:eastAsia="zh-CN"/>
        </w:rPr>
        <w:t>a.</w:t>
      </w:r>
      <w:r>
        <w:rPr>
          <w:rFonts w:hint="eastAsia" w:ascii="宋体" w:hAnsi="宋体"/>
          <w:color w:val="auto"/>
          <w:sz w:val="24"/>
          <w:highlight w:val="none"/>
        </w:rPr>
        <w:t>原理正确，布线合理。导线中间不得有接头。</w:t>
      </w:r>
    </w:p>
    <w:p w14:paraId="5D24FAD0">
      <w:pPr>
        <w:pStyle w:val="6"/>
        <w:spacing w:before="50" w:after="50" w:line="360" w:lineRule="auto"/>
        <w:rPr>
          <w:rFonts w:ascii="宋体" w:hAnsi="宋体"/>
          <w:color w:val="auto"/>
          <w:sz w:val="24"/>
          <w:highlight w:val="none"/>
        </w:rPr>
      </w:pPr>
      <w:r>
        <w:rPr>
          <w:rFonts w:hint="eastAsia"/>
          <w:color w:val="auto"/>
          <w:sz w:val="24"/>
          <w:highlight w:val="none"/>
          <w:lang w:val="en-US" w:eastAsia="zh-CN"/>
        </w:rPr>
        <w:t>b.</w:t>
      </w:r>
      <w:r>
        <w:rPr>
          <w:rFonts w:hint="eastAsia" w:ascii="宋体" w:hAnsi="宋体"/>
          <w:color w:val="auto"/>
          <w:sz w:val="24"/>
          <w:highlight w:val="none"/>
        </w:rPr>
        <w:t>表计、控制、信号和保护回路连接用线均选用交联聚乙烯绝缘，电压不小于75</w:t>
      </w:r>
      <w:r>
        <w:rPr>
          <w:rFonts w:ascii="宋体" w:hAnsi="宋体"/>
          <w:color w:val="auto"/>
          <w:sz w:val="24"/>
          <w:highlight w:val="none"/>
        </w:rPr>
        <w:t>0V</w:t>
      </w:r>
      <w:r>
        <w:rPr>
          <w:rFonts w:hint="eastAsia" w:ascii="宋体" w:hAnsi="宋体"/>
          <w:color w:val="auto"/>
          <w:sz w:val="24"/>
          <w:highlight w:val="none"/>
        </w:rPr>
        <w:t>的铜芯绝缘线导线。</w:t>
      </w:r>
    </w:p>
    <w:p w14:paraId="1E84AA83">
      <w:pPr>
        <w:pStyle w:val="6"/>
        <w:spacing w:before="50" w:after="50" w:line="360" w:lineRule="auto"/>
        <w:rPr>
          <w:rFonts w:ascii="宋体" w:hAnsi="宋体"/>
          <w:color w:val="auto"/>
          <w:sz w:val="24"/>
          <w:highlight w:val="none"/>
        </w:rPr>
      </w:pPr>
      <w:r>
        <w:rPr>
          <w:rFonts w:hint="eastAsia"/>
          <w:color w:val="auto"/>
          <w:sz w:val="24"/>
          <w:highlight w:val="none"/>
          <w:lang w:val="en-US" w:eastAsia="zh-CN"/>
        </w:rPr>
        <w:t>c.</w:t>
      </w:r>
      <w:r>
        <w:rPr>
          <w:rFonts w:hint="eastAsia" w:ascii="宋体" w:hAnsi="宋体"/>
          <w:color w:val="auto"/>
          <w:sz w:val="24"/>
          <w:highlight w:val="none"/>
        </w:rPr>
        <w:t>导线截面：控制</w:t>
      </w:r>
      <w:r>
        <w:rPr>
          <w:rFonts w:hint="eastAsia"/>
          <w:color w:val="auto"/>
          <w:sz w:val="24"/>
          <w:highlight w:val="none"/>
          <w:lang w:eastAsia="zh-CN"/>
        </w:rPr>
        <w:t>、</w:t>
      </w:r>
      <w:r>
        <w:rPr>
          <w:rFonts w:hint="eastAsia"/>
          <w:color w:val="auto"/>
          <w:sz w:val="24"/>
          <w:highlight w:val="none"/>
          <w:lang w:val="en-US" w:eastAsia="zh-CN"/>
        </w:rPr>
        <w:t>信号、保护</w:t>
      </w:r>
      <w:r>
        <w:rPr>
          <w:rFonts w:hint="eastAsia" w:ascii="宋体" w:hAnsi="宋体"/>
          <w:color w:val="auto"/>
          <w:sz w:val="24"/>
          <w:highlight w:val="none"/>
        </w:rPr>
        <w:t>回路</w:t>
      </w:r>
      <w:r>
        <w:rPr>
          <w:rFonts w:hint="eastAsia"/>
          <w:color w:val="auto"/>
          <w:sz w:val="24"/>
          <w:highlight w:val="none"/>
          <w:lang w:eastAsia="zh-CN"/>
        </w:rPr>
        <w:t>：</w:t>
      </w:r>
      <w:r>
        <w:rPr>
          <w:rFonts w:hint="eastAsia"/>
          <w:color w:val="auto"/>
          <w:sz w:val="24"/>
          <w:highlight w:val="none"/>
          <w:lang w:val="en-US" w:eastAsia="zh-CN"/>
        </w:rPr>
        <w:t>电压</w:t>
      </w:r>
      <w:r>
        <w:rPr>
          <w:rFonts w:hint="eastAsia" w:ascii="宋体" w:hAnsi="宋体"/>
          <w:color w:val="auto"/>
          <w:sz w:val="24"/>
          <w:highlight w:val="none"/>
        </w:rPr>
        <w:t>1.5</w:t>
      </w:r>
      <w:r>
        <w:rPr>
          <w:rFonts w:ascii="宋体" w:hAnsi="宋体"/>
          <w:color w:val="auto"/>
          <w:sz w:val="24"/>
          <w:highlight w:val="none"/>
        </w:rPr>
        <w:t>mm</w:t>
      </w:r>
      <w:r>
        <w:rPr>
          <w:rFonts w:ascii="宋体" w:hAnsi="宋体"/>
          <w:color w:val="auto"/>
          <w:sz w:val="24"/>
          <w:highlight w:val="none"/>
          <w:vertAlign w:val="superscript"/>
        </w:rPr>
        <w:t>2</w:t>
      </w:r>
      <w:r>
        <w:rPr>
          <w:rFonts w:hint="eastAsia" w:ascii="宋体" w:hAnsi="宋体"/>
          <w:color w:val="auto"/>
          <w:sz w:val="24"/>
          <w:highlight w:val="none"/>
        </w:rPr>
        <w:t>、</w:t>
      </w:r>
      <w:r>
        <w:rPr>
          <w:rFonts w:hint="eastAsia"/>
          <w:color w:val="auto"/>
          <w:sz w:val="24"/>
          <w:highlight w:val="none"/>
          <w:lang w:val="en-US" w:eastAsia="zh-CN"/>
        </w:rPr>
        <w:t>电流2.5</w:t>
      </w:r>
      <w:r>
        <w:rPr>
          <w:rFonts w:ascii="宋体" w:hAnsi="宋体"/>
          <w:color w:val="auto"/>
          <w:sz w:val="24"/>
          <w:highlight w:val="none"/>
        </w:rPr>
        <w:t>mm</w:t>
      </w:r>
      <w:r>
        <w:rPr>
          <w:rFonts w:ascii="宋体" w:hAnsi="宋体"/>
          <w:color w:val="auto"/>
          <w:sz w:val="24"/>
          <w:highlight w:val="none"/>
          <w:vertAlign w:val="superscript"/>
        </w:rPr>
        <w:t>2</w:t>
      </w:r>
      <w:r>
        <w:rPr>
          <w:rFonts w:hint="eastAsia"/>
          <w:color w:val="auto"/>
          <w:sz w:val="24"/>
          <w:highlight w:val="none"/>
          <w:lang w:eastAsia="zh-CN"/>
        </w:rPr>
        <w:t>；</w:t>
      </w:r>
      <w:r>
        <w:rPr>
          <w:rFonts w:hint="eastAsia"/>
          <w:color w:val="auto"/>
          <w:sz w:val="24"/>
          <w:highlight w:val="none"/>
          <w:lang w:val="en-US" w:eastAsia="zh-CN"/>
        </w:rPr>
        <w:t>计量回路：</w:t>
      </w:r>
      <w:r>
        <w:rPr>
          <w:rFonts w:hint="eastAsia" w:ascii="宋体" w:hAnsi="宋体"/>
          <w:color w:val="auto"/>
          <w:sz w:val="24"/>
          <w:highlight w:val="none"/>
        </w:rPr>
        <w:t>电压回</w:t>
      </w:r>
      <w:r>
        <w:rPr>
          <w:rFonts w:hint="eastAsia"/>
          <w:color w:val="auto"/>
          <w:sz w:val="24"/>
          <w:highlight w:val="none"/>
          <w:lang w:val="en-US" w:eastAsia="zh-CN"/>
        </w:rPr>
        <w:t>2.5</w:t>
      </w:r>
      <w:r>
        <w:rPr>
          <w:rFonts w:ascii="宋体" w:hAnsi="宋体"/>
          <w:color w:val="auto"/>
          <w:sz w:val="24"/>
          <w:highlight w:val="none"/>
        </w:rPr>
        <w:t>mm</w:t>
      </w:r>
      <w:r>
        <w:rPr>
          <w:rFonts w:ascii="宋体" w:hAnsi="宋体"/>
          <w:color w:val="auto"/>
          <w:sz w:val="24"/>
          <w:highlight w:val="none"/>
          <w:vertAlign w:val="superscript"/>
        </w:rPr>
        <w:t>2</w:t>
      </w:r>
      <w:r>
        <w:rPr>
          <w:rFonts w:hint="eastAsia" w:ascii="宋体" w:hAnsi="宋体"/>
          <w:color w:val="auto"/>
          <w:sz w:val="24"/>
          <w:highlight w:val="none"/>
        </w:rPr>
        <w:t>；电流</w:t>
      </w:r>
      <w:r>
        <w:rPr>
          <w:rFonts w:ascii="宋体" w:hAnsi="宋体"/>
          <w:color w:val="auto"/>
          <w:sz w:val="24"/>
          <w:highlight w:val="none"/>
        </w:rPr>
        <w:t xml:space="preserve"> 4mm</w:t>
      </w:r>
      <w:r>
        <w:rPr>
          <w:rFonts w:ascii="宋体" w:hAnsi="宋体"/>
          <w:color w:val="auto"/>
          <w:sz w:val="24"/>
          <w:highlight w:val="none"/>
          <w:vertAlign w:val="superscript"/>
        </w:rPr>
        <w:t>2</w:t>
      </w:r>
      <w:r>
        <w:rPr>
          <w:rFonts w:hint="eastAsia" w:ascii="宋体" w:hAnsi="宋体"/>
          <w:color w:val="auto"/>
          <w:sz w:val="24"/>
          <w:highlight w:val="none"/>
        </w:rPr>
        <w:t>。</w:t>
      </w:r>
    </w:p>
    <w:p w14:paraId="0AF13B00">
      <w:pPr>
        <w:pStyle w:val="6"/>
        <w:spacing w:before="50" w:after="50" w:line="360" w:lineRule="auto"/>
        <w:rPr>
          <w:rFonts w:ascii="宋体" w:hAnsi="宋体"/>
          <w:color w:val="auto"/>
          <w:sz w:val="24"/>
          <w:highlight w:val="none"/>
        </w:rPr>
      </w:pPr>
      <w:r>
        <w:rPr>
          <w:rFonts w:hint="eastAsia"/>
          <w:color w:val="auto"/>
          <w:sz w:val="24"/>
          <w:highlight w:val="none"/>
          <w:lang w:val="en-US" w:eastAsia="zh-CN"/>
        </w:rPr>
        <w:t>d.</w:t>
      </w:r>
      <w:r>
        <w:rPr>
          <w:rFonts w:hint="eastAsia" w:ascii="宋体" w:hAnsi="宋体"/>
          <w:color w:val="auto"/>
          <w:sz w:val="24"/>
          <w:highlight w:val="none"/>
        </w:rPr>
        <w:t>电流互感器用的端子排应设计成短接型电流端子，电流不小于</w:t>
      </w:r>
      <w:r>
        <w:rPr>
          <w:rFonts w:ascii="宋体" w:hAnsi="宋体"/>
          <w:color w:val="auto"/>
          <w:sz w:val="24"/>
          <w:highlight w:val="none"/>
        </w:rPr>
        <w:t>20A(500V)</w:t>
      </w:r>
      <w:r>
        <w:rPr>
          <w:rFonts w:hint="eastAsia"/>
          <w:color w:val="auto"/>
          <w:sz w:val="24"/>
          <w:highlight w:val="none"/>
          <w:lang w:val="en-US" w:eastAsia="zh-CN"/>
        </w:rPr>
        <w:t>普通端子UK2.5B,电流端子URTK/S</w:t>
      </w:r>
      <w:r>
        <w:rPr>
          <w:rFonts w:hint="eastAsia" w:ascii="宋体" w:hAnsi="宋体"/>
          <w:color w:val="auto"/>
          <w:sz w:val="24"/>
          <w:highlight w:val="none"/>
        </w:rPr>
        <w:t>，并具有隔离板。</w:t>
      </w:r>
    </w:p>
    <w:p w14:paraId="7B896E61">
      <w:pPr>
        <w:pStyle w:val="6"/>
        <w:spacing w:before="50" w:after="50" w:line="360" w:lineRule="auto"/>
        <w:rPr>
          <w:rFonts w:ascii="宋体" w:hAnsi="宋体"/>
          <w:color w:val="auto"/>
          <w:sz w:val="24"/>
          <w:highlight w:val="none"/>
        </w:rPr>
      </w:pPr>
      <w:r>
        <w:rPr>
          <w:rFonts w:hint="eastAsia"/>
          <w:color w:val="auto"/>
          <w:sz w:val="24"/>
          <w:highlight w:val="none"/>
          <w:lang w:val="en-US" w:eastAsia="zh-CN"/>
        </w:rPr>
        <w:t>e.</w:t>
      </w:r>
      <w:r>
        <w:rPr>
          <w:rFonts w:hint="eastAsia" w:ascii="宋体" w:hAnsi="宋体"/>
          <w:color w:val="auto"/>
          <w:sz w:val="24"/>
          <w:highlight w:val="none"/>
        </w:rPr>
        <w:t>所有端子的绝缘材料必须是阻燃的。</w:t>
      </w:r>
    </w:p>
    <w:p w14:paraId="40335D07">
      <w:pPr>
        <w:pStyle w:val="6"/>
        <w:spacing w:before="50" w:after="50" w:line="360" w:lineRule="auto"/>
        <w:rPr>
          <w:rFonts w:hint="eastAsia" w:ascii="宋体" w:hAnsi="宋体"/>
          <w:color w:val="auto"/>
          <w:sz w:val="24"/>
          <w:highlight w:val="none"/>
        </w:rPr>
      </w:pPr>
      <w:r>
        <w:rPr>
          <w:rFonts w:hint="eastAsia"/>
          <w:color w:val="auto"/>
          <w:sz w:val="24"/>
          <w:highlight w:val="none"/>
          <w:lang w:val="en-US" w:eastAsia="zh-CN"/>
        </w:rPr>
        <w:t>f.</w:t>
      </w:r>
      <w:r>
        <w:rPr>
          <w:rFonts w:hint="eastAsia" w:ascii="宋体" w:hAnsi="宋体"/>
          <w:color w:val="auto"/>
          <w:sz w:val="24"/>
          <w:highlight w:val="none"/>
        </w:rPr>
        <w:t xml:space="preserve">所有导线的终端应有与需方图纸一致的回路编号或导线走向标识。 </w:t>
      </w:r>
    </w:p>
    <w:p w14:paraId="5CDAFC0E">
      <w:pPr>
        <w:pStyle w:val="6"/>
        <w:spacing w:before="50" w:after="50" w:line="360" w:lineRule="auto"/>
        <w:rPr>
          <w:rStyle w:val="25"/>
          <w:rFonts w:hint="eastAsia" w:ascii="宋体" w:hAnsi="宋体" w:eastAsia="宋体" w:cs="宋体"/>
          <w:b w:val="0"/>
          <w:i w:val="0"/>
          <w:caps w:val="0"/>
          <w:color w:val="auto"/>
          <w:spacing w:val="0"/>
          <w:w w:val="100"/>
          <w:kern w:val="2"/>
          <w:sz w:val="24"/>
          <w:szCs w:val="24"/>
          <w:lang w:val="en-US" w:eastAsia="zh-CN" w:bidi="ar-SA"/>
        </w:rPr>
      </w:pPr>
      <w:r>
        <w:rPr>
          <w:rStyle w:val="25"/>
          <w:rFonts w:hint="eastAsia" w:ascii="宋体" w:hAnsi="宋体" w:eastAsia="宋体" w:cs="宋体"/>
          <w:b w:val="0"/>
          <w:i w:val="0"/>
          <w:color w:val="auto"/>
          <w:spacing w:val="0"/>
          <w:w w:val="100"/>
          <w:kern w:val="2"/>
          <w:sz w:val="24"/>
          <w:szCs w:val="24"/>
          <w:lang w:val="en-US" w:eastAsia="zh-CN" w:bidi="ar-SA"/>
        </w:rPr>
        <w:t>h</w:t>
      </w:r>
      <w:r>
        <w:rPr>
          <w:rStyle w:val="25"/>
          <w:rFonts w:hint="eastAsia" w:ascii="宋体" w:hAnsi="宋体" w:eastAsia="宋体" w:cs="宋体"/>
          <w:b w:val="0"/>
          <w:i w:val="0"/>
          <w:caps w:val="0"/>
          <w:color w:val="auto"/>
          <w:spacing w:val="0"/>
          <w:w w:val="100"/>
          <w:kern w:val="2"/>
          <w:sz w:val="24"/>
          <w:szCs w:val="24"/>
          <w:lang w:val="en-US" w:eastAsia="zh-CN" w:bidi="ar-SA"/>
        </w:rPr>
        <w:t>.所有CT、PT二次回路引出至端子，备用CT二次绕组需在端子上短接并可靠接地。</w:t>
      </w:r>
    </w:p>
    <w:p w14:paraId="75E4C41D">
      <w:pPr>
        <w:pStyle w:val="6"/>
        <w:spacing w:before="50" w:after="50" w:line="360" w:lineRule="auto"/>
        <w:rPr>
          <w:rStyle w:val="25"/>
          <w:rFonts w:hint="eastAsia" w:ascii="宋体" w:hAnsi="宋体" w:eastAsia="宋体" w:cs="宋体"/>
          <w:b w:val="0"/>
          <w:i w:val="0"/>
          <w:caps w:val="0"/>
          <w:color w:val="auto"/>
          <w:spacing w:val="0"/>
          <w:w w:val="100"/>
          <w:kern w:val="2"/>
          <w:sz w:val="24"/>
          <w:szCs w:val="24"/>
          <w:lang w:val="en-US" w:eastAsia="zh-CN" w:bidi="ar-SA"/>
        </w:rPr>
      </w:pPr>
      <w:r>
        <w:rPr>
          <w:rStyle w:val="25"/>
          <w:rFonts w:hint="eastAsia" w:ascii="宋体" w:hAnsi="宋体" w:eastAsia="宋体" w:cs="宋体"/>
          <w:b w:val="0"/>
          <w:i w:val="0"/>
          <w:color w:val="auto"/>
          <w:spacing w:val="0"/>
          <w:w w:val="100"/>
          <w:kern w:val="2"/>
          <w:sz w:val="24"/>
          <w:szCs w:val="24"/>
          <w:lang w:val="en-US" w:eastAsia="zh-CN" w:bidi="ar-SA"/>
        </w:rPr>
        <w:t>i</w:t>
      </w:r>
      <w:r>
        <w:rPr>
          <w:rStyle w:val="25"/>
          <w:rFonts w:hint="eastAsia" w:ascii="宋体" w:hAnsi="宋体" w:eastAsia="宋体" w:cs="宋体"/>
          <w:b w:val="0"/>
          <w:i w:val="0"/>
          <w:caps w:val="0"/>
          <w:color w:val="auto"/>
          <w:spacing w:val="0"/>
          <w:w w:val="100"/>
          <w:kern w:val="2"/>
          <w:sz w:val="24"/>
          <w:szCs w:val="24"/>
          <w:lang w:val="en-US" w:eastAsia="zh-CN" w:bidi="ar-SA"/>
        </w:rPr>
        <w:t>.交直流不同回路之间、不同功能端子之间、不同电压等级端子之间、正负端子之间应留有2个以上空余端子。</w:t>
      </w:r>
    </w:p>
    <w:p w14:paraId="783B692D">
      <w:pPr>
        <w:pStyle w:val="6"/>
        <w:numPr>
          <w:ilvl w:val="0"/>
          <w:numId w:val="10"/>
        </w:numPr>
        <w:spacing w:before="50" w:after="50" w:line="360" w:lineRule="auto"/>
        <w:rPr>
          <w:rFonts w:ascii="宋体" w:hAnsi="宋体"/>
          <w:color w:val="auto"/>
          <w:sz w:val="24"/>
          <w:highlight w:val="none"/>
        </w:rPr>
      </w:pPr>
      <w:r>
        <w:rPr>
          <w:rFonts w:hint="eastAsia" w:ascii="宋体" w:hAnsi="宋体"/>
          <w:color w:val="auto"/>
          <w:sz w:val="24"/>
          <w:highlight w:val="none"/>
        </w:rPr>
        <w:t>当测量仪表及继电器保护装置盘面上的二次回路接线以插头与高压开关柜中其它二次回路相连接时，其插头及插座必须接触可靠，并有锁紧设施。</w:t>
      </w:r>
    </w:p>
    <w:p w14:paraId="59E1A0EF">
      <w:pPr>
        <w:pStyle w:val="6"/>
        <w:numPr>
          <w:ilvl w:val="0"/>
          <w:numId w:val="10"/>
        </w:numPr>
        <w:spacing w:before="50" w:after="50" w:line="360" w:lineRule="auto"/>
        <w:ind w:left="0" w:leftChars="0" w:firstLine="0" w:firstLineChars="0"/>
        <w:rPr>
          <w:rFonts w:ascii="宋体" w:hAnsi="宋体"/>
          <w:color w:val="auto"/>
          <w:sz w:val="24"/>
          <w:highlight w:val="none"/>
        </w:rPr>
      </w:pPr>
      <w:r>
        <w:rPr>
          <w:rFonts w:hint="eastAsia" w:ascii="宋体" w:hAnsi="宋体"/>
          <w:color w:val="auto"/>
          <w:sz w:val="24"/>
          <w:highlight w:val="none"/>
        </w:rPr>
        <w:t>对于需分开运输的开关柜的柜间联线，要求互联的接线接在一个柜的端子排上，当开关柜段组装时，再与其他柜连接。</w:t>
      </w:r>
    </w:p>
    <w:p w14:paraId="7F9D115E">
      <w:pPr>
        <w:pStyle w:val="6"/>
        <w:numPr>
          <w:ilvl w:val="0"/>
          <w:numId w:val="10"/>
        </w:numPr>
        <w:spacing w:before="50" w:after="50" w:line="360" w:lineRule="auto"/>
        <w:ind w:left="0" w:leftChars="0" w:firstLine="0" w:firstLineChars="0"/>
        <w:rPr>
          <w:rFonts w:ascii="宋体" w:hAnsi="宋体"/>
          <w:color w:val="auto"/>
          <w:sz w:val="24"/>
          <w:highlight w:val="none"/>
        </w:rPr>
      </w:pPr>
      <w:r>
        <w:rPr>
          <w:rFonts w:hint="eastAsia" w:ascii="宋体" w:hAnsi="宋体"/>
          <w:color w:val="auto"/>
          <w:sz w:val="24"/>
          <w:highlight w:val="none"/>
        </w:rPr>
        <w:t>所有操作机构和辅助开关的接线除有特殊要求外，均采用相同接线，以保证开关柜小车的互换性。</w:t>
      </w:r>
    </w:p>
    <w:p w14:paraId="6CB2C1A5">
      <w:pPr>
        <w:pStyle w:val="6"/>
        <w:numPr>
          <w:ilvl w:val="0"/>
          <w:numId w:val="10"/>
        </w:numPr>
        <w:spacing w:before="50" w:after="50" w:line="360" w:lineRule="auto"/>
        <w:ind w:left="0" w:leftChars="0" w:firstLine="0" w:firstLineChars="0"/>
        <w:rPr>
          <w:rFonts w:ascii="宋体" w:hAnsi="宋体"/>
          <w:color w:val="auto"/>
          <w:sz w:val="24"/>
          <w:highlight w:val="none"/>
        </w:rPr>
      </w:pPr>
      <w:r>
        <w:rPr>
          <w:rFonts w:hint="eastAsia" w:ascii="宋体" w:hAnsi="宋体"/>
          <w:color w:val="auto"/>
          <w:sz w:val="24"/>
          <w:highlight w:val="none"/>
        </w:rPr>
        <w:t>为方便测控装置的检修，要求各装置经空气小开关（</w:t>
      </w:r>
      <w:r>
        <w:rPr>
          <w:rFonts w:ascii="宋体" w:hAnsi="宋体"/>
          <w:color w:val="auto"/>
          <w:sz w:val="24"/>
          <w:highlight w:val="none"/>
        </w:rPr>
        <w:t>6A</w:t>
      </w:r>
      <w:r>
        <w:rPr>
          <w:rFonts w:hint="eastAsia" w:ascii="宋体" w:hAnsi="宋体"/>
          <w:color w:val="auto"/>
          <w:sz w:val="24"/>
          <w:highlight w:val="none"/>
        </w:rPr>
        <w:t>，</w:t>
      </w:r>
      <w:r>
        <w:rPr>
          <w:rFonts w:ascii="宋体" w:hAnsi="宋体"/>
          <w:color w:val="auto"/>
          <w:sz w:val="24"/>
          <w:highlight w:val="none"/>
        </w:rPr>
        <w:t>4P</w:t>
      </w:r>
      <w:r>
        <w:rPr>
          <w:rFonts w:hint="eastAsia" w:ascii="宋体" w:hAnsi="宋体"/>
          <w:color w:val="auto"/>
          <w:sz w:val="24"/>
          <w:highlight w:val="none"/>
        </w:rPr>
        <w:t>）接入电压小母线。</w:t>
      </w:r>
    </w:p>
    <w:p w14:paraId="44DD6227">
      <w:pPr>
        <w:pStyle w:val="6"/>
        <w:spacing w:before="50" w:after="50" w:line="360" w:lineRule="auto"/>
        <w:rPr>
          <w:rFonts w:ascii="宋体" w:hAnsi="宋体"/>
          <w:color w:val="auto"/>
          <w:sz w:val="24"/>
          <w:highlight w:val="none"/>
        </w:rPr>
      </w:pPr>
      <w:r>
        <w:rPr>
          <w:rFonts w:hint="eastAsia"/>
          <w:color w:val="auto"/>
          <w:sz w:val="24"/>
          <w:highlight w:val="none"/>
          <w:lang w:val="en-US" w:eastAsia="zh-CN"/>
        </w:rPr>
        <w:t>6)</w:t>
      </w:r>
      <w:r>
        <w:rPr>
          <w:rFonts w:hint="eastAsia" w:ascii="宋体" w:hAnsi="宋体"/>
          <w:color w:val="auto"/>
          <w:sz w:val="24"/>
          <w:highlight w:val="none"/>
        </w:rPr>
        <w:t xml:space="preserve"> 控制回路采用</w:t>
      </w:r>
      <w:r>
        <w:rPr>
          <w:rFonts w:hint="eastAsia"/>
          <w:color w:val="auto"/>
          <w:sz w:val="24"/>
          <w:highlight w:val="none"/>
          <w:lang w:val="en-US" w:eastAsia="zh-CN"/>
        </w:rPr>
        <w:t>国家名优</w:t>
      </w:r>
      <w:r>
        <w:rPr>
          <w:rFonts w:hint="eastAsia" w:ascii="宋体" w:hAnsi="宋体"/>
          <w:color w:val="auto"/>
          <w:sz w:val="24"/>
          <w:highlight w:val="none"/>
        </w:rPr>
        <w:t>直流空气开关</w:t>
      </w:r>
      <w:r>
        <w:rPr>
          <w:rFonts w:hint="eastAsia"/>
          <w:color w:val="auto"/>
          <w:sz w:val="24"/>
          <w:highlight w:val="none"/>
          <w:lang w:eastAsia="zh-CN"/>
        </w:rPr>
        <w:t>，</w:t>
      </w:r>
      <w:r>
        <w:rPr>
          <w:rFonts w:hint="eastAsia" w:ascii="宋体" w:hAnsi="宋体"/>
          <w:color w:val="auto"/>
          <w:sz w:val="24"/>
          <w:highlight w:val="none"/>
        </w:rPr>
        <w:t>每面开关柜配置储能直流空气开关和控制直流空气开关各一只，容量为6A。</w:t>
      </w:r>
    </w:p>
    <w:p w14:paraId="1A17A891">
      <w:pPr>
        <w:pStyle w:val="6"/>
        <w:spacing w:before="50" w:after="50" w:line="360" w:lineRule="auto"/>
        <w:rPr>
          <w:rFonts w:ascii="宋体" w:hAnsi="宋体"/>
          <w:color w:val="auto"/>
          <w:sz w:val="24"/>
          <w:highlight w:val="none"/>
        </w:rPr>
      </w:pPr>
      <w:r>
        <w:rPr>
          <w:rFonts w:hint="eastAsia"/>
          <w:color w:val="auto"/>
          <w:sz w:val="24"/>
          <w:highlight w:val="none"/>
          <w:lang w:val="en-US" w:eastAsia="zh-CN"/>
        </w:rPr>
        <w:t xml:space="preserve">7) </w:t>
      </w:r>
      <w:r>
        <w:rPr>
          <w:rFonts w:hint="eastAsia" w:ascii="宋体" w:hAnsi="宋体"/>
          <w:color w:val="auto"/>
          <w:sz w:val="24"/>
          <w:highlight w:val="none"/>
        </w:rPr>
        <w:t>电流互感器二次侧加装过电压保护器，数量见图纸。</w:t>
      </w:r>
    </w:p>
    <w:p w14:paraId="2C33ABC9">
      <w:pPr>
        <w:pStyle w:val="6"/>
        <w:spacing w:before="50" w:after="50"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1</w:t>
      </w:r>
      <w:r>
        <w:rPr>
          <w:rFonts w:hint="eastAsia" w:ascii="宋体" w:hAnsi="宋体" w:eastAsia="宋体" w:cs="Times New Roman"/>
          <w:color w:val="auto"/>
          <w:sz w:val="24"/>
          <w:highlight w:val="none"/>
        </w:rPr>
        <w:t>.</w:t>
      </w:r>
      <w:r>
        <w:rPr>
          <w:rFonts w:hint="eastAsia" w:ascii="宋体" w:hAnsi="宋体" w:eastAsia="宋体" w:cs="Times New Roman"/>
          <w:color w:val="auto"/>
          <w:sz w:val="24"/>
          <w:highlight w:val="none"/>
          <w:lang w:val="en-US" w:eastAsia="zh-CN"/>
        </w:rPr>
        <w:t>4.</w:t>
      </w:r>
      <w:r>
        <w:rPr>
          <w:rFonts w:hint="eastAsia" w:ascii="宋体" w:hAnsi="宋体" w:eastAsia="宋体" w:cs="Times New Roman"/>
          <w:color w:val="auto"/>
          <w:sz w:val="24"/>
          <w:highlight w:val="none"/>
        </w:rPr>
        <w:t>2.1</w:t>
      </w:r>
      <w:r>
        <w:rPr>
          <w:rFonts w:hint="eastAsia" w:ascii="宋体" w:hAnsi="宋体" w:eastAsia="宋体" w:cs="Times New Roman"/>
          <w:color w:val="auto"/>
          <w:sz w:val="24"/>
          <w:highlight w:val="none"/>
          <w:lang w:val="en-US" w:eastAsia="zh-CN"/>
        </w:rPr>
        <w:t>1</w:t>
      </w:r>
      <w:r>
        <w:rPr>
          <w:rFonts w:hint="eastAsia" w:ascii="宋体" w:hAnsi="宋体" w:eastAsia="宋体" w:cs="Times New Roman"/>
          <w:color w:val="auto"/>
          <w:sz w:val="24"/>
          <w:highlight w:val="none"/>
        </w:rPr>
        <w:t>标志</w:t>
      </w:r>
    </w:p>
    <w:p w14:paraId="511EA833">
      <w:pPr>
        <w:pStyle w:val="6"/>
        <w:spacing w:before="50" w:after="50" w:line="360" w:lineRule="auto"/>
        <w:rPr>
          <w:rFonts w:ascii="宋体" w:hAnsi="宋体"/>
          <w:color w:val="auto"/>
          <w:sz w:val="24"/>
          <w:highlight w:val="none"/>
        </w:rPr>
      </w:pPr>
      <w:r>
        <w:rPr>
          <w:rFonts w:hint="eastAsia"/>
          <w:color w:val="auto"/>
          <w:sz w:val="24"/>
          <w:highlight w:val="none"/>
          <w:lang w:val="en-US" w:eastAsia="zh-CN"/>
        </w:rPr>
        <w:t>1)</w:t>
      </w:r>
      <w:r>
        <w:rPr>
          <w:rFonts w:hint="eastAsia" w:ascii="宋体" w:hAnsi="宋体"/>
          <w:color w:val="auto"/>
          <w:sz w:val="24"/>
          <w:highlight w:val="none"/>
        </w:rPr>
        <w:t xml:space="preserve"> 铭牌</w:t>
      </w:r>
    </w:p>
    <w:p w14:paraId="462B9F4D">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开关柜有耐久、清晰的铭牌，</w:t>
      </w:r>
      <w:r>
        <w:rPr>
          <w:rFonts w:hint="eastAsia"/>
          <w:color w:val="auto"/>
          <w:sz w:val="24"/>
          <w:highlight w:val="none"/>
          <w:lang w:val="en-US" w:eastAsia="zh-CN"/>
        </w:rPr>
        <w:t>材质铝铭牌，内容按实验报告国家标准</w:t>
      </w:r>
      <w:r>
        <w:rPr>
          <w:rFonts w:hint="eastAsia" w:ascii="宋体" w:hAnsi="宋体"/>
          <w:color w:val="auto"/>
          <w:sz w:val="24"/>
          <w:highlight w:val="none"/>
        </w:rPr>
        <w:t>、铭牌包括以下内容：</w:t>
      </w:r>
    </w:p>
    <w:p w14:paraId="0E7445B8">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a.制造商名称；</w:t>
      </w:r>
    </w:p>
    <w:p w14:paraId="62F36665">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b. 开关柜型号；</w:t>
      </w:r>
    </w:p>
    <w:p w14:paraId="039B6D05">
      <w:pPr>
        <w:pStyle w:val="6"/>
        <w:spacing w:before="50" w:after="50" w:line="360" w:lineRule="auto"/>
        <w:ind w:left="480" w:hanging="480" w:hangingChars="200"/>
        <w:rPr>
          <w:rFonts w:hint="eastAsia" w:ascii="宋体" w:hAnsi="宋体" w:eastAsia="宋体"/>
          <w:color w:val="auto"/>
          <w:sz w:val="24"/>
          <w:highlight w:val="none"/>
          <w:lang w:eastAsia="zh-CN"/>
        </w:rPr>
      </w:pPr>
      <w:r>
        <w:rPr>
          <w:rFonts w:hint="eastAsia" w:ascii="宋体" w:hAnsi="宋体"/>
          <w:color w:val="auto"/>
          <w:sz w:val="24"/>
          <w:highlight w:val="none"/>
        </w:rPr>
        <w:t xml:space="preserve">    c. 出厂日期</w:t>
      </w:r>
    </w:p>
    <w:p w14:paraId="2A34CC60">
      <w:pPr>
        <w:pStyle w:val="6"/>
        <w:spacing w:before="50" w:after="50" w:line="360" w:lineRule="auto"/>
        <w:ind w:left="480" w:hanging="480" w:hangingChars="200"/>
        <w:rPr>
          <w:rFonts w:ascii="宋体" w:hAnsi="宋体"/>
          <w:color w:val="auto"/>
          <w:sz w:val="24"/>
          <w:highlight w:val="none"/>
        </w:rPr>
      </w:pPr>
      <w:r>
        <w:rPr>
          <w:rFonts w:hint="eastAsia" w:ascii="宋体" w:hAnsi="宋体"/>
          <w:color w:val="auto"/>
          <w:sz w:val="24"/>
          <w:highlight w:val="none"/>
        </w:rPr>
        <w:t>d．设备名称、主要技术参数、工程识别号和重量等；</w:t>
      </w:r>
    </w:p>
    <w:p w14:paraId="3AC3E5CD">
      <w:pPr>
        <w:pStyle w:val="6"/>
        <w:spacing w:before="50" w:after="50" w:line="360" w:lineRule="auto"/>
        <w:ind w:firstLine="480" w:firstLineChars="200"/>
        <w:rPr>
          <w:rFonts w:ascii="宋体" w:hAnsi="宋体"/>
          <w:color w:val="auto"/>
          <w:sz w:val="24"/>
          <w:highlight w:val="none"/>
        </w:rPr>
      </w:pPr>
      <w:r>
        <w:rPr>
          <w:rFonts w:hint="eastAsia" w:ascii="宋体" w:hAnsi="宋体"/>
          <w:color w:val="auto"/>
          <w:sz w:val="24"/>
          <w:highlight w:val="none"/>
        </w:rPr>
        <w:t>e.</w:t>
      </w:r>
      <w:r>
        <w:rPr>
          <w:rFonts w:hint="eastAsia"/>
          <w:color w:val="auto"/>
          <w:highlight w:val="none"/>
        </w:rPr>
        <w:t xml:space="preserve"> </w:t>
      </w:r>
      <w:r>
        <w:rPr>
          <w:rFonts w:hint="eastAsia" w:ascii="宋体" w:hAnsi="宋体"/>
          <w:color w:val="auto"/>
          <w:sz w:val="24"/>
          <w:highlight w:val="none"/>
        </w:rPr>
        <w:t>额定短路开断及关合电流；</w:t>
      </w:r>
    </w:p>
    <w:p w14:paraId="29340C8E">
      <w:pPr>
        <w:pStyle w:val="6"/>
        <w:spacing w:before="50" w:after="50" w:line="360" w:lineRule="auto"/>
        <w:ind w:firstLine="480" w:firstLineChars="200"/>
        <w:rPr>
          <w:rFonts w:ascii="宋体" w:hAnsi="宋体"/>
          <w:color w:val="auto"/>
          <w:sz w:val="24"/>
          <w:highlight w:val="none"/>
        </w:rPr>
      </w:pPr>
      <w:r>
        <w:rPr>
          <w:rFonts w:hint="eastAsia" w:ascii="宋体" w:hAnsi="宋体"/>
          <w:color w:val="auto"/>
          <w:sz w:val="24"/>
          <w:highlight w:val="none"/>
        </w:rPr>
        <w:t>f. 额定短路持续时间。</w:t>
      </w:r>
    </w:p>
    <w:p w14:paraId="16BF8046">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以下内容在开关柜的铭牌或有关资料中给出:</w:t>
      </w:r>
    </w:p>
    <w:p w14:paraId="4B563708">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a. 国家标准;</w:t>
      </w:r>
    </w:p>
    <w:p w14:paraId="1569CB98">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b. 额定电压;</w:t>
      </w:r>
    </w:p>
    <w:p w14:paraId="5E721EBD">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c. 额定电流;</w:t>
      </w:r>
    </w:p>
    <w:p w14:paraId="22BF64D9">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d. 辅助回路额定电压及断路器跳、合闸电流;</w:t>
      </w:r>
    </w:p>
    <w:p w14:paraId="70410017">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e. 使用条件;</w:t>
      </w:r>
    </w:p>
    <w:p w14:paraId="4CAA6549">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f. 每个电路的额定电流;</w:t>
      </w:r>
    </w:p>
    <w:p w14:paraId="4B062D76">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g. 短路强度;</w:t>
      </w:r>
    </w:p>
    <w:p w14:paraId="5AFAD1AC">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h. 防护等级;</w:t>
      </w:r>
    </w:p>
    <w:p w14:paraId="167AB52B">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i. 防止触电的措施;</w:t>
      </w:r>
    </w:p>
    <w:p w14:paraId="6CA80756">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j. 工作范围;</w:t>
      </w:r>
    </w:p>
    <w:p w14:paraId="24EBF77C">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k. 接地类型及安装尺寸;</w:t>
      </w:r>
    </w:p>
    <w:p w14:paraId="24EA34B6">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l. 重量。</w:t>
      </w:r>
    </w:p>
    <w:p w14:paraId="5F123191">
      <w:pPr>
        <w:pStyle w:val="6"/>
        <w:spacing w:before="50" w:after="50" w:line="360" w:lineRule="auto"/>
        <w:rPr>
          <w:rFonts w:ascii="宋体" w:hAnsi="宋体"/>
          <w:color w:val="auto"/>
          <w:sz w:val="24"/>
          <w:highlight w:val="none"/>
        </w:rPr>
      </w:pPr>
      <w:r>
        <w:rPr>
          <w:rFonts w:hint="eastAsia"/>
          <w:color w:val="auto"/>
          <w:sz w:val="24"/>
          <w:highlight w:val="none"/>
          <w:lang w:val="en-US" w:eastAsia="zh-CN"/>
        </w:rPr>
        <w:t xml:space="preserve">2) </w:t>
      </w:r>
      <w:r>
        <w:rPr>
          <w:rFonts w:hint="eastAsia" w:ascii="宋体" w:hAnsi="宋体"/>
          <w:color w:val="auto"/>
          <w:sz w:val="24"/>
          <w:highlight w:val="none"/>
        </w:rPr>
        <w:t xml:space="preserve"> 标志</w:t>
      </w:r>
    </w:p>
    <w:p w14:paraId="7C4F408A">
      <w:pPr>
        <w:pStyle w:val="6"/>
        <w:spacing w:before="50" w:after="50" w:line="360" w:lineRule="auto"/>
        <w:ind w:firstLine="480" w:firstLineChars="200"/>
        <w:rPr>
          <w:rFonts w:ascii="宋体" w:hAnsi="宋体"/>
          <w:color w:val="auto"/>
          <w:sz w:val="24"/>
          <w:highlight w:val="none"/>
        </w:rPr>
      </w:pPr>
      <w:r>
        <w:rPr>
          <w:rFonts w:hint="eastAsia" w:ascii="宋体" w:hAnsi="宋体"/>
          <w:color w:val="auto"/>
          <w:sz w:val="24"/>
          <w:highlight w:val="none"/>
        </w:rPr>
        <w:t>在装置内, 尽可能在靠近电器元件的上方标志, 该元件的文字符合, 各电路的导线端头也标志相应文字符合, 所有文字符号与需方提供的接线图上的文字符号一致。</w:t>
      </w:r>
    </w:p>
    <w:p w14:paraId="56E404AA">
      <w:pPr>
        <w:pStyle w:val="6"/>
        <w:spacing w:before="50" w:after="50" w:line="360" w:lineRule="auto"/>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w:t>
      </w:r>
      <w:r>
        <w:rPr>
          <w:rFonts w:hint="eastAsia"/>
          <w:color w:val="auto"/>
          <w:sz w:val="24"/>
          <w:highlight w:val="none"/>
          <w:lang w:val="en-US" w:eastAsia="zh-CN"/>
        </w:rPr>
        <w:t>4.</w:t>
      </w:r>
      <w:r>
        <w:rPr>
          <w:rFonts w:hint="eastAsia" w:ascii="宋体" w:hAnsi="宋体"/>
          <w:color w:val="auto"/>
          <w:sz w:val="24"/>
          <w:highlight w:val="none"/>
        </w:rPr>
        <w:t>2.1</w:t>
      </w:r>
      <w:r>
        <w:rPr>
          <w:rFonts w:hint="eastAsia"/>
          <w:color w:val="auto"/>
          <w:sz w:val="24"/>
          <w:highlight w:val="none"/>
          <w:lang w:val="en-US" w:eastAsia="zh-CN"/>
        </w:rPr>
        <w:t>2</w:t>
      </w:r>
      <w:r>
        <w:rPr>
          <w:rFonts w:hint="eastAsia" w:ascii="宋体" w:hAnsi="宋体"/>
          <w:color w:val="auto"/>
          <w:sz w:val="24"/>
          <w:highlight w:val="none"/>
        </w:rPr>
        <w:t>手车室</w:t>
      </w:r>
    </w:p>
    <w:p w14:paraId="749FB372">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手车底部装有四只滚轮, 进出由专门推进机构完成。</w:t>
      </w:r>
    </w:p>
    <w:p w14:paraId="004B7A6F">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手车装有配套的二次接插座, 实现二次回路的接通和分断。</w:t>
      </w:r>
    </w:p>
    <w:p w14:paraId="31D9C9C7">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手车室后部装有接地的绝缘活门, 手车抽出后, 活门自动关闭，并有专门的闭锁装置。</w:t>
      </w:r>
    </w:p>
    <w:p w14:paraId="351E1250">
      <w:pPr>
        <w:pStyle w:val="6"/>
        <w:spacing w:before="50" w:after="50" w:line="360" w:lineRule="auto"/>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w:t>
      </w:r>
      <w:r>
        <w:rPr>
          <w:rFonts w:hint="eastAsia"/>
          <w:color w:val="auto"/>
          <w:sz w:val="24"/>
          <w:highlight w:val="none"/>
          <w:lang w:val="en-US" w:eastAsia="zh-CN"/>
        </w:rPr>
        <w:t>4.</w:t>
      </w:r>
      <w:r>
        <w:rPr>
          <w:rFonts w:hint="eastAsia" w:ascii="宋体" w:hAnsi="宋体"/>
          <w:color w:val="auto"/>
          <w:sz w:val="24"/>
          <w:highlight w:val="none"/>
        </w:rPr>
        <w:t>2.1</w:t>
      </w:r>
      <w:r>
        <w:rPr>
          <w:rFonts w:hint="eastAsia"/>
          <w:color w:val="auto"/>
          <w:sz w:val="24"/>
          <w:highlight w:val="none"/>
          <w:lang w:val="en-US" w:eastAsia="zh-CN"/>
        </w:rPr>
        <w:t>3</w:t>
      </w:r>
      <w:r>
        <w:rPr>
          <w:rFonts w:hint="eastAsia" w:ascii="宋体" w:hAnsi="宋体"/>
          <w:color w:val="auto"/>
          <w:sz w:val="24"/>
          <w:highlight w:val="none"/>
        </w:rPr>
        <w:t xml:space="preserve"> 母线室</w:t>
      </w:r>
    </w:p>
    <w:p w14:paraId="1B138354">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母线室在柜体的后上部, 一侧为隔板并安装母线绝缘套管, 将柜与柜之间的母线室隔开, 有利于防止事故的扩大。</w:t>
      </w:r>
    </w:p>
    <w:p w14:paraId="56D044BC">
      <w:pPr>
        <w:pStyle w:val="6"/>
        <w:spacing w:before="50" w:after="50" w:line="360" w:lineRule="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1.4.2.14电缆室</w:t>
      </w:r>
    </w:p>
    <w:p w14:paraId="656DF056">
      <w:pPr>
        <w:pStyle w:val="6"/>
        <w:spacing w:before="50" w:after="50" w:line="360" w:lineRule="auto"/>
        <w:ind w:firstLine="480"/>
        <w:rPr>
          <w:rFonts w:ascii="宋体" w:hAnsi="宋体"/>
          <w:color w:val="auto"/>
          <w:sz w:val="24"/>
          <w:highlight w:val="none"/>
        </w:rPr>
      </w:pPr>
      <w:r>
        <w:rPr>
          <w:rFonts w:hint="eastAsia" w:ascii="宋体" w:hAnsi="宋体"/>
          <w:color w:val="auto"/>
          <w:sz w:val="24"/>
          <w:highlight w:val="none"/>
        </w:rPr>
        <w:t>电缆室位于柜体后下部, 室内可安装电流互感器、接地开关，也能安装避雷器，当手车和水平隔板移开后，施工人员可以正面安装电缆，电缆室内设有电缆连接导体，可以同时并接1~3根电缆，在电缆室内底部配制开缝可卸的钢板，电缆接头处距地面大于750</w:t>
      </w:r>
      <w:r>
        <w:rPr>
          <w:rFonts w:ascii="宋体" w:hAnsi="宋体"/>
          <w:color w:val="auto"/>
          <w:sz w:val="24"/>
          <w:highlight w:val="none"/>
        </w:rPr>
        <w:t>mm</w:t>
      </w:r>
      <w:r>
        <w:rPr>
          <w:rFonts w:hint="eastAsia" w:ascii="宋体" w:hAnsi="宋体"/>
          <w:color w:val="auto"/>
          <w:sz w:val="24"/>
          <w:highlight w:val="none"/>
        </w:rPr>
        <w:t>以确保现场施工方便。室内设有电缆的固定和零序电流互感器的固定元件。</w:t>
      </w:r>
    </w:p>
    <w:p w14:paraId="7F2C4A48">
      <w:pPr>
        <w:pStyle w:val="6"/>
        <w:spacing w:before="50" w:after="50" w:line="360" w:lineRule="auto"/>
        <w:ind w:firstLine="480"/>
        <w:rPr>
          <w:rFonts w:ascii="宋体" w:hAnsi="宋体"/>
          <w:color w:val="auto"/>
          <w:sz w:val="24"/>
          <w:szCs w:val="24"/>
          <w:highlight w:val="none"/>
        </w:rPr>
      </w:pPr>
      <w:r>
        <w:rPr>
          <w:rFonts w:hint="eastAsia" w:ascii="宋体" w:hAnsi="宋体"/>
          <w:color w:val="auto"/>
          <w:sz w:val="24"/>
          <w:szCs w:val="24"/>
          <w:highlight w:val="none"/>
        </w:rPr>
        <w:t>中间设置直径不小于150mm的绝缘胶圈，待安装电缆后仍有缝隙可以用防火胶泥进行封堵。</w:t>
      </w:r>
    </w:p>
    <w:p w14:paraId="37696D1B">
      <w:pPr>
        <w:pStyle w:val="6"/>
        <w:spacing w:before="50" w:after="50" w:line="360" w:lineRule="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1.4.2.15继电器仪表室</w:t>
      </w:r>
    </w:p>
    <w:p w14:paraId="2C69298D">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继电器仪表室在柜体的前上部, 可安装指示仪表、操作开关、继电器、按钮、信号灯等元件，有防止继电器因震动而产生误差动作，仪表室顶部为小母线室，可敷设十六路控制小母线。</w:t>
      </w:r>
    </w:p>
    <w:p w14:paraId="213B986A">
      <w:pPr>
        <w:pStyle w:val="6"/>
        <w:spacing w:before="50" w:after="50" w:line="360" w:lineRule="auto"/>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1.4.2.16压力释放装置</w:t>
      </w:r>
    </w:p>
    <w:p w14:paraId="7E5D416B">
      <w:pPr>
        <w:pStyle w:val="6"/>
        <w:spacing w:before="50" w:after="50" w:line="360" w:lineRule="auto"/>
        <w:rPr>
          <w:rFonts w:ascii="宋体" w:hAnsi="宋体"/>
          <w:color w:val="auto"/>
          <w:sz w:val="24"/>
          <w:highlight w:val="none"/>
        </w:rPr>
      </w:pPr>
      <w:r>
        <w:rPr>
          <w:rFonts w:hint="eastAsia" w:ascii="宋体" w:hAnsi="宋体"/>
          <w:color w:val="auto"/>
          <w:sz w:val="24"/>
          <w:highlight w:val="none"/>
        </w:rPr>
        <w:t xml:space="preserve">      在手车室、母线室、电缆室上方部设有压力释放装置，当断路器、母线或电缆头发生内部故障时，压力释放装置被自动打开，以排泄气体确保操作人员和设备安全。</w:t>
      </w:r>
    </w:p>
    <w:p w14:paraId="0D930EB9">
      <w:pPr>
        <w:pStyle w:val="6"/>
        <w:spacing w:before="50" w:after="50" w:line="360" w:lineRule="auto"/>
        <w:rPr>
          <w:rFonts w:ascii="宋体" w:hAnsi="宋体"/>
          <w:color w:val="auto"/>
          <w:sz w:val="24"/>
          <w:highlight w:val="none"/>
        </w:rPr>
      </w:pPr>
      <w:r>
        <w:rPr>
          <w:rFonts w:hint="eastAsia" w:ascii="宋体" w:hAnsi="宋体" w:eastAsia="宋体" w:cs="Times New Roman"/>
          <w:color w:val="auto"/>
          <w:sz w:val="24"/>
          <w:highlight w:val="none"/>
          <w:lang w:val="en-US" w:eastAsia="zh-CN"/>
        </w:rPr>
        <w:t>1</w:t>
      </w:r>
      <w:r>
        <w:rPr>
          <w:rFonts w:hint="eastAsia" w:ascii="宋体" w:hAnsi="宋体" w:eastAsia="宋体" w:cs="Times New Roman"/>
          <w:color w:val="auto"/>
          <w:sz w:val="24"/>
          <w:highlight w:val="none"/>
        </w:rPr>
        <w:t>.</w:t>
      </w:r>
      <w:r>
        <w:rPr>
          <w:rFonts w:hint="eastAsia" w:ascii="宋体" w:hAnsi="宋体" w:eastAsia="宋体" w:cs="Times New Roman"/>
          <w:color w:val="auto"/>
          <w:sz w:val="24"/>
          <w:highlight w:val="none"/>
          <w:lang w:val="en-US" w:eastAsia="zh-CN"/>
        </w:rPr>
        <w:t>4.</w:t>
      </w:r>
      <w:r>
        <w:rPr>
          <w:rFonts w:hint="eastAsia" w:ascii="宋体" w:hAnsi="宋体" w:eastAsia="宋体" w:cs="Times New Roman"/>
          <w:color w:val="auto"/>
          <w:sz w:val="24"/>
          <w:highlight w:val="none"/>
        </w:rPr>
        <w:t>2.</w:t>
      </w:r>
      <w:r>
        <w:rPr>
          <w:rFonts w:hint="eastAsia" w:ascii="宋体" w:hAnsi="宋体" w:eastAsia="宋体" w:cs="Times New Roman"/>
          <w:color w:val="auto"/>
          <w:sz w:val="24"/>
          <w:highlight w:val="none"/>
          <w:lang w:val="en-US" w:eastAsia="zh-CN"/>
        </w:rPr>
        <w:t>17</w:t>
      </w:r>
      <w:r>
        <w:rPr>
          <w:rFonts w:hint="eastAsia" w:ascii="宋体" w:hAnsi="宋体" w:eastAsia="宋体" w:cs="Times New Roman"/>
          <w:color w:val="auto"/>
          <w:sz w:val="24"/>
          <w:highlight w:val="none"/>
        </w:rPr>
        <w:t>在电缆室和断路器室各加一个加热器,以防止凝露的产生。加热器能够通过智能操控装置</w:t>
      </w:r>
      <w:r>
        <w:rPr>
          <w:rFonts w:hint="eastAsia" w:ascii="宋体" w:hAnsi="宋体"/>
          <w:color w:val="auto"/>
          <w:sz w:val="24"/>
          <w:highlight w:val="none"/>
        </w:rPr>
        <w:t>上的温湿度感应元件，自动通电或断开。</w:t>
      </w:r>
    </w:p>
    <w:p w14:paraId="1951A49D">
      <w:pPr>
        <w:pStyle w:val="6"/>
        <w:spacing w:before="50" w:after="50" w:line="360" w:lineRule="auto"/>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1</w:t>
      </w:r>
      <w:r>
        <w:rPr>
          <w:rFonts w:hint="eastAsia" w:ascii="宋体" w:hAnsi="宋体" w:eastAsia="宋体" w:cs="Times New Roman"/>
          <w:color w:val="auto"/>
          <w:sz w:val="24"/>
          <w:highlight w:val="none"/>
        </w:rPr>
        <w:t>.</w:t>
      </w:r>
      <w:r>
        <w:rPr>
          <w:rFonts w:hint="eastAsia" w:ascii="宋体" w:hAnsi="宋体" w:eastAsia="宋体" w:cs="Times New Roman"/>
          <w:color w:val="auto"/>
          <w:sz w:val="24"/>
          <w:highlight w:val="none"/>
          <w:lang w:val="en-US" w:eastAsia="zh-CN"/>
        </w:rPr>
        <w:t>4.</w:t>
      </w:r>
      <w:r>
        <w:rPr>
          <w:rFonts w:hint="eastAsia" w:ascii="宋体" w:hAnsi="宋体" w:eastAsia="宋体" w:cs="Times New Roman"/>
          <w:color w:val="auto"/>
          <w:sz w:val="24"/>
          <w:highlight w:val="none"/>
        </w:rPr>
        <w:t>2.</w:t>
      </w:r>
      <w:r>
        <w:rPr>
          <w:rFonts w:hint="eastAsia" w:ascii="宋体" w:hAnsi="宋体" w:eastAsia="宋体" w:cs="Times New Roman"/>
          <w:color w:val="auto"/>
          <w:sz w:val="24"/>
          <w:highlight w:val="none"/>
          <w:lang w:val="en-US" w:eastAsia="zh-CN"/>
        </w:rPr>
        <w:t>18</w:t>
      </w:r>
      <w:r>
        <w:rPr>
          <w:rFonts w:hint="eastAsia" w:ascii="宋体" w:hAnsi="宋体" w:eastAsia="宋体" w:cs="Times New Roman"/>
          <w:color w:val="auto"/>
          <w:sz w:val="24"/>
          <w:highlight w:val="none"/>
        </w:rPr>
        <w:t>外壳材料</w:t>
      </w:r>
    </w:p>
    <w:p w14:paraId="662DD331">
      <w:pPr>
        <w:pStyle w:val="6"/>
        <w:spacing w:before="50" w:after="50" w:line="360" w:lineRule="auto"/>
        <w:rPr>
          <w:rFonts w:ascii="宋体" w:hAnsi="宋体"/>
          <w:color w:val="auto"/>
          <w:sz w:val="24"/>
          <w:highlight w:val="none"/>
        </w:rPr>
      </w:pPr>
      <w:r>
        <w:rPr>
          <w:rFonts w:hint="eastAsia" w:ascii="宋体" w:hAnsi="宋体"/>
          <w:color w:val="auto"/>
          <w:sz w:val="24"/>
          <w:highlight w:val="none"/>
        </w:rPr>
        <w:t>1）柜体： 采用敷铝锌钢板。</w:t>
      </w:r>
    </w:p>
    <w:p w14:paraId="04772771">
      <w:pPr>
        <w:pStyle w:val="6"/>
        <w:spacing w:before="50" w:after="50" w:line="360" w:lineRule="auto"/>
        <w:rPr>
          <w:rFonts w:hint="eastAsia" w:ascii="宋体" w:hAnsi="宋体"/>
          <w:color w:val="auto"/>
          <w:sz w:val="24"/>
          <w:highlight w:val="none"/>
        </w:rPr>
        <w:sectPr>
          <w:footerReference r:id="rId14" w:type="default"/>
          <w:pgSz w:w="11910" w:h="16840"/>
          <w:pgMar w:top="1431" w:right="1380" w:bottom="330" w:left="1750" w:header="964" w:footer="964" w:gutter="0"/>
          <w:cols w:space="720" w:num="1"/>
        </w:sectPr>
      </w:pPr>
      <w:r>
        <w:rPr>
          <w:rFonts w:hint="eastAsia" w:ascii="宋体" w:hAnsi="宋体"/>
          <w:color w:val="auto"/>
          <w:sz w:val="24"/>
          <w:highlight w:val="none"/>
        </w:rPr>
        <w:t>2）面板： 采用宝钢冷轧钢板。</w:t>
      </w:r>
      <w:bookmarkEnd w:id="462"/>
    </w:p>
    <w:p w14:paraId="4330ED9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2、低压柜</w:t>
      </w:r>
    </w:p>
    <w:p w14:paraId="5F45F36F">
      <w:pPr>
        <w:spacing w:before="245" w:line="240" w:lineRule="auto"/>
        <w:jc w:val="center"/>
        <w:rPr>
          <w:rFonts w:ascii="宋体" w:hAnsi="宋体" w:eastAsia="宋体" w:cs="宋体"/>
          <w:color w:val="auto"/>
          <w:sz w:val="34"/>
          <w:szCs w:val="34"/>
        </w:rPr>
      </w:pPr>
      <w:r>
        <w:rPr>
          <w:rFonts w:hint="eastAsia" w:ascii="宋体" w:hAnsi="宋体" w:eastAsia="宋体" w:cs="宋体"/>
          <w:b/>
          <w:bCs/>
          <w:color w:val="auto"/>
          <w:spacing w:val="36"/>
          <w:sz w:val="32"/>
          <w:szCs w:val="32"/>
          <w:lang w:val="en-US" w:eastAsia="zh-CN"/>
        </w:rPr>
        <w:t>一、</w:t>
      </w:r>
      <w:r>
        <w:rPr>
          <w:rFonts w:ascii="宋体" w:hAnsi="宋体" w:eastAsia="宋体" w:cs="宋体"/>
          <w:b/>
          <w:bCs/>
          <w:color w:val="auto"/>
          <w:spacing w:val="36"/>
          <w:sz w:val="32"/>
          <w:szCs w:val="32"/>
        </w:rPr>
        <w:t>供货范围</w:t>
      </w:r>
    </w:p>
    <w:p w14:paraId="668930C2">
      <w:pPr>
        <w:spacing w:before="254" w:line="240" w:lineRule="auto"/>
        <w:outlineLvl w:val="1"/>
        <w:rPr>
          <w:rFonts w:ascii="宋体" w:hAnsi="宋体" w:eastAsia="宋体" w:cs="宋体"/>
          <w:color w:val="auto"/>
          <w:sz w:val="24"/>
          <w:szCs w:val="24"/>
        </w:rPr>
      </w:pPr>
      <w:r>
        <w:rPr>
          <w:rFonts w:hint="eastAsia" w:ascii="宋体" w:hAnsi="宋体" w:eastAsia="宋体" w:cs="宋体"/>
          <w:b/>
          <w:bCs/>
          <w:color w:val="auto"/>
          <w:spacing w:val="2"/>
          <w:sz w:val="24"/>
          <w:szCs w:val="24"/>
          <w:lang w:val="en-US" w:eastAsia="zh-CN"/>
        </w:rPr>
        <w:t>1</w:t>
      </w:r>
      <w:r>
        <w:rPr>
          <w:rFonts w:ascii="宋体" w:hAnsi="宋体" w:eastAsia="宋体" w:cs="宋体"/>
          <w:b/>
          <w:bCs/>
          <w:color w:val="auto"/>
          <w:spacing w:val="2"/>
          <w:sz w:val="24"/>
          <w:szCs w:val="24"/>
        </w:rPr>
        <w:t>.1供货范围</w:t>
      </w:r>
    </w:p>
    <w:p w14:paraId="60CEB3D5">
      <w:pPr>
        <w:spacing w:before="198" w:line="240" w:lineRule="auto"/>
        <w:rPr>
          <w:color w:val="auto"/>
        </w:rPr>
      </w:pPr>
      <w:r>
        <w:rPr>
          <w:rFonts w:ascii="宋体" w:hAnsi="宋体" w:eastAsia="宋体" w:cs="宋体"/>
          <w:color w:val="auto"/>
          <w:spacing w:val="-7"/>
          <w:sz w:val="24"/>
          <w:szCs w:val="24"/>
        </w:rPr>
        <w:t>本次供货范围包括：</w:t>
      </w:r>
    </w:p>
    <w:tbl>
      <w:tblPr>
        <w:tblStyle w:val="29"/>
        <w:tblW w:w="101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4"/>
        <w:gridCol w:w="2198"/>
        <w:gridCol w:w="3487"/>
        <w:gridCol w:w="799"/>
        <w:gridCol w:w="839"/>
        <w:gridCol w:w="1893"/>
      </w:tblGrid>
      <w:tr w14:paraId="65BB3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jc w:val="center"/>
        </w:trPr>
        <w:tc>
          <w:tcPr>
            <w:tcW w:w="914" w:type="dxa"/>
            <w:noWrap w:val="0"/>
            <w:vAlign w:val="top"/>
          </w:tcPr>
          <w:p w14:paraId="16A6C95A">
            <w:pPr>
              <w:pStyle w:val="28"/>
              <w:spacing w:before="205" w:line="360" w:lineRule="auto"/>
              <w:ind w:left="214"/>
              <w:rPr>
                <w:color w:val="auto"/>
              </w:rPr>
            </w:pPr>
            <w:r>
              <w:rPr>
                <w:color w:val="auto"/>
                <w:spacing w:val="7"/>
              </w:rPr>
              <w:t>序号</w:t>
            </w:r>
          </w:p>
        </w:tc>
        <w:tc>
          <w:tcPr>
            <w:tcW w:w="2198" w:type="dxa"/>
            <w:noWrap w:val="0"/>
            <w:vAlign w:val="top"/>
          </w:tcPr>
          <w:p w14:paraId="4A94989D">
            <w:pPr>
              <w:pStyle w:val="28"/>
              <w:spacing w:before="207" w:line="360" w:lineRule="auto"/>
              <w:ind w:left="861"/>
              <w:rPr>
                <w:color w:val="auto"/>
              </w:rPr>
            </w:pPr>
            <w:r>
              <w:rPr>
                <w:color w:val="auto"/>
                <w:spacing w:val="5"/>
              </w:rPr>
              <w:t>名称</w:t>
            </w:r>
          </w:p>
        </w:tc>
        <w:tc>
          <w:tcPr>
            <w:tcW w:w="3487" w:type="dxa"/>
            <w:noWrap w:val="0"/>
            <w:vAlign w:val="top"/>
          </w:tcPr>
          <w:p w14:paraId="06EC0579">
            <w:pPr>
              <w:pStyle w:val="28"/>
              <w:spacing w:before="205" w:line="360" w:lineRule="auto"/>
              <w:ind w:left="1503"/>
              <w:rPr>
                <w:color w:val="auto"/>
              </w:rPr>
            </w:pPr>
            <w:r>
              <w:rPr>
                <w:color w:val="auto"/>
                <w:spacing w:val="7"/>
              </w:rPr>
              <w:t>型号</w:t>
            </w:r>
          </w:p>
        </w:tc>
        <w:tc>
          <w:tcPr>
            <w:tcW w:w="799" w:type="dxa"/>
            <w:noWrap w:val="0"/>
            <w:vAlign w:val="top"/>
          </w:tcPr>
          <w:p w14:paraId="27FC59CB">
            <w:pPr>
              <w:pStyle w:val="28"/>
              <w:spacing w:before="205" w:line="360" w:lineRule="auto"/>
              <w:ind w:left="166"/>
              <w:rPr>
                <w:color w:val="auto"/>
              </w:rPr>
            </w:pPr>
            <w:r>
              <w:rPr>
                <w:color w:val="auto"/>
                <w:spacing w:val="-3"/>
              </w:rPr>
              <w:t>单位</w:t>
            </w:r>
          </w:p>
        </w:tc>
        <w:tc>
          <w:tcPr>
            <w:tcW w:w="839" w:type="dxa"/>
            <w:noWrap w:val="0"/>
            <w:vAlign w:val="top"/>
          </w:tcPr>
          <w:p w14:paraId="1DD885A2">
            <w:pPr>
              <w:pStyle w:val="28"/>
              <w:spacing w:before="204" w:line="360" w:lineRule="auto"/>
              <w:ind w:left="187"/>
              <w:rPr>
                <w:color w:val="auto"/>
              </w:rPr>
            </w:pPr>
            <w:r>
              <w:rPr>
                <w:color w:val="auto"/>
                <w:spacing w:val="-3"/>
              </w:rPr>
              <w:t>数量</w:t>
            </w:r>
          </w:p>
        </w:tc>
        <w:tc>
          <w:tcPr>
            <w:tcW w:w="1893" w:type="dxa"/>
            <w:noWrap w:val="0"/>
            <w:vAlign w:val="top"/>
          </w:tcPr>
          <w:p w14:paraId="55BD90C3">
            <w:pPr>
              <w:pStyle w:val="28"/>
              <w:spacing w:before="205" w:line="360" w:lineRule="auto"/>
              <w:ind w:left="708"/>
              <w:rPr>
                <w:color w:val="auto"/>
              </w:rPr>
            </w:pPr>
            <w:r>
              <w:rPr>
                <w:color w:val="auto"/>
                <w:spacing w:val="5"/>
              </w:rPr>
              <w:t>备注</w:t>
            </w:r>
          </w:p>
        </w:tc>
      </w:tr>
      <w:tr w14:paraId="1710D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14" w:type="dxa"/>
            <w:noWrap w:val="0"/>
            <w:vAlign w:val="top"/>
          </w:tcPr>
          <w:p w14:paraId="6E56BE95">
            <w:pPr>
              <w:pStyle w:val="28"/>
              <w:spacing w:before="258" w:line="360" w:lineRule="auto"/>
              <w:ind w:left="385"/>
              <w:rPr>
                <w:color w:val="auto"/>
              </w:rPr>
            </w:pPr>
            <w:r>
              <w:rPr>
                <w:color w:val="auto"/>
              </w:rPr>
              <w:t>1</w:t>
            </w:r>
          </w:p>
        </w:tc>
        <w:tc>
          <w:tcPr>
            <w:tcW w:w="2198" w:type="dxa"/>
            <w:noWrap w:val="0"/>
            <w:vAlign w:val="top"/>
          </w:tcPr>
          <w:p w14:paraId="1CF014A2">
            <w:pPr>
              <w:pStyle w:val="28"/>
              <w:spacing w:before="201" w:line="360" w:lineRule="auto"/>
              <w:ind w:left="281"/>
              <w:rPr>
                <w:color w:val="auto"/>
              </w:rPr>
            </w:pPr>
            <w:r>
              <w:rPr>
                <w:color w:val="auto"/>
                <w:spacing w:val="-1"/>
              </w:rPr>
              <w:t>低压进线柜</w:t>
            </w:r>
          </w:p>
        </w:tc>
        <w:tc>
          <w:tcPr>
            <w:tcW w:w="3487" w:type="dxa"/>
            <w:noWrap w:val="0"/>
            <w:vAlign w:val="top"/>
          </w:tcPr>
          <w:p w14:paraId="0F33E5E9">
            <w:pPr>
              <w:pStyle w:val="28"/>
              <w:spacing w:before="259" w:line="360" w:lineRule="auto"/>
              <w:ind w:left="1563"/>
              <w:rPr>
                <w:rFonts w:hint="default" w:eastAsia="宋体"/>
                <w:color w:val="auto"/>
                <w:lang w:val="en-US" w:eastAsia="zh-CN"/>
              </w:rPr>
            </w:pPr>
            <w:r>
              <w:rPr>
                <w:rFonts w:hint="eastAsia"/>
                <w:color w:val="auto"/>
                <w:spacing w:val="-1"/>
                <w:lang w:val="en-US" w:eastAsia="zh-CN"/>
              </w:rPr>
              <w:t>GCS</w:t>
            </w:r>
          </w:p>
        </w:tc>
        <w:tc>
          <w:tcPr>
            <w:tcW w:w="799" w:type="dxa"/>
            <w:noWrap w:val="0"/>
            <w:vAlign w:val="top"/>
          </w:tcPr>
          <w:p w14:paraId="68623550">
            <w:pPr>
              <w:pStyle w:val="28"/>
              <w:spacing w:before="203" w:line="360" w:lineRule="auto"/>
              <w:ind w:left="276"/>
              <w:rPr>
                <w:color w:val="auto"/>
              </w:rPr>
            </w:pPr>
            <w:r>
              <w:rPr>
                <w:color w:val="auto"/>
              </w:rPr>
              <w:t>台</w:t>
            </w:r>
          </w:p>
        </w:tc>
        <w:tc>
          <w:tcPr>
            <w:tcW w:w="839" w:type="dxa"/>
            <w:noWrap w:val="0"/>
            <w:vAlign w:val="top"/>
          </w:tcPr>
          <w:p w14:paraId="5616BE5A">
            <w:pPr>
              <w:pStyle w:val="28"/>
              <w:spacing w:before="259" w:line="360" w:lineRule="auto"/>
              <w:ind w:left="356"/>
              <w:rPr>
                <w:rFonts w:hint="eastAsia" w:eastAsia="宋体"/>
                <w:color w:val="auto"/>
                <w:lang w:eastAsia="zh-CN"/>
              </w:rPr>
            </w:pPr>
            <w:r>
              <w:rPr>
                <w:rFonts w:hint="eastAsia"/>
                <w:color w:val="auto"/>
                <w:lang w:val="en-US" w:eastAsia="zh-CN"/>
              </w:rPr>
              <w:t>1</w:t>
            </w:r>
          </w:p>
        </w:tc>
        <w:tc>
          <w:tcPr>
            <w:tcW w:w="1893" w:type="dxa"/>
            <w:noWrap w:val="0"/>
            <w:vAlign w:val="top"/>
          </w:tcPr>
          <w:p w14:paraId="50BD8818">
            <w:pPr>
              <w:pStyle w:val="28"/>
              <w:spacing w:before="258" w:line="360" w:lineRule="auto"/>
              <w:ind w:left="137"/>
              <w:rPr>
                <w:color w:val="auto"/>
              </w:rPr>
            </w:pPr>
            <w:r>
              <w:rPr>
                <w:rFonts w:hint="eastAsia"/>
                <w:color w:val="auto"/>
                <w:spacing w:val="-2"/>
                <w:lang w:val="en-US" w:eastAsia="zh-CN"/>
              </w:rPr>
              <w:t>600</w:t>
            </w:r>
            <w:r>
              <w:rPr>
                <w:color w:val="auto"/>
                <w:spacing w:val="-2"/>
              </w:rPr>
              <w:t>x1000x2200</w:t>
            </w:r>
          </w:p>
        </w:tc>
      </w:tr>
      <w:tr w14:paraId="7EC53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jc w:val="center"/>
        </w:trPr>
        <w:tc>
          <w:tcPr>
            <w:tcW w:w="914" w:type="dxa"/>
            <w:noWrap w:val="0"/>
            <w:vAlign w:val="top"/>
          </w:tcPr>
          <w:p w14:paraId="04F248A8">
            <w:pPr>
              <w:spacing w:line="360" w:lineRule="auto"/>
              <w:rPr>
                <w:rFonts w:ascii="Arial"/>
                <w:color w:val="auto"/>
                <w:sz w:val="21"/>
              </w:rPr>
            </w:pPr>
          </w:p>
          <w:p w14:paraId="65270950">
            <w:pPr>
              <w:pStyle w:val="28"/>
              <w:spacing w:before="75" w:line="360" w:lineRule="auto"/>
              <w:ind w:left="385"/>
              <w:rPr>
                <w:color w:val="auto"/>
              </w:rPr>
            </w:pPr>
            <w:r>
              <w:rPr>
                <w:color w:val="auto"/>
              </w:rPr>
              <w:t>2</w:t>
            </w:r>
          </w:p>
        </w:tc>
        <w:tc>
          <w:tcPr>
            <w:tcW w:w="2198" w:type="dxa"/>
            <w:noWrap w:val="0"/>
            <w:vAlign w:val="top"/>
          </w:tcPr>
          <w:p w14:paraId="44E0B9FB">
            <w:pPr>
              <w:pStyle w:val="28"/>
              <w:spacing w:before="272" w:line="360" w:lineRule="auto"/>
              <w:ind w:left="281"/>
              <w:rPr>
                <w:color w:val="auto"/>
              </w:rPr>
            </w:pPr>
            <w:r>
              <w:rPr>
                <w:color w:val="auto"/>
                <w:spacing w:val="-1"/>
              </w:rPr>
              <w:t>低压</w:t>
            </w:r>
            <w:r>
              <w:rPr>
                <w:rFonts w:hint="eastAsia"/>
                <w:color w:val="auto"/>
                <w:spacing w:val="-1"/>
                <w:lang w:val="en-US" w:eastAsia="zh-CN"/>
              </w:rPr>
              <w:t>电容</w:t>
            </w:r>
            <w:r>
              <w:rPr>
                <w:color w:val="auto"/>
                <w:spacing w:val="-1"/>
              </w:rPr>
              <w:t>柜</w:t>
            </w:r>
          </w:p>
        </w:tc>
        <w:tc>
          <w:tcPr>
            <w:tcW w:w="3487" w:type="dxa"/>
            <w:noWrap w:val="0"/>
            <w:vAlign w:val="top"/>
          </w:tcPr>
          <w:p w14:paraId="5C31C610">
            <w:pPr>
              <w:spacing w:line="360" w:lineRule="auto"/>
              <w:rPr>
                <w:rFonts w:ascii="Arial"/>
                <w:color w:val="auto"/>
                <w:sz w:val="21"/>
              </w:rPr>
            </w:pPr>
          </w:p>
          <w:p w14:paraId="57459797">
            <w:pPr>
              <w:pStyle w:val="28"/>
              <w:spacing w:before="75" w:line="360" w:lineRule="auto"/>
              <w:ind w:left="1563"/>
              <w:rPr>
                <w:color w:val="auto"/>
              </w:rPr>
            </w:pPr>
            <w:r>
              <w:rPr>
                <w:rFonts w:hint="eastAsia"/>
                <w:color w:val="auto"/>
                <w:spacing w:val="-1"/>
                <w:lang w:val="en-US" w:eastAsia="zh-CN"/>
              </w:rPr>
              <w:t>GCS</w:t>
            </w:r>
          </w:p>
        </w:tc>
        <w:tc>
          <w:tcPr>
            <w:tcW w:w="799" w:type="dxa"/>
            <w:noWrap w:val="0"/>
            <w:vAlign w:val="top"/>
          </w:tcPr>
          <w:p w14:paraId="5E3FF68A">
            <w:pPr>
              <w:pStyle w:val="28"/>
              <w:spacing w:before="274" w:line="360" w:lineRule="auto"/>
              <w:ind w:left="276"/>
              <w:rPr>
                <w:color w:val="auto"/>
              </w:rPr>
            </w:pPr>
            <w:r>
              <w:rPr>
                <w:color w:val="auto"/>
              </w:rPr>
              <w:t>台</w:t>
            </w:r>
          </w:p>
        </w:tc>
        <w:tc>
          <w:tcPr>
            <w:tcW w:w="839" w:type="dxa"/>
            <w:noWrap w:val="0"/>
            <w:vAlign w:val="top"/>
          </w:tcPr>
          <w:p w14:paraId="0FEEE1E0">
            <w:pPr>
              <w:spacing w:line="360" w:lineRule="auto"/>
              <w:rPr>
                <w:rFonts w:hint="eastAsia" w:ascii="宋体" w:hAnsi="宋体" w:eastAsia="宋体" w:cs="宋体"/>
                <w:snapToGrid w:val="0"/>
                <w:color w:val="auto"/>
                <w:kern w:val="0"/>
                <w:sz w:val="23"/>
                <w:szCs w:val="23"/>
                <w:lang w:val="en-US" w:eastAsia="zh-CN" w:bidi="ar-SA"/>
              </w:rPr>
            </w:pPr>
          </w:p>
          <w:p w14:paraId="1A07B94F">
            <w:pPr>
              <w:pStyle w:val="28"/>
              <w:spacing w:before="75" w:line="360" w:lineRule="auto"/>
              <w:ind w:left="356"/>
              <w:rPr>
                <w:rFonts w:hint="eastAsia" w:ascii="宋体" w:hAnsi="宋体" w:eastAsia="宋体" w:cs="宋体"/>
                <w:snapToGrid w:val="0"/>
                <w:color w:val="auto"/>
                <w:kern w:val="0"/>
                <w:sz w:val="23"/>
                <w:szCs w:val="23"/>
                <w:lang w:val="en-US" w:eastAsia="zh-CN" w:bidi="ar-SA"/>
              </w:rPr>
            </w:pPr>
            <w:r>
              <w:rPr>
                <w:rFonts w:hint="eastAsia" w:ascii="宋体" w:hAnsi="宋体" w:eastAsia="宋体" w:cs="宋体"/>
                <w:snapToGrid w:val="0"/>
                <w:color w:val="auto"/>
                <w:kern w:val="0"/>
                <w:sz w:val="23"/>
                <w:szCs w:val="23"/>
                <w:lang w:val="en-US" w:eastAsia="zh-CN" w:bidi="ar-SA"/>
              </w:rPr>
              <w:t>1</w:t>
            </w:r>
          </w:p>
        </w:tc>
        <w:tc>
          <w:tcPr>
            <w:tcW w:w="1893" w:type="dxa"/>
            <w:noWrap w:val="0"/>
            <w:vAlign w:val="top"/>
          </w:tcPr>
          <w:p w14:paraId="245C9CA0">
            <w:pPr>
              <w:spacing w:line="360" w:lineRule="auto"/>
              <w:rPr>
                <w:rFonts w:ascii="Arial"/>
                <w:color w:val="auto"/>
                <w:sz w:val="21"/>
              </w:rPr>
            </w:pPr>
          </w:p>
          <w:p w14:paraId="513CC58B">
            <w:pPr>
              <w:pStyle w:val="28"/>
              <w:spacing w:before="75" w:line="360" w:lineRule="auto"/>
              <w:ind w:left="137"/>
              <w:rPr>
                <w:color w:val="auto"/>
              </w:rPr>
            </w:pPr>
            <w:r>
              <w:rPr>
                <w:rFonts w:hint="eastAsia"/>
                <w:color w:val="auto"/>
                <w:spacing w:val="-2"/>
                <w:lang w:val="en-US" w:eastAsia="zh-CN"/>
              </w:rPr>
              <w:t>6</w:t>
            </w:r>
            <w:r>
              <w:rPr>
                <w:color w:val="auto"/>
                <w:spacing w:val="-2"/>
              </w:rPr>
              <w:t>00x1000x2200</w:t>
            </w:r>
          </w:p>
        </w:tc>
      </w:tr>
      <w:tr w14:paraId="4C614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914" w:type="dxa"/>
            <w:noWrap w:val="0"/>
            <w:vAlign w:val="top"/>
          </w:tcPr>
          <w:p w14:paraId="3AA23254">
            <w:pPr>
              <w:pStyle w:val="28"/>
              <w:spacing w:before="261" w:line="360" w:lineRule="auto"/>
              <w:ind w:left="385"/>
              <w:rPr>
                <w:color w:val="auto"/>
              </w:rPr>
            </w:pPr>
            <w:r>
              <w:rPr>
                <w:color w:val="auto"/>
              </w:rPr>
              <w:t>3</w:t>
            </w:r>
          </w:p>
        </w:tc>
        <w:tc>
          <w:tcPr>
            <w:tcW w:w="2198" w:type="dxa"/>
            <w:noWrap w:val="0"/>
            <w:vAlign w:val="top"/>
          </w:tcPr>
          <w:p w14:paraId="6D0ABBEF">
            <w:pPr>
              <w:pStyle w:val="28"/>
              <w:spacing w:before="203" w:line="360" w:lineRule="auto"/>
              <w:ind w:left="281"/>
              <w:rPr>
                <w:color w:val="auto"/>
              </w:rPr>
            </w:pPr>
            <w:r>
              <w:rPr>
                <w:color w:val="auto"/>
                <w:spacing w:val="-1"/>
              </w:rPr>
              <w:t>低压馈线柜</w:t>
            </w:r>
          </w:p>
        </w:tc>
        <w:tc>
          <w:tcPr>
            <w:tcW w:w="3487" w:type="dxa"/>
            <w:noWrap w:val="0"/>
            <w:vAlign w:val="top"/>
          </w:tcPr>
          <w:p w14:paraId="459CFFF3">
            <w:pPr>
              <w:pStyle w:val="28"/>
              <w:spacing w:before="261" w:line="360" w:lineRule="auto"/>
              <w:ind w:left="1563"/>
              <w:rPr>
                <w:color w:val="auto"/>
              </w:rPr>
            </w:pPr>
            <w:r>
              <w:rPr>
                <w:rFonts w:hint="eastAsia"/>
                <w:color w:val="auto"/>
                <w:spacing w:val="-1"/>
                <w:lang w:val="en-US" w:eastAsia="zh-CN"/>
              </w:rPr>
              <w:t>GCS</w:t>
            </w:r>
          </w:p>
        </w:tc>
        <w:tc>
          <w:tcPr>
            <w:tcW w:w="799" w:type="dxa"/>
            <w:noWrap w:val="0"/>
            <w:vAlign w:val="top"/>
          </w:tcPr>
          <w:p w14:paraId="38F01123">
            <w:pPr>
              <w:pStyle w:val="28"/>
              <w:spacing w:before="205" w:line="360" w:lineRule="auto"/>
              <w:ind w:left="276"/>
              <w:rPr>
                <w:color w:val="auto"/>
              </w:rPr>
            </w:pPr>
            <w:r>
              <w:rPr>
                <w:color w:val="auto"/>
              </w:rPr>
              <w:t>台</w:t>
            </w:r>
          </w:p>
        </w:tc>
        <w:tc>
          <w:tcPr>
            <w:tcW w:w="839" w:type="dxa"/>
            <w:noWrap w:val="0"/>
            <w:vAlign w:val="top"/>
          </w:tcPr>
          <w:p w14:paraId="5AB92C87">
            <w:pPr>
              <w:pStyle w:val="28"/>
              <w:spacing w:before="259" w:line="360" w:lineRule="auto"/>
              <w:ind w:left="356"/>
              <w:rPr>
                <w:rFonts w:hint="eastAsia" w:ascii="宋体" w:hAnsi="宋体" w:eastAsia="宋体" w:cs="宋体"/>
                <w:snapToGrid w:val="0"/>
                <w:color w:val="auto"/>
                <w:kern w:val="0"/>
                <w:sz w:val="23"/>
                <w:szCs w:val="23"/>
                <w:lang w:val="en-US" w:eastAsia="zh-CN" w:bidi="ar-SA"/>
              </w:rPr>
            </w:pPr>
            <w:r>
              <w:rPr>
                <w:rFonts w:hint="eastAsia" w:ascii="宋体" w:hAnsi="宋体" w:eastAsia="宋体" w:cs="宋体"/>
                <w:snapToGrid w:val="0"/>
                <w:color w:val="auto"/>
                <w:kern w:val="0"/>
                <w:sz w:val="23"/>
                <w:szCs w:val="23"/>
                <w:lang w:val="en-US" w:eastAsia="zh-CN" w:bidi="ar-SA"/>
              </w:rPr>
              <w:t>1</w:t>
            </w:r>
          </w:p>
        </w:tc>
        <w:tc>
          <w:tcPr>
            <w:tcW w:w="1893" w:type="dxa"/>
            <w:noWrap w:val="0"/>
            <w:vAlign w:val="top"/>
          </w:tcPr>
          <w:p w14:paraId="37D8E328">
            <w:pPr>
              <w:pStyle w:val="28"/>
              <w:spacing w:before="260" w:line="360" w:lineRule="auto"/>
              <w:ind w:left="188"/>
              <w:rPr>
                <w:color w:val="auto"/>
              </w:rPr>
            </w:pPr>
            <w:r>
              <w:rPr>
                <w:rFonts w:hint="eastAsia"/>
                <w:color w:val="auto"/>
                <w:spacing w:val="-2"/>
                <w:lang w:val="en-US" w:eastAsia="zh-CN"/>
              </w:rPr>
              <w:t>6</w:t>
            </w:r>
            <w:r>
              <w:rPr>
                <w:color w:val="auto"/>
                <w:spacing w:val="-2"/>
              </w:rPr>
              <w:t>00x1000x2200</w:t>
            </w:r>
          </w:p>
        </w:tc>
      </w:tr>
      <w:tr w14:paraId="14E99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jc w:val="center"/>
        </w:trPr>
        <w:tc>
          <w:tcPr>
            <w:tcW w:w="914" w:type="dxa"/>
            <w:noWrap w:val="0"/>
            <w:vAlign w:val="top"/>
          </w:tcPr>
          <w:p w14:paraId="046F3C34">
            <w:pPr>
              <w:spacing w:line="360" w:lineRule="auto"/>
              <w:rPr>
                <w:rFonts w:ascii="Arial"/>
                <w:color w:val="auto"/>
                <w:sz w:val="21"/>
              </w:rPr>
            </w:pPr>
          </w:p>
          <w:p w14:paraId="01383A5E">
            <w:pPr>
              <w:pStyle w:val="28"/>
              <w:spacing w:before="75" w:line="360" w:lineRule="auto"/>
              <w:ind w:left="385"/>
              <w:rPr>
                <w:rFonts w:hint="eastAsia" w:eastAsia="宋体"/>
                <w:color w:val="auto"/>
                <w:lang w:eastAsia="zh-CN"/>
              </w:rPr>
            </w:pPr>
            <w:r>
              <w:rPr>
                <w:rFonts w:hint="eastAsia"/>
                <w:color w:val="auto"/>
                <w:lang w:val="en-US" w:eastAsia="zh-CN"/>
              </w:rPr>
              <w:t>4</w:t>
            </w:r>
          </w:p>
        </w:tc>
        <w:tc>
          <w:tcPr>
            <w:tcW w:w="2198" w:type="dxa"/>
            <w:noWrap w:val="0"/>
            <w:vAlign w:val="center"/>
          </w:tcPr>
          <w:p w14:paraId="73D4D3A1">
            <w:pPr>
              <w:pStyle w:val="28"/>
              <w:spacing w:before="75" w:line="360" w:lineRule="auto"/>
              <w:ind w:left="281"/>
              <w:jc w:val="both"/>
              <w:rPr>
                <w:rFonts w:hint="default"/>
                <w:color w:val="auto"/>
                <w:spacing w:val="-1"/>
                <w:lang w:val="en-US" w:eastAsia="zh-CN"/>
              </w:rPr>
            </w:pPr>
            <w:r>
              <w:rPr>
                <w:rFonts w:hint="eastAsia"/>
                <w:color w:val="auto"/>
                <w:spacing w:val="-1"/>
                <w:lang w:val="en-US" w:eastAsia="zh-CN"/>
              </w:rPr>
              <w:t>变压器和低压柜母线连、连屏母线</w:t>
            </w:r>
          </w:p>
        </w:tc>
        <w:tc>
          <w:tcPr>
            <w:tcW w:w="3487" w:type="dxa"/>
            <w:noWrap w:val="0"/>
            <w:vAlign w:val="top"/>
          </w:tcPr>
          <w:p w14:paraId="159A8DA3">
            <w:pPr>
              <w:spacing w:line="360" w:lineRule="auto"/>
              <w:rPr>
                <w:rFonts w:ascii="Arial"/>
                <w:color w:val="auto"/>
                <w:sz w:val="21"/>
              </w:rPr>
            </w:pPr>
          </w:p>
          <w:p w14:paraId="2E976061">
            <w:pPr>
              <w:pStyle w:val="28"/>
              <w:spacing w:before="75" w:line="360" w:lineRule="auto"/>
              <w:ind w:left="1442"/>
              <w:rPr>
                <w:rFonts w:hint="default" w:eastAsia="宋体"/>
                <w:color w:val="auto"/>
                <w:lang w:val="en-US" w:eastAsia="zh-CN"/>
              </w:rPr>
            </w:pPr>
            <w:r>
              <w:rPr>
                <w:rFonts w:hint="eastAsia"/>
                <w:color w:val="auto"/>
                <w:spacing w:val="-3"/>
                <w:lang w:val="en-US" w:eastAsia="zh-CN"/>
              </w:rPr>
              <w:t>详见设计图纸</w:t>
            </w:r>
          </w:p>
        </w:tc>
        <w:tc>
          <w:tcPr>
            <w:tcW w:w="799" w:type="dxa"/>
            <w:noWrap w:val="0"/>
            <w:vAlign w:val="top"/>
          </w:tcPr>
          <w:p w14:paraId="00BDDF5E">
            <w:pPr>
              <w:spacing w:line="360" w:lineRule="auto"/>
              <w:rPr>
                <w:rFonts w:ascii="Arial"/>
                <w:color w:val="auto"/>
                <w:sz w:val="21"/>
              </w:rPr>
            </w:pPr>
          </w:p>
          <w:p w14:paraId="02916C2C">
            <w:pPr>
              <w:pStyle w:val="28"/>
              <w:spacing w:before="75" w:line="360" w:lineRule="auto"/>
              <w:ind w:left="276"/>
              <w:rPr>
                <w:color w:val="auto"/>
              </w:rPr>
            </w:pPr>
            <w:r>
              <w:rPr>
                <w:color w:val="auto"/>
              </w:rPr>
              <w:t>套</w:t>
            </w:r>
          </w:p>
        </w:tc>
        <w:tc>
          <w:tcPr>
            <w:tcW w:w="839" w:type="dxa"/>
            <w:noWrap w:val="0"/>
            <w:vAlign w:val="top"/>
          </w:tcPr>
          <w:p w14:paraId="5D1FAAD7">
            <w:pPr>
              <w:spacing w:line="360" w:lineRule="auto"/>
              <w:rPr>
                <w:rFonts w:hint="eastAsia" w:ascii="宋体" w:hAnsi="宋体" w:eastAsia="宋体" w:cs="宋体"/>
                <w:snapToGrid w:val="0"/>
                <w:color w:val="auto"/>
                <w:kern w:val="0"/>
                <w:sz w:val="23"/>
                <w:szCs w:val="23"/>
                <w:lang w:val="en-US" w:eastAsia="zh-CN" w:bidi="ar-SA"/>
              </w:rPr>
            </w:pPr>
          </w:p>
          <w:p w14:paraId="228B0624">
            <w:pPr>
              <w:pStyle w:val="28"/>
              <w:spacing w:before="75" w:line="360" w:lineRule="auto"/>
              <w:ind w:left="356"/>
              <w:rPr>
                <w:rFonts w:hint="eastAsia" w:ascii="宋体" w:hAnsi="宋体" w:eastAsia="宋体" w:cs="宋体"/>
                <w:snapToGrid w:val="0"/>
                <w:color w:val="auto"/>
                <w:kern w:val="0"/>
                <w:sz w:val="23"/>
                <w:szCs w:val="23"/>
                <w:lang w:val="en-US" w:eastAsia="zh-CN" w:bidi="ar-SA"/>
              </w:rPr>
            </w:pPr>
            <w:r>
              <w:rPr>
                <w:rFonts w:hint="eastAsia" w:ascii="宋体" w:hAnsi="宋体" w:eastAsia="宋体" w:cs="宋体"/>
                <w:snapToGrid w:val="0"/>
                <w:color w:val="auto"/>
                <w:kern w:val="0"/>
                <w:sz w:val="23"/>
                <w:szCs w:val="23"/>
                <w:lang w:val="en-US" w:eastAsia="zh-CN" w:bidi="ar-SA"/>
              </w:rPr>
              <w:t>1</w:t>
            </w:r>
          </w:p>
        </w:tc>
        <w:tc>
          <w:tcPr>
            <w:tcW w:w="1893" w:type="dxa"/>
            <w:noWrap w:val="0"/>
            <w:vAlign w:val="top"/>
          </w:tcPr>
          <w:p w14:paraId="4AE4A82D">
            <w:pPr>
              <w:spacing w:line="360" w:lineRule="auto"/>
              <w:rPr>
                <w:rFonts w:ascii="Arial"/>
                <w:color w:val="auto"/>
                <w:sz w:val="21"/>
              </w:rPr>
            </w:pPr>
          </w:p>
        </w:tc>
      </w:tr>
      <w:tr w14:paraId="04947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jc w:val="center"/>
        </w:trPr>
        <w:tc>
          <w:tcPr>
            <w:tcW w:w="10130" w:type="dxa"/>
            <w:gridSpan w:val="6"/>
            <w:noWrap w:val="0"/>
            <w:vAlign w:val="top"/>
          </w:tcPr>
          <w:p w14:paraId="3F154B4E">
            <w:pPr>
              <w:pStyle w:val="28"/>
              <w:spacing w:before="216" w:line="360" w:lineRule="auto"/>
              <w:ind w:left="105" w:right="563" w:firstLine="489"/>
              <w:rPr>
                <w:color w:val="auto"/>
              </w:rPr>
            </w:pPr>
            <w:r>
              <w:rPr>
                <w:color w:val="auto"/>
              </w:rPr>
              <w:t>低压柜与变压器并排安装，低压柜厂负责安装，解决好干式变压器</w:t>
            </w:r>
            <w:r>
              <w:rPr>
                <w:color w:val="auto"/>
                <w:spacing w:val="-1"/>
              </w:rPr>
              <w:t>和低压开关柜母排搭接</w:t>
            </w:r>
            <w:r>
              <w:rPr>
                <w:color w:val="auto"/>
              </w:rPr>
              <w:t xml:space="preserve"> </w:t>
            </w:r>
            <w:r>
              <w:rPr>
                <w:color w:val="auto"/>
                <w:spacing w:val="5"/>
              </w:rPr>
              <w:t>问题</w:t>
            </w:r>
            <w:r>
              <w:rPr>
                <w:color w:val="auto"/>
                <w:spacing w:val="-49"/>
              </w:rPr>
              <w:t xml:space="preserve"> </w:t>
            </w:r>
            <w:r>
              <w:rPr>
                <w:color w:val="auto"/>
                <w:spacing w:val="5"/>
              </w:rPr>
              <w:t>.</w:t>
            </w:r>
          </w:p>
        </w:tc>
      </w:tr>
    </w:tbl>
    <w:p w14:paraId="7DBC09D0">
      <w:pPr>
        <w:spacing w:before="114" w:line="360" w:lineRule="auto"/>
        <w:ind w:left="2564"/>
        <w:rPr>
          <w:color w:val="auto"/>
        </w:rPr>
      </w:pPr>
      <w:bookmarkStart w:id="465" w:name="bookmark9"/>
      <w:bookmarkEnd w:id="465"/>
      <w:r>
        <w:rPr>
          <w:rFonts w:hint="eastAsia" w:ascii="宋体" w:hAnsi="宋体" w:eastAsia="宋体" w:cs="宋体"/>
          <w:b/>
          <w:bCs/>
          <w:color w:val="auto"/>
          <w:spacing w:val="20"/>
          <w:sz w:val="35"/>
          <w:szCs w:val="35"/>
          <w:lang w:val="en-US" w:eastAsia="zh-CN"/>
        </w:rPr>
        <w:t>二、</w:t>
      </w:r>
      <w:r>
        <w:rPr>
          <w:rFonts w:ascii="宋体" w:hAnsi="宋体" w:eastAsia="宋体" w:cs="宋体"/>
          <w:b/>
          <w:bCs/>
          <w:color w:val="auto"/>
          <w:spacing w:val="20"/>
          <w:sz w:val="35"/>
          <w:szCs w:val="35"/>
        </w:rPr>
        <w:t>主要技术要求</w:t>
      </w:r>
    </w:p>
    <w:p w14:paraId="74F6A99E">
      <w:pPr>
        <w:spacing w:before="91" w:line="360" w:lineRule="auto"/>
        <w:outlineLvl w:val="0"/>
        <w:rPr>
          <w:rFonts w:ascii="宋体" w:hAnsi="宋体" w:eastAsia="宋体" w:cs="宋体"/>
          <w:color w:val="auto"/>
          <w:sz w:val="28"/>
          <w:szCs w:val="28"/>
        </w:rPr>
      </w:pPr>
      <w:r>
        <w:rPr>
          <w:rFonts w:hint="eastAsia" w:ascii="宋体" w:hAnsi="宋体" w:eastAsia="宋体" w:cs="宋体"/>
          <w:b/>
          <w:bCs/>
          <w:color w:val="auto"/>
          <w:spacing w:val="4"/>
          <w:sz w:val="28"/>
          <w:szCs w:val="28"/>
          <w:lang w:val="en-US" w:eastAsia="zh-CN"/>
        </w:rPr>
        <w:t>2</w:t>
      </w:r>
      <w:r>
        <w:rPr>
          <w:rFonts w:ascii="宋体" w:hAnsi="宋体" w:eastAsia="宋体" w:cs="宋体"/>
          <w:b/>
          <w:bCs/>
          <w:color w:val="auto"/>
          <w:spacing w:val="4"/>
          <w:sz w:val="28"/>
          <w:szCs w:val="28"/>
        </w:rPr>
        <w:t>.1使用环境条件</w:t>
      </w:r>
    </w:p>
    <w:p w14:paraId="2C3AF418">
      <w:pPr>
        <w:spacing w:before="310" w:line="360" w:lineRule="auto"/>
        <w:rPr>
          <w:rFonts w:ascii="宋体" w:hAnsi="宋体" w:eastAsia="宋体" w:cs="宋体"/>
          <w:color w:val="auto"/>
          <w:sz w:val="24"/>
          <w:szCs w:val="24"/>
        </w:rPr>
      </w:pPr>
      <w:r>
        <w:rPr>
          <w:rFonts w:ascii="宋体" w:hAnsi="宋体" w:eastAsia="宋体" w:cs="宋体"/>
          <w:color w:val="auto"/>
          <w:spacing w:val="7"/>
          <w:sz w:val="24"/>
          <w:szCs w:val="24"/>
        </w:rPr>
        <w:t>设备使用环境条件包括(不限于)以下内容：</w:t>
      </w:r>
    </w:p>
    <w:p w14:paraId="04105F2D">
      <w:pPr>
        <w:spacing w:before="194" w:line="360" w:lineRule="auto"/>
        <w:ind w:right="291"/>
        <w:rPr>
          <w:rFonts w:ascii="宋体" w:hAnsi="宋体" w:eastAsia="宋体" w:cs="宋体"/>
          <w:color w:val="auto"/>
          <w:sz w:val="24"/>
          <w:szCs w:val="24"/>
        </w:rPr>
      </w:pPr>
      <w:r>
        <w:rPr>
          <w:rFonts w:ascii="宋体" w:hAnsi="宋体" w:eastAsia="宋体" w:cs="宋体"/>
          <w:color w:val="auto"/>
          <w:spacing w:val="8"/>
          <w:sz w:val="24"/>
          <w:szCs w:val="24"/>
        </w:rPr>
        <w:t>(</w:t>
      </w:r>
      <w:r>
        <w:rPr>
          <w:rFonts w:hint="eastAsia" w:ascii="宋体" w:hAnsi="宋体" w:eastAsia="宋体" w:cs="宋体"/>
          <w:color w:val="auto"/>
          <w:spacing w:val="8"/>
          <w:sz w:val="24"/>
          <w:szCs w:val="24"/>
          <w:lang w:val="en-US" w:eastAsia="zh-CN"/>
        </w:rPr>
        <w:t>1</w:t>
      </w:r>
      <w:r>
        <w:rPr>
          <w:rFonts w:ascii="宋体" w:hAnsi="宋体" w:eastAsia="宋体" w:cs="宋体"/>
          <w:color w:val="auto"/>
          <w:spacing w:val="8"/>
          <w:sz w:val="24"/>
          <w:szCs w:val="24"/>
        </w:rPr>
        <w:t xml:space="preserve">)当地温、湿度条件：榆林市属大陆性气候。年平均气温10.7℃,昼夜温差 </w:t>
      </w:r>
      <w:r>
        <w:rPr>
          <w:rFonts w:ascii="宋体" w:hAnsi="宋体" w:eastAsia="宋体" w:cs="宋体"/>
          <w:color w:val="auto"/>
          <w:spacing w:val="15"/>
          <w:sz w:val="24"/>
          <w:szCs w:val="24"/>
        </w:rPr>
        <w:t>达12-15℃,年最低气温-23.4℃(12月),年最高气温37.4</w:t>
      </w:r>
      <w:r>
        <w:rPr>
          <w:rFonts w:ascii="宋体" w:hAnsi="宋体" w:eastAsia="宋体" w:cs="宋体"/>
          <w:color w:val="auto"/>
          <w:spacing w:val="114"/>
          <w:sz w:val="24"/>
          <w:szCs w:val="24"/>
        </w:rPr>
        <w:t xml:space="preserve"> </w:t>
      </w:r>
      <w:r>
        <w:rPr>
          <w:rFonts w:ascii="宋体" w:hAnsi="宋体" w:eastAsia="宋体" w:cs="宋体"/>
          <w:color w:val="auto"/>
          <w:spacing w:val="15"/>
          <w:sz w:val="24"/>
          <w:szCs w:val="24"/>
        </w:rPr>
        <w:t>(7月、8月)</w:t>
      </w:r>
      <w:r>
        <w:rPr>
          <w:rFonts w:ascii="宋体" w:hAnsi="宋体" w:eastAsia="宋体" w:cs="宋体"/>
          <w:color w:val="auto"/>
          <w:spacing w:val="48"/>
          <w:sz w:val="24"/>
          <w:szCs w:val="24"/>
        </w:rPr>
        <w:t xml:space="preserve"> </w:t>
      </w:r>
      <w:r>
        <w:rPr>
          <w:rFonts w:ascii="宋体" w:hAnsi="宋体" w:eastAsia="宋体" w:cs="宋体"/>
          <w:color w:val="auto"/>
          <w:spacing w:val="15"/>
          <w:sz w:val="24"/>
          <w:szCs w:val="24"/>
        </w:rPr>
        <w:t>℃。</w:t>
      </w:r>
    </w:p>
    <w:p w14:paraId="5C8E936A">
      <w:pPr>
        <w:spacing w:before="32" w:line="360" w:lineRule="auto"/>
        <w:rPr>
          <w:rFonts w:ascii="宋体" w:hAnsi="宋体" w:eastAsia="宋体" w:cs="宋体"/>
          <w:color w:val="auto"/>
          <w:sz w:val="24"/>
          <w:szCs w:val="24"/>
        </w:rPr>
      </w:pPr>
      <w:r>
        <w:rPr>
          <w:rFonts w:ascii="宋体" w:hAnsi="宋体" w:eastAsia="宋体" w:cs="宋体"/>
          <w:color w:val="auto"/>
          <w:spacing w:val="4"/>
          <w:sz w:val="24"/>
          <w:szCs w:val="24"/>
        </w:rPr>
        <w:t>年平均降雨量400</w:t>
      </w:r>
      <w:r>
        <w:rPr>
          <w:rFonts w:ascii="宋体" w:hAnsi="宋体" w:eastAsia="宋体" w:cs="宋体"/>
          <w:color w:val="auto"/>
          <w:sz w:val="24"/>
          <w:szCs w:val="24"/>
        </w:rPr>
        <w:t>mm</w:t>
      </w:r>
      <w:r>
        <w:rPr>
          <w:rFonts w:ascii="宋体" w:hAnsi="宋体" w:eastAsia="宋体" w:cs="宋体"/>
          <w:color w:val="auto"/>
          <w:spacing w:val="4"/>
          <w:sz w:val="24"/>
          <w:szCs w:val="24"/>
        </w:rPr>
        <w:t>。</w:t>
      </w:r>
    </w:p>
    <w:p w14:paraId="7E705895">
      <w:pPr>
        <w:spacing w:before="186" w:line="360" w:lineRule="auto"/>
        <w:ind w:left="149"/>
        <w:rPr>
          <w:rFonts w:ascii="宋体" w:hAnsi="宋体" w:eastAsia="宋体" w:cs="宋体"/>
          <w:color w:val="auto"/>
          <w:sz w:val="24"/>
          <w:szCs w:val="24"/>
        </w:rPr>
      </w:pPr>
      <w:r>
        <w:rPr>
          <w:rFonts w:ascii="宋体" w:hAnsi="宋体" w:eastAsia="宋体" w:cs="宋体"/>
          <w:color w:val="auto"/>
          <w:spacing w:val="5"/>
          <w:sz w:val="24"/>
          <w:szCs w:val="24"/>
        </w:rPr>
        <w:t>(</w:t>
      </w:r>
      <w:r>
        <w:rPr>
          <w:rFonts w:hint="eastAsia" w:ascii="宋体" w:hAnsi="宋体" w:eastAsia="宋体" w:cs="宋体"/>
          <w:color w:val="auto"/>
          <w:spacing w:val="5"/>
          <w:sz w:val="24"/>
          <w:szCs w:val="24"/>
          <w:lang w:val="en-US" w:eastAsia="zh-CN"/>
        </w:rPr>
        <w:t>2</w:t>
      </w:r>
      <w:r>
        <w:rPr>
          <w:rFonts w:ascii="宋体" w:hAnsi="宋体" w:eastAsia="宋体" w:cs="宋体"/>
          <w:color w:val="auto"/>
          <w:spacing w:val="5"/>
          <w:sz w:val="24"/>
          <w:szCs w:val="24"/>
        </w:rPr>
        <w:t>)海拔：1123-1823m;</w:t>
      </w:r>
    </w:p>
    <w:p w14:paraId="0D571C15">
      <w:pPr>
        <w:spacing w:before="193" w:line="360" w:lineRule="auto"/>
        <w:ind w:left="149"/>
        <w:rPr>
          <w:rFonts w:ascii="宋体" w:hAnsi="宋体" w:eastAsia="宋体" w:cs="宋体"/>
          <w:color w:val="auto"/>
          <w:sz w:val="24"/>
          <w:szCs w:val="24"/>
        </w:rPr>
      </w:pPr>
      <w:r>
        <w:rPr>
          <w:rFonts w:ascii="宋体" w:hAnsi="宋体" w:eastAsia="宋体" w:cs="宋体"/>
          <w:color w:val="auto"/>
          <w:spacing w:val="6"/>
          <w:sz w:val="24"/>
          <w:szCs w:val="24"/>
        </w:rPr>
        <w:t>(</w:t>
      </w:r>
      <w:r>
        <w:rPr>
          <w:rFonts w:hint="eastAsia" w:ascii="宋体" w:hAnsi="宋体" w:eastAsia="宋体" w:cs="宋体"/>
          <w:color w:val="auto"/>
          <w:spacing w:val="6"/>
          <w:sz w:val="24"/>
          <w:szCs w:val="24"/>
          <w:lang w:val="en-US" w:eastAsia="zh-CN"/>
        </w:rPr>
        <w:t>3</w:t>
      </w:r>
      <w:r>
        <w:rPr>
          <w:rFonts w:ascii="宋体" w:hAnsi="宋体" w:eastAsia="宋体" w:cs="宋体"/>
          <w:color w:val="auto"/>
          <w:spacing w:val="6"/>
          <w:sz w:val="24"/>
          <w:szCs w:val="24"/>
        </w:rPr>
        <w:t>)设备抗震级别：抗震设防烈度为6度，设计地震第一组。</w:t>
      </w:r>
    </w:p>
    <w:p w14:paraId="69BEC0FB">
      <w:pPr>
        <w:spacing w:before="304" w:line="360" w:lineRule="auto"/>
        <w:outlineLvl w:val="0"/>
        <w:rPr>
          <w:color w:val="auto"/>
        </w:rPr>
      </w:pPr>
      <w:r>
        <w:rPr>
          <w:rFonts w:hint="eastAsia" w:ascii="宋体" w:hAnsi="宋体" w:eastAsia="宋体" w:cs="宋体"/>
          <w:b/>
          <w:bCs/>
          <w:color w:val="auto"/>
          <w:spacing w:val="-1"/>
          <w:sz w:val="28"/>
          <w:szCs w:val="28"/>
          <w:lang w:val="en-US" w:eastAsia="zh-CN"/>
        </w:rPr>
        <w:t>2</w:t>
      </w:r>
      <w:r>
        <w:rPr>
          <w:rFonts w:ascii="宋体" w:hAnsi="宋体" w:eastAsia="宋体" w:cs="宋体"/>
          <w:b/>
          <w:bCs/>
          <w:color w:val="auto"/>
          <w:spacing w:val="-1"/>
          <w:sz w:val="28"/>
          <w:szCs w:val="28"/>
        </w:rPr>
        <w:t>.2设计、制造应遵守的规程、规范和标准</w:t>
      </w:r>
    </w:p>
    <w:p w14:paraId="33EC143E">
      <w:pPr>
        <w:spacing w:before="79" w:line="360" w:lineRule="auto"/>
        <w:ind w:right="399" w:firstLine="479"/>
        <w:jc w:val="both"/>
        <w:rPr>
          <w:rFonts w:ascii="宋体" w:hAnsi="宋体" w:eastAsia="宋体" w:cs="宋体"/>
          <w:color w:val="auto"/>
          <w:sz w:val="24"/>
          <w:szCs w:val="24"/>
        </w:rPr>
      </w:pPr>
      <w:r>
        <w:rPr>
          <w:rFonts w:ascii="宋体" w:hAnsi="宋体" w:eastAsia="宋体" w:cs="宋体"/>
          <w:color w:val="auto"/>
          <w:spacing w:val="-1"/>
          <w:sz w:val="24"/>
          <w:szCs w:val="24"/>
        </w:rPr>
        <w:t>本节主要针对技术文件及附件要求遵循的制造标准体系</w:t>
      </w:r>
      <w:r>
        <w:rPr>
          <w:rFonts w:ascii="宋体" w:hAnsi="宋体" w:eastAsia="宋体" w:cs="宋体"/>
          <w:color w:val="auto"/>
          <w:spacing w:val="-2"/>
          <w:sz w:val="24"/>
          <w:szCs w:val="24"/>
        </w:rPr>
        <w:t>进行详细解释，乙方</w:t>
      </w:r>
      <w:r>
        <w:rPr>
          <w:rFonts w:ascii="宋体" w:hAnsi="宋体" w:eastAsia="宋体" w:cs="宋体"/>
          <w:color w:val="auto"/>
          <w:sz w:val="24"/>
          <w:szCs w:val="24"/>
        </w:rPr>
        <w:t xml:space="preserve"> </w:t>
      </w:r>
      <w:r>
        <w:rPr>
          <w:rFonts w:ascii="宋体" w:hAnsi="宋体" w:eastAsia="宋体" w:cs="宋体"/>
          <w:color w:val="auto"/>
          <w:spacing w:val="3"/>
          <w:sz w:val="24"/>
          <w:szCs w:val="24"/>
        </w:rPr>
        <w:t>应根据甲方</w:t>
      </w:r>
      <w:r>
        <w:rPr>
          <w:rFonts w:hint="eastAsia" w:ascii="宋体" w:hAnsi="宋体" w:eastAsia="宋体" w:cs="宋体"/>
          <w:color w:val="auto"/>
          <w:spacing w:val="3"/>
          <w:sz w:val="24"/>
          <w:szCs w:val="24"/>
          <w:lang w:val="en-US" w:eastAsia="zh-CN"/>
        </w:rPr>
        <w:t>设计图纸高新二小电施-地下24.3.25.t3</w:t>
      </w:r>
      <w:r>
        <w:rPr>
          <w:rFonts w:hint="eastAsia" w:ascii="宋体" w:hAnsi="宋体" w:cs="宋体"/>
          <w:color w:val="auto"/>
          <w:spacing w:val="3"/>
          <w:sz w:val="24"/>
          <w:szCs w:val="24"/>
          <w:lang w:val="en-US" w:eastAsia="zh-CN"/>
        </w:rPr>
        <w:t>222</w:t>
      </w:r>
      <w:r>
        <w:rPr>
          <w:rFonts w:ascii="宋体" w:hAnsi="宋体" w:eastAsia="宋体" w:cs="宋体"/>
          <w:color w:val="auto"/>
          <w:spacing w:val="3"/>
          <w:sz w:val="24"/>
          <w:szCs w:val="24"/>
        </w:rPr>
        <w:t>提出的标准体系按以下要求执行</w:t>
      </w:r>
      <w:r>
        <w:rPr>
          <w:rFonts w:ascii="宋体" w:hAnsi="宋体" w:eastAsia="宋体" w:cs="宋体"/>
          <w:color w:val="auto"/>
          <w:spacing w:val="6"/>
          <w:sz w:val="24"/>
          <w:szCs w:val="24"/>
        </w:rPr>
        <w:t>,否则按违</w:t>
      </w:r>
      <w:r>
        <w:rPr>
          <w:rFonts w:ascii="宋体" w:hAnsi="宋体" w:eastAsia="宋体" w:cs="宋体"/>
          <w:color w:val="auto"/>
          <w:spacing w:val="5"/>
          <w:sz w:val="24"/>
          <w:szCs w:val="24"/>
        </w:rPr>
        <w:t>约处理。具体如下：</w:t>
      </w:r>
    </w:p>
    <w:p w14:paraId="62C7C4B5">
      <w:pPr>
        <w:spacing w:before="193" w:line="469" w:lineRule="exact"/>
        <w:ind w:left="2889"/>
        <w:rPr>
          <w:rFonts w:ascii="宋体" w:hAnsi="宋体" w:eastAsia="宋体" w:cs="宋体"/>
          <w:color w:val="auto"/>
          <w:sz w:val="24"/>
          <w:szCs w:val="24"/>
        </w:rPr>
      </w:pPr>
      <w:r>
        <w:rPr>
          <w:color w:val="auto"/>
        </w:rPr>
        <mc:AlternateContent>
          <mc:Choice Requires="wps">
            <w:drawing>
              <wp:anchor distT="0" distB="0" distL="114300" distR="114300" simplePos="0" relativeHeight="251662336" behindDoc="0" locked="0" layoutInCell="1" allowOverlap="1">
                <wp:simplePos x="0" y="0"/>
                <wp:positionH relativeFrom="column">
                  <wp:posOffset>-12065</wp:posOffset>
                </wp:positionH>
                <wp:positionV relativeFrom="paragraph">
                  <wp:posOffset>100330</wp:posOffset>
                </wp:positionV>
                <wp:extent cx="1621790" cy="466217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621790" cy="4662170"/>
                        </a:xfrm>
                        <a:prstGeom prst="rect">
                          <a:avLst/>
                        </a:prstGeom>
                        <a:noFill/>
                        <a:ln>
                          <a:noFill/>
                        </a:ln>
                        <a:effectLst/>
                      </wps:spPr>
                      <wps:txbx>
                        <w:txbxContent>
                          <w:p w14:paraId="095F4444">
                            <w:pPr>
                              <w:spacing w:before="20" w:line="224" w:lineRule="auto"/>
                              <w:ind w:left="499"/>
                              <w:rPr>
                                <w:rFonts w:ascii="宋体" w:hAnsi="宋体" w:eastAsia="宋体" w:cs="宋体"/>
                                <w:sz w:val="24"/>
                                <w:szCs w:val="24"/>
                              </w:rPr>
                            </w:pPr>
                            <w:r>
                              <w:rPr>
                                <w:rFonts w:ascii="宋体" w:hAnsi="宋体" w:eastAsia="宋体" w:cs="宋体"/>
                                <w:spacing w:val="-2"/>
                                <w:sz w:val="24"/>
                                <w:szCs w:val="24"/>
                              </w:rPr>
                              <w:t>GB/T</w:t>
                            </w:r>
                            <w:r>
                              <w:rPr>
                                <w:rFonts w:ascii="宋体" w:hAnsi="宋体" w:eastAsia="宋体" w:cs="宋体"/>
                                <w:spacing w:val="18"/>
                                <w:sz w:val="24"/>
                                <w:szCs w:val="24"/>
                              </w:rPr>
                              <w:t xml:space="preserve"> </w:t>
                            </w:r>
                            <w:r>
                              <w:rPr>
                                <w:rFonts w:ascii="宋体" w:hAnsi="宋体" w:eastAsia="宋体" w:cs="宋体"/>
                                <w:spacing w:val="-2"/>
                                <w:sz w:val="24"/>
                                <w:szCs w:val="24"/>
                              </w:rPr>
                              <w:t>5585-2018</w:t>
                            </w:r>
                          </w:p>
                          <w:p w14:paraId="10F90FC9">
                            <w:pPr>
                              <w:spacing w:before="178" w:line="470" w:lineRule="exact"/>
                              <w:ind w:right="20"/>
                              <w:jc w:val="right"/>
                              <w:rPr>
                                <w:rFonts w:ascii="宋体" w:hAnsi="宋体" w:eastAsia="宋体" w:cs="宋体"/>
                                <w:sz w:val="24"/>
                                <w:szCs w:val="24"/>
                              </w:rPr>
                            </w:pPr>
                            <w:r>
                              <w:rPr>
                                <w:rFonts w:ascii="宋体" w:hAnsi="宋体" w:eastAsia="宋体" w:cs="宋体"/>
                                <w:spacing w:val="-1"/>
                                <w:position w:val="17"/>
                                <w:sz w:val="24"/>
                                <w:szCs w:val="24"/>
                              </w:rPr>
                              <w:t>GB/T 2900.18-2008</w:t>
                            </w:r>
                          </w:p>
                          <w:p w14:paraId="66F7B4AB">
                            <w:pPr>
                              <w:spacing w:line="224" w:lineRule="auto"/>
                              <w:ind w:right="20"/>
                              <w:jc w:val="right"/>
                              <w:rPr>
                                <w:rFonts w:ascii="宋体" w:hAnsi="宋体" w:eastAsia="宋体" w:cs="宋体"/>
                                <w:sz w:val="24"/>
                                <w:szCs w:val="24"/>
                              </w:rPr>
                            </w:pPr>
                            <w:r>
                              <w:rPr>
                                <w:rFonts w:ascii="宋体" w:hAnsi="宋体" w:eastAsia="宋体" w:cs="宋体"/>
                                <w:spacing w:val="-3"/>
                                <w:sz w:val="24"/>
                                <w:szCs w:val="24"/>
                              </w:rPr>
                              <w:t>GB/T</w:t>
                            </w:r>
                            <w:r>
                              <w:rPr>
                                <w:rFonts w:ascii="宋体" w:hAnsi="宋体" w:eastAsia="宋体" w:cs="宋体"/>
                                <w:spacing w:val="40"/>
                                <w:sz w:val="24"/>
                                <w:szCs w:val="24"/>
                              </w:rPr>
                              <w:t xml:space="preserve"> </w:t>
                            </w:r>
                            <w:r>
                              <w:rPr>
                                <w:rFonts w:ascii="宋体" w:hAnsi="宋体" w:eastAsia="宋体" w:cs="宋体"/>
                                <w:spacing w:val="-3"/>
                                <w:sz w:val="24"/>
                                <w:szCs w:val="24"/>
                              </w:rPr>
                              <w:t>14048.*-2020</w:t>
                            </w:r>
                          </w:p>
                          <w:p w14:paraId="7DE3E873">
                            <w:pPr>
                              <w:spacing w:before="179" w:line="370" w:lineRule="auto"/>
                              <w:ind w:left="499" w:right="140"/>
                              <w:rPr>
                                <w:rFonts w:ascii="宋体" w:hAnsi="宋体" w:eastAsia="宋体" w:cs="宋体"/>
                                <w:sz w:val="24"/>
                                <w:szCs w:val="24"/>
                              </w:rPr>
                            </w:pPr>
                            <w:r>
                              <w:rPr>
                                <w:rFonts w:ascii="宋体" w:hAnsi="宋体" w:eastAsia="宋体" w:cs="宋体"/>
                                <w:spacing w:val="-3"/>
                                <w:sz w:val="24"/>
                                <w:szCs w:val="24"/>
                              </w:rPr>
                              <w:t>GB/T</w:t>
                            </w:r>
                            <w:r>
                              <w:rPr>
                                <w:rFonts w:ascii="宋体" w:hAnsi="宋体" w:eastAsia="宋体" w:cs="宋体"/>
                                <w:spacing w:val="34"/>
                                <w:sz w:val="24"/>
                                <w:szCs w:val="24"/>
                              </w:rPr>
                              <w:t xml:space="preserve"> </w:t>
                            </w:r>
                            <w:r>
                              <w:rPr>
                                <w:rFonts w:ascii="宋体" w:hAnsi="宋体" w:eastAsia="宋体" w:cs="宋体"/>
                                <w:spacing w:val="-3"/>
                                <w:sz w:val="24"/>
                                <w:szCs w:val="24"/>
                              </w:rPr>
                              <w:t>10233-2016</w:t>
                            </w:r>
                            <w:r>
                              <w:rPr>
                                <w:rFonts w:ascii="宋体" w:hAnsi="宋体" w:eastAsia="宋体" w:cs="宋体"/>
                                <w:sz w:val="24"/>
                                <w:szCs w:val="24"/>
                              </w:rPr>
                              <w:t xml:space="preserve">  </w:t>
                            </w:r>
                            <w:r>
                              <w:rPr>
                                <w:rFonts w:ascii="宋体" w:hAnsi="宋体" w:eastAsia="宋体" w:cs="宋体"/>
                                <w:spacing w:val="-1"/>
                                <w:sz w:val="24"/>
                                <w:szCs w:val="24"/>
                              </w:rPr>
                              <w:t>GB/T 7251.*-2013</w:t>
                            </w:r>
                            <w:r>
                              <w:rPr>
                                <w:rFonts w:ascii="宋体" w:hAnsi="宋体" w:eastAsia="宋体" w:cs="宋体"/>
                                <w:spacing w:val="8"/>
                                <w:sz w:val="24"/>
                                <w:szCs w:val="24"/>
                              </w:rPr>
                              <w:t xml:space="preserve"> </w:t>
                            </w:r>
                            <w:r>
                              <w:rPr>
                                <w:rFonts w:ascii="宋体" w:hAnsi="宋体" w:eastAsia="宋体" w:cs="宋体"/>
                                <w:spacing w:val="-1"/>
                                <w:sz w:val="24"/>
                                <w:szCs w:val="24"/>
                              </w:rPr>
                              <w:t>GB/T 24274-2019</w:t>
                            </w:r>
                          </w:p>
                          <w:p w14:paraId="38E8EF14">
                            <w:pPr>
                              <w:spacing w:before="1" w:line="183" w:lineRule="auto"/>
                              <w:ind w:left="499"/>
                              <w:rPr>
                                <w:rFonts w:ascii="宋体" w:hAnsi="宋体" w:eastAsia="宋体" w:cs="宋体"/>
                                <w:sz w:val="24"/>
                                <w:szCs w:val="24"/>
                              </w:rPr>
                            </w:pPr>
                            <w:r>
                              <w:rPr>
                                <w:rFonts w:ascii="宋体" w:hAnsi="宋体" w:eastAsia="宋体" w:cs="宋体"/>
                                <w:spacing w:val="-2"/>
                                <w:sz w:val="24"/>
                                <w:szCs w:val="24"/>
                              </w:rPr>
                              <w:t>GB</w:t>
                            </w:r>
                            <w:r>
                              <w:rPr>
                                <w:rFonts w:ascii="宋体" w:hAnsi="宋体" w:eastAsia="宋体" w:cs="宋体"/>
                                <w:spacing w:val="16"/>
                                <w:sz w:val="24"/>
                                <w:szCs w:val="24"/>
                              </w:rPr>
                              <w:t xml:space="preserve"> </w:t>
                            </w:r>
                            <w:r>
                              <w:rPr>
                                <w:rFonts w:ascii="宋体" w:hAnsi="宋体" w:eastAsia="宋体" w:cs="宋体"/>
                                <w:spacing w:val="-2"/>
                                <w:sz w:val="24"/>
                                <w:szCs w:val="24"/>
                              </w:rPr>
                              <w:t>50053-2013</w:t>
                            </w:r>
                          </w:p>
                          <w:p w14:paraId="48BC29A3">
                            <w:pPr>
                              <w:spacing w:before="221" w:line="359" w:lineRule="auto"/>
                              <w:ind w:left="499" w:right="500"/>
                              <w:rPr>
                                <w:rFonts w:ascii="宋体" w:hAnsi="宋体" w:eastAsia="宋体" w:cs="宋体"/>
                                <w:sz w:val="24"/>
                                <w:szCs w:val="24"/>
                              </w:rPr>
                            </w:pPr>
                            <w:r>
                              <w:rPr>
                                <w:rFonts w:ascii="宋体" w:hAnsi="宋体" w:eastAsia="宋体" w:cs="宋体"/>
                                <w:spacing w:val="-2"/>
                                <w:sz w:val="24"/>
                                <w:szCs w:val="24"/>
                              </w:rPr>
                              <w:t>GB</w:t>
                            </w:r>
                            <w:r>
                              <w:rPr>
                                <w:rFonts w:ascii="宋体" w:hAnsi="宋体" w:eastAsia="宋体" w:cs="宋体"/>
                                <w:spacing w:val="16"/>
                                <w:sz w:val="24"/>
                                <w:szCs w:val="24"/>
                              </w:rPr>
                              <w:t xml:space="preserve"> </w:t>
                            </w:r>
                            <w:r>
                              <w:rPr>
                                <w:rFonts w:ascii="宋体" w:hAnsi="宋体" w:eastAsia="宋体" w:cs="宋体"/>
                                <w:spacing w:val="-2"/>
                                <w:sz w:val="24"/>
                                <w:szCs w:val="24"/>
                              </w:rPr>
                              <w:t>50054-2011</w:t>
                            </w:r>
                            <w:r>
                              <w:rPr>
                                <w:rFonts w:ascii="宋体" w:hAnsi="宋体" w:eastAsia="宋体" w:cs="宋体"/>
                                <w:sz w:val="24"/>
                                <w:szCs w:val="24"/>
                              </w:rPr>
                              <w:t xml:space="preserve"> </w:t>
                            </w:r>
                            <w:r>
                              <w:rPr>
                                <w:rFonts w:ascii="宋体" w:hAnsi="宋体" w:eastAsia="宋体" w:cs="宋体"/>
                                <w:spacing w:val="-2"/>
                                <w:sz w:val="24"/>
                                <w:szCs w:val="24"/>
                              </w:rPr>
                              <w:t>GB</w:t>
                            </w:r>
                            <w:r>
                              <w:rPr>
                                <w:rFonts w:ascii="宋体" w:hAnsi="宋体" w:eastAsia="宋体" w:cs="宋体"/>
                                <w:spacing w:val="16"/>
                                <w:sz w:val="24"/>
                                <w:szCs w:val="24"/>
                              </w:rPr>
                              <w:t xml:space="preserve"> </w:t>
                            </w:r>
                            <w:r>
                              <w:rPr>
                                <w:rFonts w:ascii="宋体" w:hAnsi="宋体" w:eastAsia="宋体" w:cs="宋体"/>
                                <w:spacing w:val="-2"/>
                                <w:sz w:val="24"/>
                                <w:szCs w:val="24"/>
                              </w:rPr>
                              <w:t>50055-2011</w:t>
                            </w:r>
                            <w:r>
                              <w:rPr>
                                <w:rFonts w:ascii="宋体" w:hAnsi="宋体" w:eastAsia="宋体" w:cs="宋体"/>
                                <w:sz w:val="24"/>
                                <w:szCs w:val="24"/>
                              </w:rPr>
                              <w:t xml:space="preserve"> </w:t>
                            </w:r>
                            <w:r>
                              <w:rPr>
                                <w:rFonts w:ascii="宋体" w:hAnsi="宋体" w:eastAsia="宋体" w:cs="宋体"/>
                                <w:spacing w:val="-2"/>
                                <w:sz w:val="24"/>
                                <w:szCs w:val="24"/>
                              </w:rPr>
                              <w:t>GB</w:t>
                            </w:r>
                            <w:r>
                              <w:rPr>
                                <w:rFonts w:ascii="宋体" w:hAnsi="宋体" w:eastAsia="宋体" w:cs="宋体"/>
                                <w:spacing w:val="16"/>
                                <w:sz w:val="24"/>
                                <w:szCs w:val="24"/>
                              </w:rPr>
                              <w:t xml:space="preserve"> </w:t>
                            </w:r>
                            <w:r>
                              <w:rPr>
                                <w:rFonts w:ascii="宋体" w:hAnsi="宋体" w:eastAsia="宋体" w:cs="宋体"/>
                                <w:spacing w:val="-2"/>
                                <w:sz w:val="24"/>
                                <w:szCs w:val="24"/>
                              </w:rPr>
                              <w:t>50057-2010</w:t>
                            </w:r>
                          </w:p>
                          <w:p w14:paraId="59BC9C15">
                            <w:pPr>
                              <w:spacing w:before="1" w:line="183" w:lineRule="auto"/>
                              <w:ind w:left="499"/>
                              <w:rPr>
                                <w:rFonts w:ascii="宋体" w:hAnsi="宋体" w:eastAsia="宋体" w:cs="宋体"/>
                                <w:sz w:val="24"/>
                                <w:szCs w:val="24"/>
                              </w:rPr>
                            </w:pPr>
                            <w:r>
                              <w:rPr>
                                <w:rFonts w:ascii="宋体" w:hAnsi="宋体" w:eastAsia="宋体" w:cs="宋体"/>
                                <w:spacing w:val="-2"/>
                                <w:sz w:val="24"/>
                                <w:szCs w:val="24"/>
                              </w:rPr>
                              <w:t>GB</w:t>
                            </w:r>
                            <w:r>
                              <w:rPr>
                                <w:rFonts w:ascii="宋体" w:hAnsi="宋体" w:eastAsia="宋体" w:cs="宋体"/>
                                <w:spacing w:val="16"/>
                                <w:sz w:val="24"/>
                                <w:szCs w:val="24"/>
                              </w:rPr>
                              <w:t xml:space="preserve"> </w:t>
                            </w:r>
                            <w:r>
                              <w:rPr>
                                <w:rFonts w:ascii="宋体" w:hAnsi="宋体" w:eastAsia="宋体" w:cs="宋体"/>
                                <w:spacing w:val="-2"/>
                                <w:sz w:val="24"/>
                                <w:szCs w:val="24"/>
                              </w:rPr>
                              <w:t>50065-2011</w:t>
                            </w:r>
                          </w:p>
                          <w:p w14:paraId="3A9ACBDC">
                            <w:pPr>
                              <w:spacing w:before="196" w:line="455" w:lineRule="exact"/>
                              <w:ind w:right="20"/>
                              <w:jc w:val="right"/>
                              <w:rPr>
                                <w:rFonts w:ascii="宋体" w:hAnsi="宋体" w:eastAsia="宋体" w:cs="宋体"/>
                                <w:sz w:val="24"/>
                                <w:szCs w:val="24"/>
                              </w:rPr>
                            </w:pPr>
                            <w:r>
                              <w:rPr>
                                <w:rFonts w:ascii="宋体" w:hAnsi="宋体" w:eastAsia="宋体" w:cs="宋体"/>
                                <w:spacing w:val="-3"/>
                                <w:position w:val="16"/>
                                <w:sz w:val="24"/>
                                <w:szCs w:val="24"/>
                              </w:rPr>
                              <w:t>GB/T</w:t>
                            </w:r>
                            <w:r>
                              <w:rPr>
                                <w:rFonts w:ascii="宋体" w:hAnsi="宋体" w:eastAsia="宋体" w:cs="宋体"/>
                                <w:spacing w:val="40"/>
                                <w:position w:val="16"/>
                                <w:sz w:val="24"/>
                                <w:szCs w:val="24"/>
                              </w:rPr>
                              <w:t xml:space="preserve"> </w:t>
                            </w:r>
                            <w:r>
                              <w:rPr>
                                <w:rFonts w:ascii="宋体" w:hAnsi="宋体" w:eastAsia="宋体" w:cs="宋体"/>
                                <w:spacing w:val="-3"/>
                                <w:position w:val="16"/>
                                <w:sz w:val="24"/>
                                <w:szCs w:val="24"/>
                              </w:rPr>
                              <w:t>17627.1-2019</w:t>
                            </w:r>
                          </w:p>
                          <w:p w14:paraId="57318F5A">
                            <w:pPr>
                              <w:spacing w:before="1" w:line="220" w:lineRule="auto"/>
                              <w:ind w:left="20"/>
                              <w:rPr>
                                <w:rFonts w:ascii="宋体" w:hAnsi="宋体" w:eastAsia="宋体" w:cs="宋体"/>
                                <w:sz w:val="24"/>
                                <w:szCs w:val="24"/>
                              </w:rPr>
                            </w:pPr>
                            <w:r>
                              <w:rPr>
                                <w:rFonts w:ascii="宋体" w:hAnsi="宋体" w:eastAsia="宋体" w:cs="宋体"/>
                                <w:spacing w:val="-2"/>
                                <w:sz w:val="24"/>
                                <w:szCs w:val="24"/>
                              </w:rPr>
                              <w:t>验要求</w:t>
                            </w:r>
                          </w:p>
                          <w:p w14:paraId="17946927">
                            <w:pPr>
                              <w:spacing w:before="178" w:line="485" w:lineRule="exact"/>
                              <w:ind w:right="20"/>
                              <w:jc w:val="right"/>
                              <w:rPr>
                                <w:rFonts w:ascii="宋体" w:hAnsi="宋体" w:eastAsia="宋体" w:cs="宋体"/>
                                <w:sz w:val="24"/>
                                <w:szCs w:val="24"/>
                              </w:rPr>
                            </w:pPr>
                            <w:r>
                              <w:rPr>
                                <w:rFonts w:ascii="宋体" w:hAnsi="宋体" w:eastAsia="宋体" w:cs="宋体"/>
                                <w:spacing w:val="-3"/>
                                <w:position w:val="18"/>
                                <w:sz w:val="24"/>
                                <w:szCs w:val="24"/>
                              </w:rPr>
                              <w:t>GB/T</w:t>
                            </w:r>
                            <w:r>
                              <w:rPr>
                                <w:rFonts w:ascii="宋体" w:hAnsi="宋体" w:eastAsia="宋体" w:cs="宋体"/>
                                <w:spacing w:val="40"/>
                                <w:position w:val="18"/>
                                <w:sz w:val="24"/>
                                <w:szCs w:val="24"/>
                              </w:rPr>
                              <w:t xml:space="preserve"> </w:t>
                            </w:r>
                            <w:r>
                              <w:rPr>
                                <w:rFonts w:ascii="宋体" w:hAnsi="宋体" w:eastAsia="宋体" w:cs="宋体"/>
                                <w:spacing w:val="-3"/>
                                <w:position w:val="18"/>
                                <w:sz w:val="24"/>
                                <w:szCs w:val="24"/>
                              </w:rPr>
                              <w:t>17627.2-2019</w:t>
                            </w:r>
                          </w:p>
                          <w:p w14:paraId="5E827F51">
                            <w:pPr>
                              <w:spacing w:before="1" w:line="220" w:lineRule="auto"/>
                              <w:ind w:left="20"/>
                              <w:rPr>
                                <w:rFonts w:ascii="宋体" w:hAnsi="宋体" w:eastAsia="宋体" w:cs="宋体"/>
                                <w:sz w:val="24"/>
                                <w:szCs w:val="24"/>
                              </w:rPr>
                            </w:pPr>
                            <w:r>
                              <w:rPr>
                                <w:rFonts w:ascii="宋体" w:hAnsi="宋体" w:eastAsia="宋体" w:cs="宋体"/>
                                <w:spacing w:val="-2"/>
                                <w:sz w:val="24"/>
                                <w:szCs w:val="24"/>
                              </w:rPr>
                              <w:t>和试验设备</w:t>
                            </w:r>
                          </w:p>
                          <w:p w14:paraId="4853D03E">
                            <w:pPr>
                              <w:spacing w:before="169" w:line="224" w:lineRule="auto"/>
                              <w:ind w:left="499"/>
                              <w:rPr>
                                <w:rFonts w:ascii="宋体" w:hAnsi="宋体" w:eastAsia="宋体" w:cs="宋体"/>
                                <w:sz w:val="24"/>
                                <w:szCs w:val="24"/>
                              </w:rPr>
                            </w:pPr>
                            <w:r>
                              <w:rPr>
                                <w:rFonts w:ascii="宋体" w:hAnsi="宋体" w:eastAsia="宋体" w:cs="宋体"/>
                                <w:spacing w:val="-2"/>
                                <w:sz w:val="24"/>
                                <w:szCs w:val="24"/>
                              </w:rPr>
                              <w:t>GB/T</w:t>
                            </w:r>
                            <w:r>
                              <w:rPr>
                                <w:rFonts w:ascii="宋体" w:hAnsi="宋体" w:eastAsia="宋体" w:cs="宋体"/>
                                <w:spacing w:val="41"/>
                                <w:sz w:val="24"/>
                                <w:szCs w:val="24"/>
                              </w:rPr>
                              <w:t xml:space="preserve"> </w:t>
                            </w:r>
                            <w:r>
                              <w:rPr>
                                <w:rFonts w:ascii="宋体" w:hAnsi="宋体" w:eastAsia="宋体" w:cs="宋体"/>
                                <w:spacing w:val="-2"/>
                                <w:sz w:val="24"/>
                                <w:szCs w:val="24"/>
                              </w:rPr>
                              <w:t>20840</w:t>
                            </w:r>
                          </w:p>
                        </w:txbxContent>
                      </wps:txbx>
                      <wps:bodyPr lIns="0" tIns="0" rIns="0" bIns="0" upright="1"/>
                    </wps:wsp>
                  </a:graphicData>
                </a:graphic>
              </wp:anchor>
            </w:drawing>
          </mc:Choice>
          <mc:Fallback>
            <w:pict>
              <v:shape id="_x0000_s1026" o:spid="_x0000_s1026" o:spt="202" type="#_x0000_t202" style="position:absolute;left:0pt;margin-left:-0.95pt;margin-top:7.9pt;height:367.1pt;width:127.7pt;z-index:251662336;mso-width-relative:page;mso-height-relative:page;" filled="f" stroked="f" coordsize="21600,21600" o:gfxdata="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cnfWNgAAAAJAQAADwAAAAAAAAABACAAAAAiAAAAZHJzL2Rvd25yZXYueG1sUEsB&#10;AhQAFAAAAAgAh07iQG4/EL68AQAAgQMAAA4AAAAAAAAAAQAgAAAAJwEAAGRycy9lMm9Eb2MueG1s&#10;UEsFBgAAAAAGAAYAWQEAAFUFAAAAAA==&#10;">
                <v:fill on="f" focussize="0,0"/>
                <v:stroke on="f"/>
                <v:imagedata o:title=""/>
                <o:lock v:ext="edit" aspectratio="f"/>
                <v:textbox inset="0mm,0mm,0mm,0mm">
                  <w:txbxContent>
                    <w:p w14:paraId="095F4444">
                      <w:pPr>
                        <w:spacing w:before="20" w:line="224" w:lineRule="auto"/>
                        <w:ind w:left="499"/>
                        <w:rPr>
                          <w:rFonts w:ascii="宋体" w:hAnsi="宋体" w:eastAsia="宋体" w:cs="宋体"/>
                          <w:sz w:val="24"/>
                          <w:szCs w:val="24"/>
                        </w:rPr>
                      </w:pPr>
                      <w:r>
                        <w:rPr>
                          <w:rFonts w:ascii="宋体" w:hAnsi="宋体" w:eastAsia="宋体" w:cs="宋体"/>
                          <w:spacing w:val="-2"/>
                          <w:sz w:val="24"/>
                          <w:szCs w:val="24"/>
                        </w:rPr>
                        <w:t>GB/T</w:t>
                      </w:r>
                      <w:r>
                        <w:rPr>
                          <w:rFonts w:ascii="宋体" w:hAnsi="宋体" w:eastAsia="宋体" w:cs="宋体"/>
                          <w:spacing w:val="18"/>
                          <w:sz w:val="24"/>
                          <w:szCs w:val="24"/>
                        </w:rPr>
                        <w:t xml:space="preserve"> </w:t>
                      </w:r>
                      <w:r>
                        <w:rPr>
                          <w:rFonts w:ascii="宋体" w:hAnsi="宋体" w:eastAsia="宋体" w:cs="宋体"/>
                          <w:spacing w:val="-2"/>
                          <w:sz w:val="24"/>
                          <w:szCs w:val="24"/>
                        </w:rPr>
                        <w:t>5585-2018</w:t>
                      </w:r>
                    </w:p>
                    <w:p w14:paraId="10F90FC9">
                      <w:pPr>
                        <w:spacing w:before="178" w:line="470" w:lineRule="exact"/>
                        <w:ind w:right="20"/>
                        <w:jc w:val="right"/>
                        <w:rPr>
                          <w:rFonts w:ascii="宋体" w:hAnsi="宋体" w:eastAsia="宋体" w:cs="宋体"/>
                          <w:sz w:val="24"/>
                          <w:szCs w:val="24"/>
                        </w:rPr>
                      </w:pPr>
                      <w:r>
                        <w:rPr>
                          <w:rFonts w:ascii="宋体" w:hAnsi="宋体" w:eastAsia="宋体" w:cs="宋体"/>
                          <w:spacing w:val="-1"/>
                          <w:position w:val="17"/>
                          <w:sz w:val="24"/>
                          <w:szCs w:val="24"/>
                        </w:rPr>
                        <w:t>GB/T 2900.18-2008</w:t>
                      </w:r>
                    </w:p>
                    <w:p w14:paraId="66F7B4AB">
                      <w:pPr>
                        <w:spacing w:line="224" w:lineRule="auto"/>
                        <w:ind w:right="20"/>
                        <w:jc w:val="right"/>
                        <w:rPr>
                          <w:rFonts w:ascii="宋体" w:hAnsi="宋体" w:eastAsia="宋体" w:cs="宋体"/>
                          <w:sz w:val="24"/>
                          <w:szCs w:val="24"/>
                        </w:rPr>
                      </w:pPr>
                      <w:r>
                        <w:rPr>
                          <w:rFonts w:ascii="宋体" w:hAnsi="宋体" w:eastAsia="宋体" w:cs="宋体"/>
                          <w:spacing w:val="-3"/>
                          <w:sz w:val="24"/>
                          <w:szCs w:val="24"/>
                        </w:rPr>
                        <w:t>GB/T</w:t>
                      </w:r>
                      <w:r>
                        <w:rPr>
                          <w:rFonts w:ascii="宋体" w:hAnsi="宋体" w:eastAsia="宋体" w:cs="宋体"/>
                          <w:spacing w:val="40"/>
                          <w:sz w:val="24"/>
                          <w:szCs w:val="24"/>
                        </w:rPr>
                        <w:t xml:space="preserve"> </w:t>
                      </w:r>
                      <w:r>
                        <w:rPr>
                          <w:rFonts w:ascii="宋体" w:hAnsi="宋体" w:eastAsia="宋体" w:cs="宋体"/>
                          <w:spacing w:val="-3"/>
                          <w:sz w:val="24"/>
                          <w:szCs w:val="24"/>
                        </w:rPr>
                        <w:t>14048.*-2020</w:t>
                      </w:r>
                    </w:p>
                    <w:p w14:paraId="7DE3E873">
                      <w:pPr>
                        <w:spacing w:before="179" w:line="370" w:lineRule="auto"/>
                        <w:ind w:left="499" w:right="140"/>
                        <w:rPr>
                          <w:rFonts w:ascii="宋体" w:hAnsi="宋体" w:eastAsia="宋体" w:cs="宋体"/>
                          <w:sz w:val="24"/>
                          <w:szCs w:val="24"/>
                        </w:rPr>
                      </w:pPr>
                      <w:r>
                        <w:rPr>
                          <w:rFonts w:ascii="宋体" w:hAnsi="宋体" w:eastAsia="宋体" w:cs="宋体"/>
                          <w:spacing w:val="-3"/>
                          <w:sz w:val="24"/>
                          <w:szCs w:val="24"/>
                        </w:rPr>
                        <w:t>GB/T</w:t>
                      </w:r>
                      <w:r>
                        <w:rPr>
                          <w:rFonts w:ascii="宋体" w:hAnsi="宋体" w:eastAsia="宋体" w:cs="宋体"/>
                          <w:spacing w:val="34"/>
                          <w:sz w:val="24"/>
                          <w:szCs w:val="24"/>
                        </w:rPr>
                        <w:t xml:space="preserve"> </w:t>
                      </w:r>
                      <w:r>
                        <w:rPr>
                          <w:rFonts w:ascii="宋体" w:hAnsi="宋体" w:eastAsia="宋体" w:cs="宋体"/>
                          <w:spacing w:val="-3"/>
                          <w:sz w:val="24"/>
                          <w:szCs w:val="24"/>
                        </w:rPr>
                        <w:t>10233-2016</w:t>
                      </w:r>
                      <w:r>
                        <w:rPr>
                          <w:rFonts w:ascii="宋体" w:hAnsi="宋体" w:eastAsia="宋体" w:cs="宋体"/>
                          <w:sz w:val="24"/>
                          <w:szCs w:val="24"/>
                        </w:rPr>
                        <w:t xml:space="preserve">  </w:t>
                      </w:r>
                      <w:r>
                        <w:rPr>
                          <w:rFonts w:ascii="宋体" w:hAnsi="宋体" w:eastAsia="宋体" w:cs="宋体"/>
                          <w:spacing w:val="-1"/>
                          <w:sz w:val="24"/>
                          <w:szCs w:val="24"/>
                        </w:rPr>
                        <w:t>GB/T 7251.*-2013</w:t>
                      </w:r>
                      <w:r>
                        <w:rPr>
                          <w:rFonts w:ascii="宋体" w:hAnsi="宋体" w:eastAsia="宋体" w:cs="宋体"/>
                          <w:spacing w:val="8"/>
                          <w:sz w:val="24"/>
                          <w:szCs w:val="24"/>
                        </w:rPr>
                        <w:t xml:space="preserve"> </w:t>
                      </w:r>
                      <w:r>
                        <w:rPr>
                          <w:rFonts w:ascii="宋体" w:hAnsi="宋体" w:eastAsia="宋体" w:cs="宋体"/>
                          <w:spacing w:val="-1"/>
                          <w:sz w:val="24"/>
                          <w:szCs w:val="24"/>
                        </w:rPr>
                        <w:t>GB/T 24274-2019</w:t>
                      </w:r>
                    </w:p>
                    <w:p w14:paraId="38E8EF14">
                      <w:pPr>
                        <w:spacing w:before="1" w:line="183" w:lineRule="auto"/>
                        <w:ind w:left="499"/>
                        <w:rPr>
                          <w:rFonts w:ascii="宋体" w:hAnsi="宋体" w:eastAsia="宋体" w:cs="宋体"/>
                          <w:sz w:val="24"/>
                          <w:szCs w:val="24"/>
                        </w:rPr>
                      </w:pPr>
                      <w:r>
                        <w:rPr>
                          <w:rFonts w:ascii="宋体" w:hAnsi="宋体" w:eastAsia="宋体" w:cs="宋体"/>
                          <w:spacing w:val="-2"/>
                          <w:sz w:val="24"/>
                          <w:szCs w:val="24"/>
                        </w:rPr>
                        <w:t>GB</w:t>
                      </w:r>
                      <w:r>
                        <w:rPr>
                          <w:rFonts w:ascii="宋体" w:hAnsi="宋体" w:eastAsia="宋体" w:cs="宋体"/>
                          <w:spacing w:val="16"/>
                          <w:sz w:val="24"/>
                          <w:szCs w:val="24"/>
                        </w:rPr>
                        <w:t xml:space="preserve"> </w:t>
                      </w:r>
                      <w:r>
                        <w:rPr>
                          <w:rFonts w:ascii="宋体" w:hAnsi="宋体" w:eastAsia="宋体" w:cs="宋体"/>
                          <w:spacing w:val="-2"/>
                          <w:sz w:val="24"/>
                          <w:szCs w:val="24"/>
                        </w:rPr>
                        <w:t>50053-2013</w:t>
                      </w:r>
                    </w:p>
                    <w:p w14:paraId="48BC29A3">
                      <w:pPr>
                        <w:spacing w:before="221" w:line="359" w:lineRule="auto"/>
                        <w:ind w:left="499" w:right="500"/>
                        <w:rPr>
                          <w:rFonts w:ascii="宋体" w:hAnsi="宋体" w:eastAsia="宋体" w:cs="宋体"/>
                          <w:sz w:val="24"/>
                          <w:szCs w:val="24"/>
                        </w:rPr>
                      </w:pPr>
                      <w:r>
                        <w:rPr>
                          <w:rFonts w:ascii="宋体" w:hAnsi="宋体" w:eastAsia="宋体" w:cs="宋体"/>
                          <w:spacing w:val="-2"/>
                          <w:sz w:val="24"/>
                          <w:szCs w:val="24"/>
                        </w:rPr>
                        <w:t>GB</w:t>
                      </w:r>
                      <w:r>
                        <w:rPr>
                          <w:rFonts w:ascii="宋体" w:hAnsi="宋体" w:eastAsia="宋体" w:cs="宋体"/>
                          <w:spacing w:val="16"/>
                          <w:sz w:val="24"/>
                          <w:szCs w:val="24"/>
                        </w:rPr>
                        <w:t xml:space="preserve"> </w:t>
                      </w:r>
                      <w:r>
                        <w:rPr>
                          <w:rFonts w:ascii="宋体" w:hAnsi="宋体" w:eastAsia="宋体" w:cs="宋体"/>
                          <w:spacing w:val="-2"/>
                          <w:sz w:val="24"/>
                          <w:szCs w:val="24"/>
                        </w:rPr>
                        <w:t>50054-2011</w:t>
                      </w:r>
                      <w:r>
                        <w:rPr>
                          <w:rFonts w:ascii="宋体" w:hAnsi="宋体" w:eastAsia="宋体" w:cs="宋体"/>
                          <w:sz w:val="24"/>
                          <w:szCs w:val="24"/>
                        </w:rPr>
                        <w:t xml:space="preserve"> </w:t>
                      </w:r>
                      <w:r>
                        <w:rPr>
                          <w:rFonts w:ascii="宋体" w:hAnsi="宋体" w:eastAsia="宋体" w:cs="宋体"/>
                          <w:spacing w:val="-2"/>
                          <w:sz w:val="24"/>
                          <w:szCs w:val="24"/>
                        </w:rPr>
                        <w:t>GB</w:t>
                      </w:r>
                      <w:r>
                        <w:rPr>
                          <w:rFonts w:ascii="宋体" w:hAnsi="宋体" w:eastAsia="宋体" w:cs="宋体"/>
                          <w:spacing w:val="16"/>
                          <w:sz w:val="24"/>
                          <w:szCs w:val="24"/>
                        </w:rPr>
                        <w:t xml:space="preserve"> </w:t>
                      </w:r>
                      <w:r>
                        <w:rPr>
                          <w:rFonts w:ascii="宋体" w:hAnsi="宋体" w:eastAsia="宋体" w:cs="宋体"/>
                          <w:spacing w:val="-2"/>
                          <w:sz w:val="24"/>
                          <w:szCs w:val="24"/>
                        </w:rPr>
                        <w:t>50055-2011</w:t>
                      </w:r>
                      <w:r>
                        <w:rPr>
                          <w:rFonts w:ascii="宋体" w:hAnsi="宋体" w:eastAsia="宋体" w:cs="宋体"/>
                          <w:sz w:val="24"/>
                          <w:szCs w:val="24"/>
                        </w:rPr>
                        <w:t xml:space="preserve"> </w:t>
                      </w:r>
                      <w:r>
                        <w:rPr>
                          <w:rFonts w:ascii="宋体" w:hAnsi="宋体" w:eastAsia="宋体" w:cs="宋体"/>
                          <w:spacing w:val="-2"/>
                          <w:sz w:val="24"/>
                          <w:szCs w:val="24"/>
                        </w:rPr>
                        <w:t>GB</w:t>
                      </w:r>
                      <w:r>
                        <w:rPr>
                          <w:rFonts w:ascii="宋体" w:hAnsi="宋体" w:eastAsia="宋体" w:cs="宋体"/>
                          <w:spacing w:val="16"/>
                          <w:sz w:val="24"/>
                          <w:szCs w:val="24"/>
                        </w:rPr>
                        <w:t xml:space="preserve"> </w:t>
                      </w:r>
                      <w:r>
                        <w:rPr>
                          <w:rFonts w:ascii="宋体" w:hAnsi="宋体" w:eastAsia="宋体" w:cs="宋体"/>
                          <w:spacing w:val="-2"/>
                          <w:sz w:val="24"/>
                          <w:szCs w:val="24"/>
                        </w:rPr>
                        <w:t>50057-2010</w:t>
                      </w:r>
                    </w:p>
                    <w:p w14:paraId="59BC9C15">
                      <w:pPr>
                        <w:spacing w:before="1" w:line="183" w:lineRule="auto"/>
                        <w:ind w:left="499"/>
                        <w:rPr>
                          <w:rFonts w:ascii="宋体" w:hAnsi="宋体" w:eastAsia="宋体" w:cs="宋体"/>
                          <w:sz w:val="24"/>
                          <w:szCs w:val="24"/>
                        </w:rPr>
                      </w:pPr>
                      <w:r>
                        <w:rPr>
                          <w:rFonts w:ascii="宋体" w:hAnsi="宋体" w:eastAsia="宋体" w:cs="宋体"/>
                          <w:spacing w:val="-2"/>
                          <w:sz w:val="24"/>
                          <w:szCs w:val="24"/>
                        </w:rPr>
                        <w:t>GB</w:t>
                      </w:r>
                      <w:r>
                        <w:rPr>
                          <w:rFonts w:ascii="宋体" w:hAnsi="宋体" w:eastAsia="宋体" w:cs="宋体"/>
                          <w:spacing w:val="16"/>
                          <w:sz w:val="24"/>
                          <w:szCs w:val="24"/>
                        </w:rPr>
                        <w:t xml:space="preserve"> </w:t>
                      </w:r>
                      <w:r>
                        <w:rPr>
                          <w:rFonts w:ascii="宋体" w:hAnsi="宋体" w:eastAsia="宋体" w:cs="宋体"/>
                          <w:spacing w:val="-2"/>
                          <w:sz w:val="24"/>
                          <w:szCs w:val="24"/>
                        </w:rPr>
                        <w:t>50065-2011</w:t>
                      </w:r>
                    </w:p>
                    <w:p w14:paraId="3A9ACBDC">
                      <w:pPr>
                        <w:spacing w:before="196" w:line="455" w:lineRule="exact"/>
                        <w:ind w:right="20"/>
                        <w:jc w:val="right"/>
                        <w:rPr>
                          <w:rFonts w:ascii="宋体" w:hAnsi="宋体" w:eastAsia="宋体" w:cs="宋体"/>
                          <w:sz w:val="24"/>
                          <w:szCs w:val="24"/>
                        </w:rPr>
                      </w:pPr>
                      <w:r>
                        <w:rPr>
                          <w:rFonts w:ascii="宋体" w:hAnsi="宋体" w:eastAsia="宋体" w:cs="宋体"/>
                          <w:spacing w:val="-3"/>
                          <w:position w:val="16"/>
                          <w:sz w:val="24"/>
                          <w:szCs w:val="24"/>
                        </w:rPr>
                        <w:t>GB/T</w:t>
                      </w:r>
                      <w:r>
                        <w:rPr>
                          <w:rFonts w:ascii="宋体" w:hAnsi="宋体" w:eastAsia="宋体" w:cs="宋体"/>
                          <w:spacing w:val="40"/>
                          <w:position w:val="16"/>
                          <w:sz w:val="24"/>
                          <w:szCs w:val="24"/>
                        </w:rPr>
                        <w:t xml:space="preserve"> </w:t>
                      </w:r>
                      <w:r>
                        <w:rPr>
                          <w:rFonts w:ascii="宋体" w:hAnsi="宋体" w:eastAsia="宋体" w:cs="宋体"/>
                          <w:spacing w:val="-3"/>
                          <w:position w:val="16"/>
                          <w:sz w:val="24"/>
                          <w:szCs w:val="24"/>
                        </w:rPr>
                        <w:t>17627.1-2019</w:t>
                      </w:r>
                    </w:p>
                    <w:p w14:paraId="57318F5A">
                      <w:pPr>
                        <w:spacing w:before="1" w:line="220" w:lineRule="auto"/>
                        <w:ind w:left="20"/>
                        <w:rPr>
                          <w:rFonts w:ascii="宋体" w:hAnsi="宋体" w:eastAsia="宋体" w:cs="宋体"/>
                          <w:sz w:val="24"/>
                          <w:szCs w:val="24"/>
                        </w:rPr>
                      </w:pPr>
                      <w:r>
                        <w:rPr>
                          <w:rFonts w:ascii="宋体" w:hAnsi="宋体" w:eastAsia="宋体" w:cs="宋体"/>
                          <w:spacing w:val="-2"/>
                          <w:sz w:val="24"/>
                          <w:szCs w:val="24"/>
                        </w:rPr>
                        <w:t>验要求</w:t>
                      </w:r>
                    </w:p>
                    <w:p w14:paraId="17946927">
                      <w:pPr>
                        <w:spacing w:before="178" w:line="485" w:lineRule="exact"/>
                        <w:ind w:right="20"/>
                        <w:jc w:val="right"/>
                        <w:rPr>
                          <w:rFonts w:ascii="宋体" w:hAnsi="宋体" w:eastAsia="宋体" w:cs="宋体"/>
                          <w:sz w:val="24"/>
                          <w:szCs w:val="24"/>
                        </w:rPr>
                      </w:pPr>
                      <w:r>
                        <w:rPr>
                          <w:rFonts w:ascii="宋体" w:hAnsi="宋体" w:eastAsia="宋体" w:cs="宋体"/>
                          <w:spacing w:val="-3"/>
                          <w:position w:val="18"/>
                          <w:sz w:val="24"/>
                          <w:szCs w:val="24"/>
                        </w:rPr>
                        <w:t>GB/T</w:t>
                      </w:r>
                      <w:r>
                        <w:rPr>
                          <w:rFonts w:ascii="宋体" w:hAnsi="宋体" w:eastAsia="宋体" w:cs="宋体"/>
                          <w:spacing w:val="40"/>
                          <w:position w:val="18"/>
                          <w:sz w:val="24"/>
                          <w:szCs w:val="24"/>
                        </w:rPr>
                        <w:t xml:space="preserve"> </w:t>
                      </w:r>
                      <w:r>
                        <w:rPr>
                          <w:rFonts w:ascii="宋体" w:hAnsi="宋体" w:eastAsia="宋体" w:cs="宋体"/>
                          <w:spacing w:val="-3"/>
                          <w:position w:val="18"/>
                          <w:sz w:val="24"/>
                          <w:szCs w:val="24"/>
                        </w:rPr>
                        <w:t>17627.2-2019</w:t>
                      </w:r>
                    </w:p>
                    <w:p w14:paraId="5E827F51">
                      <w:pPr>
                        <w:spacing w:before="1" w:line="220" w:lineRule="auto"/>
                        <w:ind w:left="20"/>
                        <w:rPr>
                          <w:rFonts w:ascii="宋体" w:hAnsi="宋体" w:eastAsia="宋体" w:cs="宋体"/>
                          <w:sz w:val="24"/>
                          <w:szCs w:val="24"/>
                        </w:rPr>
                      </w:pPr>
                      <w:r>
                        <w:rPr>
                          <w:rFonts w:ascii="宋体" w:hAnsi="宋体" w:eastAsia="宋体" w:cs="宋体"/>
                          <w:spacing w:val="-2"/>
                          <w:sz w:val="24"/>
                          <w:szCs w:val="24"/>
                        </w:rPr>
                        <w:t>和试验设备</w:t>
                      </w:r>
                    </w:p>
                    <w:p w14:paraId="4853D03E">
                      <w:pPr>
                        <w:spacing w:before="169" w:line="224" w:lineRule="auto"/>
                        <w:ind w:left="499"/>
                        <w:rPr>
                          <w:rFonts w:ascii="宋体" w:hAnsi="宋体" w:eastAsia="宋体" w:cs="宋体"/>
                          <w:sz w:val="24"/>
                          <w:szCs w:val="24"/>
                        </w:rPr>
                      </w:pPr>
                      <w:r>
                        <w:rPr>
                          <w:rFonts w:ascii="宋体" w:hAnsi="宋体" w:eastAsia="宋体" w:cs="宋体"/>
                          <w:spacing w:val="-2"/>
                          <w:sz w:val="24"/>
                          <w:szCs w:val="24"/>
                        </w:rPr>
                        <w:t>GB/T</w:t>
                      </w:r>
                      <w:r>
                        <w:rPr>
                          <w:rFonts w:ascii="宋体" w:hAnsi="宋体" w:eastAsia="宋体" w:cs="宋体"/>
                          <w:spacing w:val="41"/>
                          <w:sz w:val="24"/>
                          <w:szCs w:val="24"/>
                        </w:rPr>
                        <w:t xml:space="preserve"> </w:t>
                      </w:r>
                      <w:r>
                        <w:rPr>
                          <w:rFonts w:ascii="宋体" w:hAnsi="宋体" w:eastAsia="宋体" w:cs="宋体"/>
                          <w:spacing w:val="-2"/>
                          <w:sz w:val="24"/>
                          <w:szCs w:val="24"/>
                        </w:rPr>
                        <w:t>20840</w:t>
                      </w:r>
                    </w:p>
                  </w:txbxContent>
                </v:textbox>
              </v:shape>
            </w:pict>
          </mc:Fallback>
        </mc:AlternateContent>
      </w:r>
      <w:r>
        <w:rPr>
          <w:rFonts w:ascii="宋体" w:hAnsi="宋体" w:eastAsia="宋体" w:cs="宋体"/>
          <w:color w:val="auto"/>
          <w:spacing w:val="-3"/>
          <w:position w:val="17"/>
          <w:sz w:val="24"/>
          <w:szCs w:val="24"/>
        </w:rPr>
        <w:t>电工用铜、铝及其合金母线</w:t>
      </w:r>
    </w:p>
    <w:p w14:paraId="258C7119">
      <w:pPr>
        <w:spacing w:line="219" w:lineRule="auto"/>
        <w:ind w:left="2889"/>
        <w:rPr>
          <w:rFonts w:ascii="宋体" w:hAnsi="宋体" w:eastAsia="宋体" w:cs="宋体"/>
          <w:color w:val="auto"/>
          <w:sz w:val="24"/>
          <w:szCs w:val="24"/>
        </w:rPr>
      </w:pPr>
      <w:r>
        <w:rPr>
          <w:rFonts w:ascii="宋体" w:hAnsi="宋体" w:eastAsia="宋体" w:cs="宋体"/>
          <w:color w:val="auto"/>
          <w:spacing w:val="10"/>
          <w:sz w:val="24"/>
          <w:szCs w:val="24"/>
        </w:rPr>
        <w:t>电工术语低压电器</w:t>
      </w:r>
    </w:p>
    <w:p w14:paraId="397C1B81">
      <w:pPr>
        <w:spacing w:before="166" w:line="220" w:lineRule="auto"/>
        <w:ind w:left="2889"/>
        <w:rPr>
          <w:rFonts w:ascii="宋体" w:hAnsi="宋体" w:eastAsia="宋体" w:cs="宋体"/>
          <w:color w:val="auto"/>
          <w:sz w:val="24"/>
          <w:szCs w:val="24"/>
        </w:rPr>
      </w:pPr>
      <w:r>
        <w:rPr>
          <w:rFonts w:ascii="宋体" w:hAnsi="宋体" w:eastAsia="宋体" w:cs="宋体"/>
          <w:color w:val="auto"/>
          <w:spacing w:val="-5"/>
          <w:sz w:val="24"/>
          <w:szCs w:val="24"/>
        </w:rPr>
        <w:t>低压开关设备和控制设备</w:t>
      </w:r>
    </w:p>
    <w:p w14:paraId="181AC13D">
      <w:pPr>
        <w:spacing w:before="202" w:line="462" w:lineRule="exact"/>
        <w:ind w:left="2889"/>
        <w:rPr>
          <w:rFonts w:ascii="宋体" w:hAnsi="宋体" w:eastAsia="宋体" w:cs="宋体"/>
          <w:color w:val="auto"/>
          <w:sz w:val="24"/>
          <w:szCs w:val="24"/>
        </w:rPr>
      </w:pPr>
      <w:r>
        <w:rPr>
          <w:rFonts w:ascii="宋体" w:hAnsi="宋体" w:eastAsia="宋体" w:cs="宋体"/>
          <w:color w:val="auto"/>
          <w:spacing w:val="-3"/>
          <w:position w:val="16"/>
          <w:sz w:val="24"/>
          <w:szCs w:val="24"/>
        </w:rPr>
        <w:t>低压成套开关设备和电控设备基本试验方法</w:t>
      </w:r>
    </w:p>
    <w:p w14:paraId="738D2EA5">
      <w:pPr>
        <w:spacing w:line="220" w:lineRule="auto"/>
        <w:ind w:left="2889"/>
        <w:rPr>
          <w:rFonts w:ascii="宋体" w:hAnsi="宋体" w:eastAsia="宋体" w:cs="宋体"/>
          <w:color w:val="auto"/>
          <w:sz w:val="24"/>
          <w:szCs w:val="24"/>
        </w:rPr>
      </w:pPr>
      <w:r>
        <w:rPr>
          <w:rFonts w:ascii="宋体" w:hAnsi="宋体" w:eastAsia="宋体" w:cs="宋体"/>
          <w:color w:val="auto"/>
          <w:spacing w:val="-4"/>
          <w:sz w:val="24"/>
          <w:szCs w:val="24"/>
        </w:rPr>
        <w:t>低压成套开关设备和控制设备</w:t>
      </w:r>
    </w:p>
    <w:p w14:paraId="7F65BACC">
      <w:pPr>
        <w:spacing w:before="184" w:line="220" w:lineRule="auto"/>
        <w:ind w:left="2889"/>
        <w:rPr>
          <w:rFonts w:ascii="宋体" w:hAnsi="宋体" w:eastAsia="宋体" w:cs="宋体"/>
          <w:color w:val="auto"/>
          <w:sz w:val="24"/>
          <w:szCs w:val="24"/>
        </w:rPr>
      </w:pPr>
      <w:r>
        <w:rPr>
          <w:rFonts w:ascii="宋体" w:hAnsi="宋体" w:eastAsia="宋体" w:cs="宋体"/>
          <w:color w:val="auto"/>
          <w:spacing w:val="-3"/>
          <w:sz w:val="24"/>
          <w:szCs w:val="24"/>
        </w:rPr>
        <w:t>低压抽出式成套开关设备和控制设备</w:t>
      </w:r>
    </w:p>
    <w:p w14:paraId="3F0F31DE">
      <w:pPr>
        <w:spacing w:before="184" w:line="461" w:lineRule="exact"/>
        <w:ind w:left="2889"/>
        <w:rPr>
          <w:rFonts w:ascii="宋体" w:hAnsi="宋体" w:eastAsia="宋体" w:cs="宋体"/>
          <w:color w:val="auto"/>
          <w:sz w:val="24"/>
          <w:szCs w:val="24"/>
        </w:rPr>
      </w:pPr>
      <w:r>
        <w:rPr>
          <w:rFonts w:ascii="宋体" w:hAnsi="宋体" w:eastAsia="宋体" w:cs="宋体"/>
          <w:color w:val="auto"/>
          <w:spacing w:val="-2"/>
          <w:position w:val="16"/>
          <w:sz w:val="24"/>
          <w:szCs w:val="24"/>
        </w:rPr>
        <w:t>20kv</w:t>
      </w:r>
      <w:r>
        <w:rPr>
          <w:rFonts w:ascii="宋体" w:hAnsi="宋体" w:eastAsia="宋体" w:cs="宋体"/>
          <w:color w:val="auto"/>
          <w:spacing w:val="-51"/>
          <w:position w:val="16"/>
          <w:sz w:val="24"/>
          <w:szCs w:val="24"/>
        </w:rPr>
        <w:t xml:space="preserve"> </w:t>
      </w:r>
      <w:r>
        <w:rPr>
          <w:rFonts w:ascii="宋体" w:hAnsi="宋体" w:eastAsia="宋体" w:cs="宋体"/>
          <w:color w:val="auto"/>
          <w:spacing w:val="-2"/>
          <w:position w:val="16"/>
          <w:sz w:val="24"/>
          <w:szCs w:val="24"/>
        </w:rPr>
        <w:t>及以下变电所设计规范</w:t>
      </w:r>
    </w:p>
    <w:p w14:paraId="70A56893">
      <w:pPr>
        <w:spacing w:before="1" w:line="220" w:lineRule="auto"/>
        <w:ind w:left="2889"/>
        <w:rPr>
          <w:rFonts w:ascii="宋体" w:hAnsi="宋体" w:eastAsia="宋体" w:cs="宋体"/>
          <w:color w:val="auto"/>
          <w:sz w:val="24"/>
          <w:szCs w:val="24"/>
        </w:rPr>
      </w:pPr>
      <w:r>
        <w:rPr>
          <w:rFonts w:ascii="宋体" w:hAnsi="宋体" w:eastAsia="宋体" w:cs="宋体"/>
          <w:color w:val="auto"/>
          <w:spacing w:val="-1"/>
          <w:sz w:val="24"/>
          <w:szCs w:val="24"/>
        </w:rPr>
        <w:t>低压配电设计规范</w:t>
      </w:r>
    </w:p>
    <w:p w14:paraId="142BA6B9">
      <w:pPr>
        <w:spacing w:before="183" w:line="469" w:lineRule="exact"/>
        <w:ind w:left="2889"/>
        <w:rPr>
          <w:rFonts w:ascii="宋体" w:hAnsi="宋体" w:eastAsia="宋体" w:cs="宋体"/>
          <w:color w:val="auto"/>
          <w:sz w:val="24"/>
          <w:szCs w:val="24"/>
        </w:rPr>
      </w:pPr>
      <w:r>
        <w:rPr>
          <w:rFonts w:ascii="宋体" w:hAnsi="宋体" w:eastAsia="宋体" w:cs="宋体"/>
          <w:color w:val="auto"/>
          <w:spacing w:val="-4"/>
          <w:position w:val="17"/>
          <w:sz w:val="24"/>
          <w:szCs w:val="24"/>
        </w:rPr>
        <w:t>通用用电设备配电设计规范</w:t>
      </w:r>
    </w:p>
    <w:p w14:paraId="2B840110">
      <w:pPr>
        <w:spacing w:line="220" w:lineRule="auto"/>
        <w:ind w:left="2889"/>
        <w:rPr>
          <w:rFonts w:ascii="宋体" w:hAnsi="宋体" w:eastAsia="宋体" w:cs="宋体"/>
          <w:color w:val="auto"/>
          <w:sz w:val="24"/>
          <w:szCs w:val="24"/>
        </w:rPr>
      </w:pPr>
      <w:r>
        <w:rPr>
          <w:rFonts w:ascii="宋体" w:hAnsi="宋体" w:eastAsia="宋体" w:cs="宋体"/>
          <w:color w:val="auto"/>
          <w:spacing w:val="-2"/>
          <w:sz w:val="24"/>
          <w:szCs w:val="24"/>
        </w:rPr>
        <w:t>建筑物防雷设计规范</w:t>
      </w:r>
    </w:p>
    <w:p w14:paraId="525415C9">
      <w:pPr>
        <w:spacing w:before="184" w:line="220" w:lineRule="auto"/>
        <w:ind w:left="2889"/>
        <w:rPr>
          <w:rFonts w:ascii="宋体" w:hAnsi="宋体" w:eastAsia="宋体" w:cs="宋体"/>
          <w:color w:val="auto"/>
          <w:sz w:val="24"/>
          <w:szCs w:val="24"/>
        </w:rPr>
      </w:pPr>
      <w:r>
        <w:rPr>
          <w:rFonts w:ascii="宋体" w:hAnsi="宋体" w:eastAsia="宋体" w:cs="宋体"/>
          <w:color w:val="auto"/>
          <w:spacing w:val="-2"/>
          <w:sz w:val="24"/>
          <w:szCs w:val="24"/>
        </w:rPr>
        <w:t>交流电气装置的接地设计规范</w:t>
      </w:r>
    </w:p>
    <w:p w14:paraId="0D142505">
      <w:pPr>
        <w:spacing w:before="174" w:line="219" w:lineRule="auto"/>
        <w:ind w:left="2889"/>
        <w:rPr>
          <w:rFonts w:ascii="宋体" w:hAnsi="宋体" w:eastAsia="宋体" w:cs="宋体"/>
          <w:color w:val="auto"/>
          <w:sz w:val="24"/>
          <w:szCs w:val="24"/>
        </w:rPr>
      </w:pPr>
      <w:r>
        <w:rPr>
          <w:rFonts w:ascii="宋体" w:hAnsi="宋体" w:eastAsia="宋体" w:cs="宋体"/>
          <w:color w:val="auto"/>
          <w:spacing w:val="-1"/>
          <w:sz w:val="24"/>
          <w:szCs w:val="24"/>
        </w:rPr>
        <w:t>低压电气设备的高电压试验技术第一部分：定义和试</w:t>
      </w:r>
    </w:p>
    <w:p w14:paraId="7887F088">
      <w:pPr>
        <w:pStyle w:val="6"/>
        <w:spacing w:line="291" w:lineRule="auto"/>
        <w:rPr>
          <w:color w:val="auto"/>
        </w:rPr>
      </w:pPr>
    </w:p>
    <w:p w14:paraId="6F4A1356">
      <w:pPr>
        <w:spacing w:line="220" w:lineRule="auto"/>
        <w:ind w:left="2889"/>
        <w:rPr>
          <w:rFonts w:ascii="宋体" w:hAnsi="宋体" w:eastAsia="宋体" w:cs="宋体"/>
          <w:color w:val="auto"/>
          <w:spacing w:val="-2"/>
          <w:sz w:val="24"/>
          <w:szCs w:val="24"/>
        </w:rPr>
      </w:pPr>
    </w:p>
    <w:p w14:paraId="7F95E809">
      <w:pPr>
        <w:spacing w:line="220" w:lineRule="auto"/>
        <w:ind w:left="2889"/>
        <w:rPr>
          <w:rFonts w:ascii="宋体" w:hAnsi="宋体" w:eastAsia="宋体" w:cs="宋体"/>
          <w:color w:val="auto"/>
          <w:spacing w:val="-2"/>
          <w:sz w:val="24"/>
          <w:szCs w:val="24"/>
        </w:rPr>
      </w:pPr>
      <w:r>
        <w:rPr>
          <w:rFonts w:ascii="宋体" w:hAnsi="宋体" w:eastAsia="宋体" w:cs="宋体"/>
          <w:color w:val="auto"/>
          <w:spacing w:val="-2"/>
          <w:sz w:val="24"/>
          <w:szCs w:val="24"/>
        </w:rPr>
        <w:t>低压电气设备的高电压试验技术第二部分：测量系统</w:t>
      </w:r>
    </w:p>
    <w:p w14:paraId="7581734D">
      <w:pPr>
        <w:spacing w:line="220" w:lineRule="auto"/>
        <w:ind w:left="2889"/>
        <w:rPr>
          <w:rFonts w:ascii="宋体" w:hAnsi="宋体" w:eastAsia="宋体" w:cs="宋体"/>
          <w:color w:val="auto"/>
          <w:spacing w:val="-2"/>
          <w:sz w:val="24"/>
          <w:szCs w:val="24"/>
        </w:rPr>
      </w:pPr>
    </w:p>
    <w:p w14:paraId="08AB4874">
      <w:pPr>
        <w:spacing w:line="220" w:lineRule="auto"/>
        <w:ind w:left="2889"/>
        <w:rPr>
          <w:rFonts w:ascii="宋体" w:hAnsi="宋体" w:eastAsia="宋体" w:cs="宋体"/>
          <w:color w:val="auto"/>
          <w:spacing w:val="-2"/>
          <w:sz w:val="24"/>
          <w:szCs w:val="24"/>
        </w:rPr>
      </w:pPr>
    </w:p>
    <w:p w14:paraId="119A3EB9">
      <w:pPr>
        <w:spacing w:line="220" w:lineRule="auto"/>
        <w:ind w:left="2889"/>
        <w:rPr>
          <w:rFonts w:ascii="宋体" w:hAnsi="宋体" w:eastAsia="宋体" w:cs="宋体"/>
          <w:color w:val="auto"/>
          <w:spacing w:val="-2"/>
          <w:sz w:val="24"/>
          <w:szCs w:val="24"/>
        </w:rPr>
        <w:sectPr>
          <w:pgSz w:w="11910" w:h="16840"/>
          <w:pgMar w:top="1431" w:right="1380" w:bottom="330" w:left="1750" w:header="964" w:footer="964" w:gutter="0"/>
          <w:cols w:space="720" w:num="1"/>
        </w:sectPr>
      </w:pPr>
      <w:r>
        <w:rPr>
          <w:rFonts w:ascii="宋体" w:hAnsi="宋体" w:eastAsia="宋体" w:cs="宋体"/>
          <w:color w:val="auto"/>
          <w:spacing w:val="-2"/>
          <w:sz w:val="24"/>
          <w:szCs w:val="24"/>
        </w:rPr>
        <w:t>互感器</w:t>
      </w:r>
    </w:p>
    <w:p w14:paraId="57BB9F94">
      <w:pPr>
        <w:widowControl/>
        <w:kinsoku w:val="0"/>
        <w:autoSpaceDE w:val="0"/>
        <w:autoSpaceDN w:val="0"/>
        <w:adjustRightInd w:val="0"/>
        <w:snapToGrid w:val="0"/>
        <w:spacing w:before="46" w:line="348" w:lineRule="auto"/>
        <w:ind w:left="729" w:right="546"/>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GB</w:t>
      </w:r>
      <w:r>
        <w:rPr>
          <w:rFonts w:ascii="宋体" w:hAnsi="宋体" w:eastAsia="宋体" w:cs="宋体"/>
          <w:snapToGrid w:val="0"/>
          <w:color w:val="auto"/>
          <w:spacing w:val="16"/>
          <w:kern w:val="0"/>
          <w:sz w:val="24"/>
          <w:szCs w:val="24"/>
          <w:lang w:eastAsia="en-US"/>
        </w:rPr>
        <w:t xml:space="preserve"> </w:t>
      </w:r>
      <w:r>
        <w:rPr>
          <w:rFonts w:ascii="宋体" w:hAnsi="宋体" w:eastAsia="宋体" w:cs="宋体"/>
          <w:snapToGrid w:val="0"/>
          <w:color w:val="auto"/>
          <w:spacing w:val="-2"/>
          <w:kern w:val="0"/>
          <w:sz w:val="24"/>
          <w:szCs w:val="24"/>
          <w:lang w:eastAsia="en-US"/>
        </w:rPr>
        <w:t>50150-2016</w:t>
      </w:r>
      <w:r>
        <w:rPr>
          <w:rFonts w:ascii="宋体" w:hAnsi="宋体" w:eastAsia="宋体" w:cs="宋体"/>
          <w:snapToGrid w:val="0"/>
          <w:color w:val="auto"/>
          <w:kern w:val="0"/>
          <w:sz w:val="24"/>
          <w:szCs w:val="24"/>
          <w:lang w:eastAsia="en-US"/>
        </w:rPr>
        <w:t xml:space="preserve">  </w:t>
      </w:r>
      <w:r>
        <w:rPr>
          <w:rFonts w:ascii="宋体" w:hAnsi="宋体" w:eastAsia="宋体" w:cs="宋体"/>
          <w:snapToGrid w:val="0"/>
          <w:color w:val="auto"/>
          <w:spacing w:val="-2"/>
          <w:kern w:val="0"/>
          <w:sz w:val="24"/>
          <w:szCs w:val="24"/>
          <w:lang w:eastAsia="en-US"/>
        </w:rPr>
        <w:t>GB/T</w:t>
      </w:r>
      <w:r>
        <w:rPr>
          <w:rFonts w:ascii="宋体" w:hAnsi="宋体" w:eastAsia="宋体" w:cs="宋体"/>
          <w:snapToGrid w:val="0"/>
          <w:color w:val="auto"/>
          <w:spacing w:val="18"/>
          <w:kern w:val="0"/>
          <w:sz w:val="24"/>
          <w:szCs w:val="24"/>
          <w:lang w:eastAsia="en-US"/>
        </w:rPr>
        <w:t xml:space="preserve"> </w:t>
      </w:r>
      <w:r>
        <w:rPr>
          <w:rFonts w:ascii="宋体" w:hAnsi="宋体" w:eastAsia="宋体" w:cs="宋体"/>
          <w:snapToGrid w:val="0"/>
          <w:color w:val="auto"/>
          <w:spacing w:val="-2"/>
          <w:kern w:val="0"/>
          <w:sz w:val="24"/>
          <w:szCs w:val="24"/>
          <w:lang w:eastAsia="en-US"/>
        </w:rPr>
        <w:t>3797-2016</w:t>
      </w:r>
      <w:r>
        <w:rPr>
          <w:rFonts w:ascii="宋体" w:hAnsi="宋体" w:eastAsia="宋体" w:cs="宋体"/>
          <w:snapToGrid w:val="0"/>
          <w:color w:val="auto"/>
          <w:kern w:val="0"/>
          <w:sz w:val="24"/>
          <w:szCs w:val="24"/>
          <w:lang w:eastAsia="en-US"/>
        </w:rPr>
        <w:t xml:space="preserve"> </w:t>
      </w:r>
      <w:r>
        <w:rPr>
          <w:rFonts w:ascii="宋体" w:hAnsi="宋体" w:eastAsia="宋体" w:cs="宋体"/>
          <w:snapToGrid w:val="0"/>
          <w:color w:val="auto"/>
          <w:spacing w:val="-1"/>
          <w:kern w:val="0"/>
          <w:sz w:val="24"/>
          <w:szCs w:val="24"/>
          <w:lang w:eastAsia="en-US"/>
        </w:rPr>
        <w:t>GB/T 2421-2020</w:t>
      </w:r>
    </w:p>
    <w:p w14:paraId="4FE51817">
      <w:pPr>
        <w:widowControl/>
        <w:kinsoku w:val="0"/>
        <w:autoSpaceDE w:val="0"/>
        <w:autoSpaceDN w:val="0"/>
        <w:adjustRightInd w:val="0"/>
        <w:snapToGrid w:val="0"/>
        <w:spacing w:line="224" w:lineRule="auto"/>
        <w:ind w:left="729"/>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GB/T</w:t>
      </w:r>
      <w:r>
        <w:rPr>
          <w:rFonts w:ascii="宋体" w:hAnsi="宋体" w:eastAsia="宋体" w:cs="宋体"/>
          <w:snapToGrid w:val="0"/>
          <w:color w:val="auto"/>
          <w:spacing w:val="33"/>
          <w:kern w:val="0"/>
          <w:sz w:val="24"/>
          <w:szCs w:val="24"/>
          <w:lang w:eastAsia="en-US"/>
        </w:rPr>
        <w:t xml:space="preserve"> </w:t>
      </w:r>
      <w:r>
        <w:rPr>
          <w:rFonts w:ascii="宋体" w:hAnsi="宋体" w:eastAsia="宋体" w:cs="宋体"/>
          <w:snapToGrid w:val="0"/>
          <w:color w:val="auto"/>
          <w:spacing w:val="-2"/>
          <w:kern w:val="0"/>
          <w:sz w:val="24"/>
          <w:szCs w:val="24"/>
          <w:lang w:eastAsia="en-US"/>
        </w:rPr>
        <w:t>2423</w:t>
      </w:r>
    </w:p>
    <w:p w14:paraId="4EF7A995">
      <w:pPr>
        <w:widowControl/>
        <w:kinsoku w:val="0"/>
        <w:autoSpaceDE w:val="0"/>
        <w:autoSpaceDN w:val="0"/>
        <w:adjustRightInd w:val="0"/>
        <w:snapToGrid w:val="0"/>
        <w:spacing w:before="178" w:line="224" w:lineRule="auto"/>
        <w:ind w:left="729"/>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GB/T 3859.1-2013</w:t>
      </w:r>
    </w:p>
    <w:p w14:paraId="655F5CC8">
      <w:pPr>
        <w:widowControl/>
        <w:kinsoku w:val="0"/>
        <w:autoSpaceDE w:val="0"/>
        <w:autoSpaceDN w:val="0"/>
        <w:adjustRightInd w:val="0"/>
        <w:snapToGrid w:val="0"/>
        <w:spacing w:before="178" w:line="224" w:lineRule="auto"/>
        <w:ind w:left="729"/>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3"/>
          <w:kern w:val="0"/>
          <w:sz w:val="24"/>
          <w:szCs w:val="24"/>
          <w:lang w:eastAsia="en-US"/>
        </w:rPr>
        <w:t>GB/T</w:t>
      </w:r>
      <w:r>
        <w:rPr>
          <w:rFonts w:ascii="宋体" w:hAnsi="宋体" w:eastAsia="宋体" w:cs="宋体"/>
          <w:snapToGrid w:val="0"/>
          <w:color w:val="auto"/>
          <w:spacing w:val="34"/>
          <w:kern w:val="0"/>
          <w:sz w:val="24"/>
          <w:szCs w:val="24"/>
          <w:lang w:eastAsia="en-US"/>
        </w:rPr>
        <w:t xml:space="preserve"> </w:t>
      </w:r>
      <w:r>
        <w:rPr>
          <w:rFonts w:ascii="宋体" w:hAnsi="宋体" w:eastAsia="宋体" w:cs="宋体"/>
          <w:snapToGrid w:val="0"/>
          <w:color w:val="auto"/>
          <w:spacing w:val="-3"/>
          <w:kern w:val="0"/>
          <w:sz w:val="24"/>
          <w:szCs w:val="24"/>
          <w:lang w:eastAsia="en-US"/>
        </w:rPr>
        <w:t>14549-1993</w:t>
      </w:r>
    </w:p>
    <w:p w14:paraId="6958B527">
      <w:pPr>
        <w:kinsoku w:val="0"/>
        <w:autoSpaceDE w:val="0"/>
        <w:autoSpaceDN w:val="0"/>
        <w:adjustRightInd w:val="0"/>
        <w:snapToGrid w:val="0"/>
        <w:spacing w:line="14" w:lineRule="auto"/>
        <w:jc w:val="left"/>
        <w:textAlignment w:val="baseline"/>
        <w:rPr>
          <w:rFonts w:ascii="Arial" w:hAnsi="Arial" w:eastAsia="Arial" w:cs="Arial"/>
          <w:snapToGrid w:val="0"/>
          <w:color w:val="auto"/>
          <w:kern w:val="0"/>
          <w:sz w:val="2"/>
          <w:szCs w:val="21"/>
          <w:lang w:val="en-US" w:eastAsia="en-US" w:bidi="ar-SA"/>
        </w:rPr>
      </w:pPr>
      <w:r>
        <w:rPr>
          <w:rFonts w:ascii="Arial" w:hAnsi="Arial" w:eastAsia="Arial" w:cs="Arial"/>
          <w:snapToGrid w:val="0"/>
          <w:color w:val="auto"/>
          <w:kern w:val="0"/>
          <w:sz w:val="2"/>
          <w:szCs w:val="2"/>
          <w:lang w:val="en-US" w:eastAsia="en-US" w:bidi="ar-SA"/>
        </w:rPr>
        <w:br w:type="column"/>
      </w:r>
    </w:p>
    <w:p w14:paraId="0EE567A1">
      <w:pPr>
        <w:widowControl/>
        <w:kinsoku w:val="0"/>
        <w:autoSpaceDE w:val="0"/>
        <w:autoSpaceDN w:val="0"/>
        <w:adjustRightInd w:val="0"/>
        <w:snapToGrid w:val="0"/>
        <w:spacing w:before="46" w:line="460" w:lineRule="exact"/>
        <w:ind w:left="12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position w:val="16"/>
          <w:sz w:val="24"/>
          <w:szCs w:val="24"/>
          <w:lang w:eastAsia="en-US"/>
        </w:rPr>
        <w:t>电气装置安装工程电气设备交接试验标准</w:t>
      </w:r>
    </w:p>
    <w:p w14:paraId="12D5633F">
      <w:pPr>
        <w:widowControl/>
        <w:kinsoku w:val="0"/>
        <w:autoSpaceDE w:val="0"/>
        <w:autoSpaceDN w:val="0"/>
        <w:adjustRightInd w:val="0"/>
        <w:snapToGrid w:val="0"/>
        <w:spacing w:line="220" w:lineRule="auto"/>
        <w:ind w:left="12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6"/>
          <w:kern w:val="0"/>
          <w:sz w:val="24"/>
          <w:szCs w:val="24"/>
          <w:lang w:eastAsia="en-US"/>
        </w:rPr>
        <w:t>电气控制设备</w:t>
      </w:r>
    </w:p>
    <w:p w14:paraId="6A169475">
      <w:pPr>
        <w:widowControl/>
        <w:kinsoku w:val="0"/>
        <w:autoSpaceDE w:val="0"/>
        <w:autoSpaceDN w:val="0"/>
        <w:adjustRightInd w:val="0"/>
        <w:snapToGrid w:val="0"/>
        <w:spacing w:before="173" w:line="471" w:lineRule="exact"/>
        <w:ind w:left="12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8"/>
          <w:kern w:val="0"/>
          <w:position w:val="17"/>
          <w:sz w:val="24"/>
          <w:szCs w:val="24"/>
          <w:lang w:eastAsia="en-US"/>
        </w:rPr>
        <w:t>电工电子产品环境试验</w:t>
      </w:r>
    </w:p>
    <w:p w14:paraId="6F93721D">
      <w:pPr>
        <w:widowControl/>
        <w:kinsoku w:val="0"/>
        <w:autoSpaceDE w:val="0"/>
        <w:autoSpaceDN w:val="0"/>
        <w:adjustRightInd w:val="0"/>
        <w:snapToGrid w:val="0"/>
        <w:spacing w:line="220" w:lineRule="auto"/>
        <w:ind w:left="12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环境试验</w:t>
      </w:r>
    </w:p>
    <w:p w14:paraId="2BA5AA3C">
      <w:pPr>
        <w:widowControl/>
        <w:kinsoku w:val="0"/>
        <w:autoSpaceDE w:val="0"/>
        <w:autoSpaceDN w:val="0"/>
        <w:adjustRightInd w:val="0"/>
        <w:snapToGrid w:val="0"/>
        <w:spacing w:before="183" w:line="461" w:lineRule="exact"/>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5"/>
          <w:kern w:val="0"/>
          <w:position w:val="16"/>
          <w:sz w:val="24"/>
          <w:szCs w:val="24"/>
          <w:lang w:eastAsia="en-US"/>
        </w:rPr>
        <w:t>半导体变流器通用要求和电网换相变流器</w:t>
      </w:r>
    </w:p>
    <w:p w14:paraId="7F11D922">
      <w:pPr>
        <w:widowControl/>
        <w:kinsoku w:val="0"/>
        <w:autoSpaceDE w:val="0"/>
        <w:autoSpaceDN w:val="0"/>
        <w:adjustRightInd w:val="0"/>
        <w:snapToGrid w:val="0"/>
        <w:spacing w:line="220" w:lineRule="auto"/>
        <w:ind w:left="120"/>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7"/>
          <w:kern w:val="0"/>
          <w:sz w:val="24"/>
          <w:szCs w:val="24"/>
          <w:lang w:eastAsia="en-US"/>
        </w:rPr>
        <w:t>电能质量公用电网谐波</w:t>
      </w:r>
    </w:p>
    <w:p w14:paraId="3553E0B6">
      <w:pPr>
        <w:widowControl/>
        <w:kinsoku w:val="0"/>
        <w:autoSpaceDE w:val="0"/>
        <w:autoSpaceDN w:val="0"/>
        <w:adjustRightInd w:val="0"/>
        <w:snapToGrid w:val="0"/>
        <w:spacing w:line="240" w:lineRule="auto"/>
        <w:jc w:val="left"/>
        <w:textAlignment w:val="baseline"/>
        <w:rPr>
          <w:rFonts w:ascii="宋体" w:hAnsi="宋体" w:eastAsia="宋体" w:cs="宋体"/>
          <w:color w:val="auto"/>
          <w:sz w:val="24"/>
          <w:szCs w:val="24"/>
        </w:rPr>
        <w:sectPr>
          <w:pgSz w:w="11910" w:h="16840"/>
          <w:pgMar w:top="1431" w:right="1730" w:bottom="360" w:left="1430" w:header="964" w:footer="964" w:gutter="0"/>
          <w:cols w:equalWidth="0" w:num="2">
            <w:col w:w="2950" w:space="100"/>
            <w:col w:w="5700"/>
          </w:cols>
        </w:sectPr>
      </w:pPr>
    </w:p>
    <w:p w14:paraId="6EE0DFE1">
      <w:pPr>
        <w:widowControl/>
        <w:kinsoku w:val="0"/>
        <w:autoSpaceDE w:val="0"/>
        <w:autoSpaceDN w:val="0"/>
        <w:adjustRightInd w:val="0"/>
        <w:snapToGrid w:val="0"/>
        <w:spacing w:line="114" w:lineRule="exact"/>
        <w:jc w:val="left"/>
        <w:textAlignment w:val="baseline"/>
        <w:rPr>
          <w:rFonts w:ascii="Arial" w:hAnsi="Arial" w:eastAsia="Arial" w:cs="Arial"/>
          <w:snapToGrid w:val="0"/>
          <w:color w:val="auto"/>
          <w:kern w:val="0"/>
          <w:szCs w:val="21"/>
          <w:lang w:eastAsia="en-US"/>
        </w:rPr>
      </w:pPr>
    </w:p>
    <w:p w14:paraId="38F0A79F">
      <w:pPr>
        <w:spacing w:line="114" w:lineRule="exact"/>
        <w:rPr>
          <w:color w:val="auto"/>
        </w:rPr>
        <w:sectPr>
          <w:type w:val="continuous"/>
          <w:pgSz w:w="11910" w:h="16840"/>
          <w:pgMar w:top="1431" w:right="1730" w:bottom="360" w:left="1430" w:header="0" w:footer="0" w:gutter="0"/>
          <w:cols w:space="720" w:num="1"/>
        </w:sectPr>
      </w:pPr>
    </w:p>
    <w:p w14:paraId="1FB79491">
      <w:pPr>
        <w:widowControl/>
        <w:kinsoku w:val="0"/>
        <w:autoSpaceDE w:val="0"/>
        <w:autoSpaceDN w:val="0"/>
        <w:adjustRightInd w:val="0"/>
        <w:snapToGrid w:val="0"/>
        <w:spacing w:before="47" w:line="371" w:lineRule="auto"/>
        <w:ind w:left="729" w:right="28"/>
        <w:jc w:val="both"/>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GB/T</w:t>
      </w:r>
      <w:r>
        <w:rPr>
          <w:rFonts w:ascii="宋体" w:hAnsi="宋体" w:eastAsia="宋体" w:cs="宋体"/>
          <w:snapToGrid w:val="0"/>
          <w:color w:val="auto"/>
          <w:kern w:val="0"/>
          <w:sz w:val="24"/>
          <w:szCs w:val="24"/>
          <w:lang w:eastAsia="en-US"/>
        </w:rPr>
        <w:t xml:space="preserve"> </w:t>
      </w:r>
      <w:r>
        <w:rPr>
          <w:rFonts w:ascii="宋体" w:hAnsi="宋体" w:eastAsia="宋体" w:cs="宋体"/>
          <w:snapToGrid w:val="0"/>
          <w:color w:val="auto"/>
          <w:spacing w:val="-2"/>
          <w:kern w:val="0"/>
          <w:sz w:val="24"/>
          <w:szCs w:val="24"/>
          <w:lang w:eastAsia="en-US"/>
        </w:rPr>
        <w:t>GB/T</w:t>
      </w:r>
    </w:p>
    <w:p w14:paraId="6A494F4D">
      <w:pPr>
        <w:widowControl/>
        <w:kinsoku w:val="0"/>
        <w:autoSpaceDE w:val="0"/>
        <w:autoSpaceDN w:val="0"/>
        <w:adjustRightInd w:val="0"/>
        <w:snapToGrid w:val="0"/>
        <w:spacing w:before="1" w:line="184" w:lineRule="auto"/>
        <w:ind w:right="26"/>
        <w:jc w:val="righ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GB/T</w:t>
      </w:r>
    </w:p>
    <w:p w14:paraId="32E796BB">
      <w:pPr>
        <w:kinsoku w:val="0"/>
        <w:autoSpaceDE w:val="0"/>
        <w:autoSpaceDN w:val="0"/>
        <w:adjustRightInd w:val="0"/>
        <w:snapToGrid w:val="0"/>
        <w:spacing w:line="14" w:lineRule="auto"/>
        <w:jc w:val="left"/>
        <w:textAlignment w:val="baseline"/>
        <w:rPr>
          <w:rFonts w:ascii="Arial" w:hAnsi="Arial" w:eastAsia="Arial" w:cs="Arial"/>
          <w:snapToGrid w:val="0"/>
          <w:color w:val="auto"/>
          <w:kern w:val="0"/>
          <w:sz w:val="2"/>
          <w:szCs w:val="21"/>
          <w:lang w:val="en-US" w:eastAsia="en-US" w:bidi="ar-SA"/>
        </w:rPr>
      </w:pPr>
      <w:r>
        <w:rPr>
          <w:rFonts w:ascii="Arial" w:hAnsi="Arial" w:eastAsia="Arial" w:cs="Arial"/>
          <w:snapToGrid w:val="0"/>
          <w:color w:val="auto"/>
          <w:kern w:val="0"/>
          <w:sz w:val="2"/>
          <w:szCs w:val="2"/>
          <w:lang w:val="en-US" w:eastAsia="en-US" w:bidi="ar-SA"/>
        </w:rPr>
        <w:br w:type="column"/>
      </w:r>
    </w:p>
    <w:p w14:paraId="6263F04B">
      <w:pPr>
        <w:widowControl/>
        <w:kinsoku w:val="0"/>
        <w:autoSpaceDE w:val="0"/>
        <w:autoSpaceDN w:val="0"/>
        <w:adjustRightInd w:val="0"/>
        <w:snapToGrid w:val="0"/>
        <w:spacing w:before="83" w:line="184" w:lineRule="auto"/>
        <w:ind w:left="18"/>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3"/>
          <w:kern w:val="0"/>
          <w:sz w:val="24"/>
          <w:szCs w:val="24"/>
          <w:lang w:eastAsia="en-US"/>
        </w:rPr>
        <w:t>13384-2008</w:t>
      </w:r>
    </w:p>
    <w:p w14:paraId="7F795683">
      <w:pPr>
        <w:widowControl/>
        <w:kinsoku w:val="0"/>
        <w:autoSpaceDE w:val="0"/>
        <w:autoSpaceDN w:val="0"/>
        <w:adjustRightInd w:val="0"/>
        <w:snapToGrid w:val="0"/>
        <w:spacing w:before="231" w:line="184" w:lineRule="auto"/>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4208-2017</w:t>
      </w:r>
    </w:p>
    <w:p w14:paraId="4F36BEC6">
      <w:pPr>
        <w:widowControl/>
        <w:kinsoku w:val="0"/>
        <w:autoSpaceDE w:val="0"/>
        <w:autoSpaceDN w:val="0"/>
        <w:adjustRightInd w:val="0"/>
        <w:snapToGrid w:val="0"/>
        <w:spacing w:before="255" w:line="203" w:lineRule="exact"/>
        <w:ind w:left="18"/>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4"/>
          <w:kern w:val="0"/>
          <w:position w:val="-2"/>
          <w:sz w:val="24"/>
          <w:szCs w:val="24"/>
          <w:lang w:eastAsia="en-US"/>
        </w:rPr>
        <w:t>191-2008</w:t>
      </w:r>
    </w:p>
    <w:p w14:paraId="7DD46506">
      <w:pP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
          <w:szCs w:val="21"/>
          <w:lang w:val="en-US" w:eastAsia="en-US" w:bidi="ar-SA"/>
        </w:rPr>
      </w:pPr>
      <w:r>
        <w:rPr>
          <w:rFonts w:ascii="Arial" w:hAnsi="Arial" w:eastAsia="Arial" w:cs="Arial"/>
          <w:snapToGrid w:val="0"/>
          <w:color w:val="auto"/>
          <w:kern w:val="0"/>
          <w:sz w:val="2"/>
          <w:szCs w:val="2"/>
          <w:lang w:val="en-US" w:eastAsia="en-US" w:bidi="ar-SA"/>
        </w:rPr>
        <w:br w:type="column"/>
      </w:r>
    </w:p>
    <w:p w14:paraId="6EBA0390">
      <w:pPr>
        <w:widowControl/>
        <w:kinsoku w:val="0"/>
        <w:autoSpaceDE w:val="0"/>
        <w:autoSpaceDN w:val="0"/>
        <w:adjustRightInd w:val="0"/>
        <w:snapToGrid w:val="0"/>
        <w:spacing w:before="79" w:line="444" w:lineRule="exact"/>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position w:val="15"/>
          <w:sz w:val="24"/>
          <w:szCs w:val="24"/>
          <w:lang w:eastAsia="en-US"/>
        </w:rPr>
        <w:t>机电产品包装通用技术条件</w:t>
      </w:r>
    </w:p>
    <w:p w14:paraId="25EB1F0B">
      <w:pPr>
        <w:widowControl/>
        <w:kinsoku w:val="0"/>
        <w:autoSpaceDE w:val="0"/>
        <w:autoSpaceDN w:val="0"/>
        <w:adjustRightInd w:val="0"/>
        <w:snapToGrid w:val="0"/>
        <w:spacing w:line="212" w:lineRule="auto"/>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外壳防护等级</w:t>
      </w:r>
      <w:r>
        <w:rPr>
          <w:rFonts w:ascii="Times New Roman" w:hAnsi="Times New Roman" w:eastAsia="Times New Roman" w:cs="Times New Roman"/>
          <w:snapToGrid w:val="0"/>
          <w:color w:val="auto"/>
          <w:spacing w:val="1"/>
          <w:kern w:val="0"/>
          <w:sz w:val="24"/>
          <w:szCs w:val="24"/>
          <w:lang w:eastAsia="en-US"/>
        </w:rPr>
        <w:t>(</w:t>
      </w:r>
      <w:r>
        <w:rPr>
          <w:rFonts w:ascii="Times New Roman" w:hAnsi="Times New Roman" w:eastAsia="Times New Roman" w:cs="Times New Roman"/>
          <w:snapToGrid w:val="0"/>
          <w:color w:val="auto"/>
          <w:kern w:val="0"/>
          <w:sz w:val="24"/>
          <w:szCs w:val="24"/>
          <w:lang w:eastAsia="en-US"/>
        </w:rPr>
        <w:t>IP</w:t>
      </w:r>
      <w:r>
        <w:rPr>
          <w:rFonts w:ascii="Times New Roman" w:hAnsi="Times New Roman" w:eastAsia="Times New Roman" w:cs="Times New Roman"/>
          <w:snapToGrid w:val="0"/>
          <w:color w:val="auto"/>
          <w:spacing w:val="38"/>
          <w:w w:val="101"/>
          <w:kern w:val="0"/>
          <w:sz w:val="24"/>
          <w:szCs w:val="24"/>
          <w:lang w:eastAsia="en-US"/>
        </w:rPr>
        <w:t xml:space="preserve"> </w:t>
      </w:r>
      <w:r>
        <w:rPr>
          <w:rFonts w:ascii="宋体" w:hAnsi="宋体" w:eastAsia="宋体" w:cs="宋体"/>
          <w:snapToGrid w:val="0"/>
          <w:color w:val="auto"/>
          <w:spacing w:val="1"/>
          <w:kern w:val="0"/>
          <w:sz w:val="24"/>
          <w:szCs w:val="24"/>
          <w:lang w:eastAsia="en-US"/>
        </w:rPr>
        <w:t>代码)</w:t>
      </w:r>
    </w:p>
    <w:p w14:paraId="44831FD2">
      <w:pPr>
        <w:widowControl/>
        <w:kinsoku w:val="0"/>
        <w:autoSpaceDE w:val="0"/>
        <w:autoSpaceDN w:val="0"/>
        <w:adjustRightInd w:val="0"/>
        <w:snapToGrid w:val="0"/>
        <w:spacing w:before="213" w:line="184" w:lineRule="auto"/>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2"/>
          <w:kern w:val="0"/>
          <w:sz w:val="24"/>
          <w:szCs w:val="24"/>
          <w:lang w:eastAsia="en-US"/>
        </w:rPr>
        <w:t>包装储运图示标志</w:t>
      </w:r>
    </w:p>
    <w:p w14:paraId="7FB2F40B">
      <w:pPr>
        <w:widowControl/>
        <w:kinsoku w:val="0"/>
        <w:autoSpaceDE w:val="0"/>
        <w:autoSpaceDN w:val="0"/>
        <w:adjustRightInd w:val="0"/>
        <w:snapToGrid w:val="0"/>
        <w:spacing w:before="318" w:line="358" w:lineRule="auto"/>
        <w:ind w:right="122"/>
        <w:jc w:val="left"/>
        <w:textAlignment w:val="baseline"/>
        <w:rPr>
          <w:rFonts w:ascii="宋体" w:hAnsi="宋体" w:eastAsia="宋体" w:cs="宋体"/>
          <w:snapToGrid w:val="0"/>
          <w:color w:val="auto"/>
          <w:kern w:val="0"/>
          <w:sz w:val="24"/>
          <w:szCs w:val="24"/>
          <w:lang w:eastAsia="en-US"/>
        </w:rPr>
      </w:pPr>
      <w:r>
        <w:rPr>
          <w:rFonts w:ascii="宋体" w:hAnsi="宋体" w:eastAsia="宋体" w:cs="宋体"/>
          <w:snapToGrid w:val="0"/>
          <w:color w:val="auto"/>
          <w:spacing w:val="-1"/>
          <w:kern w:val="0"/>
          <w:sz w:val="24"/>
          <w:szCs w:val="24"/>
          <w:lang w:eastAsia="en-US"/>
        </w:rPr>
        <w:t>以上标准应按最新版本执行，以上标准和规范是最低限度技术要</w:t>
      </w:r>
      <w:r>
        <w:rPr>
          <w:rFonts w:ascii="宋体" w:hAnsi="宋体" w:eastAsia="宋体" w:cs="宋体"/>
          <w:snapToGrid w:val="0"/>
          <w:color w:val="auto"/>
          <w:spacing w:val="-2"/>
          <w:kern w:val="0"/>
          <w:sz w:val="24"/>
          <w:szCs w:val="24"/>
          <w:lang w:eastAsia="en-US"/>
        </w:rPr>
        <w:t>求，并未对</w:t>
      </w:r>
      <w:r>
        <w:rPr>
          <w:rFonts w:ascii="宋体" w:hAnsi="宋体" w:eastAsia="宋体" w:cs="宋体"/>
          <w:snapToGrid w:val="0"/>
          <w:color w:val="auto"/>
          <w:kern w:val="0"/>
          <w:sz w:val="24"/>
          <w:szCs w:val="24"/>
          <w:lang w:eastAsia="en-US"/>
        </w:rPr>
        <w:t xml:space="preserve"> 一切技术细节做出规定，也未充分引述有关标</w:t>
      </w:r>
      <w:r>
        <w:rPr>
          <w:rFonts w:ascii="宋体" w:hAnsi="宋体" w:eastAsia="宋体" w:cs="宋体"/>
          <w:snapToGrid w:val="0"/>
          <w:color w:val="auto"/>
          <w:spacing w:val="-1"/>
          <w:kern w:val="0"/>
          <w:sz w:val="24"/>
          <w:szCs w:val="24"/>
          <w:lang w:eastAsia="en-US"/>
        </w:rPr>
        <w:t>准和规范的条文，乙方应保证提供</w:t>
      </w:r>
    </w:p>
    <w:p w14:paraId="04A4ECD7">
      <w:pPr>
        <w:widowControl/>
        <w:kinsoku w:val="0"/>
        <w:autoSpaceDE w:val="0"/>
        <w:autoSpaceDN w:val="0"/>
        <w:adjustRightInd w:val="0"/>
        <w:snapToGrid w:val="0"/>
        <w:spacing w:line="219" w:lineRule="auto"/>
        <w:ind w:left="239"/>
        <w:jc w:val="left"/>
        <w:textAlignment w:val="baseline"/>
        <w:rPr>
          <w:rFonts w:ascii="宋体" w:hAnsi="宋体" w:eastAsia="宋体" w:cs="宋体"/>
          <w:snapToGrid w:val="0"/>
          <w:color w:val="000000"/>
          <w:kern w:val="0"/>
          <w:sz w:val="24"/>
          <w:szCs w:val="24"/>
          <w:lang w:eastAsia="en-US"/>
        </w:rPr>
      </w:pPr>
      <w:r>
        <w:rPr>
          <w:rFonts w:ascii="宋体" w:hAnsi="宋体" w:eastAsia="宋体" w:cs="宋体"/>
          <w:snapToGrid w:val="0"/>
          <w:color w:val="auto"/>
          <w:spacing w:val="-3"/>
          <w:kern w:val="0"/>
          <w:sz w:val="24"/>
          <w:szCs w:val="24"/>
          <w:lang w:eastAsia="en-US"/>
        </w:rPr>
        <w:t>符合招标文件和有</w:t>
      </w:r>
      <w:r>
        <w:rPr>
          <w:rFonts w:ascii="宋体" w:hAnsi="宋体" w:eastAsia="宋体" w:cs="宋体"/>
          <w:snapToGrid w:val="0"/>
          <w:color w:val="000000"/>
          <w:spacing w:val="-3"/>
          <w:kern w:val="0"/>
          <w:sz w:val="24"/>
          <w:szCs w:val="24"/>
          <w:lang w:eastAsia="en-US"/>
        </w:rPr>
        <w:t>关最新工业标准的优质产品。</w:t>
      </w:r>
    </w:p>
    <w:p w14:paraId="2FF43DD9">
      <w:pPr>
        <w:spacing w:line="240" w:lineRule="auto"/>
        <w:rPr>
          <w:rFonts w:ascii="宋体" w:hAnsi="宋体" w:eastAsia="宋体" w:cs="宋体"/>
          <w:color w:val="FF0000"/>
          <w:sz w:val="24"/>
          <w:szCs w:val="24"/>
        </w:rPr>
        <w:sectPr>
          <w:type w:val="continuous"/>
          <w:pgSz w:w="11910" w:h="16840"/>
          <w:pgMar w:top="1431" w:right="1730" w:bottom="360" w:left="1430" w:header="0" w:footer="0" w:gutter="0"/>
          <w:cols w:equalWidth="0" w:num="3">
            <w:col w:w="1232" w:space="100"/>
            <w:col w:w="1739" w:space="100"/>
            <w:col w:w="5580"/>
          </w:cols>
        </w:sectPr>
      </w:pPr>
    </w:p>
    <w:p w14:paraId="0A3405C8">
      <w:pPr>
        <w:pStyle w:val="6"/>
        <w:spacing w:line="360" w:lineRule="auto"/>
      </w:pPr>
    </w:p>
    <w:p w14:paraId="3DC151CB">
      <w:pPr>
        <w:spacing w:before="79" w:line="360" w:lineRule="auto"/>
        <w:ind w:left="733"/>
        <w:outlineLvl w:val="1"/>
        <w:rPr>
          <w:rFonts w:ascii="宋体" w:hAnsi="宋体" w:eastAsia="宋体" w:cs="宋体"/>
          <w:sz w:val="24"/>
          <w:szCs w:val="24"/>
        </w:rPr>
      </w:pPr>
      <w:r>
        <w:rPr>
          <w:rFonts w:hint="eastAsia" w:ascii="宋体" w:hAnsi="宋体" w:eastAsia="宋体" w:cs="宋体"/>
          <w:b/>
          <w:bCs/>
          <w:spacing w:val="21"/>
          <w:sz w:val="24"/>
          <w:szCs w:val="24"/>
          <w:lang w:val="en-US" w:eastAsia="zh-CN"/>
        </w:rPr>
        <w:t>2</w:t>
      </w:r>
      <w:r>
        <w:rPr>
          <w:rFonts w:ascii="宋体" w:hAnsi="宋体" w:eastAsia="宋体" w:cs="宋体"/>
          <w:b/>
          <w:bCs/>
          <w:spacing w:val="21"/>
          <w:sz w:val="24"/>
          <w:szCs w:val="24"/>
        </w:rPr>
        <w:t>.3</w:t>
      </w:r>
      <w:r>
        <w:rPr>
          <w:rFonts w:ascii="宋体" w:hAnsi="宋体" w:eastAsia="宋体" w:cs="宋体"/>
          <w:spacing w:val="90"/>
          <w:sz w:val="24"/>
          <w:szCs w:val="24"/>
        </w:rPr>
        <w:t xml:space="preserve"> </w:t>
      </w:r>
      <w:r>
        <w:rPr>
          <w:rFonts w:ascii="宋体" w:hAnsi="宋体" w:eastAsia="宋体" w:cs="宋体"/>
          <w:b/>
          <w:bCs/>
          <w:spacing w:val="21"/>
          <w:sz w:val="24"/>
          <w:szCs w:val="24"/>
        </w:rPr>
        <w:t>工作范围划分</w:t>
      </w:r>
    </w:p>
    <w:p w14:paraId="3D29A6BD">
      <w:pPr>
        <w:tabs>
          <w:tab w:val="left" w:pos="389"/>
        </w:tabs>
        <w:spacing w:before="315" w:line="360" w:lineRule="auto"/>
        <w:ind w:left="239" w:right="106" w:firstLine="489"/>
        <w:rPr>
          <w:rFonts w:ascii="宋体" w:hAnsi="宋体" w:eastAsia="宋体" w:cs="宋体"/>
          <w:sz w:val="24"/>
          <w:szCs w:val="24"/>
        </w:rPr>
      </w:pPr>
      <w:r>
        <w:rPr>
          <w:rFonts w:hint="eastAsia" w:ascii="宋体" w:hAnsi="宋体" w:eastAsia="宋体" w:cs="宋体"/>
          <w:spacing w:val="3"/>
          <w:sz w:val="24"/>
          <w:szCs w:val="24"/>
          <w:lang w:val="en-US" w:eastAsia="zh-CN"/>
        </w:rPr>
        <w:t>2</w:t>
      </w:r>
      <w:r>
        <w:rPr>
          <w:rFonts w:ascii="宋体" w:hAnsi="宋体" w:eastAsia="宋体" w:cs="宋体"/>
          <w:spacing w:val="3"/>
          <w:sz w:val="24"/>
          <w:szCs w:val="24"/>
        </w:rPr>
        <w:t>.3.1合同签订后，乙方向甲方提供本技术文件及附件要求的设备相关图纸</w:t>
      </w:r>
      <w:r>
        <w:rPr>
          <w:rFonts w:ascii="宋体" w:hAnsi="宋体" w:eastAsia="宋体" w:cs="宋体"/>
          <w:spacing w:val="7"/>
          <w:sz w:val="24"/>
          <w:szCs w:val="24"/>
        </w:rPr>
        <w:t xml:space="preserve"> </w:t>
      </w:r>
      <w:r>
        <w:rPr>
          <w:rFonts w:ascii="宋体" w:hAnsi="宋体" w:eastAsia="宋体" w:cs="宋体"/>
          <w:sz w:val="24"/>
          <w:szCs w:val="24"/>
        </w:rPr>
        <w:tab/>
      </w:r>
      <w:r>
        <w:rPr>
          <w:rFonts w:ascii="宋体" w:hAnsi="宋体" w:eastAsia="宋体" w:cs="宋体"/>
          <w:spacing w:val="6"/>
          <w:sz w:val="24"/>
          <w:szCs w:val="24"/>
        </w:rPr>
        <w:t>(不限于此),以满足设备正常设计、制造、安装、运行、维修、验收等各环节</w:t>
      </w:r>
      <w:r>
        <w:rPr>
          <w:rFonts w:ascii="宋体" w:hAnsi="宋体" w:eastAsia="宋体" w:cs="宋体"/>
          <w:spacing w:val="3"/>
          <w:sz w:val="24"/>
          <w:szCs w:val="24"/>
        </w:rPr>
        <w:t>的需要为准。</w:t>
      </w:r>
    </w:p>
    <w:p w14:paraId="3ABB39BA">
      <w:pPr>
        <w:spacing w:before="126" w:line="360" w:lineRule="auto"/>
        <w:ind w:left="154" w:right="388" w:firstLine="460"/>
        <w:rPr>
          <w:rFonts w:ascii="宋体" w:hAnsi="宋体" w:eastAsia="宋体" w:cs="宋体"/>
          <w:spacing w:val="-6"/>
          <w:sz w:val="24"/>
          <w:szCs w:val="24"/>
        </w:rPr>
      </w:pPr>
      <w:r>
        <w:rPr>
          <w:rFonts w:hint="eastAsia" w:ascii="宋体" w:hAnsi="宋体" w:eastAsia="宋体" w:cs="宋体"/>
          <w:spacing w:val="-1"/>
          <w:sz w:val="24"/>
          <w:szCs w:val="24"/>
          <w:lang w:val="en-US" w:eastAsia="zh-CN"/>
        </w:rPr>
        <w:t>2</w:t>
      </w:r>
      <w:r>
        <w:rPr>
          <w:rFonts w:ascii="宋体" w:hAnsi="宋体" w:eastAsia="宋体" w:cs="宋体"/>
          <w:spacing w:val="-1"/>
          <w:sz w:val="24"/>
          <w:szCs w:val="24"/>
        </w:rPr>
        <w:t>.3.2乙方负责提供质保期内的备品备件及专用工具，且包含在合同总价内。</w:t>
      </w:r>
      <w:r>
        <w:rPr>
          <w:rFonts w:ascii="宋体" w:hAnsi="宋体" w:eastAsia="宋体" w:cs="宋体"/>
          <w:spacing w:val="14"/>
          <w:sz w:val="24"/>
          <w:szCs w:val="24"/>
        </w:rPr>
        <w:t xml:space="preserve"> </w:t>
      </w:r>
      <w:r>
        <w:rPr>
          <w:rFonts w:ascii="宋体" w:hAnsi="宋体" w:eastAsia="宋体" w:cs="宋体"/>
          <w:sz w:val="24"/>
          <w:szCs w:val="24"/>
        </w:rPr>
        <w:t>即：设备在安装、调试、运行，直至质保期结束期间所有维持设备正常运行所必须的备品备件、专用工具都由乙方负责免费提</w:t>
      </w:r>
      <w:r>
        <w:rPr>
          <w:rFonts w:ascii="宋体" w:hAnsi="宋体" w:eastAsia="宋体" w:cs="宋体"/>
          <w:spacing w:val="-1"/>
          <w:sz w:val="24"/>
          <w:szCs w:val="24"/>
        </w:rPr>
        <w:t>供，且不能因备件供应不足影响本</w:t>
      </w:r>
      <w:r>
        <w:rPr>
          <w:rFonts w:ascii="宋体" w:hAnsi="宋体" w:eastAsia="宋体" w:cs="宋体"/>
          <w:spacing w:val="-6"/>
          <w:sz w:val="24"/>
          <w:szCs w:val="24"/>
        </w:rPr>
        <w:t>工程正常运行。</w:t>
      </w:r>
    </w:p>
    <w:p w14:paraId="6BD825B9">
      <w:pPr>
        <w:spacing w:before="126" w:line="360" w:lineRule="auto"/>
        <w:ind w:left="154" w:right="388" w:firstLine="460"/>
        <w:rPr>
          <w:rFonts w:ascii="宋体" w:hAnsi="宋体" w:eastAsia="宋体" w:cs="宋体"/>
          <w:sz w:val="24"/>
          <w:szCs w:val="24"/>
        </w:rPr>
      </w:pPr>
      <w:r>
        <w:rPr>
          <w:rFonts w:hint="eastAsia" w:ascii="宋体" w:hAnsi="宋体" w:eastAsia="宋体" w:cs="宋体"/>
          <w:spacing w:val="3"/>
          <w:sz w:val="24"/>
          <w:szCs w:val="24"/>
          <w:lang w:val="en-US" w:eastAsia="zh-CN"/>
        </w:rPr>
        <w:t>2</w:t>
      </w:r>
      <w:r>
        <w:rPr>
          <w:rFonts w:ascii="宋体" w:hAnsi="宋体" w:eastAsia="宋体" w:cs="宋体"/>
          <w:spacing w:val="3"/>
          <w:sz w:val="24"/>
          <w:szCs w:val="24"/>
        </w:rPr>
        <w:t>.3.3乙方应确保供货范围完整，满足甲</w:t>
      </w:r>
      <w:r>
        <w:rPr>
          <w:rFonts w:ascii="宋体" w:hAnsi="宋体" w:eastAsia="宋体" w:cs="宋体"/>
          <w:spacing w:val="2"/>
          <w:sz w:val="24"/>
          <w:szCs w:val="24"/>
        </w:rPr>
        <w:t>方对安装、调试、运行和设备性能</w:t>
      </w:r>
      <w:r>
        <w:rPr>
          <w:rFonts w:ascii="宋体" w:hAnsi="宋体" w:eastAsia="宋体" w:cs="宋体"/>
          <w:spacing w:val="-2"/>
          <w:sz w:val="24"/>
          <w:szCs w:val="24"/>
        </w:rPr>
        <w:t>的要求，并提供保证设备调试、投运相关的技术服务和配合。若在安装、调试、运行中发现缺项，乙方应补充供货，供货费用由乙方自理。</w:t>
      </w:r>
    </w:p>
    <w:p w14:paraId="181EDB58">
      <w:pPr>
        <w:spacing w:before="198" w:line="360" w:lineRule="auto"/>
        <w:ind w:left="154" w:right="279" w:firstLine="460"/>
        <w:jc w:val="both"/>
        <w:rPr>
          <w:rFonts w:ascii="宋体" w:hAnsi="宋体" w:eastAsia="宋体" w:cs="宋体"/>
          <w:sz w:val="24"/>
          <w:szCs w:val="24"/>
        </w:rPr>
      </w:pPr>
      <w:r>
        <w:rPr>
          <w:rFonts w:hint="eastAsia" w:ascii="宋体" w:hAnsi="宋体" w:eastAsia="宋体" w:cs="宋体"/>
          <w:spacing w:val="2"/>
          <w:sz w:val="24"/>
          <w:szCs w:val="24"/>
          <w:lang w:val="en-US" w:eastAsia="zh-CN"/>
        </w:rPr>
        <w:t>2</w:t>
      </w:r>
      <w:r>
        <w:rPr>
          <w:rFonts w:ascii="宋体" w:hAnsi="宋体" w:eastAsia="宋体" w:cs="宋体"/>
          <w:spacing w:val="2"/>
          <w:sz w:val="24"/>
          <w:szCs w:val="24"/>
        </w:rPr>
        <w:t>.3.4合同签订后两周内，乙方将设计图纸递交甲方、设计院审核，审核通</w:t>
      </w:r>
      <w:r>
        <w:rPr>
          <w:rFonts w:ascii="宋体" w:hAnsi="宋体" w:eastAsia="宋体" w:cs="宋体"/>
          <w:sz w:val="24"/>
          <w:szCs w:val="24"/>
        </w:rPr>
        <w:t>过后方可进行生产。乙方所提供物资满足相关标准规</w:t>
      </w:r>
      <w:r>
        <w:rPr>
          <w:rFonts w:ascii="宋体" w:hAnsi="宋体" w:eastAsia="宋体" w:cs="宋体"/>
          <w:spacing w:val="-1"/>
          <w:sz w:val="24"/>
          <w:szCs w:val="24"/>
        </w:rPr>
        <w:t>范要求。乙方提供的物资与</w:t>
      </w:r>
      <w:r>
        <w:rPr>
          <w:rFonts w:ascii="宋体" w:hAnsi="宋体" w:eastAsia="宋体" w:cs="宋体"/>
          <w:spacing w:val="-5"/>
          <w:sz w:val="24"/>
          <w:szCs w:val="24"/>
        </w:rPr>
        <w:t>需求计划要相匹配，不相匹配的，由乙方无偿更换。乙方提供的物资质量要保证。</w:t>
      </w:r>
      <w:r>
        <w:rPr>
          <w:rFonts w:ascii="宋体" w:hAnsi="宋体" w:eastAsia="宋体" w:cs="宋体"/>
          <w:spacing w:val="-4"/>
          <w:sz w:val="24"/>
          <w:szCs w:val="24"/>
        </w:rPr>
        <w:t>乙方提供的物资符合国家、行业标准。</w:t>
      </w:r>
    </w:p>
    <w:p w14:paraId="6990A3AC">
      <w:pPr>
        <w:spacing w:before="187" w:line="360" w:lineRule="auto"/>
        <w:ind w:left="615"/>
        <w:rPr>
          <w:rFonts w:ascii="宋体" w:hAnsi="宋体" w:eastAsia="宋体" w:cs="宋体"/>
          <w:sz w:val="24"/>
          <w:szCs w:val="24"/>
        </w:rPr>
      </w:pPr>
      <w:r>
        <w:rPr>
          <w:rFonts w:hint="eastAsia" w:ascii="宋体" w:hAnsi="宋体" w:eastAsia="宋体" w:cs="宋体"/>
          <w:spacing w:val="2"/>
          <w:sz w:val="24"/>
          <w:szCs w:val="24"/>
          <w:lang w:val="en-US" w:eastAsia="zh-CN"/>
        </w:rPr>
        <w:t>2</w:t>
      </w:r>
      <w:r>
        <w:rPr>
          <w:rFonts w:ascii="宋体" w:hAnsi="宋体" w:eastAsia="宋体" w:cs="宋体"/>
          <w:spacing w:val="2"/>
          <w:sz w:val="24"/>
          <w:szCs w:val="24"/>
        </w:rPr>
        <w:t>.3.5甲方工作范围</w:t>
      </w:r>
    </w:p>
    <w:p w14:paraId="5426727A">
      <w:pPr>
        <w:spacing w:before="182" w:line="360" w:lineRule="auto"/>
        <w:ind w:left="734"/>
        <w:rPr>
          <w:rFonts w:ascii="宋体" w:hAnsi="宋体" w:eastAsia="宋体" w:cs="宋体"/>
          <w:sz w:val="24"/>
          <w:szCs w:val="24"/>
        </w:rPr>
      </w:pPr>
      <w:r>
        <w:rPr>
          <w:rFonts w:ascii="宋体" w:hAnsi="宋体" w:eastAsia="宋体" w:cs="宋体"/>
          <w:spacing w:val="2"/>
          <w:position w:val="17"/>
          <w:sz w:val="24"/>
          <w:szCs w:val="24"/>
        </w:rPr>
        <w:t>(1)向乙方提供设备设计所需的必要设计条件。</w:t>
      </w:r>
    </w:p>
    <w:p w14:paraId="2B6FF2F3">
      <w:pPr>
        <w:spacing w:line="360" w:lineRule="auto"/>
        <w:ind w:left="734"/>
        <w:rPr>
          <w:rFonts w:ascii="宋体" w:hAnsi="宋体" w:eastAsia="宋体" w:cs="宋体"/>
          <w:sz w:val="24"/>
          <w:szCs w:val="24"/>
        </w:rPr>
      </w:pPr>
      <w:r>
        <w:rPr>
          <w:rFonts w:ascii="宋体" w:hAnsi="宋体" w:eastAsia="宋体" w:cs="宋体"/>
          <w:spacing w:val="2"/>
          <w:sz w:val="24"/>
          <w:szCs w:val="24"/>
        </w:rPr>
        <w:t>(2)向乙方提供当地环境条件及设备安装条件。</w:t>
      </w:r>
    </w:p>
    <w:p w14:paraId="18CA2B61">
      <w:pPr>
        <w:spacing w:before="187" w:line="360" w:lineRule="auto"/>
        <w:ind w:left="734"/>
        <w:rPr>
          <w:rFonts w:ascii="宋体" w:hAnsi="宋体" w:eastAsia="宋体" w:cs="宋体"/>
          <w:sz w:val="24"/>
          <w:szCs w:val="24"/>
        </w:rPr>
      </w:pPr>
      <w:r>
        <w:rPr>
          <w:rFonts w:ascii="宋体" w:hAnsi="宋体" w:eastAsia="宋体" w:cs="宋体"/>
          <w:spacing w:val="3"/>
          <w:position w:val="17"/>
          <w:sz w:val="24"/>
          <w:szCs w:val="24"/>
        </w:rPr>
        <w:t>(3)乙方设计文件的确认和设备的验收。</w:t>
      </w:r>
    </w:p>
    <w:p w14:paraId="60127C93">
      <w:pPr>
        <w:spacing w:line="360" w:lineRule="auto"/>
        <w:ind w:left="734"/>
        <w:rPr>
          <w:rFonts w:ascii="宋体" w:hAnsi="宋体" w:eastAsia="宋体" w:cs="宋体"/>
          <w:sz w:val="24"/>
          <w:szCs w:val="24"/>
        </w:rPr>
      </w:pPr>
      <w:r>
        <w:rPr>
          <w:rFonts w:ascii="宋体" w:hAnsi="宋体" w:eastAsia="宋体" w:cs="宋体"/>
          <w:spacing w:val="3"/>
          <w:sz w:val="24"/>
          <w:szCs w:val="24"/>
        </w:rPr>
        <w:t>(4)在乙方指导下实施设备的现场安装。</w:t>
      </w:r>
    </w:p>
    <w:p w14:paraId="624A4448">
      <w:pPr>
        <w:spacing w:before="181" w:line="360" w:lineRule="auto"/>
        <w:outlineLvl w:val="0"/>
        <w:rPr>
          <w:rFonts w:ascii="宋体" w:hAnsi="宋体" w:eastAsia="宋体" w:cs="宋体"/>
          <w:sz w:val="28"/>
          <w:szCs w:val="28"/>
        </w:rPr>
      </w:pPr>
      <w:r>
        <w:rPr>
          <w:rFonts w:hint="eastAsia" w:ascii="宋体" w:hAnsi="宋体" w:eastAsia="宋体" w:cs="宋体"/>
          <w:b/>
          <w:bCs/>
          <w:spacing w:val="4"/>
          <w:sz w:val="28"/>
          <w:szCs w:val="28"/>
          <w:lang w:val="en-US" w:eastAsia="zh-CN"/>
        </w:rPr>
        <w:t>2</w:t>
      </w:r>
      <w:r>
        <w:rPr>
          <w:rFonts w:ascii="宋体" w:hAnsi="宋体" w:eastAsia="宋体" w:cs="宋体"/>
          <w:b/>
          <w:bCs/>
          <w:spacing w:val="4"/>
          <w:sz w:val="28"/>
          <w:szCs w:val="28"/>
        </w:rPr>
        <w:t>.4技术要求</w:t>
      </w:r>
    </w:p>
    <w:p w14:paraId="4BC30803">
      <w:pPr>
        <w:spacing w:before="190" w:line="360" w:lineRule="auto"/>
        <w:rPr>
          <w:rFonts w:ascii="宋体" w:hAnsi="宋体" w:eastAsia="宋体" w:cs="宋体"/>
          <w:sz w:val="24"/>
          <w:szCs w:val="24"/>
        </w:rPr>
      </w:pPr>
      <w:r>
        <w:rPr>
          <w:rFonts w:hint="eastAsia" w:ascii="宋体" w:hAnsi="宋体" w:eastAsia="宋体" w:cs="宋体"/>
          <w:spacing w:val="5"/>
          <w:position w:val="23"/>
          <w:sz w:val="24"/>
          <w:szCs w:val="24"/>
          <w:lang w:val="en-US" w:eastAsia="zh-CN"/>
        </w:rPr>
        <w:t>2</w:t>
      </w:r>
      <w:r>
        <w:rPr>
          <w:rFonts w:ascii="宋体" w:hAnsi="宋体" w:eastAsia="宋体" w:cs="宋体"/>
          <w:spacing w:val="5"/>
          <w:position w:val="23"/>
          <w:sz w:val="24"/>
          <w:szCs w:val="24"/>
        </w:rPr>
        <w:t>.4.1产品型式</w:t>
      </w:r>
    </w:p>
    <w:p w14:paraId="6B3487E9">
      <w:pPr>
        <w:spacing w:line="360" w:lineRule="auto"/>
        <w:rPr>
          <w:rFonts w:ascii="宋体" w:hAnsi="宋体" w:eastAsia="宋体" w:cs="宋体"/>
          <w:sz w:val="24"/>
          <w:szCs w:val="24"/>
        </w:rPr>
      </w:pPr>
      <w:r>
        <w:rPr>
          <w:rFonts w:ascii="宋体" w:hAnsi="宋体" w:eastAsia="宋体" w:cs="宋体"/>
          <w:spacing w:val="4"/>
          <w:sz w:val="24"/>
          <w:szCs w:val="24"/>
        </w:rPr>
        <w:t>低压柜</w:t>
      </w:r>
      <w:r>
        <w:rPr>
          <w:rFonts w:hint="eastAsia" w:ascii="宋体" w:hAnsi="宋体" w:eastAsia="宋体" w:cs="宋体"/>
          <w:spacing w:val="4"/>
          <w:sz w:val="24"/>
          <w:szCs w:val="24"/>
          <w:lang w:val="en-US" w:eastAsia="zh-CN"/>
        </w:rPr>
        <w:t>GCS</w:t>
      </w:r>
      <w:r>
        <w:rPr>
          <w:rFonts w:ascii="宋体" w:hAnsi="宋体" w:eastAsia="宋体" w:cs="宋体"/>
          <w:spacing w:val="4"/>
          <w:sz w:val="24"/>
          <w:szCs w:val="24"/>
        </w:rPr>
        <w:t>。</w:t>
      </w:r>
    </w:p>
    <w:p w14:paraId="4EAD7858">
      <w:pPr>
        <w:spacing w:before="263" w:line="360" w:lineRule="auto"/>
        <w:rPr>
          <w:rFonts w:ascii="宋体" w:hAnsi="宋体" w:eastAsia="宋体" w:cs="宋体"/>
          <w:sz w:val="24"/>
          <w:szCs w:val="24"/>
        </w:rPr>
      </w:pPr>
      <w:r>
        <w:rPr>
          <w:rFonts w:hint="eastAsia" w:ascii="宋体" w:hAnsi="宋体" w:eastAsia="宋体" w:cs="宋体"/>
          <w:spacing w:val="-3"/>
          <w:sz w:val="24"/>
          <w:szCs w:val="24"/>
          <w:lang w:val="en-US" w:eastAsia="zh-CN"/>
        </w:rPr>
        <w:t>2</w:t>
      </w:r>
      <w:r>
        <w:rPr>
          <w:rFonts w:ascii="宋体" w:hAnsi="宋体" w:eastAsia="宋体" w:cs="宋体"/>
          <w:spacing w:val="-3"/>
          <w:sz w:val="24"/>
          <w:szCs w:val="24"/>
        </w:rPr>
        <w:t>.4.2</w:t>
      </w:r>
      <w:r>
        <w:rPr>
          <w:rFonts w:ascii="宋体" w:hAnsi="宋体" w:eastAsia="宋体" w:cs="宋体"/>
          <w:spacing w:val="17"/>
          <w:sz w:val="24"/>
          <w:szCs w:val="24"/>
        </w:rPr>
        <w:t xml:space="preserve"> </w:t>
      </w:r>
      <w:r>
        <w:rPr>
          <w:rFonts w:ascii="宋体" w:hAnsi="宋体" w:eastAsia="宋体" w:cs="宋体"/>
          <w:spacing w:val="-3"/>
          <w:sz w:val="24"/>
          <w:szCs w:val="24"/>
        </w:rPr>
        <w:t>参数要求</w:t>
      </w:r>
    </w:p>
    <w:p w14:paraId="4E520572">
      <w:pPr>
        <w:spacing w:line="360" w:lineRule="auto"/>
      </w:pPr>
    </w:p>
    <w:tbl>
      <w:tblPr>
        <w:tblStyle w:val="2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4295"/>
        <w:gridCol w:w="1578"/>
        <w:gridCol w:w="2083"/>
      </w:tblGrid>
      <w:tr w14:paraId="2D9A8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724" w:type="dxa"/>
            <w:tcBorders>
              <w:top w:val="nil"/>
            </w:tcBorders>
            <w:noWrap w:val="0"/>
            <w:vAlign w:val="top"/>
          </w:tcPr>
          <w:p w14:paraId="00A718B6">
            <w:pPr>
              <w:pStyle w:val="28"/>
              <w:spacing w:before="311" w:line="360" w:lineRule="auto"/>
              <w:ind w:left="115"/>
              <w:rPr>
                <w:sz w:val="24"/>
                <w:szCs w:val="24"/>
              </w:rPr>
            </w:pPr>
            <w:r>
              <mc:AlternateContent>
                <mc:Choice Requires="wps">
                  <w:drawing>
                    <wp:anchor distT="0" distB="0" distL="114300" distR="114300" simplePos="0" relativeHeight="251661312" behindDoc="1" locked="0" layoutInCell="1" allowOverlap="1">
                      <wp:simplePos x="0" y="0"/>
                      <wp:positionH relativeFrom="page">
                        <wp:posOffset>1035050</wp:posOffset>
                      </wp:positionH>
                      <wp:positionV relativeFrom="page">
                        <wp:posOffset>5545455</wp:posOffset>
                      </wp:positionV>
                      <wp:extent cx="457200" cy="6350"/>
                      <wp:effectExtent l="0" t="0" r="0" b="0"/>
                      <wp:wrapNone/>
                      <wp:docPr id="3" name="任意多边形 3"/>
                      <wp:cNvGraphicFramePr/>
                      <a:graphic xmlns:a="http://schemas.openxmlformats.org/drawingml/2006/main">
                        <a:graphicData uri="http://schemas.microsoft.com/office/word/2010/wordprocessingShape">
                          <wps:wsp>
                            <wps:cNvSpPr/>
                            <wps:spPr>
                              <a:xfrm>
                                <a:off x="0" y="0"/>
                                <a:ext cx="457200" cy="6350"/>
                              </a:xfrm>
                              <a:custGeom>
                                <a:avLst/>
                                <a:gdLst/>
                                <a:ahLst/>
                                <a:cxnLst/>
                                <a:pathLst>
                                  <a:path w="720" h="10">
                                    <a:moveTo>
                                      <a:pt x="0" y="5"/>
                                    </a:moveTo>
                                    <a:lnTo>
                                      <a:pt x="719" y="5"/>
                                    </a:lnTo>
                                  </a:path>
                                </a:pathLst>
                              </a:custGeom>
                              <a:noFill/>
                              <a:ln w="6350" cap="flat" cmpd="sng">
                                <a:solidFill>
                                  <a:srgbClr val="000000"/>
                                </a:solidFill>
                                <a:prstDash val="solid"/>
                                <a:miter lim="1000000"/>
                                <a:headEnd type="none" w="med" len="med"/>
                                <a:tailEnd type="none" w="med" len="med"/>
                              </a:ln>
                              <a:effectLst/>
                            </wps:spPr>
                            <wps:bodyPr upright="1"/>
                          </wps:wsp>
                        </a:graphicData>
                      </a:graphic>
                    </wp:anchor>
                  </w:drawing>
                </mc:Choice>
                <mc:Fallback>
                  <w:pict>
                    <v:shape id="_x0000_s1026" o:spid="_x0000_s1026" o:spt="100" style="position:absolute;left:0pt;margin-left:81.5pt;margin-top:436.65pt;height:0.5pt;width:36pt;mso-position-horizontal-relative:page;mso-position-vertical-relative:page;z-index:-251655168;mso-width-relative:page;mso-height-relative:page;" filled="f" stroked="t" coordsize="720,10" o:gfxdata="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&#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KF7xz1QAAAAsBAAAPAAAAAAAAAAEAIAAAACIAAABk&#10;cnMvZG93bnJldi54bWxQSwECFAAUAAAACACHTuJAtcxGaUICAACvBAAADgAAAAAAAAABACAAAAAk&#10;AQAAZHJzL2Uyb0RvYy54bWxQSwUGAAAAAAYABgBZAQAA2AUAAAAA&#10;" path="m0,5l719,5e">
                      <v:fill on="f" focussize="0,0"/>
                      <v:stroke weight="0.5pt" color="#000000" miterlimit="10" joinstyle="miter"/>
                      <v:imagedata o:title=""/>
                      <o:lock v:ext="edit" aspectratio="f"/>
                    </v:shape>
                  </w:pict>
                </mc:Fallback>
              </mc:AlternateContent>
            </w:r>
            <w:r>
              <w:rPr>
                <w:spacing w:val="7"/>
                <w:sz w:val="24"/>
                <w:szCs w:val="24"/>
              </w:rPr>
              <w:t>序号</w:t>
            </w:r>
          </w:p>
        </w:tc>
        <w:tc>
          <w:tcPr>
            <w:tcW w:w="4295" w:type="dxa"/>
            <w:tcBorders>
              <w:top w:val="nil"/>
            </w:tcBorders>
            <w:noWrap w:val="0"/>
            <w:vAlign w:val="top"/>
          </w:tcPr>
          <w:p w14:paraId="342EDB4F">
            <w:pPr>
              <w:pStyle w:val="28"/>
              <w:spacing w:before="1" w:line="360" w:lineRule="auto"/>
              <w:ind w:left="1897" w:hanging="1877"/>
              <w:rPr>
                <w:sz w:val="24"/>
                <w:szCs w:val="24"/>
              </w:rPr>
            </w:pPr>
            <w:r>
              <w:rPr>
                <w:sz w:val="25"/>
                <w:szCs w:val="25"/>
                <w:u w:val="single" w:color="auto"/>
              </w:rPr>
              <w:t xml:space="preserve">(1)成套设备参数                   </w:t>
            </w:r>
            <w:r>
              <w:rPr>
                <w:spacing w:val="13"/>
                <w:sz w:val="25"/>
                <w:szCs w:val="25"/>
              </w:rPr>
              <w:t xml:space="preserve"> </w:t>
            </w:r>
            <w:r>
              <w:rPr>
                <w:spacing w:val="5"/>
                <w:sz w:val="24"/>
                <w:szCs w:val="24"/>
              </w:rPr>
              <w:t>名称</w:t>
            </w:r>
          </w:p>
        </w:tc>
        <w:tc>
          <w:tcPr>
            <w:tcW w:w="1578" w:type="dxa"/>
            <w:tcBorders>
              <w:top w:val="nil"/>
            </w:tcBorders>
            <w:noWrap w:val="0"/>
            <w:vAlign w:val="top"/>
          </w:tcPr>
          <w:p w14:paraId="228BAB57">
            <w:pPr>
              <w:pStyle w:val="28"/>
              <w:spacing w:before="310" w:line="360" w:lineRule="auto"/>
              <w:ind w:left="545"/>
              <w:rPr>
                <w:sz w:val="24"/>
                <w:szCs w:val="24"/>
              </w:rPr>
            </w:pPr>
            <w:r>
              <mc:AlternateContent>
                <mc:Choice Requires="wps">
                  <w:drawing>
                    <wp:anchor distT="0" distB="0" distL="114300" distR="114300" simplePos="0" relativeHeight="251660288" behindDoc="1" locked="0" layoutInCell="1" allowOverlap="1">
                      <wp:simplePos x="0" y="0"/>
                      <wp:positionH relativeFrom="page">
                        <wp:posOffset>4222750</wp:posOffset>
                      </wp:positionH>
                      <wp:positionV relativeFrom="page">
                        <wp:posOffset>5545455</wp:posOffset>
                      </wp:positionV>
                      <wp:extent cx="1003935" cy="6350"/>
                      <wp:effectExtent l="0" t="0" r="0" b="0"/>
                      <wp:wrapNone/>
                      <wp:docPr id="1" name="任意多边形 1"/>
                      <wp:cNvGraphicFramePr/>
                      <a:graphic xmlns:a="http://schemas.openxmlformats.org/drawingml/2006/main">
                        <a:graphicData uri="http://schemas.microsoft.com/office/word/2010/wordprocessingShape">
                          <wps:wsp>
                            <wps:cNvSpPr/>
                            <wps:spPr>
                              <a:xfrm>
                                <a:off x="0" y="0"/>
                                <a:ext cx="1003935" cy="6350"/>
                              </a:xfrm>
                              <a:custGeom>
                                <a:avLst/>
                                <a:gdLst/>
                                <a:ahLst/>
                                <a:cxnLst/>
                                <a:pathLst>
                                  <a:path w="1581" h="10">
                                    <a:moveTo>
                                      <a:pt x="0" y="5"/>
                                    </a:moveTo>
                                    <a:lnTo>
                                      <a:pt x="1580" y="5"/>
                                    </a:lnTo>
                                  </a:path>
                                </a:pathLst>
                              </a:custGeom>
                              <a:noFill/>
                              <a:ln w="6350" cap="flat" cmpd="sng">
                                <a:solidFill>
                                  <a:srgbClr val="000000"/>
                                </a:solidFill>
                                <a:prstDash val="solid"/>
                                <a:miter lim="1000000"/>
                                <a:headEnd type="none" w="med" len="med"/>
                                <a:tailEnd type="none" w="med" len="med"/>
                              </a:ln>
                              <a:effectLst/>
                            </wps:spPr>
                            <wps:bodyPr upright="1"/>
                          </wps:wsp>
                        </a:graphicData>
                      </a:graphic>
                    </wp:anchor>
                  </w:drawing>
                </mc:Choice>
                <mc:Fallback>
                  <w:pict>
                    <v:shape id="_x0000_s1026" o:spid="_x0000_s1026" o:spt="100" style="position:absolute;left:0pt;margin-left:332.5pt;margin-top:436.65pt;height:0.5pt;width:79.05pt;mso-position-horizontal-relative:page;mso-position-vertical-relative:page;z-index:-251656192;mso-width-relative:page;mso-height-relative:page;" filled="f" stroked="t" coordsize="1581,10" o:gfxdata="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GrJetsAAAALAQAADwAAAAAAAAABACAA&#10;AAAiAAAAZHJzL2Rvd25yZXYueG1sUEsBAhQAFAAAAAgAh07iQLMhWYpDAgAAsgQAAA4AAAAAAAAA&#10;AQAgAAAAKgEAAGRycy9lMm9Eb2MueG1sUEsFBgAAAAAGAAYAWQEAAN8FAAAAAA==&#10;" path="m0,5l1580,5e">
                      <v:fill on="f" focussize="0,0"/>
                      <v:stroke weight="0.5pt" color="#000000" miterlimit="10" joinstyle="miter"/>
                      <v:imagedata o:title=""/>
                      <o:lock v:ext="edit" aspectratio="f"/>
                    </v:shape>
                  </w:pict>
                </mc:Fallback>
              </mc:AlternateContent>
            </w:r>
            <w:r>
              <w:rPr>
                <w:spacing w:val="4"/>
                <w:sz w:val="24"/>
                <w:szCs w:val="24"/>
              </w:rPr>
              <w:t>单位</w:t>
            </w:r>
          </w:p>
        </w:tc>
        <w:tc>
          <w:tcPr>
            <w:tcW w:w="2083" w:type="dxa"/>
            <w:tcBorders>
              <w:top w:val="nil"/>
            </w:tcBorders>
            <w:noWrap w:val="0"/>
            <w:vAlign w:val="top"/>
          </w:tcPr>
          <w:p w14:paraId="6EFEB327">
            <w:pPr>
              <w:pStyle w:val="28"/>
              <w:spacing w:before="309" w:line="360" w:lineRule="auto"/>
              <w:ind w:left="558"/>
              <w:rPr>
                <w:sz w:val="24"/>
                <w:szCs w:val="24"/>
              </w:rPr>
            </w:pPr>
            <w:r>
              <mc:AlternateContent>
                <mc:Choice Requires="wps">
                  <w:drawing>
                    <wp:anchor distT="0" distB="0" distL="114300" distR="114300" simplePos="0" relativeHeight="251659264" behindDoc="1" locked="0" layoutInCell="1" allowOverlap="1">
                      <wp:simplePos x="0" y="0"/>
                      <wp:positionH relativeFrom="page">
                        <wp:posOffset>5226685</wp:posOffset>
                      </wp:positionH>
                      <wp:positionV relativeFrom="page">
                        <wp:posOffset>5545455</wp:posOffset>
                      </wp:positionV>
                      <wp:extent cx="1320800" cy="6350"/>
                      <wp:effectExtent l="0" t="0" r="0" b="0"/>
                      <wp:wrapNone/>
                      <wp:docPr id="5" name="任意多边形 5"/>
                      <wp:cNvGraphicFramePr/>
                      <a:graphic xmlns:a="http://schemas.openxmlformats.org/drawingml/2006/main">
                        <a:graphicData uri="http://schemas.microsoft.com/office/word/2010/wordprocessingShape">
                          <wps:wsp>
                            <wps:cNvSpPr/>
                            <wps:spPr>
                              <a:xfrm>
                                <a:off x="0" y="0"/>
                                <a:ext cx="1320800" cy="6350"/>
                              </a:xfrm>
                              <a:custGeom>
                                <a:avLst/>
                                <a:gdLst/>
                                <a:ahLst/>
                                <a:cxnLst/>
                                <a:pathLst>
                                  <a:path w="2080" h="10">
                                    <a:moveTo>
                                      <a:pt x="0" y="5"/>
                                    </a:moveTo>
                                    <a:lnTo>
                                      <a:pt x="2079" y="5"/>
                                    </a:lnTo>
                                  </a:path>
                                </a:pathLst>
                              </a:custGeom>
                              <a:noFill/>
                              <a:ln w="6350" cap="flat" cmpd="sng">
                                <a:solidFill>
                                  <a:srgbClr val="000000"/>
                                </a:solidFill>
                                <a:prstDash val="solid"/>
                                <a:miter lim="1000000"/>
                                <a:headEnd type="none" w="med" len="med"/>
                                <a:tailEnd type="none" w="med" len="med"/>
                              </a:ln>
                              <a:effectLst/>
                            </wps:spPr>
                            <wps:bodyPr upright="1"/>
                          </wps:wsp>
                        </a:graphicData>
                      </a:graphic>
                    </wp:anchor>
                  </w:drawing>
                </mc:Choice>
                <mc:Fallback>
                  <w:pict>
                    <v:shape id="_x0000_s1026" o:spid="_x0000_s1026" o:spt="100" style="position:absolute;left:0pt;margin-left:411.55pt;margin-top:436.65pt;height:0.5pt;width:104pt;mso-position-horizontal-relative:page;mso-position-vertical-relative:page;z-index:-251657216;mso-width-relative:page;mso-height-relative:page;" filled="f" stroked="t" coordsize="2080,10" o:gfxdata="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vXy1/YAAAADAEAAA8AAAAAAAAAAQAg&#10;AAAAIgAAAGRycy9kb3ducmV2LnhtbFBLAQIUABQAAAAIAIdO4kASeyjYRwIAALIEAAAOAAAAAAAA&#10;AAEAIAAAACcBAABkcnMvZTJvRG9jLnhtbFBLBQYAAAAABgAGAFkBAADgBQAAAAA=&#10;" path="m0,5l2079,5e">
                      <v:fill on="f" focussize="0,0"/>
                      <v:stroke weight="0.5pt" color="#000000" miterlimit="10" joinstyle="miter"/>
                      <v:imagedata o:title=""/>
                      <o:lock v:ext="edit" aspectratio="f"/>
                    </v:shape>
                  </w:pict>
                </mc:Fallback>
              </mc:AlternateContent>
            </w:r>
            <w:r>
              <w:rPr>
                <w:spacing w:val="2"/>
                <w:sz w:val="24"/>
                <w:szCs w:val="24"/>
              </w:rPr>
              <w:t>技术要求</w:t>
            </w:r>
          </w:p>
        </w:tc>
      </w:tr>
      <w:tr w14:paraId="5941F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4" w:type="dxa"/>
            <w:noWrap w:val="0"/>
            <w:vAlign w:val="top"/>
          </w:tcPr>
          <w:p w14:paraId="3003AC63">
            <w:pPr>
              <w:pStyle w:val="28"/>
              <w:spacing w:before="121" w:line="360" w:lineRule="auto"/>
              <w:ind w:left="295"/>
              <w:rPr>
                <w:sz w:val="24"/>
                <w:szCs w:val="24"/>
              </w:rPr>
            </w:pPr>
            <w:r>
              <w:rPr>
                <w:sz w:val="24"/>
                <w:szCs w:val="24"/>
              </w:rPr>
              <w:t>1</w:t>
            </w:r>
          </w:p>
        </w:tc>
        <w:tc>
          <w:tcPr>
            <w:tcW w:w="4295" w:type="dxa"/>
            <w:noWrap w:val="0"/>
            <w:vAlign w:val="top"/>
          </w:tcPr>
          <w:p w14:paraId="6AA16378">
            <w:pPr>
              <w:pStyle w:val="28"/>
              <w:spacing w:before="60" w:line="360" w:lineRule="auto"/>
              <w:ind w:left="1420"/>
              <w:rPr>
                <w:sz w:val="24"/>
                <w:szCs w:val="24"/>
              </w:rPr>
            </w:pPr>
            <w:r>
              <w:rPr>
                <w:spacing w:val="1"/>
                <w:sz w:val="24"/>
                <w:szCs w:val="24"/>
              </w:rPr>
              <w:t>额定绝缘电压</w:t>
            </w:r>
          </w:p>
        </w:tc>
        <w:tc>
          <w:tcPr>
            <w:tcW w:w="1578" w:type="dxa"/>
            <w:noWrap w:val="0"/>
            <w:vAlign w:val="top"/>
          </w:tcPr>
          <w:p w14:paraId="312589CF">
            <w:pPr>
              <w:pStyle w:val="28"/>
              <w:spacing w:before="124" w:line="360" w:lineRule="auto"/>
              <w:ind w:left="726"/>
              <w:rPr>
                <w:sz w:val="24"/>
                <w:szCs w:val="24"/>
              </w:rPr>
            </w:pPr>
            <w:r>
              <w:rPr>
                <w:sz w:val="24"/>
                <w:szCs w:val="24"/>
              </w:rPr>
              <w:t>V</w:t>
            </w:r>
          </w:p>
        </w:tc>
        <w:tc>
          <w:tcPr>
            <w:tcW w:w="2083" w:type="dxa"/>
            <w:noWrap w:val="0"/>
            <w:vAlign w:val="top"/>
          </w:tcPr>
          <w:p w14:paraId="567ABBFC">
            <w:pPr>
              <w:pStyle w:val="28"/>
              <w:spacing w:before="121" w:line="360" w:lineRule="auto"/>
              <w:ind w:left="798"/>
              <w:rPr>
                <w:sz w:val="24"/>
                <w:szCs w:val="24"/>
              </w:rPr>
            </w:pPr>
            <w:r>
              <w:rPr>
                <w:spacing w:val="-6"/>
                <w:sz w:val="24"/>
                <w:szCs w:val="24"/>
              </w:rPr>
              <w:t>1000</w:t>
            </w:r>
          </w:p>
        </w:tc>
      </w:tr>
      <w:tr w14:paraId="4CB6A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4" w:type="dxa"/>
            <w:noWrap w:val="0"/>
            <w:vAlign w:val="top"/>
          </w:tcPr>
          <w:p w14:paraId="409F9B32">
            <w:pPr>
              <w:pStyle w:val="28"/>
              <w:spacing w:before="124" w:line="360" w:lineRule="auto"/>
              <w:ind w:left="295"/>
              <w:rPr>
                <w:sz w:val="24"/>
                <w:szCs w:val="24"/>
              </w:rPr>
            </w:pPr>
            <w:r>
              <w:rPr>
                <w:sz w:val="24"/>
                <w:szCs w:val="24"/>
              </w:rPr>
              <w:t>2</w:t>
            </w:r>
          </w:p>
        </w:tc>
        <w:tc>
          <w:tcPr>
            <w:tcW w:w="4295" w:type="dxa"/>
            <w:noWrap w:val="0"/>
            <w:vAlign w:val="top"/>
          </w:tcPr>
          <w:p w14:paraId="7748A052">
            <w:pPr>
              <w:pStyle w:val="28"/>
              <w:spacing w:before="61" w:line="360" w:lineRule="auto"/>
              <w:ind w:left="1420"/>
              <w:rPr>
                <w:sz w:val="24"/>
                <w:szCs w:val="24"/>
              </w:rPr>
            </w:pPr>
            <w:r>
              <w:rPr>
                <w:spacing w:val="1"/>
                <w:sz w:val="24"/>
                <w:szCs w:val="24"/>
              </w:rPr>
              <w:t>额定工作电压</w:t>
            </w:r>
          </w:p>
        </w:tc>
        <w:tc>
          <w:tcPr>
            <w:tcW w:w="1578" w:type="dxa"/>
            <w:noWrap w:val="0"/>
            <w:vAlign w:val="top"/>
          </w:tcPr>
          <w:p w14:paraId="62CD8956">
            <w:pPr>
              <w:pStyle w:val="28"/>
              <w:spacing w:before="125" w:line="360" w:lineRule="auto"/>
              <w:ind w:left="726"/>
              <w:rPr>
                <w:sz w:val="24"/>
                <w:szCs w:val="24"/>
              </w:rPr>
            </w:pPr>
            <w:r>
              <w:rPr>
                <w:sz w:val="24"/>
                <w:szCs w:val="24"/>
              </w:rPr>
              <w:t>V</w:t>
            </w:r>
          </w:p>
        </w:tc>
        <w:tc>
          <w:tcPr>
            <w:tcW w:w="2083" w:type="dxa"/>
            <w:noWrap w:val="0"/>
            <w:vAlign w:val="top"/>
          </w:tcPr>
          <w:p w14:paraId="476E680B">
            <w:pPr>
              <w:pStyle w:val="28"/>
              <w:spacing w:before="124" w:line="360" w:lineRule="auto"/>
              <w:ind w:left="857"/>
              <w:rPr>
                <w:sz w:val="24"/>
                <w:szCs w:val="24"/>
              </w:rPr>
            </w:pPr>
            <w:r>
              <w:rPr>
                <w:spacing w:val="-3"/>
                <w:sz w:val="24"/>
                <w:szCs w:val="24"/>
              </w:rPr>
              <w:t>690</w:t>
            </w:r>
          </w:p>
        </w:tc>
      </w:tr>
      <w:tr w14:paraId="15C6E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4" w:type="dxa"/>
            <w:noWrap w:val="0"/>
            <w:vAlign w:val="top"/>
          </w:tcPr>
          <w:p w14:paraId="0D4DC138">
            <w:pPr>
              <w:pStyle w:val="28"/>
              <w:spacing w:before="125" w:line="360" w:lineRule="auto"/>
              <w:ind w:left="295"/>
              <w:rPr>
                <w:sz w:val="24"/>
                <w:szCs w:val="24"/>
              </w:rPr>
            </w:pPr>
            <w:r>
              <w:rPr>
                <w:sz w:val="24"/>
                <w:szCs w:val="24"/>
              </w:rPr>
              <w:t>3</w:t>
            </w:r>
          </w:p>
        </w:tc>
        <w:tc>
          <w:tcPr>
            <w:tcW w:w="4295" w:type="dxa"/>
            <w:noWrap w:val="0"/>
            <w:vAlign w:val="top"/>
          </w:tcPr>
          <w:p w14:paraId="6559C45F">
            <w:pPr>
              <w:pStyle w:val="28"/>
              <w:spacing w:before="63" w:line="360" w:lineRule="auto"/>
              <w:ind w:left="1181"/>
              <w:rPr>
                <w:sz w:val="24"/>
                <w:szCs w:val="24"/>
              </w:rPr>
            </w:pPr>
            <w:r>
              <w:rPr>
                <w:spacing w:val="1"/>
                <w:sz w:val="24"/>
                <w:szCs w:val="24"/>
              </w:rPr>
              <w:t>额定冲击耐受电压</w:t>
            </w:r>
          </w:p>
        </w:tc>
        <w:tc>
          <w:tcPr>
            <w:tcW w:w="1578" w:type="dxa"/>
            <w:noWrap w:val="0"/>
            <w:vAlign w:val="top"/>
          </w:tcPr>
          <w:p w14:paraId="6DC03CF6">
            <w:pPr>
              <w:pStyle w:val="28"/>
              <w:spacing w:before="118" w:line="360" w:lineRule="auto"/>
              <w:ind w:left="666"/>
              <w:rPr>
                <w:sz w:val="24"/>
                <w:szCs w:val="24"/>
              </w:rPr>
            </w:pPr>
            <w:r>
              <w:rPr>
                <w:spacing w:val="-2"/>
                <w:sz w:val="24"/>
                <w:szCs w:val="24"/>
              </w:rPr>
              <w:t>kV</w:t>
            </w:r>
          </w:p>
        </w:tc>
        <w:tc>
          <w:tcPr>
            <w:tcW w:w="2083" w:type="dxa"/>
            <w:noWrap w:val="0"/>
            <w:vAlign w:val="top"/>
          </w:tcPr>
          <w:p w14:paraId="3778A821">
            <w:pPr>
              <w:pStyle w:val="28"/>
              <w:spacing w:before="123" w:line="360" w:lineRule="auto"/>
              <w:ind w:left="917"/>
              <w:rPr>
                <w:sz w:val="24"/>
                <w:szCs w:val="24"/>
              </w:rPr>
            </w:pPr>
            <w:r>
              <w:rPr>
                <w:spacing w:val="-7"/>
                <w:sz w:val="24"/>
                <w:szCs w:val="24"/>
              </w:rPr>
              <w:t>12</w:t>
            </w:r>
          </w:p>
        </w:tc>
      </w:tr>
      <w:tr w14:paraId="4C7C5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4" w:type="dxa"/>
            <w:noWrap w:val="0"/>
            <w:vAlign w:val="top"/>
          </w:tcPr>
          <w:p w14:paraId="73D7126E">
            <w:pPr>
              <w:pStyle w:val="28"/>
              <w:spacing w:before="124" w:line="360" w:lineRule="auto"/>
              <w:ind w:left="295"/>
              <w:rPr>
                <w:sz w:val="24"/>
                <w:szCs w:val="24"/>
              </w:rPr>
            </w:pPr>
            <w:r>
              <w:rPr>
                <w:sz w:val="24"/>
                <w:szCs w:val="24"/>
              </w:rPr>
              <w:t>4</w:t>
            </w:r>
          </w:p>
        </w:tc>
        <w:tc>
          <w:tcPr>
            <w:tcW w:w="4295" w:type="dxa"/>
            <w:noWrap w:val="0"/>
            <w:vAlign w:val="top"/>
          </w:tcPr>
          <w:p w14:paraId="113C87B9">
            <w:pPr>
              <w:pStyle w:val="28"/>
              <w:spacing w:before="63" w:line="360" w:lineRule="auto"/>
              <w:ind w:left="1541"/>
              <w:rPr>
                <w:sz w:val="24"/>
                <w:szCs w:val="24"/>
              </w:rPr>
            </w:pPr>
            <w:r>
              <w:rPr>
                <w:spacing w:val="2"/>
                <w:sz w:val="24"/>
                <w:szCs w:val="24"/>
              </w:rPr>
              <w:t>过电压等级</w:t>
            </w:r>
          </w:p>
        </w:tc>
        <w:tc>
          <w:tcPr>
            <w:tcW w:w="1578" w:type="dxa"/>
            <w:noWrap w:val="0"/>
            <w:vAlign w:val="top"/>
          </w:tcPr>
          <w:p w14:paraId="2B4DD8AA">
            <w:pPr>
              <w:spacing w:line="360" w:lineRule="auto"/>
              <w:rPr>
                <w:rFonts w:ascii="Arial"/>
                <w:sz w:val="21"/>
              </w:rPr>
            </w:pPr>
          </w:p>
        </w:tc>
        <w:tc>
          <w:tcPr>
            <w:tcW w:w="2083" w:type="dxa"/>
            <w:noWrap w:val="0"/>
            <w:vAlign w:val="top"/>
          </w:tcPr>
          <w:p w14:paraId="2B59A863">
            <w:pPr>
              <w:pStyle w:val="28"/>
              <w:spacing w:before="126" w:line="360" w:lineRule="auto"/>
              <w:ind w:left="917"/>
              <w:rPr>
                <w:sz w:val="24"/>
                <w:szCs w:val="24"/>
              </w:rPr>
            </w:pPr>
            <w:r>
              <w:rPr>
                <w:spacing w:val="-6"/>
                <w:sz w:val="24"/>
                <w:szCs w:val="24"/>
              </w:rPr>
              <w:t>IV</w:t>
            </w:r>
          </w:p>
        </w:tc>
      </w:tr>
      <w:tr w14:paraId="48675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4" w:type="dxa"/>
            <w:noWrap w:val="0"/>
            <w:vAlign w:val="top"/>
          </w:tcPr>
          <w:p w14:paraId="56C6321F">
            <w:pPr>
              <w:pStyle w:val="28"/>
              <w:spacing w:before="127" w:line="360" w:lineRule="auto"/>
              <w:ind w:left="295"/>
              <w:rPr>
                <w:sz w:val="24"/>
                <w:szCs w:val="24"/>
              </w:rPr>
            </w:pPr>
            <w:r>
              <w:rPr>
                <w:sz w:val="24"/>
                <w:szCs w:val="24"/>
              </w:rPr>
              <w:t>5</w:t>
            </w:r>
          </w:p>
        </w:tc>
        <w:tc>
          <w:tcPr>
            <w:tcW w:w="4295" w:type="dxa"/>
            <w:noWrap w:val="0"/>
            <w:vAlign w:val="top"/>
          </w:tcPr>
          <w:p w14:paraId="755E93DB">
            <w:pPr>
              <w:pStyle w:val="28"/>
              <w:spacing w:before="63" w:line="360" w:lineRule="auto"/>
              <w:ind w:left="1660"/>
              <w:rPr>
                <w:sz w:val="24"/>
                <w:szCs w:val="24"/>
              </w:rPr>
            </w:pPr>
            <w:r>
              <w:rPr>
                <w:spacing w:val="3"/>
                <w:sz w:val="24"/>
                <w:szCs w:val="24"/>
              </w:rPr>
              <w:t>污染等级</w:t>
            </w:r>
          </w:p>
        </w:tc>
        <w:tc>
          <w:tcPr>
            <w:tcW w:w="1578" w:type="dxa"/>
            <w:noWrap w:val="0"/>
            <w:vAlign w:val="top"/>
          </w:tcPr>
          <w:p w14:paraId="54FB3784">
            <w:pPr>
              <w:spacing w:line="360" w:lineRule="auto"/>
              <w:rPr>
                <w:rFonts w:ascii="Arial"/>
                <w:sz w:val="21"/>
              </w:rPr>
            </w:pPr>
          </w:p>
        </w:tc>
        <w:tc>
          <w:tcPr>
            <w:tcW w:w="2083" w:type="dxa"/>
            <w:noWrap w:val="0"/>
            <w:vAlign w:val="top"/>
          </w:tcPr>
          <w:p w14:paraId="0CC9F877">
            <w:pPr>
              <w:pStyle w:val="28"/>
              <w:spacing w:before="125" w:line="360" w:lineRule="auto"/>
              <w:ind w:left="978"/>
              <w:rPr>
                <w:sz w:val="24"/>
                <w:szCs w:val="24"/>
              </w:rPr>
            </w:pPr>
            <w:r>
              <w:rPr>
                <w:sz w:val="24"/>
                <w:szCs w:val="24"/>
              </w:rPr>
              <w:t>3</w:t>
            </w:r>
          </w:p>
        </w:tc>
      </w:tr>
      <w:tr w14:paraId="45129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4" w:type="dxa"/>
            <w:noWrap w:val="0"/>
            <w:vAlign w:val="top"/>
          </w:tcPr>
          <w:p w14:paraId="31C3F0D2">
            <w:pPr>
              <w:pStyle w:val="28"/>
              <w:spacing w:before="125" w:line="360" w:lineRule="auto"/>
              <w:ind w:left="295"/>
              <w:rPr>
                <w:sz w:val="24"/>
                <w:szCs w:val="24"/>
              </w:rPr>
            </w:pPr>
            <w:r>
              <w:rPr>
                <w:sz w:val="24"/>
                <w:szCs w:val="24"/>
              </w:rPr>
              <w:t>6</w:t>
            </w:r>
          </w:p>
        </w:tc>
        <w:tc>
          <w:tcPr>
            <w:tcW w:w="4295" w:type="dxa"/>
            <w:noWrap w:val="0"/>
            <w:vAlign w:val="top"/>
          </w:tcPr>
          <w:p w14:paraId="6CC6D873">
            <w:pPr>
              <w:pStyle w:val="28"/>
              <w:spacing w:before="63" w:line="360" w:lineRule="auto"/>
              <w:ind w:left="1660"/>
              <w:rPr>
                <w:sz w:val="24"/>
                <w:szCs w:val="24"/>
              </w:rPr>
            </w:pPr>
            <w:r>
              <w:rPr>
                <w:spacing w:val="2"/>
                <w:sz w:val="24"/>
                <w:szCs w:val="24"/>
              </w:rPr>
              <w:t>额定频率</w:t>
            </w:r>
          </w:p>
        </w:tc>
        <w:tc>
          <w:tcPr>
            <w:tcW w:w="1578" w:type="dxa"/>
            <w:noWrap w:val="0"/>
            <w:vAlign w:val="top"/>
          </w:tcPr>
          <w:p w14:paraId="15306EA6">
            <w:pPr>
              <w:pStyle w:val="28"/>
              <w:spacing w:before="128" w:line="360" w:lineRule="auto"/>
              <w:ind w:left="666"/>
              <w:rPr>
                <w:sz w:val="24"/>
                <w:szCs w:val="24"/>
              </w:rPr>
            </w:pPr>
            <w:r>
              <w:rPr>
                <w:spacing w:val="-1"/>
                <w:sz w:val="24"/>
                <w:szCs w:val="24"/>
              </w:rPr>
              <w:t>Hz</w:t>
            </w:r>
          </w:p>
        </w:tc>
        <w:tc>
          <w:tcPr>
            <w:tcW w:w="2083" w:type="dxa"/>
            <w:noWrap w:val="0"/>
            <w:vAlign w:val="top"/>
          </w:tcPr>
          <w:p w14:paraId="395D1219">
            <w:pPr>
              <w:pStyle w:val="28"/>
              <w:spacing w:before="125" w:line="360" w:lineRule="auto"/>
              <w:ind w:left="917"/>
              <w:rPr>
                <w:sz w:val="24"/>
                <w:szCs w:val="24"/>
              </w:rPr>
            </w:pPr>
            <w:r>
              <w:rPr>
                <w:spacing w:val="-4"/>
                <w:sz w:val="24"/>
                <w:szCs w:val="24"/>
              </w:rPr>
              <w:t>50</w:t>
            </w:r>
          </w:p>
        </w:tc>
      </w:tr>
      <w:tr w14:paraId="5E4B6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4" w:type="dxa"/>
            <w:noWrap w:val="0"/>
            <w:vAlign w:val="top"/>
          </w:tcPr>
          <w:p w14:paraId="613E145D">
            <w:pPr>
              <w:spacing w:line="360" w:lineRule="auto"/>
              <w:rPr>
                <w:rFonts w:ascii="Arial"/>
                <w:sz w:val="21"/>
              </w:rPr>
            </w:pPr>
          </w:p>
          <w:p w14:paraId="24A86AFD">
            <w:pPr>
              <w:spacing w:line="360" w:lineRule="auto"/>
              <w:rPr>
                <w:rFonts w:ascii="Arial"/>
                <w:sz w:val="21"/>
              </w:rPr>
            </w:pPr>
          </w:p>
          <w:p w14:paraId="12286BA2">
            <w:pPr>
              <w:pStyle w:val="28"/>
              <w:spacing w:before="78" w:line="360" w:lineRule="auto"/>
              <w:ind w:left="295"/>
              <w:rPr>
                <w:sz w:val="24"/>
                <w:szCs w:val="24"/>
              </w:rPr>
            </w:pPr>
            <w:r>
              <w:rPr>
                <w:sz w:val="24"/>
                <w:szCs w:val="24"/>
              </w:rPr>
              <w:t>7</w:t>
            </w:r>
          </w:p>
        </w:tc>
        <w:tc>
          <w:tcPr>
            <w:tcW w:w="4295" w:type="dxa"/>
            <w:noWrap w:val="0"/>
            <w:vAlign w:val="top"/>
          </w:tcPr>
          <w:p w14:paraId="1F293771">
            <w:pPr>
              <w:pStyle w:val="28"/>
              <w:spacing w:before="95" w:line="360" w:lineRule="auto"/>
              <w:ind w:left="1781"/>
              <w:rPr>
                <w:sz w:val="24"/>
                <w:szCs w:val="24"/>
              </w:rPr>
            </w:pPr>
            <w:r>
              <w:rPr>
                <w:spacing w:val="5"/>
                <w:sz w:val="24"/>
                <w:szCs w:val="24"/>
              </w:rPr>
              <w:t>主母线</w:t>
            </w:r>
          </w:p>
          <w:p w14:paraId="562445B5">
            <w:pPr>
              <w:pStyle w:val="28"/>
              <w:spacing w:before="93" w:line="360" w:lineRule="auto"/>
              <w:ind w:left="1660"/>
              <w:rPr>
                <w:sz w:val="24"/>
                <w:szCs w:val="24"/>
              </w:rPr>
            </w:pPr>
            <w:r>
              <w:rPr>
                <w:spacing w:val="-2"/>
                <w:sz w:val="24"/>
                <w:szCs w:val="24"/>
              </w:rPr>
              <w:t>额定电流</w:t>
            </w:r>
          </w:p>
          <w:p w14:paraId="70E93359">
            <w:pPr>
              <w:pStyle w:val="28"/>
              <w:spacing w:before="65" w:line="360" w:lineRule="auto"/>
              <w:ind w:left="1181"/>
              <w:rPr>
                <w:sz w:val="24"/>
                <w:szCs w:val="24"/>
              </w:rPr>
            </w:pPr>
            <w:r>
              <w:rPr>
                <w:spacing w:val="-2"/>
                <w:sz w:val="24"/>
                <w:szCs w:val="24"/>
              </w:rPr>
              <w:t>额定峰值耐受电流</w:t>
            </w:r>
          </w:p>
          <w:p w14:paraId="7A84E491">
            <w:pPr>
              <w:pStyle w:val="28"/>
              <w:spacing w:before="85" w:line="360" w:lineRule="auto"/>
              <w:ind w:left="401"/>
              <w:rPr>
                <w:sz w:val="24"/>
                <w:szCs w:val="24"/>
              </w:rPr>
            </w:pPr>
            <w:r>
              <w:rPr>
                <w:spacing w:val="3"/>
                <w:sz w:val="24"/>
                <w:szCs w:val="24"/>
              </w:rPr>
              <w:t>额定短时耐受电流(</w:t>
            </w:r>
            <w:r>
              <w:rPr>
                <w:sz w:val="24"/>
                <w:szCs w:val="24"/>
              </w:rPr>
              <w:t>kA</w:t>
            </w:r>
            <w:r>
              <w:rPr>
                <w:spacing w:val="3"/>
                <w:sz w:val="24"/>
                <w:szCs w:val="24"/>
              </w:rPr>
              <w:t>有效值/1s)</w:t>
            </w:r>
          </w:p>
        </w:tc>
        <w:tc>
          <w:tcPr>
            <w:tcW w:w="1578" w:type="dxa"/>
            <w:noWrap w:val="0"/>
            <w:vAlign w:val="top"/>
          </w:tcPr>
          <w:p w14:paraId="1F85888F">
            <w:pPr>
              <w:spacing w:line="360" w:lineRule="auto"/>
              <w:rPr>
                <w:rFonts w:ascii="Arial"/>
                <w:sz w:val="21"/>
              </w:rPr>
            </w:pPr>
          </w:p>
          <w:p w14:paraId="30916EA7">
            <w:pPr>
              <w:pStyle w:val="28"/>
              <w:spacing w:before="78" w:line="360" w:lineRule="auto"/>
              <w:ind w:left="726"/>
              <w:rPr>
                <w:sz w:val="24"/>
                <w:szCs w:val="24"/>
              </w:rPr>
            </w:pPr>
            <w:r>
              <w:rPr>
                <w:position w:val="13"/>
                <w:sz w:val="24"/>
                <w:szCs w:val="24"/>
              </w:rPr>
              <w:t>A</w:t>
            </w:r>
          </w:p>
          <w:p w14:paraId="23F509BD">
            <w:pPr>
              <w:pStyle w:val="28"/>
              <w:spacing w:line="360" w:lineRule="auto"/>
              <w:ind w:left="666"/>
              <w:rPr>
                <w:sz w:val="24"/>
                <w:szCs w:val="24"/>
              </w:rPr>
            </w:pPr>
            <w:r>
              <w:rPr>
                <w:spacing w:val="-2"/>
                <w:sz w:val="24"/>
                <w:szCs w:val="24"/>
              </w:rPr>
              <w:t>kA</w:t>
            </w:r>
          </w:p>
          <w:p w14:paraId="5869DF1D">
            <w:pPr>
              <w:pStyle w:val="28"/>
              <w:spacing w:before="125" w:line="360" w:lineRule="auto"/>
              <w:ind w:left="666"/>
              <w:rPr>
                <w:sz w:val="24"/>
                <w:szCs w:val="24"/>
              </w:rPr>
            </w:pPr>
            <w:r>
              <w:rPr>
                <w:spacing w:val="-2"/>
                <w:sz w:val="24"/>
                <w:szCs w:val="24"/>
              </w:rPr>
              <w:t>kA</w:t>
            </w:r>
          </w:p>
        </w:tc>
        <w:tc>
          <w:tcPr>
            <w:tcW w:w="2083" w:type="dxa"/>
            <w:noWrap w:val="0"/>
            <w:vAlign w:val="top"/>
          </w:tcPr>
          <w:p w14:paraId="3DC4783D">
            <w:pPr>
              <w:spacing w:line="360" w:lineRule="auto"/>
              <w:rPr>
                <w:rFonts w:ascii="Arial"/>
                <w:sz w:val="21"/>
              </w:rPr>
            </w:pPr>
          </w:p>
          <w:p w14:paraId="416CACE6">
            <w:pPr>
              <w:pStyle w:val="28"/>
              <w:spacing w:before="78" w:line="360" w:lineRule="auto"/>
              <w:ind w:left="677"/>
              <w:rPr>
                <w:sz w:val="24"/>
                <w:szCs w:val="24"/>
              </w:rPr>
            </w:pPr>
            <w:r>
              <w:rPr>
                <w:spacing w:val="-5"/>
                <w:position w:val="11"/>
                <w:sz w:val="24"/>
                <w:szCs w:val="24"/>
              </w:rPr>
              <w:t>≤</w:t>
            </w:r>
            <w:r>
              <w:rPr>
                <w:rFonts w:hint="eastAsia"/>
                <w:spacing w:val="-5"/>
                <w:position w:val="11"/>
                <w:sz w:val="24"/>
                <w:szCs w:val="24"/>
                <w:lang w:val="en-US" w:eastAsia="zh-CN"/>
              </w:rPr>
              <w:t>20</w:t>
            </w:r>
            <w:r>
              <w:rPr>
                <w:spacing w:val="-5"/>
                <w:position w:val="11"/>
                <w:sz w:val="24"/>
                <w:szCs w:val="24"/>
              </w:rPr>
              <w:t>00</w:t>
            </w:r>
          </w:p>
          <w:p w14:paraId="4BFC7529">
            <w:pPr>
              <w:pStyle w:val="28"/>
              <w:spacing w:line="360" w:lineRule="auto"/>
              <w:ind w:left="857"/>
              <w:rPr>
                <w:sz w:val="24"/>
                <w:szCs w:val="24"/>
              </w:rPr>
            </w:pPr>
            <w:r>
              <w:rPr>
                <w:spacing w:val="-3"/>
                <w:sz w:val="24"/>
                <w:szCs w:val="24"/>
              </w:rPr>
              <w:t>220</w:t>
            </w:r>
          </w:p>
          <w:p w14:paraId="78353A8E">
            <w:pPr>
              <w:pStyle w:val="28"/>
              <w:spacing w:before="130" w:line="360" w:lineRule="auto"/>
              <w:ind w:left="857"/>
              <w:rPr>
                <w:sz w:val="24"/>
                <w:szCs w:val="24"/>
              </w:rPr>
            </w:pPr>
            <w:r>
              <w:rPr>
                <w:spacing w:val="-7"/>
                <w:sz w:val="24"/>
                <w:szCs w:val="24"/>
              </w:rPr>
              <w:t>100</w:t>
            </w:r>
          </w:p>
        </w:tc>
      </w:tr>
      <w:tr w14:paraId="2A0DC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4" w:type="dxa"/>
            <w:noWrap w:val="0"/>
            <w:vAlign w:val="top"/>
          </w:tcPr>
          <w:p w14:paraId="50BD7D93">
            <w:pPr>
              <w:spacing w:line="360" w:lineRule="auto"/>
              <w:rPr>
                <w:rFonts w:ascii="Arial"/>
                <w:sz w:val="21"/>
              </w:rPr>
            </w:pPr>
          </w:p>
          <w:p w14:paraId="6C3E26E0">
            <w:pPr>
              <w:spacing w:line="360" w:lineRule="auto"/>
              <w:rPr>
                <w:rFonts w:ascii="Arial"/>
                <w:sz w:val="21"/>
              </w:rPr>
            </w:pPr>
          </w:p>
          <w:p w14:paraId="600AE402">
            <w:pPr>
              <w:pStyle w:val="28"/>
              <w:spacing w:before="78" w:line="360" w:lineRule="auto"/>
              <w:ind w:left="295"/>
              <w:rPr>
                <w:sz w:val="24"/>
                <w:szCs w:val="24"/>
              </w:rPr>
            </w:pPr>
            <w:r>
              <w:rPr>
                <w:sz w:val="24"/>
                <w:szCs w:val="24"/>
              </w:rPr>
              <w:t>8</w:t>
            </w:r>
          </w:p>
        </w:tc>
        <w:tc>
          <w:tcPr>
            <w:tcW w:w="4295" w:type="dxa"/>
            <w:noWrap w:val="0"/>
            <w:vAlign w:val="top"/>
          </w:tcPr>
          <w:p w14:paraId="496FE2F8">
            <w:pPr>
              <w:pStyle w:val="28"/>
              <w:spacing w:before="117" w:line="360" w:lineRule="auto"/>
              <w:ind w:left="1660"/>
              <w:rPr>
                <w:sz w:val="24"/>
                <w:szCs w:val="24"/>
              </w:rPr>
            </w:pPr>
            <w:r>
              <w:rPr>
                <w:spacing w:val="4"/>
                <w:sz w:val="24"/>
                <w:szCs w:val="24"/>
              </w:rPr>
              <w:t>配电母线</w:t>
            </w:r>
          </w:p>
          <w:p w14:paraId="312886ED">
            <w:pPr>
              <w:pStyle w:val="28"/>
              <w:spacing w:before="63" w:line="360" w:lineRule="auto"/>
              <w:ind w:left="1660"/>
              <w:rPr>
                <w:sz w:val="24"/>
                <w:szCs w:val="24"/>
              </w:rPr>
            </w:pPr>
            <w:r>
              <w:rPr>
                <w:spacing w:val="-2"/>
                <w:sz w:val="24"/>
                <w:szCs w:val="24"/>
              </w:rPr>
              <w:t>额定电流</w:t>
            </w:r>
          </w:p>
          <w:p w14:paraId="4D2967BC">
            <w:pPr>
              <w:pStyle w:val="28"/>
              <w:spacing w:before="65" w:line="360" w:lineRule="auto"/>
              <w:ind w:left="1181"/>
              <w:rPr>
                <w:sz w:val="24"/>
                <w:szCs w:val="24"/>
              </w:rPr>
            </w:pPr>
            <w:r>
              <w:rPr>
                <w:spacing w:val="-2"/>
                <w:sz w:val="24"/>
                <w:szCs w:val="24"/>
              </w:rPr>
              <w:t>额定峰值耐受电流</w:t>
            </w:r>
          </w:p>
          <w:p w14:paraId="122CD9B2">
            <w:pPr>
              <w:pStyle w:val="28"/>
              <w:spacing w:before="94" w:line="360" w:lineRule="auto"/>
              <w:ind w:left="401"/>
              <w:rPr>
                <w:sz w:val="24"/>
                <w:szCs w:val="24"/>
              </w:rPr>
            </w:pPr>
            <w:r>
              <w:rPr>
                <w:spacing w:val="3"/>
                <w:sz w:val="24"/>
                <w:szCs w:val="24"/>
              </w:rPr>
              <w:t>额定短时耐受电流(</w:t>
            </w:r>
            <w:r>
              <w:rPr>
                <w:sz w:val="24"/>
                <w:szCs w:val="24"/>
              </w:rPr>
              <w:t>kA</w:t>
            </w:r>
            <w:r>
              <w:rPr>
                <w:spacing w:val="3"/>
                <w:sz w:val="24"/>
                <w:szCs w:val="24"/>
              </w:rPr>
              <w:t>有效值/1s)</w:t>
            </w:r>
          </w:p>
        </w:tc>
        <w:tc>
          <w:tcPr>
            <w:tcW w:w="1578" w:type="dxa"/>
            <w:noWrap w:val="0"/>
            <w:vAlign w:val="top"/>
          </w:tcPr>
          <w:p w14:paraId="0E6C5051">
            <w:pPr>
              <w:spacing w:line="360" w:lineRule="auto"/>
              <w:rPr>
                <w:rFonts w:ascii="Arial"/>
                <w:sz w:val="21"/>
              </w:rPr>
            </w:pPr>
          </w:p>
          <w:p w14:paraId="42F26E8D">
            <w:pPr>
              <w:pStyle w:val="28"/>
              <w:spacing w:before="78" w:line="360" w:lineRule="auto"/>
              <w:ind w:left="726"/>
              <w:rPr>
                <w:sz w:val="24"/>
                <w:szCs w:val="24"/>
              </w:rPr>
            </w:pPr>
            <w:r>
              <w:rPr>
                <w:position w:val="12"/>
                <w:sz w:val="24"/>
                <w:szCs w:val="24"/>
              </w:rPr>
              <w:t>A</w:t>
            </w:r>
          </w:p>
          <w:p w14:paraId="0E2785ED">
            <w:pPr>
              <w:pStyle w:val="28"/>
              <w:spacing w:line="360" w:lineRule="auto"/>
              <w:ind w:left="666"/>
              <w:rPr>
                <w:sz w:val="24"/>
                <w:szCs w:val="24"/>
              </w:rPr>
            </w:pPr>
            <w:r>
              <w:rPr>
                <w:spacing w:val="-2"/>
                <w:sz w:val="24"/>
                <w:szCs w:val="24"/>
              </w:rPr>
              <w:t>kA</w:t>
            </w:r>
          </w:p>
          <w:p w14:paraId="3E3212E0">
            <w:pPr>
              <w:pStyle w:val="28"/>
              <w:spacing w:before="105" w:line="360" w:lineRule="auto"/>
              <w:ind w:left="666"/>
              <w:rPr>
                <w:sz w:val="24"/>
                <w:szCs w:val="24"/>
              </w:rPr>
            </w:pPr>
            <w:r>
              <w:rPr>
                <w:spacing w:val="-2"/>
                <w:sz w:val="24"/>
                <w:szCs w:val="24"/>
              </w:rPr>
              <w:t>kA</w:t>
            </w:r>
          </w:p>
        </w:tc>
        <w:tc>
          <w:tcPr>
            <w:tcW w:w="2083" w:type="dxa"/>
            <w:noWrap w:val="0"/>
            <w:vAlign w:val="top"/>
          </w:tcPr>
          <w:p w14:paraId="08FFB5C9">
            <w:pPr>
              <w:spacing w:line="360" w:lineRule="auto"/>
              <w:rPr>
                <w:rFonts w:ascii="Arial"/>
                <w:sz w:val="21"/>
              </w:rPr>
            </w:pPr>
          </w:p>
          <w:p w14:paraId="64263719">
            <w:pPr>
              <w:pStyle w:val="28"/>
              <w:spacing w:before="78" w:line="360" w:lineRule="auto"/>
              <w:ind w:left="677"/>
              <w:rPr>
                <w:sz w:val="24"/>
                <w:szCs w:val="24"/>
              </w:rPr>
            </w:pPr>
            <w:r>
              <w:rPr>
                <w:spacing w:val="-5"/>
                <w:position w:val="11"/>
                <w:sz w:val="24"/>
                <w:szCs w:val="24"/>
              </w:rPr>
              <w:t>≤</w:t>
            </w:r>
            <w:r>
              <w:rPr>
                <w:rFonts w:hint="eastAsia"/>
                <w:spacing w:val="-5"/>
                <w:position w:val="11"/>
                <w:sz w:val="24"/>
                <w:szCs w:val="24"/>
                <w:lang w:val="en-US" w:eastAsia="zh-CN"/>
              </w:rPr>
              <w:t>20</w:t>
            </w:r>
            <w:r>
              <w:rPr>
                <w:spacing w:val="-5"/>
                <w:position w:val="11"/>
                <w:sz w:val="24"/>
                <w:szCs w:val="24"/>
              </w:rPr>
              <w:t>00</w:t>
            </w:r>
          </w:p>
          <w:p w14:paraId="27C19D8C">
            <w:pPr>
              <w:pStyle w:val="28"/>
              <w:spacing w:before="1" w:line="360" w:lineRule="auto"/>
              <w:ind w:left="857"/>
              <w:rPr>
                <w:sz w:val="24"/>
                <w:szCs w:val="24"/>
              </w:rPr>
            </w:pPr>
            <w:r>
              <w:rPr>
                <w:spacing w:val="-7"/>
                <w:sz w:val="24"/>
                <w:szCs w:val="24"/>
              </w:rPr>
              <w:t>110</w:t>
            </w:r>
          </w:p>
          <w:p w14:paraId="19017195">
            <w:pPr>
              <w:pStyle w:val="28"/>
              <w:spacing w:before="122" w:line="360" w:lineRule="auto"/>
              <w:ind w:left="917"/>
              <w:rPr>
                <w:sz w:val="24"/>
                <w:szCs w:val="24"/>
              </w:rPr>
            </w:pPr>
            <w:r>
              <w:rPr>
                <w:spacing w:val="-4"/>
                <w:sz w:val="24"/>
                <w:szCs w:val="24"/>
              </w:rPr>
              <w:t>50</w:t>
            </w:r>
          </w:p>
        </w:tc>
      </w:tr>
      <w:tr w14:paraId="16C6E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4" w:type="dxa"/>
            <w:noWrap w:val="0"/>
            <w:vAlign w:val="top"/>
          </w:tcPr>
          <w:p w14:paraId="414E7AD8">
            <w:pPr>
              <w:pStyle w:val="28"/>
              <w:spacing w:before="270" w:line="360" w:lineRule="auto"/>
              <w:ind w:left="295"/>
              <w:rPr>
                <w:sz w:val="24"/>
                <w:szCs w:val="24"/>
              </w:rPr>
            </w:pPr>
            <w:r>
              <w:rPr>
                <w:sz w:val="24"/>
                <w:szCs w:val="24"/>
              </w:rPr>
              <w:t>9</w:t>
            </w:r>
          </w:p>
        </w:tc>
        <w:tc>
          <w:tcPr>
            <w:tcW w:w="4295" w:type="dxa"/>
            <w:noWrap w:val="0"/>
            <w:vAlign w:val="top"/>
          </w:tcPr>
          <w:p w14:paraId="523754EE">
            <w:pPr>
              <w:pStyle w:val="28"/>
              <w:spacing w:before="209" w:line="360" w:lineRule="auto"/>
              <w:ind w:left="610"/>
              <w:rPr>
                <w:sz w:val="24"/>
                <w:szCs w:val="24"/>
              </w:rPr>
            </w:pPr>
            <w:r>
              <w:rPr>
                <w:spacing w:val="4"/>
                <w:sz w:val="24"/>
                <w:szCs w:val="24"/>
              </w:rPr>
              <w:t>辅助电路额定电压(V)</w:t>
            </w:r>
          </w:p>
        </w:tc>
        <w:tc>
          <w:tcPr>
            <w:tcW w:w="1578" w:type="dxa"/>
            <w:noWrap w:val="0"/>
            <w:vAlign w:val="top"/>
          </w:tcPr>
          <w:p w14:paraId="560EA0A4">
            <w:pPr>
              <w:spacing w:line="360" w:lineRule="auto"/>
              <w:rPr>
                <w:rFonts w:ascii="Arial"/>
                <w:sz w:val="21"/>
              </w:rPr>
            </w:pPr>
          </w:p>
        </w:tc>
        <w:tc>
          <w:tcPr>
            <w:tcW w:w="2083" w:type="dxa"/>
            <w:noWrap w:val="0"/>
            <w:vAlign w:val="top"/>
          </w:tcPr>
          <w:p w14:paraId="0371C9D3">
            <w:pPr>
              <w:pStyle w:val="28"/>
              <w:spacing w:before="268" w:line="360" w:lineRule="auto"/>
              <w:ind w:left="677"/>
              <w:rPr>
                <w:sz w:val="24"/>
                <w:szCs w:val="24"/>
              </w:rPr>
            </w:pPr>
            <w:r>
              <w:rPr>
                <w:spacing w:val="-1"/>
                <w:sz w:val="24"/>
                <w:szCs w:val="24"/>
              </w:rPr>
              <w:t>AC220V</w:t>
            </w:r>
          </w:p>
        </w:tc>
      </w:tr>
      <w:tr w14:paraId="6BCF2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24" w:type="dxa"/>
            <w:noWrap w:val="0"/>
            <w:vAlign w:val="top"/>
          </w:tcPr>
          <w:p w14:paraId="5502B128">
            <w:pPr>
              <w:pStyle w:val="28"/>
              <w:spacing w:before="260" w:line="360" w:lineRule="auto"/>
              <w:ind w:left="234"/>
              <w:rPr>
                <w:sz w:val="24"/>
                <w:szCs w:val="24"/>
              </w:rPr>
            </w:pPr>
            <w:r>
              <w:rPr>
                <w:spacing w:val="-7"/>
                <w:sz w:val="24"/>
                <w:szCs w:val="24"/>
              </w:rPr>
              <w:t>10</w:t>
            </w:r>
          </w:p>
        </w:tc>
        <w:tc>
          <w:tcPr>
            <w:tcW w:w="4295" w:type="dxa"/>
            <w:noWrap w:val="0"/>
            <w:vAlign w:val="top"/>
          </w:tcPr>
          <w:p w14:paraId="6C5FE3A0">
            <w:pPr>
              <w:pStyle w:val="28"/>
              <w:spacing w:before="200" w:line="360" w:lineRule="auto"/>
              <w:ind w:left="600"/>
              <w:rPr>
                <w:sz w:val="24"/>
                <w:szCs w:val="24"/>
              </w:rPr>
            </w:pPr>
            <w:r>
              <w:rPr>
                <w:spacing w:val="8"/>
                <w:sz w:val="24"/>
                <w:szCs w:val="24"/>
              </w:rPr>
              <w:t>母线</w:t>
            </w:r>
          </w:p>
        </w:tc>
        <w:tc>
          <w:tcPr>
            <w:tcW w:w="1578" w:type="dxa"/>
            <w:noWrap w:val="0"/>
            <w:vAlign w:val="top"/>
          </w:tcPr>
          <w:p w14:paraId="206B8A0D">
            <w:pPr>
              <w:pStyle w:val="28"/>
              <w:spacing w:before="200" w:line="360" w:lineRule="auto"/>
              <w:ind w:left="186"/>
              <w:rPr>
                <w:sz w:val="24"/>
                <w:szCs w:val="24"/>
              </w:rPr>
            </w:pPr>
            <w:r>
              <w:rPr>
                <w:spacing w:val="4"/>
                <w:sz w:val="24"/>
                <w:szCs w:val="24"/>
              </w:rPr>
              <w:t>三相五线制</w:t>
            </w:r>
          </w:p>
        </w:tc>
        <w:tc>
          <w:tcPr>
            <w:tcW w:w="2083" w:type="dxa"/>
            <w:noWrap w:val="0"/>
            <w:vAlign w:val="top"/>
          </w:tcPr>
          <w:p w14:paraId="13162B66">
            <w:pPr>
              <w:pStyle w:val="28"/>
              <w:spacing w:before="259" w:line="360" w:lineRule="auto"/>
              <w:ind w:left="597"/>
              <w:rPr>
                <w:sz w:val="24"/>
                <w:szCs w:val="24"/>
              </w:rPr>
            </w:pPr>
            <w:r>
              <w:rPr>
                <w:spacing w:val="-1"/>
                <w:sz w:val="24"/>
                <w:szCs w:val="24"/>
              </w:rPr>
              <w:t>A.B.C.N.PE</w:t>
            </w:r>
          </w:p>
        </w:tc>
      </w:tr>
    </w:tbl>
    <w:p w14:paraId="2ECB5118">
      <w:pPr>
        <w:spacing w:line="360" w:lineRule="auto"/>
      </w:pPr>
    </w:p>
    <w:tbl>
      <w:tblPr>
        <w:tblStyle w:val="29"/>
        <w:tblW w:w="8659" w:type="dxa"/>
        <w:tblInd w:w="2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4275"/>
        <w:gridCol w:w="1578"/>
        <w:gridCol w:w="2082"/>
      </w:tblGrid>
      <w:tr w14:paraId="643DF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24" w:type="dxa"/>
            <w:noWrap w:val="0"/>
            <w:vAlign w:val="top"/>
          </w:tcPr>
          <w:p w14:paraId="711885D4">
            <w:pPr>
              <w:pStyle w:val="28"/>
              <w:spacing w:before="125" w:line="360" w:lineRule="auto"/>
              <w:ind w:left="234"/>
              <w:rPr>
                <w:sz w:val="24"/>
                <w:szCs w:val="24"/>
              </w:rPr>
            </w:pPr>
            <w:r>
              <w:rPr>
                <w:spacing w:val="-7"/>
                <w:sz w:val="24"/>
                <w:szCs w:val="24"/>
              </w:rPr>
              <w:t>11</w:t>
            </w:r>
          </w:p>
        </w:tc>
        <w:tc>
          <w:tcPr>
            <w:tcW w:w="4275" w:type="dxa"/>
            <w:noWrap w:val="0"/>
            <w:vAlign w:val="top"/>
          </w:tcPr>
          <w:p w14:paraId="7BE5228A">
            <w:pPr>
              <w:pStyle w:val="28"/>
              <w:spacing w:before="64" w:line="360" w:lineRule="auto"/>
              <w:ind w:left="1770"/>
              <w:rPr>
                <w:sz w:val="24"/>
                <w:szCs w:val="24"/>
              </w:rPr>
            </w:pPr>
            <w:r>
              <w:rPr>
                <w:spacing w:val="4"/>
                <w:sz w:val="24"/>
                <w:szCs w:val="24"/>
              </w:rPr>
              <w:t>总高度</w:t>
            </w:r>
          </w:p>
        </w:tc>
        <w:tc>
          <w:tcPr>
            <w:tcW w:w="1578" w:type="dxa"/>
            <w:noWrap w:val="0"/>
            <w:vAlign w:val="top"/>
          </w:tcPr>
          <w:p w14:paraId="34FFB534">
            <w:pPr>
              <w:pStyle w:val="28"/>
              <w:spacing w:before="178" w:line="360" w:lineRule="auto"/>
              <w:ind w:left="696"/>
              <w:rPr>
                <w:sz w:val="17"/>
                <w:szCs w:val="17"/>
              </w:rPr>
            </w:pPr>
            <w:r>
              <w:rPr>
                <w:spacing w:val="-1"/>
                <w:sz w:val="17"/>
                <w:szCs w:val="17"/>
              </w:rPr>
              <w:t>mm</w:t>
            </w:r>
          </w:p>
        </w:tc>
        <w:tc>
          <w:tcPr>
            <w:tcW w:w="2082" w:type="dxa"/>
            <w:noWrap w:val="0"/>
            <w:vAlign w:val="top"/>
          </w:tcPr>
          <w:p w14:paraId="3AFE4690">
            <w:pPr>
              <w:pStyle w:val="28"/>
              <w:spacing w:before="126" w:line="360" w:lineRule="auto"/>
              <w:ind w:left="797"/>
              <w:rPr>
                <w:sz w:val="24"/>
                <w:szCs w:val="24"/>
              </w:rPr>
            </w:pPr>
            <w:r>
              <w:rPr>
                <w:spacing w:val="-3"/>
                <w:sz w:val="24"/>
                <w:szCs w:val="24"/>
              </w:rPr>
              <w:t>2200</w:t>
            </w:r>
          </w:p>
        </w:tc>
      </w:tr>
      <w:tr w14:paraId="11AD1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724" w:type="dxa"/>
            <w:noWrap w:val="0"/>
            <w:vAlign w:val="top"/>
          </w:tcPr>
          <w:p w14:paraId="3F55CDD2">
            <w:pPr>
              <w:pStyle w:val="28"/>
              <w:spacing w:before="123" w:line="360" w:lineRule="auto"/>
              <w:ind w:left="234"/>
              <w:rPr>
                <w:sz w:val="24"/>
                <w:szCs w:val="24"/>
              </w:rPr>
            </w:pPr>
            <w:r>
              <w:rPr>
                <w:spacing w:val="-7"/>
                <w:sz w:val="24"/>
                <w:szCs w:val="24"/>
              </w:rPr>
              <w:t>12</w:t>
            </w:r>
          </w:p>
        </w:tc>
        <w:tc>
          <w:tcPr>
            <w:tcW w:w="4275" w:type="dxa"/>
            <w:noWrap w:val="0"/>
            <w:vAlign w:val="top"/>
          </w:tcPr>
          <w:p w14:paraId="22273975">
            <w:pPr>
              <w:pStyle w:val="28"/>
              <w:spacing w:before="61" w:line="360" w:lineRule="auto"/>
              <w:ind w:left="1171"/>
              <w:rPr>
                <w:sz w:val="24"/>
                <w:szCs w:val="24"/>
              </w:rPr>
            </w:pPr>
            <w:r>
              <w:rPr>
                <w:spacing w:val="5"/>
                <w:sz w:val="24"/>
                <w:szCs w:val="24"/>
              </w:rPr>
              <w:t>有效高度(E=25</w:t>
            </w:r>
            <w:r>
              <w:rPr>
                <w:sz w:val="24"/>
                <w:szCs w:val="24"/>
              </w:rPr>
              <w:t>mm</w:t>
            </w:r>
            <w:r>
              <w:rPr>
                <w:spacing w:val="5"/>
                <w:sz w:val="24"/>
                <w:szCs w:val="24"/>
              </w:rPr>
              <w:t>)</w:t>
            </w:r>
          </w:p>
        </w:tc>
        <w:tc>
          <w:tcPr>
            <w:tcW w:w="1578" w:type="dxa"/>
            <w:noWrap w:val="0"/>
            <w:vAlign w:val="top"/>
          </w:tcPr>
          <w:p w14:paraId="624E9E26">
            <w:pPr>
              <w:pStyle w:val="28"/>
              <w:spacing w:before="61" w:line="360" w:lineRule="auto"/>
              <w:ind w:left="545"/>
              <w:rPr>
                <w:sz w:val="24"/>
                <w:szCs w:val="24"/>
              </w:rPr>
            </w:pPr>
            <w:r>
              <w:rPr>
                <w:spacing w:val="-3"/>
                <w:sz w:val="24"/>
                <w:szCs w:val="24"/>
              </w:rPr>
              <w:t>模数</w:t>
            </w:r>
          </w:p>
        </w:tc>
        <w:tc>
          <w:tcPr>
            <w:tcW w:w="2082" w:type="dxa"/>
            <w:noWrap w:val="0"/>
            <w:vAlign w:val="top"/>
          </w:tcPr>
          <w:p w14:paraId="1174239A">
            <w:pPr>
              <w:pStyle w:val="28"/>
              <w:spacing w:before="123" w:line="360" w:lineRule="auto"/>
              <w:ind w:left="917"/>
              <w:rPr>
                <w:sz w:val="24"/>
                <w:szCs w:val="24"/>
              </w:rPr>
            </w:pPr>
            <w:r>
              <w:rPr>
                <w:spacing w:val="-4"/>
                <w:sz w:val="24"/>
                <w:szCs w:val="24"/>
              </w:rPr>
              <w:t>72</w:t>
            </w:r>
          </w:p>
        </w:tc>
      </w:tr>
      <w:tr w14:paraId="4BC71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724" w:type="dxa"/>
            <w:noWrap w:val="0"/>
            <w:vAlign w:val="top"/>
          </w:tcPr>
          <w:p w14:paraId="4D0F89EF">
            <w:pPr>
              <w:pStyle w:val="28"/>
              <w:spacing w:before="124" w:line="360" w:lineRule="auto"/>
              <w:ind w:left="234"/>
              <w:rPr>
                <w:sz w:val="24"/>
                <w:szCs w:val="24"/>
              </w:rPr>
            </w:pPr>
            <w:r>
              <w:rPr>
                <w:spacing w:val="-7"/>
                <w:sz w:val="24"/>
                <w:szCs w:val="24"/>
              </w:rPr>
              <w:t>13</w:t>
            </w:r>
          </w:p>
        </w:tc>
        <w:tc>
          <w:tcPr>
            <w:tcW w:w="4275" w:type="dxa"/>
            <w:noWrap w:val="0"/>
            <w:vAlign w:val="top"/>
          </w:tcPr>
          <w:p w14:paraId="1DAFC7BF">
            <w:pPr>
              <w:pStyle w:val="28"/>
              <w:spacing w:before="64" w:line="360" w:lineRule="auto"/>
              <w:ind w:left="1650"/>
              <w:rPr>
                <w:sz w:val="24"/>
                <w:szCs w:val="24"/>
              </w:rPr>
            </w:pPr>
            <w:r>
              <w:rPr>
                <w:spacing w:val="3"/>
                <w:sz w:val="24"/>
                <w:szCs w:val="24"/>
              </w:rPr>
              <w:t>柜体深度</w:t>
            </w:r>
          </w:p>
        </w:tc>
        <w:tc>
          <w:tcPr>
            <w:tcW w:w="1578" w:type="dxa"/>
            <w:noWrap w:val="0"/>
            <w:vAlign w:val="top"/>
          </w:tcPr>
          <w:p w14:paraId="67E54B42">
            <w:pPr>
              <w:pStyle w:val="28"/>
              <w:spacing w:before="167" w:line="360" w:lineRule="auto"/>
              <w:ind w:left="696"/>
              <w:rPr>
                <w:sz w:val="17"/>
                <w:szCs w:val="17"/>
              </w:rPr>
            </w:pPr>
            <w:r>
              <w:rPr>
                <w:spacing w:val="-1"/>
                <w:sz w:val="17"/>
                <w:szCs w:val="17"/>
              </w:rPr>
              <w:t>mm</w:t>
            </w:r>
          </w:p>
        </w:tc>
        <w:tc>
          <w:tcPr>
            <w:tcW w:w="2082" w:type="dxa"/>
            <w:noWrap w:val="0"/>
            <w:vAlign w:val="top"/>
          </w:tcPr>
          <w:p w14:paraId="572FA309">
            <w:pPr>
              <w:pStyle w:val="28"/>
              <w:spacing w:before="124" w:line="360" w:lineRule="auto"/>
              <w:ind w:left="797"/>
              <w:rPr>
                <w:rFonts w:hint="default"/>
                <w:sz w:val="24"/>
                <w:szCs w:val="24"/>
                <w:lang w:val="en-US"/>
              </w:rPr>
            </w:pPr>
            <w:r>
              <w:rPr>
                <w:rFonts w:hint="eastAsia"/>
                <w:spacing w:val="-6"/>
                <w:sz w:val="24"/>
                <w:szCs w:val="24"/>
                <w:lang w:val="en-US" w:eastAsia="zh-CN"/>
              </w:rPr>
              <w:t>1000</w:t>
            </w:r>
          </w:p>
        </w:tc>
      </w:tr>
      <w:tr w14:paraId="5581E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724" w:type="dxa"/>
            <w:noWrap w:val="0"/>
            <w:vAlign w:val="top"/>
          </w:tcPr>
          <w:p w14:paraId="0205CDC7">
            <w:pPr>
              <w:spacing w:line="360" w:lineRule="auto"/>
              <w:rPr>
                <w:rFonts w:ascii="Arial"/>
                <w:sz w:val="21"/>
              </w:rPr>
            </w:pPr>
          </w:p>
          <w:p w14:paraId="3CE1BD74">
            <w:pPr>
              <w:pStyle w:val="28"/>
              <w:spacing w:before="78" w:line="360" w:lineRule="auto"/>
              <w:ind w:left="234"/>
              <w:rPr>
                <w:sz w:val="24"/>
                <w:szCs w:val="24"/>
              </w:rPr>
            </w:pPr>
            <w:r>
              <w:rPr>
                <w:spacing w:val="-7"/>
                <w:sz w:val="24"/>
                <w:szCs w:val="24"/>
              </w:rPr>
              <w:t>14</w:t>
            </w:r>
          </w:p>
        </w:tc>
        <w:tc>
          <w:tcPr>
            <w:tcW w:w="4275" w:type="dxa"/>
            <w:noWrap w:val="0"/>
            <w:vAlign w:val="top"/>
          </w:tcPr>
          <w:p w14:paraId="6F371CE9">
            <w:pPr>
              <w:pStyle w:val="28"/>
              <w:spacing w:before="85" w:line="360" w:lineRule="auto"/>
              <w:ind w:left="1650"/>
              <w:rPr>
                <w:spacing w:val="3"/>
                <w:sz w:val="24"/>
                <w:szCs w:val="24"/>
              </w:rPr>
            </w:pPr>
          </w:p>
          <w:p w14:paraId="2E75525F">
            <w:pPr>
              <w:pStyle w:val="28"/>
              <w:spacing w:before="85" w:line="360" w:lineRule="auto"/>
              <w:ind w:left="1650"/>
              <w:rPr>
                <w:sz w:val="24"/>
                <w:szCs w:val="24"/>
              </w:rPr>
            </w:pPr>
            <w:r>
              <w:rPr>
                <w:spacing w:val="3"/>
                <w:sz w:val="24"/>
                <w:szCs w:val="24"/>
              </w:rPr>
              <w:t>柜体宽度</w:t>
            </w:r>
          </w:p>
        </w:tc>
        <w:tc>
          <w:tcPr>
            <w:tcW w:w="1578" w:type="dxa"/>
            <w:noWrap w:val="0"/>
            <w:vAlign w:val="top"/>
          </w:tcPr>
          <w:p w14:paraId="74C3DB39">
            <w:pPr>
              <w:spacing w:line="360" w:lineRule="auto"/>
              <w:rPr>
                <w:rFonts w:ascii="Arial"/>
                <w:sz w:val="21"/>
              </w:rPr>
            </w:pPr>
          </w:p>
          <w:p w14:paraId="1C0A0820">
            <w:pPr>
              <w:pStyle w:val="28"/>
              <w:spacing w:before="55" w:line="360" w:lineRule="auto"/>
              <w:ind w:left="696"/>
              <w:rPr>
                <w:sz w:val="17"/>
                <w:szCs w:val="17"/>
              </w:rPr>
            </w:pPr>
            <w:r>
              <w:rPr>
                <w:spacing w:val="-1"/>
                <w:sz w:val="17"/>
                <w:szCs w:val="17"/>
              </w:rPr>
              <w:t>mm</w:t>
            </w:r>
          </w:p>
        </w:tc>
        <w:tc>
          <w:tcPr>
            <w:tcW w:w="2082" w:type="dxa"/>
            <w:noWrap w:val="0"/>
            <w:vAlign w:val="top"/>
          </w:tcPr>
          <w:p w14:paraId="6BB0D5C6">
            <w:pPr>
              <w:spacing w:line="360" w:lineRule="auto"/>
              <w:rPr>
                <w:rFonts w:ascii="Arial"/>
                <w:sz w:val="21"/>
              </w:rPr>
            </w:pPr>
          </w:p>
          <w:p w14:paraId="48D0AF26">
            <w:pPr>
              <w:pStyle w:val="28"/>
              <w:spacing w:before="78" w:line="360" w:lineRule="auto"/>
              <w:ind w:left="737" w:right="325" w:hanging="420"/>
              <w:rPr>
                <w:sz w:val="24"/>
                <w:szCs w:val="24"/>
              </w:rPr>
            </w:pPr>
            <w:r>
              <w:rPr>
                <w:spacing w:val="-1"/>
                <w:sz w:val="24"/>
                <w:szCs w:val="24"/>
              </w:rPr>
              <w:t>600/800/1000</w:t>
            </w:r>
            <w:r>
              <w:rPr>
                <w:sz w:val="24"/>
                <w:szCs w:val="24"/>
              </w:rPr>
              <w:t xml:space="preserve"> </w:t>
            </w:r>
            <w:r>
              <w:rPr>
                <w:spacing w:val="-2"/>
                <w:sz w:val="24"/>
                <w:szCs w:val="24"/>
              </w:rPr>
              <w:t>/1200</w:t>
            </w:r>
          </w:p>
        </w:tc>
      </w:tr>
      <w:tr w14:paraId="2EBCE6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24" w:type="dxa"/>
            <w:noWrap w:val="0"/>
            <w:vAlign w:val="top"/>
          </w:tcPr>
          <w:p w14:paraId="32E14F7A">
            <w:pPr>
              <w:pStyle w:val="28"/>
              <w:spacing w:before="129" w:line="360" w:lineRule="auto"/>
              <w:ind w:left="234"/>
              <w:rPr>
                <w:sz w:val="24"/>
                <w:szCs w:val="24"/>
              </w:rPr>
            </w:pPr>
            <w:r>
              <w:rPr>
                <w:spacing w:val="-7"/>
                <w:sz w:val="24"/>
                <w:szCs w:val="24"/>
              </w:rPr>
              <w:t>15</w:t>
            </w:r>
          </w:p>
        </w:tc>
        <w:tc>
          <w:tcPr>
            <w:tcW w:w="4275" w:type="dxa"/>
            <w:noWrap w:val="0"/>
            <w:vAlign w:val="top"/>
          </w:tcPr>
          <w:p w14:paraId="24F13038">
            <w:pPr>
              <w:pStyle w:val="28"/>
              <w:spacing w:before="68" w:line="360" w:lineRule="auto"/>
              <w:ind w:left="1650"/>
              <w:rPr>
                <w:sz w:val="24"/>
                <w:szCs w:val="24"/>
              </w:rPr>
            </w:pPr>
            <w:r>
              <w:rPr>
                <w:spacing w:val="3"/>
                <w:sz w:val="24"/>
                <w:szCs w:val="24"/>
              </w:rPr>
              <w:t>防护等级</w:t>
            </w:r>
          </w:p>
        </w:tc>
        <w:tc>
          <w:tcPr>
            <w:tcW w:w="1578" w:type="dxa"/>
            <w:noWrap w:val="0"/>
            <w:vAlign w:val="top"/>
          </w:tcPr>
          <w:p w14:paraId="25885D6F">
            <w:pPr>
              <w:pStyle w:val="28"/>
              <w:spacing w:before="182" w:line="360" w:lineRule="auto"/>
              <w:ind w:left="696"/>
              <w:rPr>
                <w:sz w:val="17"/>
                <w:szCs w:val="17"/>
              </w:rPr>
            </w:pPr>
            <w:r>
              <w:rPr>
                <w:spacing w:val="-1"/>
                <w:sz w:val="17"/>
                <w:szCs w:val="17"/>
              </w:rPr>
              <w:t>mm</w:t>
            </w:r>
          </w:p>
        </w:tc>
        <w:tc>
          <w:tcPr>
            <w:tcW w:w="2082" w:type="dxa"/>
            <w:noWrap w:val="0"/>
            <w:vAlign w:val="top"/>
          </w:tcPr>
          <w:p w14:paraId="5DD2497E">
            <w:pPr>
              <w:pStyle w:val="28"/>
              <w:spacing w:before="122" w:line="360" w:lineRule="auto"/>
              <w:ind w:left="778"/>
              <w:rPr>
                <w:sz w:val="17"/>
                <w:szCs w:val="17"/>
              </w:rPr>
            </w:pPr>
            <w:r>
              <w:rPr>
                <w:spacing w:val="-4"/>
                <w:sz w:val="17"/>
                <w:szCs w:val="17"/>
              </w:rPr>
              <w:t>≥IP4X</w:t>
            </w:r>
          </w:p>
        </w:tc>
      </w:tr>
    </w:tbl>
    <w:p w14:paraId="3B4ED519">
      <w:pPr>
        <w:spacing w:before="134" w:line="360" w:lineRule="auto"/>
        <w:ind w:left="289"/>
        <w:rPr>
          <w:rFonts w:ascii="宋体" w:hAnsi="宋体" w:eastAsia="宋体" w:cs="宋体"/>
          <w:sz w:val="24"/>
          <w:szCs w:val="24"/>
        </w:rPr>
      </w:pPr>
      <w:r>
        <w:rPr>
          <w:rFonts w:ascii="宋体" w:hAnsi="宋体" w:eastAsia="宋体" w:cs="宋体"/>
          <w:spacing w:val="12"/>
          <w:position w:val="13"/>
          <w:sz w:val="24"/>
          <w:szCs w:val="24"/>
        </w:rPr>
        <w:t>注：主母线及分支母线全部为铜母线(铜含量99.99%)</w:t>
      </w:r>
    </w:p>
    <w:p w14:paraId="093FA741">
      <w:pPr>
        <w:spacing w:line="360" w:lineRule="auto"/>
        <w:ind w:left="909"/>
        <w:rPr>
          <w:rFonts w:ascii="宋体" w:hAnsi="宋体" w:eastAsia="宋体" w:cs="宋体"/>
          <w:sz w:val="24"/>
          <w:szCs w:val="24"/>
        </w:rPr>
      </w:pPr>
      <w:r>
        <w:rPr>
          <w:rFonts w:ascii="宋体" w:hAnsi="宋体" w:eastAsia="宋体" w:cs="宋体"/>
          <w:sz w:val="24"/>
          <w:szCs w:val="24"/>
        </w:rPr>
        <w:t>(2)0.4kV低压开关柜框架式断路器主要技术参数</w:t>
      </w:r>
    </w:p>
    <w:p w14:paraId="52818495">
      <w:pPr>
        <w:spacing w:line="360" w:lineRule="auto"/>
        <w:rPr>
          <w:rFonts w:ascii="Arial"/>
          <w:sz w:val="2"/>
        </w:rPr>
      </w:pPr>
    </w:p>
    <w:tbl>
      <w:tblPr>
        <w:tblStyle w:val="29"/>
        <w:tblW w:w="7860" w:type="dxa"/>
        <w:tblInd w:w="1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4"/>
        <w:gridCol w:w="3775"/>
        <w:gridCol w:w="1229"/>
        <w:gridCol w:w="2192"/>
      </w:tblGrid>
      <w:tr w14:paraId="1B293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664" w:type="dxa"/>
            <w:noWrap w:val="0"/>
            <w:textDirection w:val="tbRlV"/>
            <w:vAlign w:val="top"/>
          </w:tcPr>
          <w:p w14:paraId="2AAAE46F">
            <w:pPr>
              <w:pStyle w:val="28"/>
              <w:spacing w:before="219" w:line="360" w:lineRule="auto"/>
              <w:ind w:left="22"/>
            </w:pPr>
            <w:r>
              <w:t>序</w:t>
            </w:r>
            <w:r>
              <w:rPr>
                <w:spacing w:val="83"/>
              </w:rPr>
              <w:t xml:space="preserve"> </w:t>
            </w:r>
            <w:r>
              <w:t>号</w:t>
            </w:r>
          </w:p>
        </w:tc>
        <w:tc>
          <w:tcPr>
            <w:tcW w:w="3775" w:type="dxa"/>
            <w:noWrap w:val="0"/>
            <w:vAlign w:val="top"/>
          </w:tcPr>
          <w:p w14:paraId="7C79F3A4">
            <w:pPr>
              <w:pStyle w:val="28"/>
              <w:spacing w:before="257" w:line="360" w:lineRule="auto"/>
              <w:ind w:left="1650"/>
            </w:pPr>
            <w:r>
              <w:rPr>
                <w:spacing w:val="5"/>
              </w:rPr>
              <w:t>名称</w:t>
            </w:r>
          </w:p>
        </w:tc>
        <w:tc>
          <w:tcPr>
            <w:tcW w:w="1229" w:type="dxa"/>
            <w:noWrap w:val="0"/>
            <w:vAlign w:val="top"/>
          </w:tcPr>
          <w:p w14:paraId="74A81397">
            <w:pPr>
              <w:pStyle w:val="28"/>
              <w:spacing w:before="255" w:line="360" w:lineRule="auto"/>
              <w:ind w:left="375"/>
            </w:pPr>
            <w:r>
              <w:rPr>
                <w:spacing w:val="-3"/>
              </w:rPr>
              <w:t>单位</w:t>
            </w:r>
          </w:p>
        </w:tc>
        <w:tc>
          <w:tcPr>
            <w:tcW w:w="2192" w:type="dxa"/>
            <w:noWrap w:val="0"/>
            <w:vAlign w:val="top"/>
          </w:tcPr>
          <w:p w14:paraId="3EB9E7DE">
            <w:pPr>
              <w:pStyle w:val="28"/>
              <w:spacing w:before="254" w:line="360" w:lineRule="auto"/>
              <w:ind w:left="627"/>
            </w:pPr>
            <w:r>
              <w:rPr>
                <w:spacing w:val="2"/>
              </w:rPr>
              <w:t>技术要求</w:t>
            </w:r>
          </w:p>
        </w:tc>
      </w:tr>
      <w:tr w14:paraId="39E09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664" w:type="dxa"/>
            <w:noWrap w:val="0"/>
            <w:vAlign w:val="top"/>
          </w:tcPr>
          <w:p w14:paraId="19CEA6AC">
            <w:pPr>
              <w:spacing w:line="360" w:lineRule="auto"/>
              <w:rPr>
                <w:rFonts w:ascii="Arial"/>
                <w:sz w:val="21"/>
              </w:rPr>
            </w:pPr>
          </w:p>
        </w:tc>
        <w:tc>
          <w:tcPr>
            <w:tcW w:w="3775" w:type="dxa"/>
            <w:noWrap w:val="0"/>
            <w:vAlign w:val="top"/>
          </w:tcPr>
          <w:p w14:paraId="1939EB33">
            <w:pPr>
              <w:pStyle w:val="28"/>
              <w:spacing w:before="70" w:line="360" w:lineRule="auto"/>
              <w:ind w:left="1190"/>
            </w:pPr>
            <w:r>
              <w:rPr>
                <w:spacing w:val="-2"/>
              </w:rPr>
              <w:t>额定绝缘电压</w:t>
            </w:r>
          </w:p>
        </w:tc>
        <w:tc>
          <w:tcPr>
            <w:tcW w:w="1229" w:type="dxa"/>
            <w:noWrap w:val="0"/>
            <w:vAlign w:val="top"/>
          </w:tcPr>
          <w:p w14:paraId="0CE2DA21">
            <w:pPr>
              <w:pStyle w:val="28"/>
              <w:spacing w:before="130" w:line="360" w:lineRule="auto"/>
              <w:ind w:left="545"/>
            </w:pPr>
            <w:r>
              <w:t>V</w:t>
            </w:r>
          </w:p>
        </w:tc>
        <w:tc>
          <w:tcPr>
            <w:tcW w:w="2192" w:type="dxa"/>
            <w:noWrap w:val="0"/>
            <w:vAlign w:val="top"/>
          </w:tcPr>
          <w:p w14:paraId="66405F9F">
            <w:pPr>
              <w:pStyle w:val="28"/>
              <w:spacing w:before="128" w:line="360" w:lineRule="auto"/>
              <w:ind w:left="857"/>
            </w:pPr>
            <w:r>
              <w:rPr>
                <w:spacing w:val="-5"/>
              </w:rPr>
              <w:t>1000</w:t>
            </w:r>
          </w:p>
        </w:tc>
      </w:tr>
      <w:tr w14:paraId="32BE0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atLeast"/>
        </w:trPr>
        <w:tc>
          <w:tcPr>
            <w:tcW w:w="664" w:type="dxa"/>
            <w:noWrap w:val="0"/>
            <w:vAlign w:val="top"/>
          </w:tcPr>
          <w:p w14:paraId="61202C2B">
            <w:pPr>
              <w:pStyle w:val="28"/>
              <w:spacing w:before="120" w:line="360" w:lineRule="auto"/>
              <w:ind w:left="264"/>
            </w:pPr>
            <w:r>
              <w:t>2</w:t>
            </w:r>
          </w:p>
        </w:tc>
        <w:tc>
          <w:tcPr>
            <w:tcW w:w="3775" w:type="dxa"/>
            <w:noWrap w:val="0"/>
            <w:vAlign w:val="top"/>
          </w:tcPr>
          <w:p w14:paraId="424FE8A1">
            <w:pPr>
              <w:pStyle w:val="28"/>
              <w:spacing w:before="61" w:line="360" w:lineRule="auto"/>
              <w:ind w:left="1190"/>
            </w:pPr>
            <w:r>
              <w:rPr>
                <w:spacing w:val="-2"/>
              </w:rPr>
              <w:t>额定运行电压</w:t>
            </w:r>
          </w:p>
        </w:tc>
        <w:tc>
          <w:tcPr>
            <w:tcW w:w="1229" w:type="dxa"/>
            <w:noWrap w:val="0"/>
            <w:vAlign w:val="top"/>
          </w:tcPr>
          <w:p w14:paraId="2A5B65A3">
            <w:pPr>
              <w:pStyle w:val="28"/>
              <w:spacing w:before="121" w:line="360" w:lineRule="auto"/>
              <w:ind w:left="545"/>
            </w:pPr>
            <w:r>
              <w:t>V</w:t>
            </w:r>
          </w:p>
        </w:tc>
        <w:tc>
          <w:tcPr>
            <w:tcW w:w="2192" w:type="dxa"/>
            <w:noWrap w:val="0"/>
            <w:vAlign w:val="top"/>
          </w:tcPr>
          <w:p w14:paraId="2E91ACEE">
            <w:pPr>
              <w:pStyle w:val="28"/>
              <w:spacing w:before="120" w:line="360" w:lineRule="auto"/>
              <w:ind w:left="917"/>
            </w:pPr>
            <w:r>
              <w:rPr>
                <w:spacing w:val="-3"/>
              </w:rPr>
              <w:t>690</w:t>
            </w:r>
          </w:p>
        </w:tc>
      </w:tr>
      <w:tr w14:paraId="6FB11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64" w:type="dxa"/>
            <w:noWrap w:val="0"/>
            <w:vAlign w:val="top"/>
          </w:tcPr>
          <w:p w14:paraId="12F0299A">
            <w:pPr>
              <w:pStyle w:val="28"/>
              <w:spacing w:before="130" w:line="360" w:lineRule="auto"/>
              <w:ind w:left="264"/>
            </w:pPr>
            <w:r>
              <w:t>3</w:t>
            </w:r>
          </w:p>
        </w:tc>
        <w:tc>
          <w:tcPr>
            <w:tcW w:w="3775" w:type="dxa"/>
            <w:noWrap w:val="0"/>
            <w:vAlign w:val="top"/>
          </w:tcPr>
          <w:p w14:paraId="4B38AE82">
            <w:pPr>
              <w:pStyle w:val="28"/>
              <w:spacing w:before="71" w:line="360" w:lineRule="auto"/>
              <w:ind w:left="961"/>
            </w:pPr>
            <w:r>
              <w:rPr>
                <w:spacing w:val="-1"/>
              </w:rPr>
              <w:t>额定冲击耐受电压</w:t>
            </w:r>
          </w:p>
        </w:tc>
        <w:tc>
          <w:tcPr>
            <w:tcW w:w="1229" w:type="dxa"/>
            <w:noWrap w:val="0"/>
            <w:vAlign w:val="top"/>
          </w:tcPr>
          <w:p w14:paraId="1F8E4664">
            <w:pPr>
              <w:pStyle w:val="28"/>
              <w:spacing w:before="124" w:line="360" w:lineRule="auto"/>
              <w:ind w:left="496"/>
            </w:pPr>
            <w:r>
              <w:rPr>
                <w:spacing w:val="-2"/>
              </w:rPr>
              <w:t>kV</w:t>
            </w:r>
          </w:p>
        </w:tc>
        <w:tc>
          <w:tcPr>
            <w:tcW w:w="2192" w:type="dxa"/>
            <w:noWrap w:val="0"/>
            <w:vAlign w:val="top"/>
          </w:tcPr>
          <w:p w14:paraId="0035810C">
            <w:pPr>
              <w:pStyle w:val="28"/>
              <w:spacing w:before="129" w:line="360" w:lineRule="auto"/>
              <w:ind w:left="976"/>
            </w:pPr>
            <w:r>
              <w:rPr>
                <w:spacing w:val="-7"/>
              </w:rPr>
              <w:t>12</w:t>
            </w:r>
          </w:p>
        </w:tc>
      </w:tr>
      <w:tr w14:paraId="496CD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664" w:type="dxa"/>
            <w:noWrap w:val="0"/>
            <w:vAlign w:val="top"/>
          </w:tcPr>
          <w:p w14:paraId="1337BE0B">
            <w:pPr>
              <w:pStyle w:val="28"/>
              <w:spacing w:before="130" w:line="360" w:lineRule="auto"/>
              <w:ind w:left="264"/>
            </w:pPr>
            <w:r>
              <w:t>4</w:t>
            </w:r>
          </w:p>
        </w:tc>
        <w:tc>
          <w:tcPr>
            <w:tcW w:w="3775" w:type="dxa"/>
            <w:noWrap w:val="0"/>
            <w:vAlign w:val="top"/>
          </w:tcPr>
          <w:p w14:paraId="7DDBC5CC">
            <w:pPr>
              <w:pStyle w:val="28"/>
              <w:spacing w:before="71" w:line="360" w:lineRule="auto"/>
              <w:ind w:left="1420"/>
            </w:pPr>
            <w:r>
              <w:rPr>
                <w:spacing w:val="-2"/>
              </w:rPr>
              <w:t>额定频率</w:t>
            </w:r>
          </w:p>
        </w:tc>
        <w:tc>
          <w:tcPr>
            <w:tcW w:w="1229" w:type="dxa"/>
            <w:noWrap w:val="0"/>
            <w:vAlign w:val="top"/>
          </w:tcPr>
          <w:p w14:paraId="7081C922">
            <w:pPr>
              <w:pStyle w:val="28"/>
              <w:spacing w:before="132" w:line="360" w:lineRule="auto"/>
              <w:ind w:left="496"/>
            </w:pPr>
            <w:r>
              <w:rPr>
                <w:spacing w:val="-1"/>
              </w:rPr>
              <w:t>Hz</w:t>
            </w:r>
          </w:p>
        </w:tc>
        <w:tc>
          <w:tcPr>
            <w:tcW w:w="2192" w:type="dxa"/>
            <w:noWrap w:val="0"/>
            <w:vAlign w:val="top"/>
          </w:tcPr>
          <w:p w14:paraId="3EFCFD9C">
            <w:pPr>
              <w:pStyle w:val="28"/>
              <w:spacing w:before="78" w:line="360" w:lineRule="auto"/>
              <w:ind w:left="686"/>
            </w:pPr>
            <w:r>
              <w:rPr>
                <w:spacing w:val="-2"/>
              </w:rPr>
              <w:t>50/60HZ</w:t>
            </w:r>
          </w:p>
        </w:tc>
      </w:tr>
      <w:tr w14:paraId="2CA28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64" w:type="dxa"/>
            <w:noWrap w:val="0"/>
            <w:vAlign w:val="top"/>
          </w:tcPr>
          <w:p w14:paraId="222ED902">
            <w:pPr>
              <w:pStyle w:val="28"/>
              <w:spacing w:before="122" w:line="360" w:lineRule="auto"/>
              <w:ind w:left="264"/>
            </w:pPr>
            <w:r>
              <w:t>5</w:t>
            </w:r>
          </w:p>
        </w:tc>
        <w:tc>
          <w:tcPr>
            <w:tcW w:w="3775" w:type="dxa"/>
            <w:noWrap w:val="0"/>
            <w:vAlign w:val="top"/>
          </w:tcPr>
          <w:p w14:paraId="25D8D93C">
            <w:pPr>
              <w:pStyle w:val="28"/>
              <w:spacing w:before="61" w:line="360" w:lineRule="auto"/>
              <w:ind w:left="1190"/>
            </w:pPr>
            <w:r>
              <w:rPr>
                <w:spacing w:val="-2"/>
              </w:rPr>
              <w:t>框架额定电流</w:t>
            </w:r>
          </w:p>
        </w:tc>
        <w:tc>
          <w:tcPr>
            <w:tcW w:w="1229" w:type="dxa"/>
            <w:noWrap w:val="0"/>
            <w:vAlign w:val="top"/>
          </w:tcPr>
          <w:p w14:paraId="42FF08DA">
            <w:pPr>
              <w:pStyle w:val="28"/>
              <w:spacing w:before="118" w:line="360" w:lineRule="auto"/>
              <w:ind w:left="545"/>
            </w:pPr>
            <w:r>
              <w:t>A</w:t>
            </w:r>
          </w:p>
        </w:tc>
        <w:tc>
          <w:tcPr>
            <w:tcW w:w="2192" w:type="dxa"/>
            <w:noWrap w:val="0"/>
            <w:vAlign w:val="top"/>
          </w:tcPr>
          <w:p w14:paraId="13920F73">
            <w:pPr>
              <w:pStyle w:val="28"/>
              <w:spacing w:before="120" w:line="360" w:lineRule="auto"/>
              <w:ind w:left="567"/>
            </w:pPr>
            <w:r>
              <w:rPr>
                <w:spacing w:val="-2"/>
              </w:rPr>
              <w:t>630～6300</w:t>
            </w:r>
          </w:p>
        </w:tc>
      </w:tr>
      <w:tr w14:paraId="6F4C1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64" w:type="dxa"/>
            <w:noWrap w:val="0"/>
            <w:vAlign w:val="top"/>
          </w:tcPr>
          <w:p w14:paraId="5911AA3A">
            <w:pPr>
              <w:pStyle w:val="28"/>
              <w:spacing w:before="131" w:line="360" w:lineRule="auto"/>
              <w:ind w:left="264"/>
            </w:pPr>
            <w:r>
              <w:t>6</w:t>
            </w:r>
          </w:p>
        </w:tc>
        <w:tc>
          <w:tcPr>
            <w:tcW w:w="3775" w:type="dxa"/>
            <w:noWrap w:val="0"/>
            <w:vAlign w:val="top"/>
          </w:tcPr>
          <w:p w14:paraId="749867F4">
            <w:pPr>
              <w:pStyle w:val="28"/>
              <w:spacing w:before="72" w:line="360" w:lineRule="auto"/>
              <w:ind w:left="1650"/>
            </w:pPr>
            <w:r>
              <w:rPr>
                <w:spacing w:val="4"/>
              </w:rPr>
              <w:t>级数</w:t>
            </w:r>
          </w:p>
        </w:tc>
        <w:tc>
          <w:tcPr>
            <w:tcW w:w="1229" w:type="dxa"/>
            <w:noWrap w:val="0"/>
            <w:vAlign w:val="top"/>
          </w:tcPr>
          <w:p w14:paraId="3D93789D">
            <w:pPr>
              <w:spacing w:line="360" w:lineRule="auto"/>
              <w:rPr>
                <w:rFonts w:ascii="Arial"/>
                <w:sz w:val="21"/>
              </w:rPr>
            </w:pPr>
          </w:p>
        </w:tc>
        <w:tc>
          <w:tcPr>
            <w:tcW w:w="2192" w:type="dxa"/>
            <w:noWrap w:val="0"/>
            <w:vAlign w:val="top"/>
          </w:tcPr>
          <w:p w14:paraId="1B984FD6">
            <w:pPr>
              <w:pStyle w:val="28"/>
              <w:spacing w:before="128" w:line="360" w:lineRule="auto"/>
              <w:ind w:left="857"/>
            </w:pPr>
            <w:r>
              <w:rPr>
                <w:spacing w:val="-4"/>
              </w:rPr>
              <w:t>3、4</w:t>
            </w:r>
          </w:p>
        </w:tc>
      </w:tr>
      <w:tr w14:paraId="458A7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664" w:type="dxa"/>
            <w:noWrap w:val="0"/>
            <w:vAlign w:val="top"/>
          </w:tcPr>
          <w:p w14:paraId="5D568955">
            <w:pPr>
              <w:pStyle w:val="28"/>
              <w:spacing w:before="133" w:line="360" w:lineRule="auto"/>
              <w:ind w:left="264"/>
            </w:pPr>
            <w:r>
              <w:t>7</w:t>
            </w:r>
          </w:p>
        </w:tc>
        <w:tc>
          <w:tcPr>
            <w:tcW w:w="3775" w:type="dxa"/>
            <w:noWrap w:val="0"/>
            <w:vAlign w:val="top"/>
          </w:tcPr>
          <w:p w14:paraId="4F95BFDF">
            <w:pPr>
              <w:pStyle w:val="28"/>
              <w:spacing w:before="72" w:line="360" w:lineRule="auto"/>
              <w:ind w:left="1420"/>
            </w:pPr>
            <w:r>
              <w:rPr>
                <w:spacing w:val="-2"/>
              </w:rPr>
              <w:t>额定电流</w:t>
            </w:r>
          </w:p>
        </w:tc>
        <w:tc>
          <w:tcPr>
            <w:tcW w:w="1229" w:type="dxa"/>
            <w:noWrap w:val="0"/>
            <w:vAlign w:val="top"/>
          </w:tcPr>
          <w:p w14:paraId="50A669E8">
            <w:pPr>
              <w:pStyle w:val="28"/>
              <w:spacing w:before="130" w:line="360" w:lineRule="auto"/>
              <w:ind w:left="545"/>
            </w:pPr>
            <w:r>
              <w:t>A</w:t>
            </w:r>
          </w:p>
        </w:tc>
        <w:tc>
          <w:tcPr>
            <w:tcW w:w="2192" w:type="dxa"/>
            <w:noWrap w:val="0"/>
            <w:vAlign w:val="top"/>
          </w:tcPr>
          <w:p w14:paraId="578D891F">
            <w:pPr>
              <w:pStyle w:val="28"/>
              <w:spacing w:before="131" w:line="360" w:lineRule="auto"/>
              <w:ind w:left="567"/>
            </w:pPr>
            <w:r>
              <w:rPr>
                <w:spacing w:val="-2"/>
              </w:rPr>
              <w:t>630～6300</w:t>
            </w:r>
          </w:p>
        </w:tc>
      </w:tr>
      <w:tr w14:paraId="40F50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trPr>
        <w:tc>
          <w:tcPr>
            <w:tcW w:w="664" w:type="dxa"/>
            <w:noWrap w:val="0"/>
            <w:vAlign w:val="top"/>
          </w:tcPr>
          <w:p w14:paraId="03DA6DF4">
            <w:pPr>
              <w:spacing w:line="360" w:lineRule="auto"/>
              <w:rPr>
                <w:rFonts w:ascii="Arial"/>
                <w:sz w:val="21"/>
              </w:rPr>
            </w:pPr>
          </w:p>
          <w:p w14:paraId="2442377E">
            <w:pPr>
              <w:pStyle w:val="28"/>
              <w:spacing w:before="75" w:line="360" w:lineRule="auto"/>
              <w:ind w:left="264"/>
            </w:pPr>
            <w:r>
              <w:t>8</w:t>
            </w:r>
          </w:p>
        </w:tc>
        <w:tc>
          <w:tcPr>
            <w:tcW w:w="3775" w:type="dxa"/>
            <w:noWrap w:val="0"/>
            <w:vAlign w:val="top"/>
          </w:tcPr>
          <w:p w14:paraId="1D327E90">
            <w:pPr>
              <w:pStyle w:val="28"/>
              <w:spacing w:before="102" w:line="360" w:lineRule="auto"/>
              <w:ind w:left="731"/>
            </w:pPr>
            <w:r>
              <w:rPr>
                <w:spacing w:val="1"/>
              </w:rPr>
              <w:t>额定运行短路分断能力</w:t>
            </w:r>
          </w:p>
          <w:p w14:paraId="478F1623">
            <w:pPr>
              <w:pStyle w:val="28"/>
              <w:spacing w:before="77" w:line="360" w:lineRule="auto"/>
              <w:ind w:left="731"/>
            </w:pPr>
            <w:r>
              <w:t>电源柜、母联柜断路器</w:t>
            </w:r>
          </w:p>
          <w:p w14:paraId="7B533A94">
            <w:pPr>
              <w:pStyle w:val="28"/>
              <w:spacing w:before="76" w:line="360" w:lineRule="auto"/>
              <w:ind w:left="1531"/>
            </w:pPr>
            <w:r>
              <w:rPr>
                <w:spacing w:val="-2"/>
              </w:rPr>
              <w:t>馈线柜</w:t>
            </w:r>
          </w:p>
        </w:tc>
        <w:tc>
          <w:tcPr>
            <w:tcW w:w="1229" w:type="dxa"/>
            <w:noWrap w:val="0"/>
            <w:vAlign w:val="top"/>
          </w:tcPr>
          <w:p w14:paraId="45D772E6">
            <w:pPr>
              <w:spacing w:line="360" w:lineRule="auto"/>
              <w:rPr>
                <w:rFonts w:ascii="Arial"/>
                <w:sz w:val="21"/>
              </w:rPr>
            </w:pPr>
          </w:p>
          <w:p w14:paraId="1C77C577">
            <w:pPr>
              <w:pStyle w:val="28"/>
              <w:spacing w:before="75" w:line="360" w:lineRule="auto"/>
              <w:ind w:left="266"/>
            </w:pPr>
            <w:r>
              <w:rPr>
                <w:spacing w:val="-3"/>
                <w:position w:val="13"/>
              </w:rPr>
              <w:t>kA</w:t>
            </w:r>
            <w:r>
              <w:rPr>
                <w:spacing w:val="33"/>
                <w:position w:val="13"/>
              </w:rPr>
              <w:t xml:space="preserve"> </w:t>
            </w:r>
            <w:r>
              <w:rPr>
                <w:spacing w:val="-3"/>
                <w:position w:val="13"/>
              </w:rPr>
              <w:t>rms</w:t>
            </w:r>
          </w:p>
          <w:p w14:paraId="2A2CDE1E">
            <w:pPr>
              <w:pStyle w:val="28"/>
              <w:spacing w:line="360" w:lineRule="auto"/>
              <w:ind w:left="266"/>
            </w:pPr>
            <w:r>
              <w:rPr>
                <w:spacing w:val="-3"/>
              </w:rPr>
              <w:t>kA</w:t>
            </w:r>
            <w:r>
              <w:rPr>
                <w:spacing w:val="33"/>
              </w:rPr>
              <w:t xml:space="preserve"> </w:t>
            </w:r>
            <w:r>
              <w:rPr>
                <w:spacing w:val="-3"/>
              </w:rPr>
              <w:t>rms</w:t>
            </w:r>
          </w:p>
        </w:tc>
        <w:tc>
          <w:tcPr>
            <w:tcW w:w="2192" w:type="dxa"/>
            <w:noWrap w:val="0"/>
            <w:vAlign w:val="top"/>
          </w:tcPr>
          <w:p w14:paraId="49E90A46">
            <w:pPr>
              <w:spacing w:line="360" w:lineRule="auto"/>
              <w:rPr>
                <w:rFonts w:ascii="Arial"/>
                <w:sz w:val="21"/>
              </w:rPr>
            </w:pPr>
          </w:p>
          <w:p w14:paraId="63499FD1">
            <w:pPr>
              <w:pStyle w:val="28"/>
              <w:spacing w:before="74" w:line="360" w:lineRule="auto"/>
              <w:ind w:left="917"/>
            </w:pPr>
            <w:r>
              <w:rPr>
                <w:spacing w:val="-6"/>
              </w:rPr>
              <w:t>100</w:t>
            </w:r>
          </w:p>
          <w:p w14:paraId="1E38F4F8">
            <w:pPr>
              <w:pStyle w:val="28"/>
              <w:spacing w:before="91" w:line="360" w:lineRule="auto"/>
              <w:ind w:left="976"/>
            </w:pPr>
            <w:r>
              <w:rPr>
                <w:spacing w:val="-3"/>
              </w:rPr>
              <w:t>85</w:t>
            </w:r>
          </w:p>
        </w:tc>
      </w:tr>
      <w:tr w14:paraId="5491B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64" w:type="dxa"/>
            <w:noWrap w:val="0"/>
            <w:vAlign w:val="top"/>
          </w:tcPr>
          <w:p w14:paraId="455C5DEE">
            <w:pPr>
              <w:spacing w:line="360" w:lineRule="auto"/>
              <w:rPr>
                <w:rFonts w:ascii="Arial"/>
                <w:sz w:val="21"/>
              </w:rPr>
            </w:pPr>
          </w:p>
          <w:p w14:paraId="1AC760AA">
            <w:pPr>
              <w:pStyle w:val="28"/>
              <w:spacing w:before="75" w:line="360" w:lineRule="auto"/>
              <w:ind w:left="264"/>
            </w:pPr>
            <w:r>
              <w:t>9</w:t>
            </w:r>
          </w:p>
        </w:tc>
        <w:tc>
          <w:tcPr>
            <w:tcW w:w="3775" w:type="dxa"/>
            <w:noWrap w:val="0"/>
            <w:vAlign w:val="top"/>
          </w:tcPr>
          <w:p w14:paraId="3D5CC65D">
            <w:pPr>
              <w:pStyle w:val="28"/>
              <w:spacing w:before="63" w:line="360" w:lineRule="auto"/>
              <w:ind w:left="961"/>
            </w:pPr>
            <w:r>
              <w:rPr>
                <w:spacing w:val="-1"/>
              </w:rPr>
              <w:t>额定关合短路电流</w:t>
            </w:r>
          </w:p>
          <w:p w14:paraId="1CAA06F5">
            <w:pPr>
              <w:pStyle w:val="28"/>
              <w:spacing w:before="67" w:line="360" w:lineRule="auto"/>
              <w:ind w:left="731"/>
            </w:pPr>
            <w:r>
              <w:t>电源柜、母联柜断路器</w:t>
            </w:r>
          </w:p>
          <w:p w14:paraId="0B388B0C">
            <w:pPr>
              <w:pStyle w:val="28"/>
              <w:spacing w:before="37" w:line="360" w:lineRule="auto"/>
              <w:ind w:left="1531"/>
            </w:pPr>
            <w:r>
              <w:rPr>
                <w:spacing w:val="-2"/>
              </w:rPr>
              <w:t>馈线柜</w:t>
            </w:r>
          </w:p>
        </w:tc>
        <w:tc>
          <w:tcPr>
            <w:tcW w:w="1229" w:type="dxa"/>
            <w:noWrap w:val="0"/>
            <w:vAlign w:val="top"/>
          </w:tcPr>
          <w:p w14:paraId="5BA08C57">
            <w:pPr>
              <w:pStyle w:val="28"/>
              <w:spacing w:before="297" w:line="360" w:lineRule="auto"/>
              <w:ind w:left="496"/>
            </w:pPr>
            <w:r>
              <w:rPr>
                <w:spacing w:val="-2"/>
                <w:position w:val="12"/>
              </w:rPr>
              <w:t>kA</w:t>
            </w:r>
          </w:p>
          <w:p w14:paraId="6C096029">
            <w:pPr>
              <w:pStyle w:val="28"/>
              <w:spacing w:line="360" w:lineRule="auto"/>
              <w:ind w:left="496"/>
            </w:pPr>
            <w:r>
              <w:rPr>
                <w:spacing w:val="-2"/>
              </w:rPr>
              <w:t>kA</w:t>
            </w:r>
          </w:p>
        </w:tc>
        <w:tc>
          <w:tcPr>
            <w:tcW w:w="2192" w:type="dxa"/>
            <w:noWrap w:val="0"/>
            <w:vAlign w:val="top"/>
          </w:tcPr>
          <w:p w14:paraId="0096D3CF">
            <w:pPr>
              <w:pStyle w:val="28"/>
              <w:spacing w:before="242" w:line="360" w:lineRule="auto"/>
              <w:ind w:left="917"/>
            </w:pPr>
            <w:r>
              <w:rPr>
                <w:spacing w:val="-3"/>
              </w:rPr>
              <w:t>220</w:t>
            </w:r>
          </w:p>
          <w:p w14:paraId="6A3895F6">
            <w:pPr>
              <w:pStyle w:val="28"/>
              <w:spacing w:before="120" w:line="360" w:lineRule="auto"/>
              <w:ind w:left="917"/>
            </w:pPr>
            <w:r>
              <w:rPr>
                <w:spacing w:val="-6"/>
              </w:rPr>
              <w:t>170</w:t>
            </w:r>
          </w:p>
        </w:tc>
      </w:tr>
      <w:tr w14:paraId="2E93E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664" w:type="dxa"/>
            <w:noWrap w:val="0"/>
            <w:vAlign w:val="top"/>
          </w:tcPr>
          <w:p w14:paraId="5DC0E2D0">
            <w:pPr>
              <w:spacing w:line="360" w:lineRule="auto"/>
              <w:rPr>
                <w:rFonts w:ascii="Arial"/>
                <w:sz w:val="21"/>
              </w:rPr>
            </w:pPr>
          </w:p>
          <w:p w14:paraId="2B677F99">
            <w:pPr>
              <w:pStyle w:val="28"/>
              <w:spacing w:before="75" w:line="360" w:lineRule="auto"/>
              <w:ind w:left="204"/>
            </w:pPr>
            <w:r>
              <w:rPr>
                <w:spacing w:val="-7"/>
              </w:rPr>
              <w:t>10</w:t>
            </w:r>
          </w:p>
        </w:tc>
        <w:tc>
          <w:tcPr>
            <w:tcW w:w="3775" w:type="dxa"/>
            <w:noWrap w:val="0"/>
            <w:vAlign w:val="top"/>
          </w:tcPr>
          <w:p w14:paraId="3A0387BF">
            <w:pPr>
              <w:pStyle w:val="28"/>
              <w:spacing w:before="54" w:line="360" w:lineRule="auto"/>
              <w:ind w:left="961"/>
            </w:pPr>
            <w:r>
              <w:rPr>
                <w:spacing w:val="-1"/>
              </w:rPr>
              <w:t>额定短时耐受电流</w:t>
            </w:r>
          </w:p>
          <w:p w14:paraId="78014F76">
            <w:pPr>
              <w:pStyle w:val="28"/>
              <w:spacing w:before="85" w:line="360" w:lineRule="auto"/>
              <w:ind w:left="781" w:right="724" w:hanging="50"/>
            </w:pPr>
            <w:r>
              <w:t>电源柜、母联柜断路器</w:t>
            </w:r>
            <w:r>
              <w:rPr>
                <w:spacing w:val="8"/>
              </w:rPr>
              <w:t xml:space="preserve"> </w:t>
            </w:r>
            <w:r>
              <w:rPr>
                <w:spacing w:val="5"/>
              </w:rPr>
              <w:t>馈线柜(</w:t>
            </w:r>
            <w:r>
              <w:t>kA</w:t>
            </w:r>
            <w:r>
              <w:rPr>
                <w:spacing w:val="5"/>
              </w:rPr>
              <w:t>有效值/1s)</w:t>
            </w:r>
          </w:p>
        </w:tc>
        <w:tc>
          <w:tcPr>
            <w:tcW w:w="1229" w:type="dxa"/>
            <w:noWrap w:val="0"/>
            <w:vAlign w:val="top"/>
          </w:tcPr>
          <w:p w14:paraId="3127B621">
            <w:pPr>
              <w:pStyle w:val="28"/>
              <w:spacing w:before="268" w:line="360" w:lineRule="auto"/>
              <w:ind w:left="496"/>
            </w:pPr>
            <w:r>
              <w:rPr>
                <w:spacing w:val="-2"/>
                <w:position w:val="8"/>
              </w:rPr>
              <w:t>kA</w:t>
            </w:r>
          </w:p>
          <w:p w14:paraId="74EF06B9">
            <w:pPr>
              <w:pStyle w:val="28"/>
              <w:spacing w:line="360" w:lineRule="auto"/>
              <w:ind w:left="496"/>
            </w:pPr>
            <w:r>
              <w:rPr>
                <w:spacing w:val="-2"/>
              </w:rPr>
              <w:t>kA</w:t>
            </w:r>
          </w:p>
        </w:tc>
        <w:tc>
          <w:tcPr>
            <w:tcW w:w="2192" w:type="dxa"/>
            <w:noWrap w:val="0"/>
            <w:vAlign w:val="top"/>
          </w:tcPr>
          <w:p w14:paraId="015C5E43">
            <w:pPr>
              <w:pStyle w:val="28"/>
              <w:spacing w:before="273" w:line="360" w:lineRule="auto"/>
              <w:ind w:left="976"/>
            </w:pPr>
            <w:r>
              <w:rPr>
                <w:spacing w:val="-3"/>
              </w:rPr>
              <w:t>80</w:t>
            </w:r>
          </w:p>
          <w:p w14:paraId="72274C3C">
            <w:pPr>
              <w:pStyle w:val="28"/>
              <w:spacing w:before="91" w:line="360" w:lineRule="auto"/>
              <w:ind w:left="976"/>
            </w:pPr>
            <w:r>
              <w:rPr>
                <w:spacing w:val="-4"/>
              </w:rPr>
              <w:t>50</w:t>
            </w:r>
          </w:p>
        </w:tc>
      </w:tr>
      <w:tr w14:paraId="66F69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64" w:type="dxa"/>
            <w:noWrap w:val="0"/>
            <w:vAlign w:val="top"/>
          </w:tcPr>
          <w:p w14:paraId="1134AF44">
            <w:pPr>
              <w:pStyle w:val="28"/>
              <w:spacing w:before="133" w:line="360" w:lineRule="auto"/>
              <w:ind w:left="204"/>
            </w:pPr>
            <w:r>
              <w:rPr>
                <w:spacing w:val="-7"/>
              </w:rPr>
              <w:t>11</w:t>
            </w:r>
          </w:p>
        </w:tc>
        <w:tc>
          <w:tcPr>
            <w:tcW w:w="3775" w:type="dxa"/>
            <w:noWrap w:val="0"/>
            <w:vAlign w:val="top"/>
          </w:tcPr>
          <w:p w14:paraId="12EC0AD5">
            <w:pPr>
              <w:pStyle w:val="28"/>
              <w:spacing w:before="75" w:line="360" w:lineRule="auto"/>
              <w:ind w:left="1420"/>
            </w:pPr>
            <w:r>
              <w:rPr>
                <w:spacing w:val="5"/>
              </w:rPr>
              <w:t>分断时间</w:t>
            </w:r>
          </w:p>
        </w:tc>
        <w:tc>
          <w:tcPr>
            <w:tcW w:w="1229" w:type="dxa"/>
            <w:noWrap w:val="0"/>
            <w:vAlign w:val="top"/>
          </w:tcPr>
          <w:p w14:paraId="30F104EC">
            <w:pPr>
              <w:pStyle w:val="28"/>
              <w:spacing w:before="216" w:line="360" w:lineRule="auto"/>
              <w:ind w:left="496"/>
            </w:pPr>
            <w:r>
              <w:rPr>
                <w:spacing w:val="-1"/>
                <w:position w:val="-2"/>
              </w:rPr>
              <w:t>ms</w:t>
            </w:r>
          </w:p>
        </w:tc>
        <w:tc>
          <w:tcPr>
            <w:tcW w:w="2192" w:type="dxa"/>
            <w:noWrap w:val="0"/>
            <w:vAlign w:val="top"/>
          </w:tcPr>
          <w:p w14:paraId="4E3FD257">
            <w:pPr>
              <w:pStyle w:val="28"/>
              <w:spacing w:before="95" w:line="360" w:lineRule="auto"/>
              <w:ind w:left="857"/>
            </w:pPr>
            <w:r>
              <w:rPr>
                <w:spacing w:val="-7"/>
              </w:rPr>
              <w:t>≤20</w:t>
            </w:r>
          </w:p>
        </w:tc>
      </w:tr>
      <w:tr w14:paraId="1FFAA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64" w:type="dxa"/>
            <w:noWrap w:val="0"/>
            <w:vAlign w:val="top"/>
          </w:tcPr>
          <w:p w14:paraId="1E7B3E45">
            <w:pPr>
              <w:pStyle w:val="28"/>
              <w:spacing w:before="203" w:line="360" w:lineRule="auto"/>
              <w:ind w:left="204"/>
            </w:pPr>
            <w:r>
              <w:rPr>
                <w:spacing w:val="-7"/>
              </w:rPr>
              <w:t>12</w:t>
            </w:r>
          </w:p>
        </w:tc>
        <w:tc>
          <w:tcPr>
            <w:tcW w:w="3775" w:type="dxa"/>
            <w:noWrap w:val="0"/>
            <w:vAlign w:val="top"/>
          </w:tcPr>
          <w:p w14:paraId="52ACAFA0">
            <w:pPr>
              <w:pStyle w:val="28"/>
              <w:spacing w:before="148" w:line="360" w:lineRule="auto"/>
              <w:ind w:left="1420"/>
            </w:pPr>
            <w:r>
              <w:rPr>
                <w:spacing w:val="5"/>
              </w:rPr>
              <w:t>合闸时间</w:t>
            </w:r>
          </w:p>
        </w:tc>
        <w:tc>
          <w:tcPr>
            <w:tcW w:w="1229" w:type="dxa"/>
            <w:noWrap w:val="0"/>
            <w:vAlign w:val="top"/>
          </w:tcPr>
          <w:p w14:paraId="5DB4BD4E">
            <w:pPr>
              <w:pStyle w:val="28"/>
              <w:spacing w:before="294" w:line="360" w:lineRule="auto"/>
              <w:ind w:left="496"/>
            </w:pPr>
            <w:r>
              <w:rPr>
                <w:spacing w:val="-1"/>
              </w:rPr>
              <w:t>mS</w:t>
            </w:r>
          </w:p>
        </w:tc>
        <w:tc>
          <w:tcPr>
            <w:tcW w:w="2192" w:type="dxa"/>
            <w:noWrap w:val="0"/>
            <w:vAlign w:val="top"/>
          </w:tcPr>
          <w:p w14:paraId="506A7919">
            <w:pPr>
              <w:pStyle w:val="28"/>
              <w:spacing w:before="165" w:line="360" w:lineRule="auto"/>
              <w:ind w:left="857"/>
            </w:pPr>
            <w:r>
              <w:rPr>
                <w:spacing w:val="-7"/>
              </w:rPr>
              <w:t>≤30</w:t>
            </w:r>
          </w:p>
        </w:tc>
      </w:tr>
      <w:tr w14:paraId="47066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664" w:type="dxa"/>
            <w:noWrap w:val="0"/>
            <w:vAlign w:val="top"/>
          </w:tcPr>
          <w:p w14:paraId="16E5E6C6">
            <w:pPr>
              <w:pStyle w:val="28"/>
              <w:spacing w:before="193" w:line="360" w:lineRule="auto"/>
              <w:ind w:left="204"/>
            </w:pPr>
            <w:r>
              <w:rPr>
                <w:spacing w:val="-7"/>
                <w:position w:val="-3"/>
              </w:rPr>
              <w:t>13</w:t>
            </w:r>
          </w:p>
        </w:tc>
        <w:tc>
          <w:tcPr>
            <w:tcW w:w="3775" w:type="dxa"/>
            <w:noWrap w:val="0"/>
            <w:vAlign w:val="top"/>
          </w:tcPr>
          <w:p w14:paraId="5FB2B981">
            <w:pPr>
              <w:pStyle w:val="28"/>
              <w:spacing w:before="134" w:line="360" w:lineRule="auto"/>
              <w:ind w:left="1190"/>
            </w:pPr>
            <w:r>
              <w:rPr>
                <w:spacing w:val="2"/>
              </w:rPr>
              <w:t>安装维护数据</w:t>
            </w:r>
          </w:p>
        </w:tc>
        <w:tc>
          <w:tcPr>
            <w:tcW w:w="1229" w:type="dxa"/>
            <w:noWrap w:val="0"/>
            <w:vAlign w:val="top"/>
          </w:tcPr>
          <w:p w14:paraId="2413E562">
            <w:pPr>
              <w:spacing w:line="360" w:lineRule="auto"/>
              <w:rPr>
                <w:rFonts w:ascii="Arial"/>
                <w:sz w:val="21"/>
              </w:rPr>
            </w:pPr>
          </w:p>
        </w:tc>
        <w:tc>
          <w:tcPr>
            <w:tcW w:w="2192" w:type="dxa"/>
            <w:noWrap w:val="0"/>
            <w:vAlign w:val="top"/>
          </w:tcPr>
          <w:p w14:paraId="5546FF7E">
            <w:pPr>
              <w:spacing w:line="360" w:lineRule="auto"/>
              <w:rPr>
                <w:rFonts w:ascii="Arial"/>
                <w:sz w:val="21"/>
              </w:rPr>
            </w:pPr>
          </w:p>
        </w:tc>
      </w:tr>
      <w:tr w14:paraId="1E6E0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664" w:type="dxa"/>
            <w:noWrap w:val="0"/>
            <w:vAlign w:val="top"/>
          </w:tcPr>
          <w:p w14:paraId="67FE6056">
            <w:pPr>
              <w:pStyle w:val="28"/>
              <w:spacing w:before="174" w:line="360" w:lineRule="auto"/>
              <w:ind w:left="204"/>
            </w:pPr>
            <w:r>
              <w:rPr>
                <w:spacing w:val="-7"/>
              </w:rPr>
              <w:t>14</w:t>
            </w:r>
          </w:p>
        </w:tc>
        <w:tc>
          <w:tcPr>
            <w:tcW w:w="3775" w:type="dxa"/>
            <w:noWrap w:val="0"/>
            <w:vAlign w:val="top"/>
          </w:tcPr>
          <w:p w14:paraId="3D8A5378">
            <w:pPr>
              <w:pStyle w:val="28"/>
              <w:spacing w:before="114" w:line="360" w:lineRule="auto"/>
              <w:ind w:left="961"/>
            </w:pPr>
            <w:r>
              <w:rPr>
                <w:spacing w:val="5"/>
              </w:rPr>
              <w:t>机械寿命(有维护)</w:t>
            </w:r>
          </w:p>
        </w:tc>
        <w:tc>
          <w:tcPr>
            <w:tcW w:w="1229" w:type="dxa"/>
            <w:noWrap w:val="0"/>
            <w:vAlign w:val="top"/>
          </w:tcPr>
          <w:p w14:paraId="0C838F81">
            <w:pPr>
              <w:pStyle w:val="28"/>
              <w:spacing w:before="116" w:line="360" w:lineRule="auto"/>
              <w:ind w:left="496"/>
            </w:pPr>
            <w:r>
              <w:t>次</w:t>
            </w:r>
          </w:p>
        </w:tc>
        <w:tc>
          <w:tcPr>
            <w:tcW w:w="2192" w:type="dxa"/>
            <w:noWrap w:val="0"/>
            <w:vAlign w:val="top"/>
          </w:tcPr>
          <w:p w14:paraId="71A87E1D">
            <w:pPr>
              <w:pStyle w:val="28"/>
              <w:spacing w:before="245" w:line="360" w:lineRule="auto"/>
              <w:ind w:left="796"/>
            </w:pPr>
            <w:r>
              <w:rPr>
                <w:spacing w:val="-2"/>
                <w:position w:val="-3"/>
              </w:rPr>
              <w:t>20000</w:t>
            </w:r>
          </w:p>
        </w:tc>
      </w:tr>
      <w:tr w14:paraId="5BB47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664" w:type="dxa"/>
            <w:noWrap w:val="0"/>
            <w:vAlign w:val="top"/>
          </w:tcPr>
          <w:p w14:paraId="3BD8AABD">
            <w:pPr>
              <w:pStyle w:val="28"/>
              <w:spacing w:before="165" w:line="360" w:lineRule="auto"/>
              <w:ind w:left="204"/>
            </w:pPr>
            <w:r>
              <w:rPr>
                <w:spacing w:val="-7"/>
              </w:rPr>
              <w:t>15</w:t>
            </w:r>
          </w:p>
        </w:tc>
        <w:tc>
          <w:tcPr>
            <w:tcW w:w="3775" w:type="dxa"/>
            <w:noWrap w:val="0"/>
            <w:vAlign w:val="top"/>
          </w:tcPr>
          <w:p w14:paraId="251D0156">
            <w:pPr>
              <w:pStyle w:val="28"/>
              <w:spacing w:before="108" w:line="360" w:lineRule="auto"/>
              <w:ind w:left="961"/>
            </w:pPr>
            <w:r>
              <w:rPr>
                <w:spacing w:val="5"/>
              </w:rPr>
              <w:t>电气寿命(免维护)</w:t>
            </w:r>
          </w:p>
        </w:tc>
        <w:tc>
          <w:tcPr>
            <w:tcW w:w="1229" w:type="dxa"/>
            <w:noWrap w:val="0"/>
            <w:vAlign w:val="top"/>
          </w:tcPr>
          <w:p w14:paraId="31741F51">
            <w:pPr>
              <w:pStyle w:val="28"/>
              <w:spacing w:before="107" w:line="360" w:lineRule="auto"/>
              <w:ind w:left="496"/>
            </w:pPr>
            <w:r>
              <w:t>次</w:t>
            </w:r>
          </w:p>
        </w:tc>
        <w:tc>
          <w:tcPr>
            <w:tcW w:w="2192" w:type="dxa"/>
            <w:noWrap w:val="0"/>
            <w:vAlign w:val="top"/>
          </w:tcPr>
          <w:p w14:paraId="1F54D7FB">
            <w:pPr>
              <w:pStyle w:val="28"/>
              <w:spacing w:before="245" w:line="360" w:lineRule="auto"/>
              <w:ind w:left="796"/>
            </w:pPr>
            <w:r>
              <w:rPr>
                <w:spacing w:val="-5"/>
                <w:position w:val="-3"/>
              </w:rPr>
              <w:t>10000</w:t>
            </w:r>
          </w:p>
        </w:tc>
      </w:tr>
      <w:tr w14:paraId="6E219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664" w:type="dxa"/>
            <w:noWrap w:val="0"/>
            <w:vAlign w:val="top"/>
          </w:tcPr>
          <w:p w14:paraId="5B99F8D6">
            <w:pPr>
              <w:pStyle w:val="28"/>
              <w:spacing w:before="135" w:line="360" w:lineRule="auto"/>
              <w:ind w:left="204"/>
            </w:pPr>
            <w:r>
              <w:rPr>
                <w:spacing w:val="-7"/>
              </w:rPr>
              <w:t>16</w:t>
            </w:r>
          </w:p>
        </w:tc>
        <w:tc>
          <w:tcPr>
            <w:tcW w:w="3775" w:type="dxa"/>
            <w:noWrap w:val="0"/>
            <w:vAlign w:val="top"/>
          </w:tcPr>
          <w:p w14:paraId="0A427354">
            <w:pPr>
              <w:pStyle w:val="28"/>
              <w:spacing w:before="75" w:line="360" w:lineRule="auto"/>
              <w:ind w:left="1301"/>
            </w:pPr>
            <w:r>
              <w:rPr>
                <w:spacing w:val="1"/>
              </w:rPr>
              <w:t>可选配附件</w:t>
            </w:r>
          </w:p>
        </w:tc>
        <w:tc>
          <w:tcPr>
            <w:tcW w:w="1229" w:type="dxa"/>
            <w:noWrap w:val="0"/>
            <w:vAlign w:val="top"/>
          </w:tcPr>
          <w:p w14:paraId="284C7B8D">
            <w:pPr>
              <w:spacing w:line="360" w:lineRule="auto"/>
              <w:rPr>
                <w:rFonts w:ascii="Arial"/>
                <w:sz w:val="21"/>
              </w:rPr>
            </w:pPr>
          </w:p>
        </w:tc>
        <w:tc>
          <w:tcPr>
            <w:tcW w:w="2192" w:type="dxa"/>
            <w:noWrap w:val="0"/>
            <w:vAlign w:val="top"/>
          </w:tcPr>
          <w:p w14:paraId="2F5A1FAC">
            <w:pPr>
              <w:spacing w:line="360" w:lineRule="auto"/>
              <w:rPr>
                <w:rFonts w:ascii="Arial"/>
                <w:sz w:val="21"/>
              </w:rPr>
            </w:pPr>
          </w:p>
        </w:tc>
      </w:tr>
      <w:tr w14:paraId="4202E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64" w:type="dxa"/>
            <w:noWrap w:val="0"/>
            <w:vAlign w:val="top"/>
          </w:tcPr>
          <w:p w14:paraId="18A30427">
            <w:pPr>
              <w:spacing w:line="360" w:lineRule="auto"/>
              <w:rPr>
                <w:rFonts w:ascii="Arial"/>
                <w:sz w:val="21"/>
              </w:rPr>
            </w:pPr>
          </w:p>
          <w:p w14:paraId="1D0CC03A">
            <w:pPr>
              <w:pStyle w:val="28"/>
              <w:spacing w:before="75" w:line="360" w:lineRule="auto"/>
              <w:ind w:left="204"/>
            </w:pPr>
            <w:r>
              <w:rPr>
                <w:spacing w:val="-7"/>
              </w:rPr>
              <w:t>17</w:t>
            </w:r>
          </w:p>
        </w:tc>
        <w:tc>
          <w:tcPr>
            <w:tcW w:w="3775" w:type="dxa"/>
            <w:noWrap w:val="0"/>
            <w:vAlign w:val="top"/>
          </w:tcPr>
          <w:p w14:paraId="613998A2">
            <w:pPr>
              <w:pStyle w:val="28"/>
              <w:spacing w:before="259" w:line="360" w:lineRule="auto"/>
              <w:ind w:left="1420"/>
            </w:pPr>
            <w:r>
              <w:rPr>
                <w:spacing w:val="2"/>
              </w:rPr>
              <w:t>闭锁装置</w:t>
            </w:r>
          </w:p>
        </w:tc>
        <w:tc>
          <w:tcPr>
            <w:tcW w:w="1229" w:type="dxa"/>
            <w:noWrap w:val="0"/>
            <w:vAlign w:val="top"/>
          </w:tcPr>
          <w:p w14:paraId="15C31F91">
            <w:pPr>
              <w:spacing w:line="360" w:lineRule="auto"/>
              <w:rPr>
                <w:rFonts w:ascii="Arial"/>
                <w:sz w:val="21"/>
              </w:rPr>
            </w:pPr>
          </w:p>
        </w:tc>
        <w:tc>
          <w:tcPr>
            <w:tcW w:w="2192" w:type="dxa"/>
            <w:noWrap w:val="0"/>
            <w:vAlign w:val="top"/>
          </w:tcPr>
          <w:p w14:paraId="0424D04F">
            <w:pPr>
              <w:pStyle w:val="28"/>
              <w:spacing w:before="108" w:line="360" w:lineRule="auto"/>
              <w:ind w:left="975" w:right="183" w:hanging="809"/>
            </w:pPr>
            <w:r>
              <w:rPr>
                <w:spacing w:val="-2"/>
              </w:rPr>
              <w:t>机械联锁；电气联</w:t>
            </w:r>
            <w:r>
              <w:rPr>
                <w:spacing w:val="6"/>
              </w:rPr>
              <w:t xml:space="preserve"> </w:t>
            </w:r>
            <w:r>
              <w:t>锁</w:t>
            </w:r>
          </w:p>
        </w:tc>
      </w:tr>
      <w:tr w14:paraId="03BE2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664" w:type="dxa"/>
            <w:noWrap w:val="0"/>
            <w:vAlign w:val="top"/>
          </w:tcPr>
          <w:p w14:paraId="48DB3149">
            <w:pPr>
              <w:spacing w:line="360" w:lineRule="auto"/>
              <w:rPr>
                <w:rFonts w:ascii="Arial"/>
                <w:sz w:val="21"/>
              </w:rPr>
            </w:pPr>
          </w:p>
          <w:p w14:paraId="2CD2F24D">
            <w:pPr>
              <w:pStyle w:val="28"/>
              <w:spacing w:before="75" w:line="360" w:lineRule="auto"/>
              <w:ind w:left="204"/>
            </w:pPr>
            <w:r>
              <w:rPr>
                <w:spacing w:val="-7"/>
              </w:rPr>
              <w:t>18</w:t>
            </w:r>
          </w:p>
        </w:tc>
        <w:tc>
          <w:tcPr>
            <w:tcW w:w="3775" w:type="dxa"/>
            <w:noWrap w:val="0"/>
            <w:vAlign w:val="top"/>
          </w:tcPr>
          <w:p w14:paraId="1D116FB2">
            <w:pPr>
              <w:pStyle w:val="28"/>
              <w:spacing w:before="260" w:line="360" w:lineRule="auto"/>
              <w:ind w:left="1420"/>
            </w:pPr>
            <w:r>
              <w:rPr>
                <w:spacing w:val="2"/>
              </w:rPr>
              <w:t>辅助开关</w:t>
            </w:r>
          </w:p>
        </w:tc>
        <w:tc>
          <w:tcPr>
            <w:tcW w:w="1229" w:type="dxa"/>
            <w:noWrap w:val="0"/>
            <w:vAlign w:val="top"/>
          </w:tcPr>
          <w:p w14:paraId="763146AD">
            <w:pPr>
              <w:spacing w:line="360" w:lineRule="auto"/>
              <w:rPr>
                <w:rFonts w:ascii="Arial"/>
                <w:sz w:val="21"/>
              </w:rPr>
            </w:pPr>
          </w:p>
        </w:tc>
        <w:tc>
          <w:tcPr>
            <w:tcW w:w="2192" w:type="dxa"/>
            <w:noWrap w:val="0"/>
            <w:vAlign w:val="top"/>
          </w:tcPr>
          <w:p w14:paraId="3EE07FF1">
            <w:pPr>
              <w:pStyle w:val="28"/>
              <w:spacing w:before="98" w:line="360" w:lineRule="auto"/>
              <w:ind w:left="975" w:right="162" w:hanging="809"/>
            </w:pPr>
            <w:r>
              <w:rPr>
                <w:spacing w:val="1"/>
              </w:rPr>
              <w:t>辅助触点；报警触</w:t>
            </w:r>
            <w:r>
              <w:rPr>
                <w:spacing w:val="3"/>
              </w:rPr>
              <w:t xml:space="preserve"> </w:t>
            </w:r>
            <w:r>
              <w:t>头</w:t>
            </w:r>
          </w:p>
        </w:tc>
      </w:tr>
    </w:tbl>
    <w:p w14:paraId="6AD187BE">
      <w:pPr>
        <w:pStyle w:val="6"/>
        <w:spacing w:line="360" w:lineRule="auto"/>
      </w:pPr>
    </w:p>
    <w:p w14:paraId="4F147053">
      <w:pPr>
        <w:spacing w:before="48" w:line="360" w:lineRule="auto"/>
        <w:ind w:left="224"/>
        <w:rPr>
          <w:rFonts w:ascii="宋体" w:hAnsi="宋体" w:eastAsia="宋体" w:cs="宋体"/>
          <w:sz w:val="24"/>
          <w:szCs w:val="24"/>
        </w:rPr>
      </w:pPr>
      <w:r>
        <w:rPr>
          <w:rFonts w:ascii="宋体" w:hAnsi="宋体" w:eastAsia="宋体" w:cs="宋体"/>
          <w:sz w:val="24"/>
          <w:szCs w:val="24"/>
        </w:rPr>
        <w:t>(3)0.4kV低压开关柜塑壳式断路器主要技术参数</w:t>
      </w:r>
    </w:p>
    <w:p w14:paraId="6E9A692F">
      <w:pPr>
        <w:spacing w:line="360" w:lineRule="auto"/>
        <w:rPr>
          <w:rFonts w:ascii="Arial"/>
          <w:sz w:val="2"/>
        </w:rPr>
      </w:pPr>
    </w:p>
    <w:tbl>
      <w:tblPr>
        <w:tblStyle w:val="29"/>
        <w:tblW w:w="85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4"/>
        <w:gridCol w:w="4145"/>
        <w:gridCol w:w="1498"/>
        <w:gridCol w:w="2212"/>
      </w:tblGrid>
      <w:tr w14:paraId="73345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14" w:hRule="atLeast"/>
        </w:trPr>
        <w:tc>
          <w:tcPr>
            <w:tcW w:w="684" w:type="dxa"/>
            <w:noWrap w:val="0"/>
            <w:textDirection w:val="tbRlV"/>
            <w:vAlign w:val="top"/>
          </w:tcPr>
          <w:p w14:paraId="1477A390">
            <w:pPr>
              <w:pStyle w:val="28"/>
              <w:spacing w:before="229" w:line="360" w:lineRule="auto"/>
              <w:ind w:left="33"/>
            </w:pPr>
            <w:r>
              <w:t>序</w:t>
            </w:r>
            <w:r>
              <w:rPr>
                <w:spacing w:val="63"/>
              </w:rPr>
              <w:t xml:space="preserve"> </w:t>
            </w:r>
            <w:r>
              <w:t>号</w:t>
            </w:r>
          </w:p>
        </w:tc>
        <w:tc>
          <w:tcPr>
            <w:tcW w:w="4145" w:type="dxa"/>
            <w:noWrap w:val="0"/>
            <w:vAlign w:val="top"/>
          </w:tcPr>
          <w:p w14:paraId="36B2584C">
            <w:pPr>
              <w:pStyle w:val="28"/>
              <w:spacing w:before="247" w:line="360" w:lineRule="auto"/>
              <w:ind w:left="1830"/>
            </w:pPr>
            <w:r>
              <w:rPr>
                <w:spacing w:val="5"/>
              </w:rPr>
              <w:t>名称</w:t>
            </w:r>
          </w:p>
        </w:tc>
        <w:tc>
          <w:tcPr>
            <w:tcW w:w="1498" w:type="dxa"/>
            <w:noWrap w:val="0"/>
            <w:vAlign w:val="top"/>
          </w:tcPr>
          <w:p w14:paraId="0F688238">
            <w:pPr>
              <w:pStyle w:val="28"/>
              <w:spacing w:before="245" w:line="360" w:lineRule="auto"/>
              <w:ind w:left="515"/>
            </w:pPr>
            <w:r>
              <w:rPr>
                <w:spacing w:val="-3"/>
              </w:rPr>
              <w:t>单位</w:t>
            </w:r>
          </w:p>
        </w:tc>
        <w:tc>
          <w:tcPr>
            <w:tcW w:w="2212" w:type="dxa"/>
            <w:noWrap w:val="0"/>
            <w:vAlign w:val="top"/>
          </w:tcPr>
          <w:p w14:paraId="2F51C7B1">
            <w:pPr>
              <w:pStyle w:val="28"/>
              <w:spacing w:before="244" w:line="360" w:lineRule="auto"/>
              <w:ind w:left="637"/>
            </w:pPr>
            <w:r>
              <w:rPr>
                <w:spacing w:val="2"/>
              </w:rPr>
              <w:t>技术要求</w:t>
            </w:r>
          </w:p>
        </w:tc>
      </w:tr>
      <w:tr w14:paraId="7CBA1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4" w:type="dxa"/>
            <w:noWrap w:val="0"/>
            <w:vAlign w:val="top"/>
          </w:tcPr>
          <w:p w14:paraId="58B9A981">
            <w:pPr>
              <w:pStyle w:val="28"/>
              <w:spacing w:before="198" w:line="360" w:lineRule="auto"/>
              <w:ind w:left="275"/>
            </w:pPr>
            <w:r>
              <w:t>1</w:t>
            </w:r>
          </w:p>
        </w:tc>
        <w:tc>
          <w:tcPr>
            <w:tcW w:w="4145" w:type="dxa"/>
            <w:noWrap w:val="0"/>
            <w:vAlign w:val="top"/>
          </w:tcPr>
          <w:p w14:paraId="5754DC9E">
            <w:pPr>
              <w:pStyle w:val="28"/>
              <w:spacing w:before="140" w:line="360" w:lineRule="auto"/>
              <w:ind w:left="1370"/>
            </w:pPr>
            <w:r>
              <w:rPr>
                <w:spacing w:val="-2"/>
              </w:rPr>
              <w:t>额定绝缘电压</w:t>
            </w:r>
          </w:p>
        </w:tc>
        <w:tc>
          <w:tcPr>
            <w:tcW w:w="1498" w:type="dxa"/>
            <w:noWrap w:val="0"/>
            <w:vAlign w:val="top"/>
          </w:tcPr>
          <w:p w14:paraId="602989B6">
            <w:pPr>
              <w:pStyle w:val="28"/>
              <w:spacing w:before="201" w:line="360" w:lineRule="auto"/>
              <w:ind w:left="685"/>
            </w:pPr>
            <w:r>
              <w:t>V</w:t>
            </w:r>
          </w:p>
        </w:tc>
        <w:tc>
          <w:tcPr>
            <w:tcW w:w="2212" w:type="dxa"/>
            <w:noWrap w:val="0"/>
            <w:vAlign w:val="top"/>
          </w:tcPr>
          <w:p w14:paraId="32DEDD64">
            <w:pPr>
              <w:pStyle w:val="28"/>
              <w:spacing w:before="199" w:line="360" w:lineRule="auto"/>
              <w:ind w:left="927"/>
            </w:pPr>
            <w:r>
              <w:rPr>
                <w:spacing w:val="-3"/>
              </w:rPr>
              <w:t>690</w:t>
            </w:r>
          </w:p>
        </w:tc>
      </w:tr>
      <w:tr w14:paraId="61122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9" w:hRule="atLeast"/>
        </w:trPr>
        <w:tc>
          <w:tcPr>
            <w:tcW w:w="684" w:type="dxa"/>
            <w:noWrap w:val="0"/>
            <w:vAlign w:val="top"/>
          </w:tcPr>
          <w:p w14:paraId="53E85B9D">
            <w:pPr>
              <w:pStyle w:val="28"/>
              <w:spacing w:before="189" w:line="360" w:lineRule="auto"/>
              <w:ind w:left="275"/>
            </w:pPr>
            <w:r>
              <w:t>2</w:t>
            </w:r>
          </w:p>
        </w:tc>
        <w:tc>
          <w:tcPr>
            <w:tcW w:w="4145" w:type="dxa"/>
            <w:noWrap w:val="0"/>
            <w:vAlign w:val="top"/>
          </w:tcPr>
          <w:p w14:paraId="41ECD4A3">
            <w:pPr>
              <w:pStyle w:val="28"/>
              <w:spacing w:before="130" w:line="360" w:lineRule="auto"/>
              <w:ind w:left="1370"/>
            </w:pPr>
            <w:r>
              <w:rPr>
                <w:spacing w:val="-2"/>
              </w:rPr>
              <w:t>额定运行电压</w:t>
            </w:r>
          </w:p>
        </w:tc>
        <w:tc>
          <w:tcPr>
            <w:tcW w:w="1498" w:type="dxa"/>
            <w:noWrap w:val="0"/>
            <w:vAlign w:val="top"/>
          </w:tcPr>
          <w:p w14:paraId="7A5867D8">
            <w:pPr>
              <w:pStyle w:val="28"/>
              <w:spacing w:before="191" w:line="360" w:lineRule="auto"/>
              <w:ind w:left="685"/>
            </w:pPr>
            <w:r>
              <w:t>V</w:t>
            </w:r>
          </w:p>
        </w:tc>
        <w:tc>
          <w:tcPr>
            <w:tcW w:w="2212" w:type="dxa"/>
            <w:noWrap w:val="0"/>
            <w:vAlign w:val="top"/>
          </w:tcPr>
          <w:p w14:paraId="201191F0">
            <w:pPr>
              <w:pStyle w:val="28"/>
              <w:spacing w:before="189" w:line="360" w:lineRule="auto"/>
              <w:ind w:left="927"/>
            </w:pPr>
            <w:r>
              <w:rPr>
                <w:spacing w:val="-3"/>
              </w:rPr>
              <w:t>690</w:t>
            </w:r>
          </w:p>
        </w:tc>
      </w:tr>
      <w:tr w14:paraId="2195DB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684" w:type="dxa"/>
            <w:noWrap w:val="0"/>
            <w:vAlign w:val="top"/>
          </w:tcPr>
          <w:p w14:paraId="746457E9">
            <w:pPr>
              <w:pStyle w:val="28"/>
              <w:spacing w:before="200" w:line="360" w:lineRule="auto"/>
              <w:ind w:left="275"/>
            </w:pPr>
            <w:r>
              <w:t>3</w:t>
            </w:r>
          </w:p>
        </w:tc>
        <w:tc>
          <w:tcPr>
            <w:tcW w:w="4145" w:type="dxa"/>
            <w:noWrap w:val="0"/>
            <w:vAlign w:val="top"/>
          </w:tcPr>
          <w:p w14:paraId="72313CC4">
            <w:pPr>
              <w:pStyle w:val="28"/>
              <w:spacing w:before="141" w:line="360" w:lineRule="auto"/>
              <w:ind w:left="1140"/>
            </w:pPr>
            <w:r>
              <w:rPr>
                <w:spacing w:val="-1"/>
              </w:rPr>
              <w:t>额定冲击耐受电压</w:t>
            </w:r>
          </w:p>
        </w:tc>
        <w:tc>
          <w:tcPr>
            <w:tcW w:w="1498" w:type="dxa"/>
            <w:noWrap w:val="0"/>
            <w:vAlign w:val="top"/>
          </w:tcPr>
          <w:p w14:paraId="6B21929D">
            <w:pPr>
              <w:pStyle w:val="28"/>
              <w:spacing w:before="194" w:line="360" w:lineRule="auto"/>
              <w:ind w:left="626"/>
            </w:pPr>
            <w:r>
              <w:rPr>
                <w:spacing w:val="-2"/>
              </w:rPr>
              <w:t>kV</w:t>
            </w:r>
          </w:p>
        </w:tc>
        <w:tc>
          <w:tcPr>
            <w:tcW w:w="2212" w:type="dxa"/>
            <w:noWrap w:val="0"/>
            <w:vAlign w:val="top"/>
          </w:tcPr>
          <w:p w14:paraId="52DD0E18">
            <w:pPr>
              <w:pStyle w:val="28"/>
              <w:spacing w:before="200" w:line="360" w:lineRule="auto"/>
              <w:ind w:left="1037"/>
            </w:pPr>
            <w:r>
              <w:t>8</w:t>
            </w:r>
          </w:p>
        </w:tc>
      </w:tr>
      <w:tr w14:paraId="45718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684" w:type="dxa"/>
            <w:noWrap w:val="0"/>
            <w:vAlign w:val="top"/>
          </w:tcPr>
          <w:p w14:paraId="066DE50E">
            <w:pPr>
              <w:pStyle w:val="28"/>
              <w:spacing w:before="190" w:line="360" w:lineRule="auto"/>
              <w:ind w:left="275"/>
            </w:pPr>
            <w:r>
              <w:t>4</w:t>
            </w:r>
          </w:p>
        </w:tc>
        <w:tc>
          <w:tcPr>
            <w:tcW w:w="4145" w:type="dxa"/>
            <w:noWrap w:val="0"/>
            <w:vAlign w:val="top"/>
          </w:tcPr>
          <w:p w14:paraId="4F6283B1">
            <w:pPr>
              <w:pStyle w:val="28"/>
              <w:spacing w:before="131" w:line="360" w:lineRule="auto"/>
              <w:ind w:left="1140"/>
            </w:pPr>
            <w:r>
              <w:rPr>
                <w:spacing w:val="2"/>
              </w:rPr>
              <w:t>额定短路分断能力</w:t>
            </w:r>
          </w:p>
        </w:tc>
        <w:tc>
          <w:tcPr>
            <w:tcW w:w="1498" w:type="dxa"/>
            <w:noWrap w:val="0"/>
            <w:vAlign w:val="top"/>
          </w:tcPr>
          <w:p w14:paraId="08A5C80D">
            <w:pPr>
              <w:pStyle w:val="28"/>
              <w:spacing w:before="184" w:line="360" w:lineRule="auto"/>
              <w:ind w:left="626"/>
            </w:pPr>
            <w:r>
              <w:rPr>
                <w:spacing w:val="-2"/>
              </w:rPr>
              <w:t>kA</w:t>
            </w:r>
          </w:p>
        </w:tc>
        <w:tc>
          <w:tcPr>
            <w:tcW w:w="2212" w:type="dxa"/>
            <w:noWrap w:val="0"/>
            <w:vAlign w:val="top"/>
          </w:tcPr>
          <w:p w14:paraId="7B472E34">
            <w:pPr>
              <w:pStyle w:val="28"/>
              <w:spacing w:before="190" w:line="360" w:lineRule="auto"/>
              <w:ind w:left="988"/>
            </w:pPr>
            <w:r>
              <w:rPr>
                <w:spacing w:val="-4"/>
              </w:rPr>
              <w:t>70</w:t>
            </w:r>
          </w:p>
        </w:tc>
      </w:tr>
      <w:tr w14:paraId="52C77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84" w:type="dxa"/>
            <w:noWrap w:val="0"/>
            <w:vAlign w:val="top"/>
          </w:tcPr>
          <w:p w14:paraId="42B2E662">
            <w:pPr>
              <w:pStyle w:val="28"/>
              <w:spacing w:before="203" w:line="360" w:lineRule="auto"/>
              <w:ind w:left="275"/>
            </w:pPr>
            <w:r>
              <w:t>5</w:t>
            </w:r>
          </w:p>
        </w:tc>
        <w:tc>
          <w:tcPr>
            <w:tcW w:w="4145" w:type="dxa"/>
            <w:noWrap w:val="0"/>
            <w:vAlign w:val="top"/>
          </w:tcPr>
          <w:p w14:paraId="354FF0F7">
            <w:pPr>
              <w:pStyle w:val="28"/>
              <w:spacing w:before="142" w:line="360" w:lineRule="auto"/>
              <w:ind w:left="1600"/>
            </w:pPr>
            <w:r>
              <w:rPr>
                <w:spacing w:val="-2"/>
              </w:rPr>
              <w:t>额定频率</w:t>
            </w:r>
          </w:p>
        </w:tc>
        <w:tc>
          <w:tcPr>
            <w:tcW w:w="1498" w:type="dxa"/>
            <w:noWrap w:val="0"/>
            <w:vAlign w:val="top"/>
          </w:tcPr>
          <w:p w14:paraId="11CB9C21">
            <w:pPr>
              <w:pStyle w:val="28"/>
              <w:spacing w:before="203" w:line="360" w:lineRule="auto"/>
              <w:ind w:left="626"/>
            </w:pPr>
            <w:r>
              <w:rPr>
                <w:spacing w:val="-1"/>
              </w:rPr>
              <w:t>Hz</w:t>
            </w:r>
          </w:p>
        </w:tc>
        <w:tc>
          <w:tcPr>
            <w:tcW w:w="2212" w:type="dxa"/>
            <w:noWrap w:val="0"/>
            <w:vAlign w:val="top"/>
          </w:tcPr>
          <w:p w14:paraId="7F10FCDB">
            <w:pPr>
              <w:pStyle w:val="28"/>
              <w:spacing w:before="149" w:line="360" w:lineRule="auto"/>
              <w:ind w:left="697"/>
            </w:pPr>
            <w:r>
              <w:rPr>
                <w:spacing w:val="-2"/>
              </w:rPr>
              <w:t>50/60HZ</w:t>
            </w:r>
          </w:p>
        </w:tc>
      </w:tr>
      <w:tr w14:paraId="275CF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684" w:type="dxa"/>
            <w:noWrap w:val="0"/>
            <w:vAlign w:val="top"/>
          </w:tcPr>
          <w:p w14:paraId="2B81E333">
            <w:pPr>
              <w:pStyle w:val="28"/>
              <w:spacing w:before="192" w:line="360" w:lineRule="auto"/>
              <w:ind w:left="275"/>
            </w:pPr>
            <w:r>
              <w:t>6</w:t>
            </w:r>
          </w:p>
        </w:tc>
        <w:tc>
          <w:tcPr>
            <w:tcW w:w="4145" w:type="dxa"/>
            <w:noWrap w:val="0"/>
            <w:vAlign w:val="top"/>
          </w:tcPr>
          <w:p w14:paraId="711C4655">
            <w:pPr>
              <w:pStyle w:val="28"/>
              <w:spacing w:before="133" w:line="360" w:lineRule="auto"/>
              <w:ind w:left="1370"/>
            </w:pPr>
            <w:r>
              <w:rPr>
                <w:spacing w:val="-2"/>
              </w:rPr>
              <w:t>框架额定电流</w:t>
            </w:r>
          </w:p>
        </w:tc>
        <w:tc>
          <w:tcPr>
            <w:tcW w:w="1498" w:type="dxa"/>
            <w:noWrap w:val="0"/>
            <w:vAlign w:val="top"/>
          </w:tcPr>
          <w:p w14:paraId="32C5503B">
            <w:pPr>
              <w:pStyle w:val="28"/>
              <w:spacing w:before="191" w:line="360" w:lineRule="auto"/>
              <w:ind w:left="685"/>
            </w:pPr>
            <w:r>
              <w:t>A</w:t>
            </w:r>
          </w:p>
        </w:tc>
        <w:tc>
          <w:tcPr>
            <w:tcW w:w="2212" w:type="dxa"/>
            <w:noWrap w:val="0"/>
            <w:vAlign w:val="top"/>
          </w:tcPr>
          <w:p w14:paraId="09F5BF15">
            <w:pPr>
              <w:pStyle w:val="28"/>
              <w:spacing w:before="191" w:line="360" w:lineRule="auto"/>
              <w:ind w:left="637"/>
            </w:pPr>
            <w:r>
              <w:rPr>
                <w:spacing w:val="-4"/>
              </w:rPr>
              <w:t>160～800</w:t>
            </w:r>
          </w:p>
        </w:tc>
      </w:tr>
      <w:tr w14:paraId="46EAA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684" w:type="dxa"/>
            <w:noWrap w:val="0"/>
            <w:vAlign w:val="top"/>
          </w:tcPr>
          <w:p w14:paraId="08E5207F">
            <w:pPr>
              <w:pStyle w:val="28"/>
              <w:spacing w:before="195" w:line="360" w:lineRule="auto"/>
              <w:ind w:left="275"/>
            </w:pPr>
            <w:r>
              <w:t>7</w:t>
            </w:r>
          </w:p>
        </w:tc>
        <w:tc>
          <w:tcPr>
            <w:tcW w:w="4145" w:type="dxa"/>
            <w:noWrap w:val="0"/>
            <w:vAlign w:val="top"/>
          </w:tcPr>
          <w:p w14:paraId="7867D04A">
            <w:pPr>
              <w:pStyle w:val="28"/>
              <w:spacing w:before="134" w:line="360" w:lineRule="auto"/>
              <w:ind w:left="1830"/>
            </w:pPr>
            <w:r>
              <w:rPr>
                <w:spacing w:val="4"/>
              </w:rPr>
              <w:t>级数</w:t>
            </w:r>
          </w:p>
        </w:tc>
        <w:tc>
          <w:tcPr>
            <w:tcW w:w="1498" w:type="dxa"/>
            <w:noWrap w:val="0"/>
            <w:vAlign w:val="top"/>
          </w:tcPr>
          <w:p w14:paraId="397259DD">
            <w:pPr>
              <w:spacing w:line="360" w:lineRule="auto"/>
              <w:rPr>
                <w:rFonts w:ascii="Arial"/>
                <w:sz w:val="21"/>
              </w:rPr>
            </w:pPr>
          </w:p>
        </w:tc>
        <w:tc>
          <w:tcPr>
            <w:tcW w:w="2212" w:type="dxa"/>
            <w:noWrap w:val="0"/>
            <w:vAlign w:val="top"/>
          </w:tcPr>
          <w:p w14:paraId="141D271B">
            <w:pPr>
              <w:pStyle w:val="28"/>
              <w:spacing w:before="193" w:line="360" w:lineRule="auto"/>
              <w:ind w:left="927"/>
            </w:pPr>
            <w:r>
              <w:rPr>
                <w:spacing w:val="-4"/>
              </w:rPr>
              <w:t>2-4</w:t>
            </w:r>
          </w:p>
        </w:tc>
      </w:tr>
      <w:tr w14:paraId="50B2F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684" w:type="dxa"/>
            <w:noWrap w:val="0"/>
            <w:vAlign w:val="top"/>
          </w:tcPr>
          <w:p w14:paraId="19710008">
            <w:pPr>
              <w:pStyle w:val="28"/>
              <w:spacing w:before="204" w:line="360" w:lineRule="auto"/>
              <w:ind w:left="275"/>
            </w:pPr>
            <w:r>
              <w:t>8</w:t>
            </w:r>
          </w:p>
        </w:tc>
        <w:tc>
          <w:tcPr>
            <w:tcW w:w="4145" w:type="dxa"/>
            <w:noWrap w:val="0"/>
            <w:vAlign w:val="top"/>
          </w:tcPr>
          <w:p w14:paraId="5512D58F">
            <w:pPr>
              <w:pStyle w:val="28"/>
              <w:spacing w:before="145" w:line="360" w:lineRule="auto"/>
              <w:ind w:left="1600"/>
            </w:pPr>
            <w:r>
              <w:rPr>
                <w:spacing w:val="-2"/>
              </w:rPr>
              <w:t>额定电流</w:t>
            </w:r>
          </w:p>
        </w:tc>
        <w:tc>
          <w:tcPr>
            <w:tcW w:w="1498" w:type="dxa"/>
            <w:noWrap w:val="0"/>
            <w:vAlign w:val="top"/>
          </w:tcPr>
          <w:p w14:paraId="7B3C59D6">
            <w:pPr>
              <w:pStyle w:val="28"/>
              <w:spacing w:before="203" w:line="360" w:lineRule="auto"/>
              <w:ind w:left="685"/>
            </w:pPr>
            <w:r>
              <w:t>A</w:t>
            </w:r>
          </w:p>
        </w:tc>
        <w:tc>
          <w:tcPr>
            <w:tcW w:w="2212" w:type="dxa"/>
            <w:noWrap w:val="0"/>
            <w:vAlign w:val="top"/>
          </w:tcPr>
          <w:p w14:paraId="297B2EE2">
            <w:pPr>
              <w:pStyle w:val="28"/>
              <w:spacing w:before="203" w:line="360" w:lineRule="auto"/>
              <w:ind w:left="697"/>
            </w:pPr>
            <w:r>
              <w:rPr>
                <w:spacing w:val="-4"/>
              </w:rPr>
              <w:t>16～630</w:t>
            </w:r>
          </w:p>
        </w:tc>
      </w:tr>
      <w:tr w14:paraId="4C9DC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684" w:type="dxa"/>
            <w:noWrap w:val="0"/>
            <w:vAlign w:val="top"/>
          </w:tcPr>
          <w:p w14:paraId="5F89E0DC">
            <w:pPr>
              <w:pStyle w:val="28"/>
              <w:spacing w:before="194" w:line="360" w:lineRule="auto"/>
              <w:ind w:left="275"/>
            </w:pPr>
            <w:r>
              <w:t>9</w:t>
            </w:r>
          </w:p>
        </w:tc>
        <w:tc>
          <w:tcPr>
            <w:tcW w:w="4145" w:type="dxa"/>
            <w:noWrap w:val="0"/>
            <w:vAlign w:val="top"/>
          </w:tcPr>
          <w:p w14:paraId="3A74F4CB">
            <w:pPr>
              <w:pStyle w:val="28"/>
              <w:spacing w:before="135" w:line="360" w:lineRule="auto"/>
              <w:ind w:left="1370"/>
            </w:pPr>
            <w:r>
              <w:rPr>
                <w:spacing w:val="2"/>
              </w:rPr>
              <w:t>安装维护数据</w:t>
            </w:r>
          </w:p>
        </w:tc>
        <w:tc>
          <w:tcPr>
            <w:tcW w:w="1498" w:type="dxa"/>
            <w:noWrap w:val="0"/>
            <w:vAlign w:val="top"/>
          </w:tcPr>
          <w:p w14:paraId="619ACF20">
            <w:pPr>
              <w:spacing w:line="360" w:lineRule="auto"/>
              <w:rPr>
                <w:rFonts w:ascii="Arial"/>
                <w:sz w:val="21"/>
              </w:rPr>
            </w:pPr>
          </w:p>
        </w:tc>
        <w:tc>
          <w:tcPr>
            <w:tcW w:w="2212" w:type="dxa"/>
            <w:noWrap w:val="0"/>
            <w:vAlign w:val="top"/>
          </w:tcPr>
          <w:p w14:paraId="7A8F97E3">
            <w:pPr>
              <w:spacing w:line="360" w:lineRule="auto"/>
              <w:rPr>
                <w:rFonts w:ascii="Arial"/>
                <w:sz w:val="21"/>
              </w:rPr>
            </w:pPr>
          </w:p>
        </w:tc>
      </w:tr>
      <w:tr w14:paraId="50910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684" w:type="dxa"/>
            <w:noWrap w:val="0"/>
            <w:vAlign w:val="top"/>
          </w:tcPr>
          <w:p w14:paraId="774C0E99">
            <w:pPr>
              <w:pStyle w:val="28"/>
              <w:spacing w:before="204" w:line="360" w:lineRule="auto"/>
              <w:ind w:left="214"/>
            </w:pPr>
            <w:r>
              <w:rPr>
                <w:spacing w:val="-7"/>
              </w:rPr>
              <w:t>10</w:t>
            </w:r>
          </w:p>
        </w:tc>
        <w:tc>
          <w:tcPr>
            <w:tcW w:w="4145" w:type="dxa"/>
            <w:noWrap w:val="0"/>
            <w:vAlign w:val="top"/>
          </w:tcPr>
          <w:p w14:paraId="772F3CEE">
            <w:pPr>
              <w:pStyle w:val="28"/>
              <w:spacing w:before="144" w:line="360" w:lineRule="auto"/>
              <w:ind w:left="1140"/>
            </w:pPr>
            <w:r>
              <w:rPr>
                <w:spacing w:val="5"/>
              </w:rPr>
              <w:t>机械寿命(有维护)</w:t>
            </w:r>
          </w:p>
        </w:tc>
        <w:tc>
          <w:tcPr>
            <w:tcW w:w="1498" w:type="dxa"/>
            <w:noWrap w:val="0"/>
            <w:vAlign w:val="top"/>
          </w:tcPr>
          <w:p w14:paraId="339E20C1">
            <w:pPr>
              <w:pStyle w:val="28"/>
              <w:spacing w:before="146" w:line="360" w:lineRule="auto"/>
              <w:ind w:left="626"/>
            </w:pPr>
            <w:r>
              <w:t>次</w:t>
            </w:r>
          </w:p>
        </w:tc>
        <w:tc>
          <w:tcPr>
            <w:tcW w:w="2212" w:type="dxa"/>
            <w:noWrap w:val="0"/>
            <w:vAlign w:val="top"/>
          </w:tcPr>
          <w:p w14:paraId="17BC5F1F">
            <w:pPr>
              <w:pStyle w:val="28"/>
              <w:spacing w:before="205" w:line="360" w:lineRule="auto"/>
              <w:ind w:left="807"/>
            </w:pPr>
            <w:r>
              <w:rPr>
                <w:spacing w:val="-2"/>
              </w:rPr>
              <w:t>20000</w:t>
            </w:r>
          </w:p>
        </w:tc>
      </w:tr>
      <w:tr w14:paraId="6517C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684" w:type="dxa"/>
            <w:noWrap w:val="0"/>
            <w:vAlign w:val="top"/>
          </w:tcPr>
          <w:p w14:paraId="29654566">
            <w:pPr>
              <w:pStyle w:val="28"/>
              <w:spacing w:before="194" w:line="360" w:lineRule="auto"/>
              <w:ind w:left="214"/>
            </w:pPr>
            <w:r>
              <w:rPr>
                <w:spacing w:val="-7"/>
              </w:rPr>
              <w:t>11</w:t>
            </w:r>
          </w:p>
        </w:tc>
        <w:tc>
          <w:tcPr>
            <w:tcW w:w="4145" w:type="dxa"/>
            <w:noWrap w:val="0"/>
            <w:vAlign w:val="top"/>
          </w:tcPr>
          <w:p w14:paraId="39B77313">
            <w:pPr>
              <w:pStyle w:val="28"/>
              <w:spacing w:before="137" w:line="360" w:lineRule="auto"/>
              <w:ind w:left="1140"/>
            </w:pPr>
            <w:r>
              <w:rPr>
                <w:spacing w:val="5"/>
              </w:rPr>
              <w:t>电气寿命(免维护)</w:t>
            </w:r>
          </w:p>
        </w:tc>
        <w:tc>
          <w:tcPr>
            <w:tcW w:w="1498" w:type="dxa"/>
            <w:noWrap w:val="0"/>
            <w:vAlign w:val="top"/>
          </w:tcPr>
          <w:p w14:paraId="2D26B09D">
            <w:pPr>
              <w:pStyle w:val="28"/>
              <w:spacing w:before="136" w:line="360" w:lineRule="auto"/>
              <w:ind w:left="626"/>
            </w:pPr>
            <w:r>
              <w:t>次</w:t>
            </w:r>
          </w:p>
        </w:tc>
        <w:tc>
          <w:tcPr>
            <w:tcW w:w="2212" w:type="dxa"/>
            <w:noWrap w:val="0"/>
            <w:vAlign w:val="top"/>
          </w:tcPr>
          <w:p w14:paraId="57C3AF9B">
            <w:pPr>
              <w:pStyle w:val="28"/>
              <w:spacing w:before="194" w:line="360" w:lineRule="auto"/>
              <w:ind w:left="807"/>
            </w:pPr>
            <w:r>
              <w:rPr>
                <w:spacing w:val="-5"/>
              </w:rPr>
              <w:t>10000</w:t>
            </w:r>
          </w:p>
        </w:tc>
      </w:tr>
      <w:tr w14:paraId="0B291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684" w:type="dxa"/>
            <w:noWrap w:val="0"/>
            <w:vAlign w:val="top"/>
          </w:tcPr>
          <w:p w14:paraId="0E471E46">
            <w:pPr>
              <w:pStyle w:val="28"/>
              <w:spacing w:before="204" w:line="360" w:lineRule="auto"/>
              <w:ind w:left="214"/>
            </w:pPr>
            <w:r>
              <w:rPr>
                <w:spacing w:val="-7"/>
              </w:rPr>
              <w:t>12</w:t>
            </w:r>
          </w:p>
        </w:tc>
        <w:tc>
          <w:tcPr>
            <w:tcW w:w="4145" w:type="dxa"/>
            <w:noWrap w:val="0"/>
            <w:vAlign w:val="top"/>
          </w:tcPr>
          <w:p w14:paraId="49AB403D">
            <w:pPr>
              <w:pStyle w:val="28"/>
              <w:spacing w:before="145" w:line="360" w:lineRule="auto"/>
              <w:ind w:left="1491"/>
            </w:pPr>
            <w:r>
              <w:rPr>
                <w:spacing w:val="1"/>
              </w:rPr>
              <w:t>可选配附件</w:t>
            </w:r>
          </w:p>
        </w:tc>
        <w:tc>
          <w:tcPr>
            <w:tcW w:w="1498" w:type="dxa"/>
            <w:noWrap w:val="0"/>
            <w:vAlign w:val="top"/>
          </w:tcPr>
          <w:p w14:paraId="56C1F8B4">
            <w:pPr>
              <w:spacing w:line="360" w:lineRule="auto"/>
              <w:rPr>
                <w:rFonts w:ascii="Arial"/>
                <w:sz w:val="21"/>
              </w:rPr>
            </w:pPr>
          </w:p>
        </w:tc>
        <w:tc>
          <w:tcPr>
            <w:tcW w:w="2212" w:type="dxa"/>
            <w:noWrap w:val="0"/>
            <w:vAlign w:val="top"/>
          </w:tcPr>
          <w:p w14:paraId="31AAC771">
            <w:pPr>
              <w:spacing w:line="360" w:lineRule="auto"/>
              <w:rPr>
                <w:rFonts w:ascii="Arial"/>
                <w:sz w:val="21"/>
              </w:rPr>
            </w:pPr>
          </w:p>
        </w:tc>
      </w:tr>
      <w:tr w14:paraId="56A42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84" w:type="dxa"/>
            <w:noWrap w:val="0"/>
            <w:vAlign w:val="top"/>
          </w:tcPr>
          <w:p w14:paraId="49D73F5A">
            <w:pPr>
              <w:pStyle w:val="28"/>
              <w:spacing w:before="315" w:line="360" w:lineRule="auto"/>
              <w:ind w:left="214"/>
            </w:pPr>
            <w:r>
              <w:rPr>
                <w:spacing w:val="-7"/>
              </w:rPr>
              <w:t>13</w:t>
            </w:r>
          </w:p>
        </w:tc>
        <w:tc>
          <w:tcPr>
            <w:tcW w:w="4145" w:type="dxa"/>
            <w:noWrap w:val="0"/>
            <w:vAlign w:val="top"/>
          </w:tcPr>
          <w:p w14:paraId="2304636D">
            <w:pPr>
              <w:pStyle w:val="28"/>
              <w:spacing w:before="258" w:line="360" w:lineRule="auto"/>
              <w:ind w:left="1720"/>
            </w:pPr>
            <w:r>
              <w:rPr>
                <w:spacing w:val="-3"/>
              </w:rPr>
              <w:t>脱扣器</w:t>
            </w:r>
          </w:p>
        </w:tc>
        <w:tc>
          <w:tcPr>
            <w:tcW w:w="1498" w:type="dxa"/>
            <w:noWrap w:val="0"/>
            <w:vAlign w:val="top"/>
          </w:tcPr>
          <w:p w14:paraId="35554F08">
            <w:pPr>
              <w:spacing w:line="360" w:lineRule="auto"/>
              <w:rPr>
                <w:rFonts w:ascii="Arial"/>
                <w:sz w:val="21"/>
              </w:rPr>
            </w:pPr>
          </w:p>
        </w:tc>
        <w:tc>
          <w:tcPr>
            <w:tcW w:w="2212" w:type="dxa"/>
            <w:noWrap w:val="0"/>
            <w:vAlign w:val="top"/>
          </w:tcPr>
          <w:p w14:paraId="384CF991">
            <w:pPr>
              <w:pStyle w:val="28"/>
              <w:spacing w:before="106" w:line="360" w:lineRule="auto"/>
              <w:ind w:left="758" w:right="173" w:hanging="580"/>
            </w:pPr>
            <w:r>
              <w:rPr>
                <w:spacing w:val="1"/>
              </w:rPr>
              <w:t xml:space="preserve">分励脱扣器；欠压 </w:t>
            </w:r>
            <w:r>
              <w:rPr>
                <w:spacing w:val="-3"/>
              </w:rPr>
              <w:t>脱扣器</w:t>
            </w:r>
          </w:p>
        </w:tc>
      </w:tr>
      <w:tr w14:paraId="12AC8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684" w:type="dxa"/>
            <w:noWrap w:val="0"/>
            <w:vAlign w:val="top"/>
          </w:tcPr>
          <w:p w14:paraId="1C22C527">
            <w:pPr>
              <w:pStyle w:val="28"/>
              <w:spacing w:before="196" w:line="360" w:lineRule="auto"/>
              <w:ind w:left="214"/>
            </w:pPr>
            <w:r>
              <w:rPr>
                <w:spacing w:val="-7"/>
              </w:rPr>
              <w:t>14</w:t>
            </w:r>
          </w:p>
        </w:tc>
        <w:tc>
          <w:tcPr>
            <w:tcW w:w="4145" w:type="dxa"/>
            <w:noWrap w:val="0"/>
            <w:vAlign w:val="top"/>
          </w:tcPr>
          <w:p w14:paraId="10D63508">
            <w:pPr>
              <w:pStyle w:val="28"/>
              <w:spacing w:before="139" w:line="360" w:lineRule="auto"/>
              <w:ind w:left="1830"/>
            </w:pPr>
            <w:r>
              <w:rPr>
                <w:spacing w:val="8"/>
              </w:rPr>
              <w:t>保护</w:t>
            </w:r>
          </w:p>
        </w:tc>
        <w:tc>
          <w:tcPr>
            <w:tcW w:w="1498" w:type="dxa"/>
            <w:noWrap w:val="0"/>
            <w:vAlign w:val="top"/>
          </w:tcPr>
          <w:p w14:paraId="2B66211F">
            <w:pPr>
              <w:spacing w:line="360" w:lineRule="auto"/>
              <w:rPr>
                <w:rFonts w:ascii="Arial"/>
                <w:sz w:val="21"/>
              </w:rPr>
            </w:pPr>
          </w:p>
        </w:tc>
        <w:tc>
          <w:tcPr>
            <w:tcW w:w="2212" w:type="dxa"/>
            <w:noWrap w:val="0"/>
            <w:vAlign w:val="top"/>
          </w:tcPr>
          <w:p w14:paraId="2B107381">
            <w:pPr>
              <w:pStyle w:val="28"/>
              <w:spacing w:before="138" w:line="360" w:lineRule="auto"/>
              <w:ind w:left="407"/>
            </w:pPr>
            <w:r>
              <w:rPr>
                <w:spacing w:val="19"/>
              </w:rPr>
              <w:t>过载；短路；</w:t>
            </w:r>
          </w:p>
        </w:tc>
      </w:tr>
      <w:tr w14:paraId="3D009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684" w:type="dxa"/>
            <w:noWrap w:val="0"/>
            <w:vAlign w:val="top"/>
          </w:tcPr>
          <w:p w14:paraId="2036D295">
            <w:pPr>
              <w:spacing w:line="360" w:lineRule="auto"/>
              <w:rPr>
                <w:rFonts w:ascii="Arial"/>
                <w:sz w:val="21"/>
              </w:rPr>
            </w:pPr>
          </w:p>
          <w:p w14:paraId="51335CEF">
            <w:pPr>
              <w:pStyle w:val="28"/>
              <w:spacing w:before="75" w:line="360" w:lineRule="auto"/>
              <w:ind w:left="214"/>
            </w:pPr>
            <w:r>
              <w:rPr>
                <w:spacing w:val="-7"/>
              </w:rPr>
              <w:t>15</w:t>
            </w:r>
          </w:p>
        </w:tc>
        <w:tc>
          <w:tcPr>
            <w:tcW w:w="4145" w:type="dxa"/>
            <w:noWrap w:val="0"/>
            <w:vAlign w:val="top"/>
          </w:tcPr>
          <w:p w14:paraId="60E1020C">
            <w:pPr>
              <w:pStyle w:val="28"/>
              <w:spacing w:before="260" w:line="360" w:lineRule="auto"/>
              <w:ind w:left="1600"/>
            </w:pPr>
            <w:r>
              <w:rPr>
                <w:spacing w:val="5"/>
              </w:rPr>
              <w:t>辅助触点</w:t>
            </w:r>
          </w:p>
        </w:tc>
        <w:tc>
          <w:tcPr>
            <w:tcW w:w="1498" w:type="dxa"/>
            <w:noWrap w:val="0"/>
            <w:vAlign w:val="top"/>
          </w:tcPr>
          <w:p w14:paraId="24DA9D10">
            <w:pPr>
              <w:spacing w:line="360" w:lineRule="auto"/>
              <w:rPr>
                <w:rFonts w:ascii="Arial"/>
                <w:sz w:val="21"/>
              </w:rPr>
            </w:pPr>
          </w:p>
        </w:tc>
        <w:tc>
          <w:tcPr>
            <w:tcW w:w="2212" w:type="dxa"/>
            <w:noWrap w:val="0"/>
            <w:vAlign w:val="top"/>
          </w:tcPr>
          <w:p w14:paraId="5B08B860">
            <w:pPr>
              <w:pStyle w:val="28"/>
              <w:spacing w:before="118" w:line="360" w:lineRule="auto"/>
              <w:ind w:left="987" w:right="171" w:hanging="809"/>
            </w:pPr>
            <w:r>
              <w:rPr>
                <w:spacing w:val="1"/>
              </w:rPr>
              <w:t>辅助触点；报警触</w:t>
            </w:r>
            <w:r>
              <w:rPr>
                <w:spacing w:val="3"/>
              </w:rPr>
              <w:t xml:space="preserve"> </w:t>
            </w:r>
            <w:r>
              <w:t>头</w:t>
            </w:r>
          </w:p>
        </w:tc>
      </w:tr>
    </w:tbl>
    <w:p w14:paraId="7E3A507D">
      <w:pPr>
        <w:spacing w:before="125" w:line="360" w:lineRule="auto"/>
        <w:ind w:left="534"/>
        <w:rPr>
          <w:rFonts w:ascii="宋体" w:hAnsi="宋体" w:eastAsia="宋体" w:cs="宋体"/>
          <w:sz w:val="24"/>
          <w:szCs w:val="24"/>
        </w:rPr>
      </w:pPr>
      <w:r>
        <w:rPr>
          <w:rFonts w:ascii="宋体" w:hAnsi="宋体" w:eastAsia="宋体" w:cs="宋体"/>
          <w:spacing w:val="-2"/>
          <w:sz w:val="24"/>
          <w:szCs w:val="24"/>
        </w:rPr>
        <w:t>3.4.3 开关柜技术要求</w:t>
      </w:r>
    </w:p>
    <w:p w14:paraId="0F200F6C">
      <w:pPr>
        <w:spacing w:before="175" w:line="360" w:lineRule="auto"/>
        <w:ind w:left="544"/>
        <w:rPr>
          <w:rFonts w:ascii="宋体" w:hAnsi="宋体" w:eastAsia="宋体" w:cs="宋体"/>
          <w:sz w:val="24"/>
          <w:szCs w:val="24"/>
        </w:rPr>
      </w:pPr>
      <w:r>
        <w:fldChar w:fldCharType="begin"/>
      </w:r>
      <w:r>
        <w:instrText xml:space="preserve"> HYPERLINK "3.4.3.1" </w:instrText>
      </w:r>
      <w:r>
        <w:fldChar w:fldCharType="separate"/>
      </w:r>
      <w:r>
        <w:rPr>
          <w:rFonts w:ascii="宋体" w:hAnsi="宋体" w:eastAsia="宋体" w:cs="宋体"/>
          <w:spacing w:val="-3"/>
          <w:sz w:val="24"/>
          <w:szCs w:val="24"/>
        </w:rPr>
        <w:t>3.4.3.1</w:t>
      </w:r>
      <w:r>
        <w:rPr>
          <w:rFonts w:ascii="宋体" w:hAnsi="宋体" w:eastAsia="宋体" w:cs="宋体"/>
          <w:spacing w:val="-3"/>
          <w:sz w:val="24"/>
          <w:szCs w:val="24"/>
        </w:rPr>
        <w:fldChar w:fldCharType="end"/>
      </w:r>
      <w:r>
        <w:rPr>
          <w:rFonts w:ascii="宋体" w:hAnsi="宋体" w:eastAsia="宋体" w:cs="宋体"/>
          <w:spacing w:val="-3"/>
          <w:sz w:val="24"/>
          <w:szCs w:val="24"/>
        </w:rPr>
        <w:t xml:space="preserve"> 柜架和外壳</w:t>
      </w:r>
    </w:p>
    <w:p w14:paraId="0A5F2044">
      <w:pPr>
        <w:spacing w:before="195" w:line="360" w:lineRule="auto"/>
        <w:ind w:left="624"/>
        <w:rPr>
          <w:rFonts w:ascii="宋体" w:hAnsi="宋体" w:eastAsia="宋体" w:cs="宋体"/>
          <w:sz w:val="24"/>
          <w:szCs w:val="24"/>
        </w:rPr>
      </w:pPr>
      <w:r>
        <w:rPr>
          <w:rFonts w:ascii="宋体" w:hAnsi="宋体" w:eastAsia="宋体" w:cs="宋体"/>
          <w:spacing w:val="3"/>
          <w:sz w:val="24"/>
          <w:szCs w:val="24"/>
        </w:rPr>
        <w:t>(1)设备的柜架为垂直地面安装的自撑式结构。</w:t>
      </w:r>
    </w:p>
    <w:p w14:paraId="2D09F0E7">
      <w:pPr>
        <w:spacing w:before="185" w:line="360" w:lineRule="auto"/>
        <w:ind w:left="624"/>
        <w:rPr>
          <w:rFonts w:ascii="宋体" w:hAnsi="宋体" w:eastAsia="宋体" w:cs="宋体"/>
          <w:sz w:val="24"/>
          <w:szCs w:val="24"/>
        </w:rPr>
      </w:pPr>
      <w:r>
        <w:rPr>
          <w:rFonts w:ascii="宋体" w:hAnsi="宋体" w:eastAsia="宋体" w:cs="宋体"/>
          <w:spacing w:val="3"/>
          <w:sz w:val="24"/>
          <w:szCs w:val="24"/>
        </w:rPr>
        <w:t>(2)柜体的结构应允许电缆从柜体底部进入柜体。</w:t>
      </w:r>
    </w:p>
    <w:p w14:paraId="6899F8D6">
      <w:pPr>
        <w:spacing w:before="184" w:line="360" w:lineRule="auto"/>
        <w:ind w:left="25" w:right="386" w:firstLine="599"/>
        <w:jc w:val="both"/>
        <w:rPr>
          <w:rFonts w:ascii="宋体" w:hAnsi="宋体" w:eastAsia="宋体" w:cs="宋体"/>
          <w:sz w:val="24"/>
          <w:szCs w:val="24"/>
        </w:rPr>
      </w:pPr>
      <w:r>
        <w:rPr>
          <w:rFonts w:ascii="宋体" w:hAnsi="宋体" w:eastAsia="宋体" w:cs="宋体"/>
          <w:sz w:val="24"/>
          <w:szCs w:val="24"/>
        </w:rPr>
        <w:t>(3)开关柜的框架和外壳应是金属的，满足强度要求。柜架和外壳应有足够的强度和刚度，应能承受所安装元件及短路时所产生的动、热稳定。同时不因成套设备的吊装、运输等情况而影响设备的性能。内部</w:t>
      </w:r>
      <w:r>
        <w:rPr>
          <w:rFonts w:ascii="宋体" w:hAnsi="宋体" w:eastAsia="宋体" w:cs="宋体"/>
          <w:spacing w:val="-1"/>
          <w:sz w:val="24"/>
          <w:szCs w:val="24"/>
        </w:rPr>
        <w:t>分隔板也选用覆铝锌板。并</w:t>
      </w:r>
      <w:r>
        <w:rPr>
          <w:rFonts w:ascii="宋体" w:hAnsi="宋体" w:eastAsia="宋体" w:cs="宋体"/>
          <w:spacing w:val="2"/>
          <w:sz w:val="24"/>
          <w:szCs w:val="24"/>
        </w:rPr>
        <w:t>用无裂缝的钢板全部包成独立固定结构。对电流大于3200</w:t>
      </w:r>
      <w:r>
        <w:rPr>
          <w:rFonts w:ascii="Times New Roman" w:hAnsi="Times New Roman" w:eastAsia="Times New Roman" w:cs="Times New Roman"/>
          <w:spacing w:val="2"/>
          <w:sz w:val="24"/>
          <w:szCs w:val="24"/>
        </w:rPr>
        <w:t>A</w:t>
      </w:r>
      <w:r>
        <w:rPr>
          <w:rFonts w:ascii="宋体" w:hAnsi="宋体" w:eastAsia="宋体" w:cs="宋体"/>
          <w:spacing w:val="2"/>
          <w:sz w:val="24"/>
          <w:szCs w:val="24"/>
        </w:rPr>
        <w:t>的</w:t>
      </w:r>
      <w:r>
        <w:rPr>
          <w:rFonts w:ascii="宋体" w:hAnsi="宋体" w:eastAsia="宋体" w:cs="宋体"/>
          <w:spacing w:val="1"/>
          <w:sz w:val="24"/>
          <w:szCs w:val="24"/>
        </w:rPr>
        <w:t>开关柜，乙方应采</w:t>
      </w:r>
      <w:r>
        <w:rPr>
          <w:rFonts w:ascii="宋体" w:hAnsi="宋体" w:eastAsia="宋体" w:cs="宋体"/>
          <w:spacing w:val="-4"/>
          <w:sz w:val="24"/>
          <w:szCs w:val="24"/>
        </w:rPr>
        <w:t>取措施以抑制涡流的产生。</w:t>
      </w:r>
    </w:p>
    <w:p w14:paraId="1607DCA7">
      <w:pPr>
        <w:spacing w:before="184" w:line="360" w:lineRule="auto"/>
        <w:ind w:left="25" w:right="386" w:firstLine="599"/>
        <w:jc w:val="both"/>
        <w:rPr>
          <w:rFonts w:ascii="宋体" w:hAnsi="宋体" w:eastAsia="宋体" w:cs="宋体"/>
          <w:sz w:val="24"/>
          <w:szCs w:val="24"/>
        </w:rPr>
      </w:pPr>
      <w:r>
        <w:rPr>
          <w:rFonts w:ascii="宋体" w:hAnsi="宋体" w:eastAsia="宋体" w:cs="宋体"/>
          <w:spacing w:val="-2"/>
          <w:sz w:val="24"/>
          <w:szCs w:val="24"/>
        </w:rPr>
        <w:t>(</w:t>
      </w:r>
      <w:r>
        <w:rPr>
          <w:rFonts w:ascii="宋体" w:hAnsi="宋体" w:eastAsia="宋体" w:cs="宋体"/>
          <w:sz w:val="24"/>
          <w:szCs w:val="24"/>
        </w:rPr>
        <w:t>4)开关柜内的设备布置应合理，符合性能要求，框架内应留有足够的空间以便于检修，开关柜的上部结构、侧面结构、母线、控制接线应便于将来扩建和延伸。</w:t>
      </w:r>
    </w:p>
    <w:p w14:paraId="09092C5A">
      <w:pPr>
        <w:spacing w:before="184" w:line="360" w:lineRule="auto"/>
        <w:ind w:left="25" w:right="386" w:firstLine="599"/>
        <w:jc w:val="both"/>
        <w:rPr>
          <w:rFonts w:ascii="宋体" w:hAnsi="宋体" w:eastAsia="宋体" w:cs="宋体"/>
          <w:sz w:val="24"/>
          <w:szCs w:val="24"/>
        </w:rPr>
      </w:pPr>
      <w:r>
        <w:rPr>
          <w:rFonts w:ascii="宋体" w:hAnsi="宋体" w:eastAsia="宋体" w:cs="宋体"/>
          <w:sz w:val="24"/>
          <w:szCs w:val="24"/>
        </w:rPr>
        <w:t>(5)为便于开关柜在运输和安装过程中搬运，开关柜应设计并提供可移动的起吊搬运手段。</w:t>
      </w:r>
    </w:p>
    <w:p w14:paraId="50F41C0F">
      <w:pPr>
        <w:spacing w:before="191" w:line="360" w:lineRule="auto"/>
        <w:rPr>
          <w:rFonts w:ascii="宋体" w:hAnsi="宋体" w:eastAsia="宋体" w:cs="宋体"/>
          <w:sz w:val="24"/>
          <w:szCs w:val="24"/>
        </w:rPr>
      </w:pPr>
      <w:r>
        <w:rPr>
          <w:rFonts w:ascii="宋体" w:hAnsi="宋体" w:eastAsia="宋体" w:cs="宋体"/>
          <w:spacing w:val="1"/>
          <w:sz w:val="24"/>
          <w:szCs w:val="24"/>
        </w:rPr>
        <w:t>(6)开关柜装绞链门。在每个垂直部分的背面，装可拆卸的板或</w:t>
      </w:r>
      <w:r>
        <w:rPr>
          <w:rFonts w:ascii="宋体" w:hAnsi="宋体" w:eastAsia="宋体" w:cs="宋体"/>
          <w:sz w:val="24"/>
          <w:szCs w:val="24"/>
        </w:rPr>
        <w:t>绞链门。</w:t>
      </w:r>
    </w:p>
    <w:p w14:paraId="1E0A37A0">
      <w:pPr>
        <w:spacing w:before="177" w:line="360" w:lineRule="auto"/>
        <w:rPr>
          <w:rFonts w:ascii="宋体" w:hAnsi="宋体" w:eastAsia="宋体" w:cs="宋体"/>
          <w:sz w:val="24"/>
          <w:szCs w:val="24"/>
        </w:rPr>
      </w:pPr>
      <w:r>
        <w:rPr>
          <w:rFonts w:ascii="宋体" w:hAnsi="宋体" w:eastAsia="宋体" w:cs="宋体"/>
          <w:spacing w:val="2"/>
          <w:sz w:val="24"/>
          <w:szCs w:val="24"/>
        </w:rPr>
        <w:t>(7)开关柜的外形应平整美观。</w:t>
      </w:r>
    </w:p>
    <w:p w14:paraId="51243397">
      <w:pPr>
        <w:spacing w:before="166" w:line="360" w:lineRule="auto"/>
        <w:rPr>
          <w:rFonts w:ascii="宋体" w:hAnsi="宋体" w:eastAsia="宋体" w:cs="宋体"/>
          <w:sz w:val="24"/>
          <w:szCs w:val="24"/>
          <w:highlight w:val="none"/>
        </w:rPr>
      </w:pPr>
      <w:r>
        <w:rPr>
          <w:rFonts w:ascii="Times New Roman" w:hAnsi="Times New Roman" w:eastAsia="Times New Roman" w:cs="Times New Roman"/>
          <w:spacing w:val="-2"/>
          <w:sz w:val="24"/>
          <w:szCs w:val="24"/>
        </w:rPr>
        <w:t>(8)</w:t>
      </w:r>
      <w:r>
        <w:rPr>
          <w:rFonts w:hint="eastAsia" w:ascii="Times New Roman" w:hAnsi="Times New Roman" w:eastAsia="宋体" w:cs="Times New Roman"/>
          <w:spacing w:val="-2"/>
          <w:sz w:val="24"/>
          <w:szCs w:val="24"/>
          <w:lang w:val="en-US" w:eastAsia="zh-CN"/>
        </w:rPr>
        <w:t>G</w:t>
      </w:r>
      <w:r>
        <w:rPr>
          <w:rFonts w:hint="eastAsia" w:ascii="Times New Roman" w:hAnsi="Times New Roman" w:eastAsia="宋体" w:cs="Times New Roman"/>
          <w:spacing w:val="-2"/>
          <w:sz w:val="24"/>
          <w:szCs w:val="24"/>
          <w:highlight w:val="none"/>
          <w:lang w:val="en-US" w:eastAsia="zh-CN"/>
        </w:rPr>
        <w:t>CS</w:t>
      </w:r>
      <w:r>
        <w:rPr>
          <w:rFonts w:ascii="Times New Roman" w:hAnsi="Times New Roman" w:eastAsia="Times New Roman" w:cs="Times New Roman"/>
          <w:spacing w:val="-2"/>
          <w:sz w:val="24"/>
          <w:szCs w:val="24"/>
          <w:highlight w:val="none"/>
        </w:rPr>
        <w:t xml:space="preserve"> </w:t>
      </w:r>
      <w:r>
        <w:rPr>
          <w:rFonts w:ascii="宋体" w:hAnsi="宋体" w:eastAsia="宋体" w:cs="宋体"/>
          <w:spacing w:val="-2"/>
          <w:sz w:val="24"/>
          <w:szCs w:val="24"/>
          <w:highlight w:val="none"/>
        </w:rPr>
        <w:t>开关柜柜体深度为1000</w:t>
      </w:r>
      <w:r>
        <w:rPr>
          <w:rFonts w:ascii="Times New Roman" w:hAnsi="Times New Roman" w:eastAsia="Times New Roman" w:cs="Times New Roman"/>
          <w:spacing w:val="-2"/>
          <w:sz w:val="24"/>
          <w:szCs w:val="24"/>
          <w:highlight w:val="none"/>
        </w:rPr>
        <w:t xml:space="preserve">mm,  </w:t>
      </w:r>
      <w:r>
        <w:rPr>
          <w:rFonts w:ascii="宋体" w:hAnsi="宋体" w:eastAsia="宋体" w:cs="宋体"/>
          <w:spacing w:val="-2"/>
          <w:sz w:val="24"/>
          <w:szCs w:val="24"/>
          <w:highlight w:val="none"/>
        </w:rPr>
        <w:t>柜体颜色</w:t>
      </w:r>
      <w:r>
        <w:rPr>
          <w:rFonts w:ascii="宋体" w:hAnsi="宋体" w:eastAsia="宋体" w:cs="宋体"/>
          <w:spacing w:val="-32"/>
          <w:sz w:val="24"/>
          <w:szCs w:val="24"/>
          <w:highlight w:val="none"/>
        </w:rPr>
        <w:t xml:space="preserve"> </w:t>
      </w:r>
      <w:r>
        <w:rPr>
          <w:rFonts w:ascii="宋体" w:hAnsi="宋体" w:eastAsia="宋体" w:cs="宋体"/>
          <w:spacing w:val="-2"/>
          <w:sz w:val="24"/>
          <w:szCs w:val="24"/>
          <w:highlight w:val="none"/>
        </w:rPr>
        <w:t>RAL7</w:t>
      </w:r>
      <w:r>
        <w:rPr>
          <w:rFonts w:ascii="宋体" w:hAnsi="宋体" w:eastAsia="宋体" w:cs="宋体"/>
          <w:spacing w:val="-3"/>
          <w:sz w:val="24"/>
          <w:szCs w:val="24"/>
          <w:highlight w:val="none"/>
        </w:rPr>
        <w:t>035</w:t>
      </w:r>
      <w:r>
        <w:rPr>
          <w:rFonts w:hint="eastAsia" w:ascii="宋体" w:hAnsi="宋体" w:eastAsia="宋体" w:cs="宋体"/>
          <w:spacing w:val="-3"/>
          <w:sz w:val="24"/>
          <w:szCs w:val="24"/>
          <w:highlight w:val="none"/>
          <w:lang w:val="en-US" w:eastAsia="zh-CN"/>
        </w:rPr>
        <w:t>(由甲方决定)</w:t>
      </w:r>
      <w:r>
        <w:rPr>
          <w:rFonts w:ascii="宋体" w:hAnsi="宋体" w:eastAsia="宋体" w:cs="宋体"/>
          <w:spacing w:val="-3"/>
          <w:sz w:val="24"/>
          <w:szCs w:val="24"/>
          <w:highlight w:val="none"/>
        </w:rPr>
        <w:t>。</w:t>
      </w:r>
    </w:p>
    <w:p w14:paraId="6B18EAAE">
      <w:pPr>
        <w:spacing w:before="202" w:line="360" w:lineRule="auto"/>
        <w:rPr>
          <w:rFonts w:ascii="宋体" w:hAnsi="宋体" w:eastAsia="宋体" w:cs="宋体"/>
          <w:sz w:val="24"/>
          <w:szCs w:val="24"/>
        </w:rPr>
      </w:pPr>
      <w:r>
        <w:fldChar w:fldCharType="begin"/>
      </w:r>
      <w:r>
        <w:instrText xml:space="preserve"> HYPERLINK "3.4.3.2" </w:instrText>
      </w:r>
      <w:r>
        <w:fldChar w:fldCharType="separate"/>
      </w:r>
      <w:r>
        <w:rPr>
          <w:rFonts w:ascii="宋体" w:hAnsi="宋体" w:eastAsia="宋体" w:cs="宋体"/>
          <w:spacing w:val="-3"/>
          <w:sz w:val="24"/>
          <w:szCs w:val="24"/>
        </w:rPr>
        <w:t>3.4.3.2</w:t>
      </w:r>
      <w:r>
        <w:rPr>
          <w:rFonts w:ascii="宋体" w:hAnsi="宋体" w:eastAsia="宋体" w:cs="宋体"/>
          <w:spacing w:val="-3"/>
          <w:sz w:val="24"/>
          <w:szCs w:val="24"/>
        </w:rPr>
        <w:fldChar w:fldCharType="end"/>
      </w:r>
      <w:r>
        <w:rPr>
          <w:rFonts w:ascii="宋体" w:hAnsi="宋体" w:eastAsia="宋体" w:cs="宋体"/>
          <w:spacing w:val="-3"/>
          <w:sz w:val="24"/>
          <w:szCs w:val="24"/>
        </w:rPr>
        <w:t xml:space="preserve"> 通风孔</w:t>
      </w:r>
    </w:p>
    <w:p w14:paraId="019817C4">
      <w:pPr>
        <w:spacing w:before="166" w:line="360" w:lineRule="auto"/>
        <w:rPr>
          <w:rFonts w:ascii="宋体" w:hAnsi="宋体" w:eastAsia="宋体" w:cs="宋体"/>
          <w:spacing w:val="-2"/>
          <w:sz w:val="24"/>
          <w:szCs w:val="24"/>
        </w:rPr>
      </w:pPr>
      <w:r>
        <w:rPr>
          <w:rFonts w:ascii="宋体" w:hAnsi="宋体" w:eastAsia="宋体" w:cs="宋体"/>
          <w:spacing w:val="-2"/>
          <w:sz w:val="24"/>
          <w:szCs w:val="24"/>
        </w:rPr>
        <w:t>(1)通风孔的设计和安装应使得当熔断器、断路器在正常工作时或在短路情况下没有电弧或可熔金属喷出。</w:t>
      </w:r>
    </w:p>
    <w:p w14:paraId="7E735B21">
      <w:pPr>
        <w:spacing w:before="192" w:line="360" w:lineRule="auto"/>
        <w:rPr>
          <w:rFonts w:ascii="宋体" w:hAnsi="宋体" w:eastAsia="宋体" w:cs="宋体"/>
          <w:sz w:val="24"/>
          <w:szCs w:val="24"/>
        </w:rPr>
      </w:pPr>
      <w:r>
        <w:rPr>
          <w:rFonts w:ascii="宋体" w:hAnsi="宋体" w:eastAsia="宋体" w:cs="宋体"/>
          <w:spacing w:val="2"/>
          <w:sz w:val="24"/>
          <w:szCs w:val="24"/>
        </w:rPr>
        <w:t>(2)通风孔的尺寸、形状及安装位置不应使整个外壳的强度下</w:t>
      </w:r>
      <w:r>
        <w:rPr>
          <w:rFonts w:ascii="宋体" w:hAnsi="宋体" w:eastAsia="宋体" w:cs="宋体"/>
          <w:spacing w:val="1"/>
          <w:sz w:val="24"/>
          <w:szCs w:val="24"/>
        </w:rPr>
        <w:t>降。</w:t>
      </w:r>
    </w:p>
    <w:p w14:paraId="26D8CF7A">
      <w:pPr>
        <w:spacing w:before="176" w:line="360" w:lineRule="auto"/>
        <w:ind w:right="12"/>
        <w:jc w:val="both"/>
        <w:rPr>
          <w:rFonts w:ascii="宋体" w:hAnsi="宋体" w:eastAsia="宋体" w:cs="宋体"/>
          <w:sz w:val="24"/>
          <w:szCs w:val="24"/>
        </w:rPr>
      </w:pPr>
      <w:r>
        <w:rPr>
          <w:rFonts w:ascii="宋体" w:hAnsi="宋体" w:eastAsia="宋体" w:cs="宋体"/>
          <w:spacing w:val="-1"/>
          <w:position w:val="17"/>
          <w:sz w:val="24"/>
          <w:szCs w:val="24"/>
        </w:rPr>
        <w:t>(3)通风孔的位置不应降低外壳的防护等级，并能防止由上面滴水或地板上</w:t>
      </w:r>
    </w:p>
    <w:p w14:paraId="7ED83E79">
      <w:pPr>
        <w:spacing w:before="1" w:line="360" w:lineRule="auto"/>
        <w:rPr>
          <w:rFonts w:ascii="宋体" w:hAnsi="宋体" w:eastAsia="宋体" w:cs="宋体"/>
          <w:sz w:val="24"/>
          <w:szCs w:val="24"/>
        </w:rPr>
      </w:pPr>
      <w:r>
        <w:rPr>
          <w:rFonts w:ascii="宋体" w:hAnsi="宋体" w:eastAsia="宋体" w:cs="宋体"/>
          <w:spacing w:val="-4"/>
          <w:sz w:val="24"/>
          <w:szCs w:val="24"/>
        </w:rPr>
        <w:t>溅起的水进入开关柜内。</w:t>
      </w:r>
    </w:p>
    <w:p w14:paraId="0350F100">
      <w:pPr>
        <w:spacing w:before="187" w:line="360" w:lineRule="auto"/>
        <w:rPr>
          <w:rFonts w:ascii="宋体" w:hAnsi="宋体" w:eastAsia="宋体" w:cs="宋体"/>
          <w:sz w:val="24"/>
          <w:szCs w:val="24"/>
        </w:rPr>
      </w:pPr>
      <w:r>
        <w:rPr>
          <w:rFonts w:ascii="宋体" w:hAnsi="宋体" w:eastAsia="宋体" w:cs="宋体"/>
          <w:spacing w:val="2"/>
          <w:sz w:val="24"/>
          <w:szCs w:val="24"/>
        </w:rPr>
        <w:t>(4)外壳顶部的通风孔应用覆板遮盖。</w:t>
      </w:r>
    </w:p>
    <w:p w14:paraId="3873BB6B">
      <w:pPr>
        <w:spacing w:before="194" w:line="360" w:lineRule="auto"/>
        <w:rPr>
          <w:rFonts w:ascii="宋体" w:hAnsi="宋体" w:eastAsia="宋体" w:cs="宋体"/>
          <w:spacing w:val="-3"/>
          <w:sz w:val="24"/>
          <w:szCs w:val="24"/>
        </w:rPr>
      </w:pPr>
      <w:r>
        <w:fldChar w:fldCharType="begin"/>
      </w:r>
      <w:r>
        <w:instrText xml:space="preserve"> HYPERLINK "3.4.3.4" </w:instrText>
      </w:r>
      <w:r>
        <w:fldChar w:fldCharType="separate"/>
      </w:r>
      <w:r>
        <w:rPr>
          <w:rFonts w:ascii="宋体" w:hAnsi="宋体" w:eastAsia="宋体" w:cs="宋体"/>
          <w:spacing w:val="-3"/>
          <w:sz w:val="24"/>
          <w:szCs w:val="24"/>
        </w:rPr>
        <w:t>3.4.3.</w:t>
      </w:r>
      <w:r>
        <w:rPr>
          <w:rFonts w:hint="eastAsia" w:ascii="宋体" w:hAnsi="宋体" w:eastAsia="宋体" w:cs="宋体"/>
          <w:spacing w:val="-3"/>
          <w:sz w:val="24"/>
          <w:szCs w:val="24"/>
          <w:lang w:val="en-US" w:eastAsia="zh-CN"/>
        </w:rPr>
        <w:t>3</w:t>
      </w:r>
      <w:r>
        <w:rPr>
          <w:rFonts w:ascii="宋体" w:hAnsi="宋体" w:eastAsia="宋体" w:cs="宋体"/>
          <w:spacing w:val="-3"/>
          <w:sz w:val="24"/>
          <w:szCs w:val="24"/>
        </w:rPr>
        <w:fldChar w:fldCharType="end"/>
      </w:r>
      <w:r>
        <w:rPr>
          <w:rFonts w:ascii="宋体" w:hAnsi="宋体" w:eastAsia="宋体" w:cs="宋体"/>
          <w:spacing w:val="-3"/>
          <w:sz w:val="24"/>
          <w:szCs w:val="24"/>
        </w:rPr>
        <w:t xml:space="preserve"> 功能单元</w:t>
      </w:r>
    </w:p>
    <w:p w14:paraId="619344CE">
      <w:pPr>
        <w:spacing w:before="194" w:line="360" w:lineRule="auto"/>
        <w:rPr>
          <w:rFonts w:ascii="宋体" w:hAnsi="宋体" w:eastAsia="宋体" w:cs="宋体"/>
          <w:sz w:val="24"/>
          <w:szCs w:val="24"/>
        </w:rPr>
      </w:pPr>
      <w:r>
        <w:rPr>
          <w:rFonts w:ascii="宋体" w:hAnsi="宋体" w:eastAsia="宋体" w:cs="宋体"/>
          <w:spacing w:val="5"/>
          <w:position w:val="16"/>
          <w:sz w:val="24"/>
          <w:szCs w:val="24"/>
        </w:rPr>
        <w:t>(1)即使主电路带电(但主开关应分断),也能用手直接或借助工具安全地将</w:t>
      </w:r>
    </w:p>
    <w:p w14:paraId="7C1D1EAB">
      <w:pPr>
        <w:spacing w:line="360" w:lineRule="auto"/>
        <w:rPr>
          <w:rFonts w:ascii="宋体" w:hAnsi="宋体" w:eastAsia="宋体" w:cs="宋体"/>
          <w:sz w:val="24"/>
          <w:szCs w:val="24"/>
        </w:rPr>
      </w:pPr>
      <w:r>
        <w:rPr>
          <w:rFonts w:ascii="宋体" w:hAnsi="宋体" w:eastAsia="宋体" w:cs="宋体"/>
          <w:spacing w:val="-8"/>
          <w:sz w:val="24"/>
          <w:szCs w:val="24"/>
        </w:rPr>
        <w:t>功能单元抽出或插入。</w:t>
      </w:r>
    </w:p>
    <w:p w14:paraId="7FC1F86A">
      <w:pPr>
        <w:spacing w:before="203" w:line="360" w:lineRule="auto"/>
        <w:rPr>
          <w:rFonts w:ascii="宋体" w:hAnsi="宋体" w:eastAsia="宋体" w:cs="宋体"/>
          <w:sz w:val="24"/>
          <w:szCs w:val="24"/>
        </w:rPr>
      </w:pPr>
      <w:r>
        <w:rPr>
          <w:rFonts w:ascii="宋体" w:hAnsi="宋体" w:eastAsia="宋体" w:cs="宋体"/>
          <w:sz w:val="24"/>
          <w:szCs w:val="24"/>
        </w:rPr>
        <w:t>(2)功能单元在单元隔室中应有三个明显的位置：</w:t>
      </w:r>
    </w:p>
    <w:p w14:paraId="76960919">
      <w:pPr>
        <w:spacing w:before="176" w:line="360" w:lineRule="auto"/>
        <w:ind w:left="489"/>
        <w:rPr>
          <w:rFonts w:ascii="宋体" w:hAnsi="宋体" w:eastAsia="宋体" w:cs="宋体"/>
          <w:sz w:val="24"/>
          <w:szCs w:val="24"/>
        </w:rPr>
      </w:pPr>
      <w:r>
        <w:rPr>
          <w:rFonts w:ascii="宋体" w:hAnsi="宋体" w:eastAsia="宋体" w:cs="宋体"/>
          <w:spacing w:val="-28"/>
          <w:sz w:val="24"/>
          <w:szCs w:val="24"/>
        </w:rPr>
        <w:t>·连接位置；</w:t>
      </w:r>
    </w:p>
    <w:p w14:paraId="63CE7114">
      <w:pPr>
        <w:spacing w:before="162" w:line="360" w:lineRule="auto"/>
        <w:ind w:left="489"/>
        <w:rPr>
          <w:rFonts w:ascii="宋体" w:hAnsi="宋体" w:eastAsia="宋体" w:cs="宋体"/>
          <w:sz w:val="24"/>
          <w:szCs w:val="24"/>
        </w:rPr>
      </w:pPr>
      <w:r>
        <w:rPr>
          <w:rFonts w:ascii="宋体" w:hAnsi="宋体" w:eastAsia="宋体" w:cs="宋体"/>
          <w:spacing w:val="-28"/>
          <w:sz w:val="24"/>
          <w:szCs w:val="24"/>
        </w:rPr>
        <w:t>·试验位置；</w:t>
      </w:r>
    </w:p>
    <w:p w14:paraId="5AE36F7A">
      <w:pPr>
        <w:spacing w:before="182" w:line="360" w:lineRule="auto"/>
        <w:ind w:left="489"/>
        <w:rPr>
          <w:rFonts w:ascii="宋体" w:hAnsi="宋体" w:eastAsia="宋体" w:cs="宋体"/>
          <w:sz w:val="24"/>
          <w:szCs w:val="24"/>
        </w:rPr>
      </w:pPr>
      <w:r>
        <w:rPr>
          <w:rFonts w:ascii="宋体" w:hAnsi="宋体" w:eastAsia="宋体" w:cs="宋体"/>
          <w:spacing w:val="-28"/>
          <w:sz w:val="24"/>
          <w:szCs w:val="24"/>
        </w:rPr>
        <w:t>·分离位置。</w:t>
      </w:r>
    </w:p>
    <w:p w14:paraId="185D0539">
      <w:pPr>
        <w:spacing w:before="203" w:line="360" w:lineRule="auto"/>
        <w:ind w:left="489"/>
        <w:rPr>
          <w:rFonts w:ascii="宋体" w:hAnsi="宋体" w:eastAsia="宋体" w:cs="宋体"/>
          <w:sz w:val="24"/>
          <w:szCs w:val="24"/>
        </w:rPr>
      </w:pPr>
      <w:r>
        <w:rPr>
          <w:rFonts w:ascii="宋体" w:hAnsi="宋体" w:eastAsia="宋体" w:cs="宋体"/>
          <w:spacing w:val="-2"/>
          <w:sz w:val="24"/>
          <w:szCs w:val="24"/>
        </w:rPr>
        <w:t>(3)当功能单元处于连接位置时，主开关处于分断位置时亦可视为试验位置。</w:t>
      </w:r>
    </w:p>
    <w:p w14:paraId="2CCE07FE">
      <w:pPr>
        <w:spacing w:before="183" w:line="360" w:lineRule="auto"/>
        <w:ind w:left="489"/>
        <w:rPr>
          <w:rFonts w:ascii="宋体" w:hAnsi="宋体" w:eastAsia="宋体" w:cs="宋体"/>
          <w:sz w:val="24"/>
          <w:szCs w:val="24"/>
        </w:rPr>
      </w:pPr>
      <w:r>
        <w:rPr>
          <w:rFonts w:ascii="宋体" w:hAnsi="宋体" w:eastAsia="宋体" w:cs="宋体"/>
          <w:spacing w:val="1"/>
          <w:sz w:val="24"/>
          <w:szCs w:val="24"/>
        </w:rPr>
        <w:t>(4)位置指示可以采用位置指示标牌，也可借助操作机构的位</w:t>
      </w:r>
      <w:r>
        <w:rPr>
          <w:rFonts w:ascii="宋体" w:hAnsi="宋体" w:eastAsia="宋体" w:cs="宋体"/>
          <w:sz w:val="24"/>
          <w:szCs w:val="24"/>
        </w:rPr>
        <w:t>置加以区别。</w:t>
      </w:r>
    </w:p>
    <w:p w14:paraId="35A99B59">
      <w:pPr>
        <w:spacing w:before="203" w:line="360" w:lineRule="auto"/>
        <w:ind w:left="489"/>
        <w:rPr>
          <w:rFonts w:ascii="宋体" w:hAnsi="宋体" w:eastAsia="宋体" w:cs="宋体"/>
          <w:spacing w:val="-2"/>
          <w:sz w:val="24"/>
          <w:szCs w:val="24"/>
        </w:rPr>
      </w:pPr>
      <w:r>
        <w:rPr>
          <w:rFonts w:ascii="宋体" w:hAnsi="宋体" w:eastAsia="宋体" w:cs="宋体"/>
          <w:spacing w:val="-2"/>
          <w:sz w:val="24"/>
          <w:szCs w:val="24"/>
        </w:rPr>
        <w:t>(5)功能单元在本节(2)条中的三个位置都应有机械定位装置，不允许因外力的作用而从一个位置移动到另一个位置。</w:t>
      </w:r>
    </w:p>
    <w:p w14:paraId="2C2B3858">
      <w:pPr>
        <w:spacing w:before="185" w:line="360" w:lineRule="auto"/>
        <w:ind w:right="423" w:firstLine="489"/>
        <w:rPr>
          <w:rFonts w:ascii="宋体" w:hAnsi="宋体" w:eastAsia="宋体" w:cs="宋体"/>
          <w:sz w:val="24"/>
          <w:szCs w:val="24"/>
        </w:rPr>
      </w:pPr>
      <w:r>
        <w:rPr>
          <w:rFonts w:ascii="宋体" w:hAnsi="宋体" w:eastAsia="宋体" w:cs="宋体"/>
          <w:spacing w:val="3"/>
          <w:sz w:val="24"/>
          <w:szCs w:val="24"/>
        </w:rPr>
        <w:t>(6)功能单元的主电路隔离接插件(包括进线和出线)应该跟随功能单元自动</w:t>
      </w:r>
      <w:r>
        <w:rPr>
          <w:rFonts w:ascii="宋体" w:hAnsi="宋体" w:eastAsia="宋体" w:cs="宋体"/>
          <w:sz w:val="24"/>
          <w:szCs w:val="24"/>
        </w:rPr>
        <w:t xml:space="preserve"> </w:t>
      </w:r>
      <w:r>
        <w:rPr>
          <w:rFonts w:ascii="宋体" w:hAnsi="宋体" w:eastAsia="宋体" w:cs="宋体"/>
          <w:spacing w:val="-2"/>
          <w:sz w:val="24"/>
          <w:szCs w:val="24"/>
        </w:rPr>
        <w:t>地接通和分离、辅助电路隔离接插件则可以是自动接通和分离，也可以通过手动</w:t>
      </w:r>
      <w:r>
        <w:rPr>
          <w:rFonts w:ascii="宋体" w:hAnsi="宋体" w:eastAsia="宋体" w:cs="宋体"/>
          <w:spacing w:val="-9"/>
          <w:sz w:val="24"/>
          <w:szCs w:val="24"/>
        </w:rPr>
        <w:t>来完成。</w:t>
      </w:r>
    </w:p>
    <w:p w14:paraId="7CA867ED">
      <w:pPr>
        <w:spacing w:before="206" w:line="360" w:lineRule="auto"/>
        <w:ind w:left="489"/>
        <w:rPr>
          <w:rFonts w:ascii="宋体" w:hAnsi="宋体" w:eastAsia="宋体" w:cs="宋体"/>
          <w:sz w:val="24"/>
          <w:szCs w:val="24"/>
        </w:rPr>
      </w:pPr>
      <w:r>
        <w:rPr>
          <w:rFonts w:ascii="宋体" w:hAnsi="宋体" w:eastAsia="宋体" w:cs="宋体"/>
          <w:sz w:val="24"/>
          <w:szCs w:val="24"/>
        </w:rPr>
        <w:t>(7)如功能单元上装有电路连接插头，它的动作状态是：</w:t>
      </w:r>
    </w:p>
    <w:p w14:paraId="703BC0F8">
      <w:pPr>
        <w:spacing w:before="185" w:line="360" w:lineRule="auto"/>
        <w:ind w:left="489"/>
        <w:rPr>
          <w:rFonts w:ascii="宋体" w:hAnsi="宋体" w:eastAsia="宋体" w:cs="宋体"/>
          <w:sz w:val="24"/>
          <w:szCs w:val="24"/>
        </w:rPr>
      </w:pPr>
      <w:r>
        <w:rPr>
          <w:rFonts w:ascii="宋体" w:hAnsi="宋体" w:eastAsia="宋体" w:cs="宋体"/>
          <w:spacing w:val="-1"/>
          <w:position w:val="16"/>
          <w:sz w:val="24"/>
          <w:szCs w:val="24"/>
        </w:rPr>
        <w:t>当主电路隔离接插件与主带电导体连接之前保护电路连接插头与外壳的保护</w:t>
      </w:r>
    </w:p>
    <w:p w14:paraId="1BC49F96">
      <w:pPr>
        <w:spacing w:before="1" w:line="360" w:lineRule="auto"/>
        <w:rPr>
          <w:rFonts w:ascii="宋体" w:hAnsi="宋体" w:eastAsia="宋体" w:cs="宋体"/>
          <w:sz w:val="24"/>
          <w:szCs w:val="24"/>
        </w:rPr>
      </w:pPr>
      <w:r>
        <w:rPr>
          <w:rFonts w:ascii="宋体" w:hAnsi="宋体" w:eastAsia="宋体" w:cs="宋体"/>
          <w:spacing w:val="-8"/>
          <w:sz w:val="24"/>
          <w:szCs w:val="24"/>
        </w:rPr>
        <w:t>导体先接通。</w:t>
      </w:r>
    </w:p>
    <w:p w14:paraId="0CC26157">
      <w:pPr>
        <w:spacing w:before="184" w:line="360" w:lineRule="auto"/>
        <w:ind w:left="489"/>
        <w:rPr>
          <w:rFonts w:ascii="宋体" w:hAnsi="宋体" w:eastAsia="宋体" w:cs="宋体"/>
          <w:sz w:val="24"/>
          <w:szCs w:val="24"/>
        </w:rPr>
      </w:pPr>
      <w:r>
        <w:rPr>
          <w:rFonts w:ascii="宋体" w:hAnsi="宋体" w:eastAsia="宋体" w:cs="宋体"/>
          <w:spacing w:val="-1"/>
          <w:position w:val="17"/>
          <w:sz w:val="24"/>
          <w:szCs w:val="24"/>
        </w:rPr>
        <w:t>当主电路隔离接插件与主带电导体分离后，保护电路连接插头才允许与保护</w:t>
      </w:r>
    </w:p>
    <w:p w14:paraId="7D76A104">
      <w:pPr>
        <w:spacing w:line="360" w:lineRule="auto"/>
        <w:rPr>
          <w:rFonts w:ascii="宋体" w:hAnsi="宋体" w:eastAsia="宋体" w:cs="宋体"/>
          <w:sz w:val="24"/>
          <w:szCs w:val="24"/>
        </w:rPr>
      </w:pPr>
      <w:r>
        <w:rPr>
          <w:rFonts w:ascii="宋体" w:hAnsi="宋体" w:eastAsia="宋体" w:cs="宋体"/>
          <w:spacing w:val="-9"/>
          <w:sz w:val="24"/>
          <w:szCs w:val="24"/>
        </w:rPr>
        <w:t>导体分离。</w:t>
      </w:r>
    </w:p>
    <w:p w14:paraId="15CCE85D">
      <w:pPr>
        <w:spacing w:before="202" w:line="360" w:lineRule="auto"/>
        <w:ind w:left="489"/>
        <w:rPr>
          <w:rFonts w:ascii="宋体" w:hAnsi="宋体" w:eastAsia="宋体" w:cs="宋体"/>
          <w:sz w:val="24"/>
          <w:szCs w:val="24"/>
        </w:rPr>
      </w:pPr>
      <w:r>
        <w:rPr>
          <w:rFonts w:ascii="宋体" w:hAnsi="宋体" w:eastAsia="宋体" w:cs="宋体"/>
          <w:spacing w:val="2"/>
          <w:position w:val="15"/>
          <w:sz w:val="24"/>
          <w:szCs w:val="24"/>
        </w:rPr>
        <w:t>(8)功能单元在连接位置的定位机构应保证当短路事故发生时不因电动应力</w:t>
      </w:r>
    </w:p>
    <w:p w14:paraId="264BE9D5">
      <w:pPr>
        <w:spacing w:line="360" w:lineRule="auto"/>
        <w:rPr>
          <w:rFonts w:ascii="宋体" w:hAnsi="宋体" w:eastAsia="宋体" w:cs="宋体"/>
          <w:sz w:val="24"/>
          <w:szCs w:val="24"/>
        </w:rPr>
      </w:pPr>
      <w:r>
        <w:rPr>
          <w:rFonts w:ascii="宋体" w:hAnsi="宋体" w:eastAsia="宋体" w:cs="宋体"/>
          <w:spacing w:val="-3"/>
          <w:sz w:val="24"/>
          <w:szCs w:val="24"/>
        </w:rPr>
        <w:t>而使主电路隔离接插件与主带电导体误接通。</w:t>
      </w:r>
    </w:p>
    <w:p w14:paraId="536D14E3">
      <w:pPr>
        <w:spacing w:before="185" w:line="360" w:lineRule="auto"/>
        <w:ind w:left="489"/>
        <w:rPr>
          <w:rFonts w:ascii="宋体" w:hAnsi="宋体" w:eastAsia="宋体" w:cs="宋体"/>
          <w:sz w:val="24"/>
          <w:szCs w:val="24"/>
        </w:rPr>
      </w:pPr>
      <w:r>
        <w:rPr>
          <w:rFonts w:ascii="宋体" w:hAnsi="宋体" w:eastAsia="宋体" w:cs="宋体"/>
          <w:spacing w:val="2"/>
          <w:position w:val="16"/>
          <w:sz w:val="24"/>
          <w:szCs w:val="24"/>
        </w:rPr>
        <w:t>(9)相同的功能单元应具有互换性，即使是在短路事故发生后，其互换性也</w:t>
      </w:r>
    </w:p>
    <w:p w14:paraId="3760AE42">
      <w:pPr>
        <w:spacing w:line="360" w:lineRule="auto"/>
        <w:rPr>
          <w:rFonts w:ascii="宋体" w:hAnsi="宋体" w:eastAsia="宋体" w:cs="宋体"/>
          <w:sz w:val="24"/>
          <w:szCs w:val="24"/>
        </w:rPr>
      </w:pPr>
      <w:r>
        <w:rPr>
          <w:rFonts w:ascii="宋体" w:hAnsi="宋体" w:eastAsia="宋体" w:cs="宋体"/>
          <w:spacing w:val="-12"/>
          <w:sz w:val="24"/>
          <w:szCs w:val="24"/>
        </w:rPr>
        <w:t>不能破坏。</w:t>
      </w:r>
    </w:p>
    <w:p w14:paraId="0466C0E2">
      <w:pPr>
        <w:spacing w:before="195" w:line="360" w:lineRule="auto"/>
        <w:ind w:left="489"/>
        <w:rPr>
          <w:rFonts w:ascii="宋体" w:hAnsi="宋体" w:eastAsia="宋体" w:cs="宋体"/>
          <w:sz w:val="24"/>
          <w:szCs w:val="24"/>
        </w:rPr>
      </w:pPr>
      <w:r>
        <w:fldChar w:fldCharType="begin"/>
      </w:r>
      <w:r>
        <w:instrText xml:space="preserve"> HYPERLINK "3.4.3.5" </w:instrText>
      </w:r>
      <w:r>
        <w:fldChar w:fldCharType="separate"/>
      </w:r>
      <w:r>
        <w:rPr>
          <w:rFonts w:ascii="宋体" w:hAnsi="宋体" w:eastAsia="宋体" w:cs="宋体"/>
          <w:spacing w:val="-3"/>
          <w:sz w:val="24"/>
          <w:szCs w:val="24"/>
        </w:rPr>
        <w:t>3.4.3.5</w:t>
      </w:r>
      <w:r>
        <w:rPr>
          <w:rFonts w:ascii="宋体" w:hAnsi="宋体" w:eastAsia="宋体" w:cs="宋体"/>
          <w:spacing w:val="-3"/>
          <w:sz w:val="24"/>
          <w:szCs w:val="24"/>
        </w:rPr>
        <w:fldChar w:fldCharType="end"/>
      </w:r>
      <w:r>
        <w:rPr>
          <w:rFonts w:ascii="宋体" w:hAnsi="宋体" w:eastAsia="宋体" w:cs="宋体"/>
          <w:spacing w:val="30"/>
          <w:sz w:val="24"/>
          <w:szCs w:val="24"/>
        </w:rPr>
        <w:t xml:space="preserve"> </w:t>
      </w:r>
      <w:r>
        <w:rPr>
          <w:rFonts w:ascii="宋体" w:hAnsi="宋体" w:eastAsia="宋体" w:cs="宋体"/>
          <w:spacing w:val="-3"/>
          <w:sz w:val="24"/>
          <w:szCs w:val="24"/>
        </w:rPr>
        <w:t>联锁</w:t>
      </w:r>
    </w:p>
    <w:p w14:paraId="02130575">
      <w:pPr>
        <w:spacing w:before="180" w:line="360" w:lineRule="auto"/>
        <w:ind w:left="489"/>
        <w:rPr>
          <w:rFonts w:ascii="宋体" w:hAnsi="宋体" w:eastAsia="宋体" w:cs="宋体"/>
          <w:sz w:val="24"/>
          <w:szCs w:val="24"/>
        </w:rPr>
      </w:pPr>
      <w:r>
        <w:rPr>
          <w:rFonts w:ascii="宋体" w:hAnsi="宋体" w:eastAsia="宋体" w:cs="宋体"/>
          <w:spacing w:val="-5"/>
          <w:sz w:val="24"/>
          <w:szCs w:val="24"/>
        </w:rPr>
        <w:t>应提供如下辅助开关和机械联锁：</w:t>
      </w:r>
    </w:p>
    <w:p w14:paraId="0346ED91">
      <w:pPr>
        <w:spacing w:before="177" w:line="360" w:lineRule="auto"/>
        <w:ind w:right="429" w:firstLine="489"/>
        <w:rPr>
          <w:rFonts w:ascii="宋体" w:hAnsi="宋体" w:eastAsia="宋体" w:cs="宋体"/>
          <w:sz w:val="24"/>
          <w:szCs w:val="24"/>
        </w:rPr>
      </w:pPr>
      <w:r>
        <w:rPr>
          <w:rFonts w:ascii="宋体" w:hAnsi="宋体" w:eastAsia="宋体" w:cs="宋体"/>
          <w:spacing w:val="3"/>
          <w:sz w:val="24"/>
          <w:szCs w:val="24"/>
        </w:rPr>
        <w:t>(1)安装一只位置开关，当断路器从“接通”位置抽出时应动作。该</w:t>
      </w:r>
      <w:r>
        <w:rPr>
          <w:rFonts w:ascii="宋体" w:hAnsi="宋体" w:eastAsia="宋体" w:cs="宋体"/>
          <w:spacing w:val="2"/>
          <w:sz w:val="24"/>
          <w:szCs w:val="24"/>
        </w:rPr>
        <w:t>位置开</w:t>
      </w:r>
      <w:r>
        <w:rPr>
          <w:rFonts w:ascii="宋体" w:hAnsi="宋体" w:eastAsia="宋体" w:cs="宋体"/>
          <w:sz w:val="24"/>
          <w:szCs w:val="24"/>
        </w:rPr>
        <w:t>关在断路器回复到“接通”位置之前，它应保持</w:t>
      </w:r>
      <w:r>
        <w:rPr>
          <w:rFonts w:ascii="宋体" w:hAnsi="宋体" w:eastAsia="宋体" w:cs="宋体"/>
          <w:spacing w:val="-1"/>
          <w:sz w:val="24"/>
          <w:szCs w:val="24"/>
        </w:rPr>
        <w:t>在动作的位置上。位置开关是用</w:t>
      </w:r>
    </w:p>
    <w:p w14:paraId="302847D6">
      <w:pPr>
        <w:spacing w:line="360" w:lineRule="auto"/>
        <w:rPr>
          <w:rFonts w:ascii="宋体" w:hAnsi="宋体" w:eastAsia="宋体" w:cs="宋体"/>
          <w:sz w:val="24"/>
          <w:szCs w:val="24"/>
        </w:rPr>
      </w:pPr>
      <w:r>
        <w:rPr>
          <w:rFonts w:ascii="宋体" w:hAnsi="宋体" w:eastAsia="宋体" w:cs="宋体"/>
          <w:spacing w:val="-1"/>
          <w:sz w:val="24"/>
          <w:szCs w:val="24"/>
        </w:rPr>
        <w:t>来使断路器从“接通”位置抽出时将断路器从“远方”变</w:t>
      </w:r>
      <w:r>
        <w:rPr>
          <w:rFonts w:ascii="宋体" w:hAnsi="宋体" w:eastAsia="宋体" w:cs="宋体"/>
          <w:spacing w:val="-2"/>
          <w:sz w:val="24"/>
          <w:szCs w:val="24"/>
        </w:rPr>
        <w:t>换到“就地”控制的。</w:t>
      </w:r>
    </w:p>
    <w:p w14:paraId="667CB6A0">
      <w:pPr>
        <w:spacing w:before="174" w:line="360" w:lineRule="auto"/>
        <w:ind w:left="489"/>
        <w:rPr>
          <w:rFonts w:ascii="宋体" w:hAnsi="宋体" w:eastAsia="宋体" w:cs="宋体"/>
          <w:sz w:val="24"/>
          <w:szCs w:val="24"/>
        </w:rPr>
      </w:pPr>
      <w:r>
        <w:rPr>
          <w:rFonts w:ascii="宋体" w:hAnsi="宋体" w:eastAsia="宋体" w:cs="宋体"/>
          <w:position w:val="17"/>
          <w:sz w:val="24"/>
          <w:szCs w:val="24"/>
        </w:rPr>
        <w:t>(2)功能单元与小室的门必须设置机械联锁。当主开关(</w:t>
      </w:r>
      <w:r>
        <w:rPr>
          <w:rFonts w:ascii="宋体" w:hAnsi="宋体" w:eastAsia="宋体" w:cs="宋体"/>
          <w:spacing w:val="-1"/>
          <w:position w:val="17"/>
          <w:sz w:val="24"/>
          <w:szCs w:val="24"/>
        </w:rPr>
        <w:t>断路器或熔断器式刀</w:t>
      </w:r>
    </w:p>
    <w:p w14:paraId="1C8DFBBE">
      <w:pPr>
        <w:spacing w:before="1" w:line="360" w:lineRule="auto"/>
        <w:rPr>
          <w:rFonts w:ascii="宋体" w:hAnsi="宋体" w:eastAsia="宋体" w:cs="宋体"/>
          <w:sz w:val="24"/>
          <w:szCs w:val="24"/>
        </w:rPr>
      </w:pPr>
      <w:r>
        <w:rPr>
          <w:rFonts w:ascii="宋体" w:hAnsi="宋体" w:eastAsia="宋体" w:cs="宋体"/>
          <w:spacing w:val="-2"/>
          <w:sz w:val="24"/>
          <w:szCs w:val="24"/>
        </w:rPr>
        <w:t>开关)处于分断位置，门才能打开，否则门打不开。</w:t>
      </w:r>
    </w:p>
    <w:p w14:paraId="4423CB55">
      <w:pPr>
        <w:spacing w:before="168" w:line="360" w:lineRule="auto"/>
        <w:ind w:left="239"/>
        <w:rPr>
          <w:rFonts w:ascii="宋体" w:hAnsi="宋体" w:eastAsia="宋体" w:cs="宋体"/>
          <w:sz w:val="24"/>
          <w:szCs w:val="24"/>
        </w:rPr>
      </w:pPr>
      <w:r>
        <w:rPr>
          <w:rFonts w:ascii="宋体" w:hAnsi="宋体" w:eastAsia="宋体" w:cs="宋体"/>
          <w:spacing w:val="2"/>
          <w:sz w:val="24"/>
          <w:szCs w:val="24"/>
        </w:rPr>
        <w:t>(3)为了防止未经允许的操作，主开关的操作机构应能使用挂锁将其锁在分</w:t>
      </w:r>
      <w:r>
        <w:rPr>
          <w:rFonts w:ascii="宋体" w:hAnsi="宋体" w:eastAsia="宋体" w:cs="宋体"/>
          <w:spacing w:val="11"/>
          <w:sz w:val="24"/>
          <w:szCs w:val="24"/>
        </w:rPr>
        <w:t>断位置上。</w:t>
      </w:r>
    </w:p>
    <w:p w14:paraId="6F00C8B0">
      <w:pPr>
        <w:spacing w:before="194" w:line="360" w:lineRule="auto"/>
        <w:ind w:left="759"/>
        <w:rPr>
          <w:rFonts w:ascii="宋体" w:hAnsi="宋体" w:eastAsia="宋体" w:cs="宋体"/>
          <w:sz w:val="24"/>
          <w:szCs w:val="24"/>
        </w:rPr>
      </w:pPr>
      <w:r>
        <w:rPr>
          <w:rFonts w:ascii="宋体" w:hAnsi="宋体" w:eastAsia="宋体" w:cs="宋体"/>
          <w:spacing w:val="2"/>
          <w:position w:val="16"/>
          <w:sz w:val="24"/>
          <w:szCs w:val="24"/>
        </w:rPr>
        <w:t>(4)当特殊需要时，可设置一个解锁机构</w:t>
      </w:r>
      <w:r>
        <w:rPr>
          <w:rFonts w:ascii="宋体" w:hAnsi="宋体" w:eastAsia="宋体" w:cs="宋体"/>
          <w:spacing w:val="1"/>
          <w:position w:val="16"/>
          <w:sz w:val="24"/>
          <w:szCs w:val="24"/>
        </w:rPr>
        <w:t>，以便主开关处于接通位置时，也</w:t>
      </w:r>
    </w:p>
    <w:p w14:paraId="3ECDE25C">
      <w:pPr>
        <w:spacing w:line="360" w:lineRule="auto"/>
        <w:ind w:left="239"/>
        <w:rPr>
          <w:rFonts w:ascii="宋体" w:hAnsi="宋体" w:eastAsia="宋体" w:cs="宋体"/>
          <w:sz w:val="24"/>
          <w:szCs w:val="24"/>
        </w:rPr>
      </w:pPr>
      <w:r>
        <w:rPr>
          <w:rFonts w:ascii="宋体" w:hAnsi="宋体" w:eastAsia="宋体" w:cs="宋体"/>
          <w:spacing w:val="-8"/>
          <w:sz w:val="24"/>
          <w:szCs w:val="24"/>
        </w:rPr>
        <w:t>能将门打开。</w:t>
      </w:r>
    </w:p>
    <w:p w14:paraId="7238E0DB">
      <w:pPr>
        <w:spacing w:before="185" w:line="360" w:lineRule="auto"/>
        <w:ind w:left="759"/>
        <w:rPr>
          <w:rFonts w:ascii="宋体" w:hAnsi="宋体" w:eastAsia="宋体" w:cs="宋体"/>
          <w:sz w:val="24"/>
          <w:szCs w:val="24"/>
        </w:rPr>
      </w:pPr>
      <w:r>
        <w:fldChar w:fldCharType="begin"/>
      </w:r>
      <w:r>
        <w:instrText xml:space="preserve"> HYPERLINK "3.4.3.6" </w:instrText>
      </w:r>
      <w:r>
        <w:fldChar w:fldCharType="separate"/>
      </w:r>
      <w:r>
        <w:rPr>
          <w:rFonts w:ascii="宋体" w:hAnsi="宋体" w:eastAsia="宋体" w:cs="宋体"/>
          <w:spacing w:val="-3"/>
          <w:sz w:val="24"/>
          <w:szCs w:val="24"/>
        </w:rPr>
        <w:t>3.4.3.6</w:t>
      </w:r>
      <w:r>
        <w:rPr>
          <w:rFonts w:ascii="宋体" w:hAnsi="宋体" w:eastAsia="宋体" w:cs="宋体"/>
          <w:spacing w:val="-3"/>
          <w:sz w:val="24"/>
          <w:szCs w:val="24"/>
        </w:rPr>
        <w:fldChar w:fldCharType="end"/>
      </w:r>
      <w:r>
        <w:rPr>
          <w:rFonts w:ascii="宋体" w:hAnsi="宋体" w:eastAsia="宋体" w:cs="宋体"/>
          <w:spacing w:val="-3"/>
          <w:sz w:val="24"/>
          <w:szCs w:val="24"/>
        </w:rPr>
        <w:t xml:space="preserve"> 主母线和分支母线</w:t>
      </w:r>
    </w:p>
    <w:p w14:paraId="4BD9EAF8">
      <w:pPr>
        <w:spacing w:before="190" w:line="360" w:lineRule="auto"/>
        <w:ind w:left="759"/>
        <w:rPr>
          <w:rFonts w:ascii="宋体" w:hAnsi="宋体" w:eastAsia="宋体" w:cs="宋体"/>
          <w:sz w:val="24"/>
          <w:szCs w:val="24"/>
        </w:rPr>
      </w:pPr>
      <w:r>
        <w:rPr>
          <w:rFonts w:ascii="宋体" w:hAnsi="宋体" w:eastAsia="宋体" w:cs="宋体"/>
          <w:spacing w:val="11"/>
          <w:position w:val="17"/>
          <w:sz w:val="24"/>
          <w:szCs w:val="24"/>
        </w:rPr>
        <w:t>(1)主母线、分支母线(包括抽屉的一、二次触头),选用高导电率的铜(&gt;</w:t>
      </w:r>
    </w:p>
    <w:p w14:paraId="2430F4E5">
      <w:pPr>
        <w:spacing w:line="360" w:lineRule="auto"/>
        <w:ind w:left="239"/>
        <w:rPr>
          <w:rFonts w:ascii="宋体" w:hAnsi="宋体" w:eastAsia="宋体" w:cs="宋体"/>
          <w:sz w:val="24"/>
          <w:szCs w:val="24"/>
        </w:rPr>
      </w:pPr>
      <w:r>
        <w:rPr>
          <w:rFonts w:ascii="宋体" w:hAnsi="宋体" w:eastAsia="宋体" w:cs="宋体"/>
          <w:spacing w:val="2"/>
          <w:sz w:val="24"/>
          <w:szCs w:val="24"/>
        </w:rPr>
        <w:t>99.9%)材料制造并且镀锡。母线都应予以绝缘。</w:t>
      </w:r>
    </w:p>
    <w:p w14:paraId="7A3574E2">
      <w:pPr>
        <w:spacing w:before="186" w:line="360" w:lineRule="auto"/>
        <w:ind w:left="759"/>
        <w:rPr>
          <w:rFonts w:ascii="宋体" w:hAnsi="宋体" w:eastAsia="宋体" w:cs="宋体"/>
          <w:sz w:val="24"/>
          <w:szCs w:val="24"/>
        </w:rPr>
      </w:pPr>
      <w:r>
        <w:rPr>
          <w:rFonts w:ascii="宋体" w:hAnsi="宋体" w:eastAsia="宋体" w:cs="宋体"/>
          <w:spacing w:val="1"/>
          <w:sz w:val="24"/>
          <w:szCs w:val="24"/>
        </w:rPr>
        <w:t>(2)母线采用螺栓连接时，每个连接头应不少于两个螺栓。</w:t>
      </w:r>
    </w:p>
    <w:p w14:paraId="2E27FB41">
      <w:pPr>
        <w:spacing w:before="177" w:line="360" w:lineRule="auto"/>
        <w:ind w:left="759"/>
        <w:rPr>
          <w:rFonts w:ascii="宋体" w:hAnsi="宋体" w:eastAsia="宋体" w:cs="宋体"/>
          <w:sz w:val="24"/>
          <w:szCs w:val="24"/>
        </w:rPr>
      </w:pPr>
      <w:r>
        <w:rPr>
          <w:rFonts w:ascii="宋体" w:hAnsi="宋体" w:eastAsia="宋体" w:cs="宋体"/>
          <w:sz w:val="24"/>
          <w:szCs w:val="24"/>
        </w:rPr>
        <w:t>(3)绝缘导线应选用铜制多股绞线。</w:t>
      </w:r>
    </w:p>
    <w:p w14:paraId="7D6FC913">
      <w:pPr>
        <w:spacing w:before="182" w:line="360" w:lineRule="auto"/>
        <w:ind w:left="759"/>
        <w:rPr>
          <w:rFonts w:ascii="宋体" w:hAnsi="宋体" w:eastAsia="宋体" w:cs="宋体"/>
          <w:sz w:val="24"/>
          <w:szCs w:val="24"/>
        </w:rPr>
      </w:pPr>
      <w:r>
        <w:rPr>
          <w:rFonts w:ascii="宋体" w:hAnsi="宋体" w:eastAsia="宋体" w:cs="宋体"/>
          <w:spacing w:val="2"/>
          <w:position w:val="17"/>
          <w:sz w:val="24"/>
          <w:szCs w:val="24"/>
        </w:rPr>
        <w:t>(4)主母线支架及母线绝缘材料应具有低吸潮特性，在设备使用寿命期间内</w:t>
      </w:r>
    </w:p>
    <w:p w14:paraId="4EC391A2">
      <w:pPr>
        <w:spacing w:before="1" w:line="360" w:lineRule="auto"/>
        <w:ind w:left="239"/>
        <w:rPr>
          <w:rFonts w:ascii="宋体" w:hAnsi="宋体" w:eastAsia="宋体" w:cs="宋体"/>
          <w:sz w:val="24"/>
          <w:szCs w:val="24"/>
        </w:rPr>
      </w:pPr>
      <w:r>
        <w:rPr>
          <w:rFonts w:ascii="宋体" w:hAnsi="宋体" w:eastAsia="宋体" w:cs="宋体"/>
          <w:spacing w:val="-5"/>
          <w:sz w:val="24"/>
          <w:szCs w:val="24"/>
        </w:rPr>
        <w:t>设备的机械和介质强度不应降低。</w:t>
      </w:r>
    </w:p>
    <w:p w14:paraId="7DE7CE26">
      <w:pPr>
        <w:spacing w:before="186" w:line="360" w:lineRule="auto"/>
        <w:ind w:left="759"/>
        <w:rPr>
          <w:rFonts w:ascii="宋体" w:hAnsi="宋体" w:eastAsia="宋体" w:cs="宋体"/>
          <w:sz w:val="24"/>
          <w:szCs w:val="24"/>
        </w:rPr>
      </w:pPr>
      <w:r>
        <w:rPr>
          <w:rFonts w:ascii="宋体" w:hAnsi="宋体" w:eastAsia="宋体" w:cs="宋体"/>
          <w:spacing w:val="2"/>
          <w:position w:val="16"/>
          <w:sz w:val="24"/>
          <w:szCs w:val="24"/>
        </w:rPr>
        <w:t>(5)应设置垂直母线关闭遮板，当可抽出单元抽出时可以防止意外触及垂直</w:t>
      </w:r>
    </w:p>
    <w:p w14:paraId="59C40B3B">
      <w:pPr>
        <w:spacing w:line="360" w:lineRule="auto"/>
        <w:ind w:left="239"/>
        <w:rPr>
          <w:rFonts w:ascii="宋体" w:hAnsi="宋体" w:eastAsia="宋体" w:cs="宋体"/>
          <w:sz w:val="24"/>
          <w:szCs w:val="24"/>
        </w:rPr>
      </w:pPr>
      <w:r>
        <w:rPr>
          <w:rFonts w:ascii="宋体" w:hAnsi="宋体" w:eastAsia="宋体" w:cs="宋体"/>
          <w:spacing w:val="-5"/>
          <w:sz w:val="24"/>
          <w:szCs w:val="24"/>
        </w:rPr>
        <w:t>母线。</w:t>
      </w:r>
    </w:p>
    <w:p w14:paraId="35AEF14A">
      <w:pPr>
        <w:spacing w:before="203" w:line="360" w:lineRule="auto"/>
        <w:ind w:left="759"/>
        <w:rPr>
          <w:rFonts w:ascii="宋体" w:hAnsi="宋体" w:eastAsia="宋体" w:cs="宋体"/>
          <w:sz w:val="24"/>
          <w:szCs w:val="24"/>
        </w:rPr>
      </w:pPr>
      <w:r>
        <w:rPr>
          <w:rFonts w:ascii="宋体" w:hAnsi="宋体" w:eastAsia="宋体" w:cs="宋体"/>
          <w:spacing w:val="5"/>
          <w:position w:val="19"/>
          <w:sz w:val="24"/>
          <w:szCs w:val="24"/>
        </w:rPr>
        <w:t>(6)中性母线应全绝缘，其电流额定值应为相母线的50%及以上</w:t>
      </w:r>
      <w:r>
        <w:rPr>
          <w:rFonts w:ascii="宋体" w:hAnsi="宋体" w:eastAsia="宋体" w:cs="宋体"/>
          <w:spacing w:val="4"/>
          <w:position w:val="19"/>
          <w:sz w:val="24"/>
          <w:szCs w:val="24"/>
        </w:rPr>
        <w:t>。该中性母</w:t>
      </w:r>
    </w:p>
    <w:p w14:paraId="291D20D2">
      <w:pPr>
        <w:spacing w:line="360" w:lineRule="auto"/>
        <w:jc w:val="right"/>
        <w:rPr>
          <w:rFonts w:ascii="宋体" w:hAnsi="宋体" w:eastAsia="宋体" w:cs="宋体"/>
          <w:sz w:val="24"/>
          <w:szCs w:val="24"/>
        </w:rPr>
      </w:pPr>
      <w:r>
        <w:rPr>
          <w:rFonts w:ascii="宋体" w:hAnsi="宋体" w:eastAsia="宋体" w:cs="宋体"/>
          <w:spacing w:val="-1"/>
          <w:sz w:val="24"/>
          <w:szCs w:val="24"/>
        </w:rPr>
        <w:t>线应由2根独立引线接到开关柜接地母线上，独立引</w:t>
      </w:r>
      <w:r>
        <w:rPr>
          <w:rFonts w:ascii="宋体" w:hAnsi="宋体" w:eastAsia="宋体" w:cs="宋体"/>
          <w:spacing w:val="-2"/>
          <w:sz w:val="24"/>
          <w:szCs w:val="24"/>
        </w:rPr>
        <w:t>线规格不低于接地母线规格。</w:t>
      </w:r>
    </w:p>
    <w:p w14:paraId="649832A2">
      <w:pPr>
        <w:spacing w:before="165" w:line="360" w:lineRule="auto"/>
        <w:ind w:left="759"/>
        <w:rPr>
          <w:rFonts w:ascii="宋体" w:hAnsi="宋体" w:eastAsia="宋体" w:cs="宋体"/>
          <w:sz w:val="24"/>
          <w:szCs w:val="24"/>
        </w:rPr>
      </w:pPr>
      <w:r>
        <w:fldChar w:fldCharType="begin"/>
      </w:r>
      <w:r>
        <w:instrText xml:space="preserve"> HYPERLINK "3.4.3.7" </w:instrText>
      </w:r>
      <w:r>
        <w:fldChar w:fldCharType="separate"/>
      </w:r>
      <w:r>
        <w:rPr>
          <w:rFonts w:ascii="宋体" w:hAnsi="宋体" w:eastAsia="宋体" w:cs="宋体"/>
          <w:spacing w:val="-2"/>
          <w:sz w:val="24"/>
          <w:szCs w:val="24"/>
        </w:rPr>
        <w:t>3.4.3.7</w:t>
      </w:r>
      <w:r>
        <w:rPr>
          <w:rFonts w:ascii="宋体" w:hAnsi="宋体" w:eastAsia="宋体" w:cs="宋体"/>
          <w:spacing w:val="-2"/>
          <w:sz w:val="24"/>
          <w:szCs w:val="24"/>
        </w:rPr>
        <w:fldChar w:fldCharType="end"/>
      </w:r>
      <w:r>
        <w:rPr>
          <w:rFonts w:ascii="宋体" w:hAnsi="宋体" w:eastAsia="宋体" w:cs="宋体"/>
          <w:spacing w:val="-2"/>
          <w:sz w:val="24"/>
          <w:szCs w:val="24"/>
        </w:rPr>
        <w:t xml:space="preserve"> 二次回路元器件和接线</w:t>
      </w:r>
    </w:p>
    <w:p w14:paraId="28AA9AA1">
      <w:pPr>
        <w:spacing w:before="187" w:line="360" w:lineRule="auto"/>
        <w:ind w:left="239" w:firstLine="519"/>
        <w:rPr>
          <w:rFonts w:ascii="宋体" w:hAnsi="宋体" w:eastAsia="宋体" w:cs="宋体"/>
          <w:sz w:val="24"/>
          <w:szCs w:val="24"/>
        </w:rPr>
      </w:pPr>
      <w:r>
        <w:rPr>
          <w:rFonts w:ascii="宋体" w:hAnsi="宋体" w:eastAsia="宋体" w:cs="宋体"/>
          <w:spacing w:val="-3"/>
          <w:sz w:val="24"/>
          <w:szCs w:val="24"/>
        </w:rPr>
        <w:t>(1)乙方所供设备应按要求配置必要的二次元器件，包括但不限于：继电器、</w:t>
      </w:r>
      <w:r>
        <w:rPr>
          <w:rFonts w:ascii="宋体" w:hAnsi="宋体" w:eastAsia="宋体" w:cs="宋体"/>
          <w:spacing w:val="17"/>
          <w:sz w:val="24"/>
          <w:szCs w:val="24"/>
        </w:rPr>
        <w:t xml:space="preserve"> </w:t>
      </w:r>
      <w:r>
        <w:rPr>
          <w:rFonts w:ascii="宋体" w:hAnsi="宋体" w:eastAsia="宋体" w:cs="宋体"/>
          <w:spacing w:val="-6"/>
          <w:sz w:val="24"/>
          <w:szCs w:val="24"/>
        </w:rPr>
        <w:t>电动机保护器、备自投装置、指示灯、按钮、转换开关、测量表计、二次端子等。</w:t>
      </w:r>
      <w:r>
        <w:rPr>
          <w:rFonts w:ascii="宋体" w:hAnsi="宋体" w:eastAsia="宋体" w:cs="宋体"/>
          <w:spacing w:val="14"/>
          <w:sz w:val="24"/>
          <w:szCs w:val="24"/>
        </w:rPr>
        <w:t xml:space="preserve"> </w:t>
      </w:r>
      <w:r>
        <w:rPr>
          <w:rFonts w:ascii="宋体" w:hAnsi="宋体" w:eastAsia="宋体" w:cs="宋体"/>
          <w:spacing w:val="-1"/>
          <w:sz w:val="24"/>
          <w:szCs w:val="24"/>
        </w:rPr>
        <w:t>附图中并没有列出所有二次元器件，对于没有列出的二次元器件，只要是为了满</w:t>
      </w:r>
      <w:r>
        <w:rPr>
          <w:rFonts w:ascii="宋体" w:hAnsi="宋体" w:eastAsia="宋体" w:cs="宋体"/>
          <w:spacing w:val="2"/>
          <w:sz w:val="24"/>
          <w:szCs w:val="24"/>
        </w:rPr>
        <w:t xml:space="preserve">  </w:t>
      </w:r>
      <w:r>
        <w:rPr>
          <w:rFonts w:ascii="宋体" w:hAnsi="宋体" w:eastAsia="宋体" w:cs="宋体"/>
          <w:spacing w:val="-7"/>
          <w:sz w:val="24"/>
          <w:szCs w:val="24"/>
        </w:rPr>
        <w:t>足本文件要求、相关标准和规范、最终详细设计的要求所必需的，乙方都应提供，</w:t>
      </w:r>
    </w:p>
    <w:p w14:paraId="17FC8CDC">
      <w:pPr>
        <w:spacing w:before="1" w:line="360" w:lineRule="auto"/>
        <w:ind w:left="239"/>
        <w:rPr>
          <w:rFonts w:ascii="宋体" w:hAnsi="宋体" w:eastAsia="宋体" w:cs="宋体"/>
          <w:sz w:val="24"/>
          <w:szCs w:val="24"/>
        </w:rPr>
      </w:pPr>
      <w:r>
        <w:rPr>
          <w:rFonts w:ascii="宋体" w:hAnsi="宋体" w:eastAsia="宋体" w:cs="宋体"/>
          <w:spacing w:val="-3"/>
          <w:sz w:val="24"/>
          <w:szCs w:val="24"/>
        </w:rPr>
        <w:t>且不得因此增加合同价格。所有二次元器件都应在出厂前完成安装及接线。</w:t>
      </w:r>
    </w:p>
    <w:p w14:paraId="3783360E">
      <w:pPr>
        <w:spacing w:before="173" w:line="360" w:lineRule="auto"/>
        <w:ind w:left="239" w:right="75" w:firstLine="519"/>
        <w:rPr>
          <w:rFonts w:ascii="宋体" w:hAnsi="宋体" w:eastAsia="宋体" w:cs="宋体"/>
          <w:sz w:val="24"/>
          <w:szCs w:val="24"/>
        </w:rPr>
      </w:pPr>
      <w:r>
        <w:rPr>
          <w:rFonts w:ascii="宋体" w:hAnsi="宋体" w:eastAsia="宋体" w:cs="宋体"/>
          <w:spacing w:val="2"/>
          <w:sz w:val="24"/>
          <w:szCs w:val="24"/>
        </w:rPr>
        <w:t>(</w:t>
      </w:r>
      <w:r>
        <w:rPr>
          <w:rFonts w:hint="eastAsia" w:ascii="宋体" w:hAnsi="宋体" w:eastAsia="宋体" w:cs="宋体"/>
          <w:spacing w:val="2"/>
          <w:sz w:val="24"/>
          <w:szCs w:val="24"/>
          <w:lang w:val="en-US" w:eastAsia="zh-CN"/>
        </w:rPr>
        <w:t>2</w:t>
      </w:r>
      <w:r>
        <w:rPr>
          <w:rFonts w:ascii="宋体" w:hAnsi="宋体" w:eastAsia="宋体" w:cs="宋体"/>
          <w:spacing w:val="2"/>
          <w:sz w:val="24"/>
          <w:szCs w:val="24"/>
        </w:rPr>
        <w:t>)所有元器件外接引线均应经端子排接入或引出。所有端子额定电压不低</w:t>
      </w:r>
      <w:r>
        <w:rPr>
          <w:rFonts w:ascii="宋体" w:hAnsi="宋体" w:eastAsia="宋体" w:cs="宋体"/>
          <w:spacing w:val="6"/>
          <w:sz w:val="24"/>
          <w:szCs w:val="24"/>
        </w:rPr>
        <w:t xml:space="preserve"> </w:t>
      </w:r>
      <w:r>
        <w:rPr>
          <w:rFonts w:ascii="宋体" w:hAnsi="宋体" w:eastAsia="宋体" w:cs="宋体"/>
          <w:sz w:val="24"/>
          <w:szCs w:val="24"/>
        </w:rPr>
        <w:t>于500</w:t>
      </w:r>
      <w:r>
        <w:rPr>
          <w:rFonts w:ascii="Times New Roman" w:hAnsi="Times New Roman" w:eastAsia="Times New Roman" w:cs="Times New Roman"/>
          <w:sz w:val="24"/>
          <w:szCs w:val="24"/>
        </w:rPr>
        <w:t>V,</w:t>
      </w:r>
      <w:r>
        <w:rPr>
          <w:rFonts w:ascii="Times New Roman" w:hAnsi="Times New Roman" w:eastAsia="Times New Roman" w:cs="Times New Roman"/>
          <w:spacing w:val="64"/>
          <w:sz w:val="24"/>
          <w:szCs w:val="24"/>
        </w:rPr>
        <w:t xml:space="preserve"> </w:t>
      </w:r>
      <w:r>
        <w:rPr>
          <w:rFonts w:ascii="宋体" w:hAnsi="宋体" w:eastAsia="宋体" w:cs="宋体"/>
          <w:sz w:val="24"/>
          <w:szCs w:val="24"/>
        </w:rPr>
        <w:t xml:space="preserve">容量应满足回路要求，带有弹簧压板、隔板和标志排。开关柜金属分隔 </w:t>
      </w:r>
      <w:r>
        <w:rPr>
          <w:rFonts w:ascii="宋体" w:hAnsi="宋体" w:eastAsia="宋体" w:cs="宋体"/>
          <w:spacing w:val="2"/>
          <w:sz w:val="24"/>
          <w:szCs w:val="24"/>
        </w:rPr>
        <w:t>间隔及抽屉单元内的每组端子排应留有不少于总数的20%的备用端子。每个端子</w:t>
      </w:r>
    </w:p>
    <w:p w14:paraId="4C28E1D7">
      <w:pPr>
        <w:spacing w:line="360" w:lineRule="auto"/>
        <w:ind w:left="239"/>
        <w:rPr>
          <w:rFonts w:ascii="宋体" w:hAnsi="宋体" w:eastAsia="宋体" w:cs="宋体"/>
          <w:sz w:val="24"/>
          <w:szCs w:val="24"/>
        </w:rPr>
      </w:pPr>
      <w:r>
        <w:rPr>
          <w:rFonts w:ascii="宋体" w:hAnsi="宋体" w:eastAsia="宋体" w:cs="宋体"/>
          <w:spacing w:val="6"/>
          <w:sz w:val="24"/>
          <w:szCs w:val="24"/>
        </w:rPr>
        <w:t>排对内及对外原则上只接一芯导线(电缆)。每个端子排将标有编号。</w:t>
      </w:r>
    </w:p>
    <w:p w14:paraId="1DD41423">
      <w:pPr>
        <w:spacing w:before="185" w:line="360" w:lineRule="auto"/>
        <w:ind w:right="48"/>
        <w:jc w:val="right"/>
        <w:rPr>
          <w:rFonts w:ascii="宋体" w:hAnsi="宋体" w:eastAsia="宋体" w:cs="宋体"/>
          <w:sz w:val="24"/>
          <w:szCs w:val="24"/>
        </w:rPr>
      </w:pPr>
      <w:r>
        <w:rPr>
          <w:rFonts w:ascii="宋体" w:hAnsi="宋体" w:eastAsia="宋体" w:cs="宋体"/>
          <w:position w:val="17"/>
          <w:sz w:val="24"/>
          <w:szCs w:val="24"/>
        </w:rPr>
        <w:t>(</w:t>
      </w:r>
      <w:r>
        <w:rPr>
          <w:rFonts w:hint="eastAsia" w:ascii="宋体" w:hAnsi="宋体" w:eastAsia="宋体" w:cs="宋体"/>
          <w:position w:val="17"/>
          <w:sz w:val="24"/>
          <w:szCs w:val="24"/>
          <w:lang w:val="en-US" w:eastAsia="zh-CN"/>
        </w:rPr>
        <w:t>3</w:t>
      </w:r>
      <w:r>
        <w:rPr>
          <w:rFonts w:ascii="宋体" w:hAnsi="宋体" w:eastAsia="宋体" w:cs="宋体"/>
          <w:position w:val="17"/>
          <w:sz w:val="24"/>
          <w:szCs w:val="24"/>
        </w:rPr>
        <w:t>)对于CT</w:t>
      </w:r>
      <w:r>
        <w:rPr>
          <w:rFonts w:ascii="宋体" w:hAnsi="宋体" w:eastAsia="宋体" w:cs="宋体"/>
          <w:spacing w:val="-16"/>
          <w:position w:val="17"/>
          <w:sz w:val="24"/>
          <w:szCs w:val="24"/>
        </w:rPr>
        <w:t xml:space="preserve"> </w:t>
      </w:r>
      <w:r>
        <w:rPr>
          <w:rFonts w:ascii="宋体" w:hAnsi="宋体" w:eastAsia="宋体" w:cs="宋体"/>
          <w:position w:val="17"/>
          <w:sz w:val="24"/>
          <w:szCs w:val="24"/>
        </w:rPr>
        <w:t>交流电流端子熔断器或空开前后端端子应设计成可短接型的，以</w:t>
      </w:r>
    </w:p>
    <w:p w14:paraId="326F95E0">
      <w:pPr>
        <w:spacing w:line="360" w:lineRule="auto"/>
        <w:ind w:left="239"/>
        <w:rPr>
          <w:rFonts w:ascii="宋体" w:hAnsi="宋体" w:eastAsia="宋体" w:cs="宋体"/>
          <w:sz w:val="24"/>
          <w:szCs w:val="24"/>
        </w:rPr>
      </w:pPr>
      <w:r>
        <w:rPr>
          <w:rFonts w:ascii="宋体" w:hAnsi="宋体" w:eastAsia="宋体" w:cs="宋体"/>
          <w:sz w:val="24"/>
          <w:szCs w:val="24"/>
        </w:rPr>
        <w:t>便校验或检修继电器或仪表时保护</w:t>
      </w:r>
      <w:r>
        <w:rPr>
          <w:rFonts w:ascii="Times New Roman" w:hAnsi="Times New Roman" w:eastAsia="Times New Roman" w:cs="Times New Roman"/>
          <w:sz w:val="24"/>
          <w:szCs w:val="24"/>
        </w:rPr>
        <w:t>CT</w:t>
      </w:r>
      <w:r>
        <w:rPr>
          <w:rFonts w:ascii="宋体" w:hAnsi="宋体" w:eastAsia="宋体" w:cs="宋体"/>
          <w:sz w:val="24"/>
          <w:szCs w:val="24"/>
        </w:rPr>
        <w:t>。</w:t>
      </w:r>
    </w:p>
    <w:p w14:paraId="7F019912">
      <w:pPr>
        <w:spacing w:before="242" w:line="360" w:lineRule="auto"/>
        <w:ind w:right="392"/>
        <w:jc w:val="both"/>
        <w:rPr>
          <w:rFonts w:ascii="宋体" w:hAnsi="宋体" w:eastAsia="宋体" w:cs="宋体"/>
          <w:sz w:val="24"/>
          <w:szCs w:val="24"/>
        </w:rPr>
      </w:pPr>
      <w:r>
        <w:rPr>
          <w:rFonts w:ascii="宋体" w:hAnsi="宋体" w:eastAsia="宋体" w:cs="宋体"/>
          <w:spacing w:val="5"/>
          <w:sz w:val="24"/>
          <w:szCs w:val="24"/>
        </w:rPr>
        <w:t>(</w:t>
      </w:r>
      <w:r>
        <w:rPr>
          <w:rFonts w:hint="eastAsia" w:ascii="宋体" w:hAnsi="宋体" w:eastAsia="宋体" w:cs="宋体"/>
          <w:spacing w:val="5"/>
          <w:sz w:val="24"/>
          <w:szCs w:val="24"/>
          <w:lang w:val="en-US" w:eastAsia="zh-CN"/>
        </w:rPr>
        <w:t>4</w:t>
      </w:r>
      <w:r>
        <w:rPr>
          <w:rFonts w:ascii="宋体" w:hAnsi="宋体" w:eastAsia="宋体" w:cs="宋体"/>
          <w:spacing w:val="5"/>
          <w:sz w:val="24"/>
          <w:szCs w:val="24"/>
        </w:rPr>
        <w:t>)用于测量的电流互感器精度为0.5级，并有适当的仪表安全系数以防止</w:t>
      </w:r>
      <w:r>
        <w:rPr>
          <w:rFonts w:ascii="宋体" w:hAnsi="宋体" w:eastAsia="宋体" w:cs="宋体"/>
          <w:spacing w:val="1"/>
          <w:sz w:val="24"/>
          <w:szCs w:val="24"/>
        </w:rPr>
        <w:t>在最大故障电流时损坏仪表。用于保护的电流互感器精度为5</w:t>
      </w:r>
      <w:r>
        <w:rPr>
          <w:rFonts w:ascii="Times New Roman" w:hAnsi="Times New Roman" w:eastAsia="Times New Roman" w:cs="Times New Roman"/>
          <w:sz w:val="24"/>
          <w:szCs w:val="24"/>
        </w:rPr>
        <w:t xml:space="preserve">P,  </w:t>
      </w:r>
      <w:r>
        <w:rPr>
          <w:rFonts w:ascii="宋体" w:hAnsi="宋体" w:eastAsia="宋体" w:cs="宋体"/>
          <w:sz w:val="24"/>
          <w:szCs w:val="24"/>
        </w:rPr>
        <w:t>在预期的系统最 大短路电流内电流互感器都应使保护装置正常动</w:t>
      </w:r>
      <w:r>
        <w:rPr>
          <w:rFonts w:ascii="宋体" w:hAnsi="宋体" w:eastAsia="宋体" w:cs="宋体"/>
          <w:spacing w:val="-1"/>
          <w:sz w:val="24"/>
          <w:szCs w:val="24"/>
        </w:rPr>
        <w:t>作。所有电流互感器输出容量及</w:t>
      </w:r>
      <w:r>
        <w:rPr>
          <w:rFonts w:ascii="宋体" w:hAnsi="宋体" w:eastAsia="宋体" w:cs="宋体"/>
          <w:sz w:val="24"/>
          <w:szCs w:val="24"/>
        </w:rPr>
        <w:t xml:space="preserve"> </w:t>
      </w:r>
      <w:r>
        <w:rPr>
          <w:rFonts w:ascii="宋体" w:hAnsi="宋体" w:eastAsia="宋体" w:cs="宋体"/>
          <w:spacing w:val="-2"/>
          <w:sz w:val="24"/>
          <w:szCs w:val="24"/>
        </w:rPr>
        <w:t>准确等级满足设计院设计要求，二次侧额定电流为1</w:t>
      </w:r>
      <w:r>
        <w:rPr>
          <w:rFonts w:ascii="Times New Roman" w:hAnsi="Times New Roman" w:eastAsia="Times New Roman" w:cs="Times New Roman"/>
          <w:spacing w:val="-2"/>
          <w:sz w:val="24"/>
          <w:szCs w:val="24"/>
        </w:rPr>
        <w:t>A</w:t>
      </w:r>
      <w:r>
        <w:rPr>
          <w:rFonts w:ascii="宋体" w:hAnsi="宋体" w:eastAsia="宋体" w:cs="宋体"/>
          <w:spacing w:val="-2"/>
          <w:sz w:val="24"/>
          <w:szCs w:val="24"/>
        </w:rPr>
        <w:t>。电流互感</w:t>
      </w:r>
      <w:r>
        <w:rPr>
          <w:rFonts w:ascii="宋体" w:hAnsi="宋体" w:eastAsia="宋体" w:cs="宋体"/>
          <w:spacing w:val="-3"/>
          <w:sz w:val="24"/>
          <w:szCs w:val="24"/>
        </w:rPr>
        <w:t>器的额定输出应</w:t>
      </w:r>
      <w:r>
        <w:rPr>
          <w:rFonts w:ascii="宋体" w:hAnsi="宋体" w:eastAsia="宋体" w:cs="宋体"/>
          <w:spacing w:val="-8"/>
          <w:sz w:val="24"/>
          <w:szCs w:val="24"/>
        </w:rPr>
        <w:t>与连接的设备相匹配。</w:t>
      </w:r>
    </w:p>
    <w:p w14:paraId="01901E1F">
      <w:pPr>
        <w:spacing w:before="171" w:line="360" w:lineRule="auto"/>
        <w:ind w:left="519"/>
        <w:rPr>
          <w:rFonts w:ascii="宋体" w:hAnsi="宋体" w:eastAsia="宋体" w:cs="宋体"/>
          <w:spacing w:val="-1"/>
          <w:sz w:val="24"/>
          <w:szCs w:val="24"/>
        </w:rPr>
      </w:pPr>
      <w:r>
        <w:rPr>
          <w:rFonts w:ascii="宋体" w:hAnsi="宋体" w:eastAsia="宋体" w:cs="宋体"/>
          <w:spacing w:val="2"/>
          <w:position w:val="15"/>
          <w:sz w:val="24"/>
          <w:szCs w:val="24"/>
        </w:rPr>
        <w:t>(</w:t>
      </w:r>
      <w:r>
        <w:rPr>
          <w:rFonts w:hint="eastAsia" w:ascii="宋体" w:hAnsi="宋体" w:eastAsia="宋体" w:cs="宋体"/>
          <w:spacing w:val="2"/>
          <w:position w:val="15"/>
          <w:sz w:val="24"/>
          <w:szCs w:val="24"/>
          <w:lang w:val="en-US" w:eastAsia="zh-CN"/>
        </w:rPr>
        <w:t>5</w:t>
      </w:r>
      <w:r>
        <w:rPr>
          <w:rFonts w:ascii="宋体" w:hAnsi="宋体" w:eastAsia="宋体" w:cs="宋体"/>
          <w:spacing w:val="2"/>
          <w:position w:val="15"/>
          <w:sz w:val="24"/>
          <w:szCs w:val="24"/>
        </w:rPr>
        <w:t>)不需外部连接的电流和电压互感器的二次</w:t>
      </w:r>
      <w:r>
        <w:rPr>
          <w:rFonts w:ascii="宋体" w:hAnsi="宋体" w:eastAsia="宋体" w:cs="宋体"/>
          <w:spacing w:val="-1"/>
          <w:sz w:val="24"/>
          <w:szCs w:val="24"/>
        </w:rPr>
        <w:t>回路在电源侧应接地。需要接地的每一回路将单独地连接到设备接地母线上。</w:t>
      </w:r>
    </w:p>
    <w:p w14:paraId="4806A20C">
      <w:pPr>
        <w:spacing w:before="178" w:line="360" w:lineRule="auto"/>
        <w:ind w:right="381" w:firstLine="519"/>
        <w:rPr>
          <w:rFonts w:ascii="宋体" w:hAnsi="宋体" w:eastAsia="宋体" w:cs="宋体"/>
          <w:sz w:val="24"/>
          <w:szCs w:val="24"/>
        </w:rPr>
      </w:pPr>
      <w:r>
        <w:rPr>
          <w:rFonts w:ascii="宋体" w:hAnsi="宋体" w:eastAsia="宋体" w:cs="宋体"/>
          <w:spacing w:val="4"/>
          <w:sz w:val="24"/>
          <w:szCs w:val="24"/>
        </w:rPr>
        <w:t>(</w:t>
      </w:r>
      <w:r>
        <w:rPr>
          <w:rFonts w:hint="eastAsia" w:ascii="宋体" w:hAnsi="宋体" w:eastAsia="宋体" w:cs="宋体"/>
          <w:spacing w:val="4"/>
          <w:sz w:val="24"/>
          <w:szCs w:val="24"/>
          <w:lang w:val="en-US" w:eastAsia="zh-CN"/>
        </w:rPr>
        <w:t>6</w:t>
      </w:r>
      <w:r>
        <w:rPr>
          <w:rFonts w:ascii="宋体" w:hAnsi="宋体" w:eastAsia="宋体" w:cs="宋体"/>
          <w:spacing w:val="4"/>
          <w:sz w:val="24"/>
          <w:szCs w:val="24"/>
        </w:rPr>
        <w:t>)控制导线、电压互感器导线采用铜导</w:t>
      </w:r>
      <w:r>
        <w:rPr>
          <w:rFonts w:ascii="宋体" w:hAnsi="宋体" w:eastAsia="宋体" w:cs="宋体"/>
          <w:spacing w:val="3"/>
          <w:sz w:val="24"/>
          <w:szCs w:val="24"/>
        </w:rPr>
        <w:t>线，截面不小于1.5</w:t>
      </w:r>
      <w:r>
        <w:rPr>
          <w:rFonts w:ascii="Times New Roman" w:hAnsi="Times New Roman" w:eastAsia="Times New Roman" w:cs="Times New Roman"/>
          <w:sz w:val="24"/>
          <w:szCs w:val="24"/>
        </w:rPr>
        <w:t>mm</w:t>
      </w:r>
      <w:r>
        <w:rPr>
          <w:rFonts w:ascii="Times New Roman" w:hAnsi="Times New Roman" w:eastAsia="Times New Roman" w:cs="Times New Roman"/>
          <w:spacing w:val="3"/>
          <w:sz w:val="24"/>
          <w:szCs w:val="24"/>
        </w:rPr>
        <w:t>2,</w:t>
      </w:r>
      <w:r>
        <w:rPr>
          <w:rFonts w:ascii="宋体" w:hAnsi="宋体" w:eastAsia="宋体" w:cs="宋体"/>
          <w:spacing w:val="3"/>
          <w:sz w:val="24"/>
          <w:szCs w:val="24"/>
        </w:rPr>
        <w:t>用于电流</w:t>
      </w:r>
      <w:r>
        <w:rPr>
          <w:rFonts w:ascii="宋体" w:hAnsi="宋体" w:eastAsia="宋体" w:cs="宋体"/>
          <w:sz w:val="24"/>
          <w:szCs w:val="24"/>
        </w:rPr>
        <w:t xml:space="preserve"> </w:t>
      </w:r>
      <w:r>
        <w:rPr>
          <w:rFonts w:ascii="宋体" w:hAnsi="宋体" w:eastAsia="宋体" w:cs="宋体"/>
          <w:spacing w:val="-1"/>
          <w:sz w:val="24"/>
          <w:szCs w:val="24"/>
        </w:rPr>
        <w:t>互感器的单线截面不小于2.5</w:t>
      </w:r>
      <w:r>
        <w:rPr>
          <w:rFonts w:ascii="Times New Roman" w:hAnsi="Times New Roman" w:eastAsia="Times New Roman" w:cs="Times New Roman"/>
          <w:spacing w:val="-1"/>
          <w:sz w:val="24"/>
          <w:szCs w:val="24"/>
        </w:rPr>
        <w:t>mm2</w:t>
      </w:r>
      <w:r>
        <w:rPr>
          <w:rFonts w:ascii="宋体" w:hAnsi="宋体" w:eastAsia="宋体" w:cs="宋体"/>
          <w:spacing w:val="-1"/>
          <w:sz w:val="24"/>
          <w:szCs w:val="24"/>
        </w:rPr>
        <w:t>。单线为单芯、聚氯乙烯绝缘(阻燃型),额</w:t>
      </w:r>
      <w:r>
        <w:rPr>
          <w:rFonts w:ascii="宋体" w:hAnsi="宋体" w:eastAsia="宋体" w:cs="宋体"/>
          <w:spacing w:val="-2"/>
          <w:sz w:val="24"/>
          <w:szCs w:val="24"/>
        </w:rPr>
        <w:t>定电</w:t>
      </w:r>
      <w:r>
        <w:rPr>
          <w:rFonts w:ascii="宋体" w:hAnsi="宋体" w:eastAsia="宋体" w:cs="宋体"/>
          <w:sz w:val="24"/>
          <w:szCs w:val="24"/>
        </w:rPr>
        <w:t xml:space="preserve"> 压不低于450/750V。交、直流回路的导线不应同束</w:t>
      </w:r>
      <w:r>
        <w:rPr>
          <w:rFonts w:ascii="宋体" w:hAnsi="宋体" w:eastAsia="宋体" w:cs="宋体"/>
          <w:spacing w:val="-1"/>
          <w:sz w:val="24"/>
          <w:szCs w:val="24"/>
        </w:rPr>
        <w:t>捆扎，弱电或通信回路应采用</w:t>
      </w:r>
    </w:p>
    <w:p w14:paraId="2BECF1D0">
      <w:pPr>
        <w:spacing w:line="360" w:lineRule="auto"/>
        <w:rPr>
          <w:rFonts w:ascii="宋体" w:hAnsi="宋体" w:eastAsia="宋体" w:cs="宋体"/>
          <w:sz w:val="24"/>
          <w:szCs w:val="24"/>
        </w:rPr>
      </w:pPr>
      <w:r>
        <w:rPr>
          <w:rFonts w:ascii="宋体" w:hAnsi="宋体" w:eastAsia="宋体" w:cs="宋体"/>
          <w:spacing w:val="-6"/>
          <w:sz w:val="24"/>
          <w:szCs w:val="24"/>
        </w:rPr>
        <w:t>屏蔽导线连接。</w:t>
      </w:r>
    </w:p>
    <w:p w14:paraId="2FEF9520">
      <w:pPr>
        <w:spacing w:before="215" w:line="360" w:lineRule="auto"/>
        <w:ind w:right="299" w:firstLine="519"/>
        <w:rPr>
          <w:rFonts w:ascii="宋体" w:hAnsi="宋体" w:eastAsia="宋体" w:cs="宋体"/>
          <w:sz w:val="24"/>
          <w:szCs w:val="24"/>
        </w:rPr>
      </w:pPr>
      <w:r>
        <w:rPr>
          <w:rFonts w:ascii="宋体" w:hAnsi="宋体" w:eastAsia="宋体" w:cs="宋体"/>
          <w:spacing w:val="-2"/>
          <w:sz w:val="24"/>
          <w:szCs w:val="24"/>
        </w:rPr>
        <w:t>(8)每一个断路器、接触器的合闸、跳闸(控制)回路除交</w:t>
      </w:r>
      <w:r>
        <w:rPr>
          <w:rFonts w:ascii="宋体" w:hAnsi="宋体" w:eastAsia="宋体" w:cs="宋体"/>
          <w:spacing w:val="-3"/>
          <w:sz w:val="24"/>
          <w:szCs w:val="24"/>
        </w:rPr>
        <w:t>流操作的中性线外，</w:t>
      </w:r>
      <w:r>
        <w:rPr>
          <w:rFonts w:ascii="宋体" w:hAnsi="宋体" w:eastAsia="宋体" w:cs="宋体"/>
          <w:sz w:val="24"/>
          <w:szCs w:val="24"/>
        </w:rPr>
        <w:t>均应设置熔断器或断路器作保护，柜内交流操作的中</w:t>
      </w:r>
      <w:r>
        <w:rPr>
          <w:rFonts w:ascii="宋体" w:hAnsi="宋体" w:eastAsia="宋体" w:cs="宋体"/>
          <w:spacing w:val="-1"/>
          <w:sz w:val="24"/>
          <w:szCs w:val="24"/>
        </w:rPr>
        <w:t>性线应从本柜中性线母线上</w:t>
      </w:r>
      <w:r>
        <w:rPr>
          <w:rFonts w:ascii="宋体" w:hAnsi="宋体" w:eastAsia="宋体" w:cs="宋体"/>
          <w:spacing w:val="-8"/>
          <w:sz w:val="24"/>
          <w:szCs w:val="24"/>
        </w:rPr>
        <w:t>独立取出。</w:t>
      </w:r>
    </w:p>
    <w:p w14:paraId="432C464C">
      <w:pPr>
        <w:spacing w:before="215" w:line="360" w:lineRule="auto"/>
        <w:ind w:right="299" w:firstLine="519"/>
        <w:rPr>
          <w:rFonts w:ascii="宋体" w:hAnsi="宋体" w:eastAsia="宋体" w:cs="宋体"/>
          <w:spacing w:val="-2"/>
          <w:sz w:val="24"/>
          <w:szCs w:val="24"/>
        </w:rPr>
      </w:pPr>
      <w:r>
        <w:rPr>
          <w:rFonts w:ascii="宋体" w:hAnsi="宋体" w:eastAsia="宋体" w:cs="宋体"/>
          <w:spacing w:val="-2"/>
          <w:sz w:val="24"/>
          <w:szCs w:val="24"/>
        </w:rPr>
        <w:t>(9)如果某些布线的突然短路会引起设备误动，如引起开关的误合闸或误跳闸，则这些布线就不能连接在相邻的端子上。</w:t>
      </w:r>
    </w:p>
    <w:p w14:paraId="231AFB33">
      <w:pPr>
        <w:spacing w:before="215" w:line="360" w:lineRule="auto"/>
        <w:ind w:right="299" w:firstLine="519"/>
        <w:rPr>
          <w:rFonts w:ascii="宋体" w:hAnsi="宋体" w:eastAsia="宋体" w:cs="宋体"/>
          <w:spacing w:val="-2"/>
          <w:sz w:val="24"/>
          <w:szCs w:val="24"/>
        </w:rPr>
      </w:pPr>
      <w:r>
        <w:rPr>
          <w:rFonts w:ascii="宋体" w:hAnsi="宋体" w:eastAsia="宋体" w:cs="宋体"/>
          <w:spacing w:val="-2"/>
          <w:sz w:val="24"/>
          <w:szCs w:val="24"/>
        </w:rPr>
        <w:t>(10)导线的两端有擦不掉的、符合布线图的命名的永久性的标志。导线任何的连接部分不能焊接。</w:t>
      </w:r>
    </w:p>
    <w:p w14:paraId="4951C2D8">
      <w:pPr>
        <w:spacing w:before="205" w:line="360" w:lineRule="auto"/>
        <w:ind w:left="519"/>
        <w:rPr>
          <w:rFonts w:ascii="宋体" w:hAnsi="宋体" w:eastAsia="宋体" w:cs="宋体"/>
          <w:spacing w:val="-2"/>
          <w:position w:val="16"/>
          <w:sz w:val="24"/>
          <w:szCs w:val="24"/>
        </w:rPr>
      </w:pPr>
      <w:r>
        <w:rPr>
          <w:rFonts w:ascii="宋体" w:hAnsi="宋体" w:eastAsia="宋体" w:cs="宋体"/>
          <w:spacing w:val="-2"/>
          <w:position w:val="16"/>
          <w:sz w:val="24"/>
          <w:szCs w:val="24"/>
        </w:rPr>
        <w:t>(11)对于电源回路断路器应提供抽屉“工作位置”和“试验位置”限位开关常开接点至少1付，供甲方使用。</w:t>
      </w:r>
    </w:p>
    <w:p w14:paraId="5D774858">
      <w:pPr>
        <w:spacing w:before="186" w:line="360" w:lineRule="auto"/>
        <w:ind w:left="519"/>
        <w:rPr>
          <w:rFonts w:ascii="宋体" w:hAnsi="宋体" w:eastAsia="宋体" w:cs="宋体"/>
          <w:spacing w:val="-2"/>
          <w:position w:val="18"/>
          <w:sz w:val="24"/>
          <w:szCs w:val="24"/>
        </w:rPr>
      </w:pPr>
      <w:r>
        <w:rPr>
          <w:rFonts w:ascii="宋体" w:hAnsi="宋体" w:eastAsia="宋体" w:cs="宋体"/>
          <w:spacing w:val="-2"/>
          <w:position w:val="18"/>
          <w:sz w:val="24"/>
          <w:szCs w:val="24"/>
        </w:rPr>
        <w:t>(12)二次元器件、保护压板、盘面上的元件均应采用有机玻璃的标志牌，标志牌刻有机组号及元件名称，标志牌布置在元件的下方。</w:t>
      </w:r>
    </w:p>
    <w:p w14:paraId="35EB006B">
      <w:pPr>
        <w:spacing w:before="195" w:line="360" w:lineRule="auto"/>
        <w:ind w:left="519"/>
        <w:rPr>
          <w:rFonts w:ascii="宋体" w:hAnsi="宋体" w:eastAsia="宋体" w:cs="宋体"/>
          <w:spacing w:val="-2"/>
          <w:position w:val="18"/>
          <w:sz w:val="24"/>
          <w:szCs w:val="24"/>
        </w:rPr>
      </w:pPr>
      <w:r>
        <w:rPr>
          <w:rFonts w:ascii="宋体" w:hAnsi="宋体" w:eastAsia="宋体" w:cs="宋体"/>
          <w:spacing w:val="-1"/>
          <w:position w:val="16"/>
          <w:sz w:val="24"/>
          <w:szCs w:val="24"/>
        </w:rPr>
        <w:t>(14)为保证互换性，抽屉式开关柜同类设</w:t>
      </w:r>
      <w:r>
        <w:rPr>
          <w:rFonts w:ascii="宋体" w:hAnsi="宋体" w:eastAsia="宋体" w:cs="宋体"/>
          <w:spacing w:val="-2"/>
          <w:position w:val="16"/>
          <w:sz w:val="24"/>
          <w:szCs w:val="24"/>
        </w:rPr>
        <w:t>备(断路器、接触器等</w:t>
      </w:r>
      <w:r>
        <w:rPr>
          <w:rFonts w:ascii="宋体" w:hAnsi="宋体" w:eastAsia="宋体" w:cs="宋体"/>
          <w:spacing w:val="-2"/>
          <w:position w:val="18"/>
          <w:sz w:val="24"/>
          <w:szCs w:val="24"/>
        </w:rPr>
        <w:t>)的抽屉单元二次接线和二次插头应具有相同的接线和排列。</w:t>
      </w:r>
    </w:p>
    <w:p w14:paraId="7A59036A">
      <w:pPr>
        <w:spacing w:before="230" w:line="360" w:lineRule="auto"/>
        <w:ind w:right="361" w:firstLine="519"/>
        <w:rPr>
          <w:rFonts w:ascii="宋体" w:hAnsi="宋体" w:eastAsia="宋体" w:cs="宋体"/>
          <w:sz w:val="24"/>
          <w:szCs w:val="24"/>
        </w:rPr>
      </w:pPr>
      <w:r>
        <w:rPr>
          <w:rFonts w:ascii="宋体" w:hAnsi="宋体" w:eastAsia="宋体" w:cs="宋体"/>
          <w:spacing w:val="-1"/>
          <w:sz w:val="24"/>
          <w:szCs w:val="24"/>
        </w:rPr>
        <w:t>(15)进线开关额定电流选择按照图纸设计要求。额</w:t>
      </w:r>
      <w:r>
        <w:rPr>
          <w:rFonts w:ascii="宋体" w:hAnsi="宋体" w:eastAsia="宋体" w:cs="宋体"/>
          <w:spacing w:val="-2"/>
          <w:sz w:val="24"/>
          <w:szCs w:val="24"/>
        </w:rPr>
        <w:t>定分段电流不小于65</w:t>
      </w:r>
      <w:r>
        <w:rPr>
          <w:rFonts w:ascii="Times New Roman" w:hAnsi="Times New Roman" w:eastAsia="Times New Roman" w:cs="Times New Roman"/>
          <w:spacing w:val="-2"/>
          <w:sz w:val="24"/>
          <w:szCs w:val="24"/>
        </w:rPr>
        <w:t xml:space="preserve">kA,  </w:t>
      </w:r>
      <w:r>
        <w:rPr>
          <w:rFonts w:ascii="宋体" w:hAnsi="宋体" w:eastAsia="宋体" w:cs="宋体"/>
          <w:spacing w:val="2"/>
          <w:sz w:val="24"/>
          <w:szCs w:val="24"/>
        </w:rPr>
        <w:t>极限分断电流不小于100</w:t>
      </w:r>
      <w:r>
        <w:rPr>
          <w:rFonts w:ascii="Times New Roman" w:hAnsi="Times New Roman" w:eastAsia="Times New Roman" w:cs="Times New Roman"/>
          <w:sz w:val="24"/>
          <w:szCs w:val="24"/>
        </w:rPr>
        <w:t>kA</w:t>
      </w:r>
      <w:r>
        <w:rPr>
          <w:rFonts w:ascii="宋体" w:hAnsi="宋体" w:eastAsia="宋体" w:cs="宋体"/>
          <w:spacing w:val="2"/>
          <w:sz w:val="24"/>
          <w:szCs w:val="24"/>
        </w:rPr>
        <w:t>。保护配置：速断、短延时速断、长延时保护等，保</w:t>
      </w:r>
      <w:r>
        <w:rPr>
          <w:rFonts w:ascii="宋体" w:hAnsi="宋体" w:eastAsia="宋体" w:cs="宋体"/>
          <w:spacing w:val="-2"/>
          <w:sz w:val="24"/>
          <w:szCs w:val="24"/>
        </w:rPr>
        <w:t>护整定方便。单个回路额定电流630</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及以上的</w:t>
      </w:r>
      <w:r>
        <w:rPr>
          <w:rFonts w:ascii="宋体" w:hAnsi="宋体" w:eastAsia="宋体" w:cs="宋体"/>
          <w:spacing w:val="-3"/>
          <w:sz w:val="24"/>
          <w:szCs w:val="24"/>
        </w:rPr>
        <w:t>断路器选用手车式框架断路器，断</w:t>
      </w:r>
      <w:r>
        <w:rPr>
          <w:rFonts w:ascii="宋体" w:hAnsi="宋体" w:eastAsia="宋体" w:cs="宋体"/>
          <w:spacing w:val="-4"/>
          <w:sz w:val="24"/>
          <w:szCs w:val="24"/>
        </w:rPr>
        <w:t>路器结构形式与进线开关一致。</w:t>
      </w:r>
    </w:p>
    <w:p w14:paraId="0CF8B22B">
      <w:pPr>
        <w:spacing w:before="253" w:line="360" w:lineRule="auto"/>
        <w:ind w:right="183" w:firstLine="234" w:firstLineChars="100"/>
        <w:jc w:val="both"/>
        <w:rPr>
          <w:rFonts w:ascii="宋体" w:hAnsi="宋体" w:eastAsia="宋体" w:cs="宋体"/>
          <w:sz w:val="24"/>
          <w:szCs w:val="24"/>
        </w:rPr>
      </w:pPr>
      <w:r>
        <w:rPr>
          <w:rFonts w:ascii="宋体" w:hAnsi="宋体" w:eastAsia="宋体" w:cs="宋体"/>
          <w:spacing w:val="-3"/>
          <w:sz w:val="24"/>
          <w:szCs w:val="24"/>
        </w:rPr>
        <w:t>(16)  断路器的选用应符合电气元件品牌规定。</w:t>
      </w:r>
      <w:r>
        <w:rPr>
          <w:rFonts w:ascii="宋体" w:hAnsi="宋体" w:eastAsia="宋体" w:cs="宋体"/>
          <w:spacing w:val="-1"/>
          <w:sz w:val="24"/>
          <w:szCs w:val="24"/>
        </w:rPr>
        <w:t>；配电</w:t>
      </w:r>
      <w:r>
        <w:rPr>
          <w:rFonts w:ascii="宋体" w:hAnsi="宋体" w:eastAsia="宋体" w:cs="宋体"/>
          <w:spacing w:val="-2"/>
          <w:sz w:val="24"/>
          <w:szCs w:val="24"/>
        </w:rPr>
        <w:t>回路断</w:t>
      </w:r>
      <w:r>
        <w:rPr>
          <w:rFonts w:ascii="宋体" w:hAnsi="宋体" w:eastAsia="宋体" w:cs="宋体"/>
          <w:spacing w:val="2"/>
          <w:sz w:val="24"/>
          <w:szCs w:val="24"/>
        </w:rPr>
        <w:t>路器为热磁复式脱扣器，脱扣器满足额定工作电</w:t>
      </w:r>
      <w:r>
        <w:rPr>
          <w:rFonts w:ascii="宋体" w:hAnsi="宋体" w:eastAsia="宋体" w:cs="宋体"/>
          <w:spacing w:val="1"/>
          <w:sz w:val="24"/>
          <w:szCs w:val="24"/>
        </w:rPr>
        <w:t>流的4-10倍动作。</w:t>
      </w:r>
    </w:p>
    <w:p w14:paraId="1C30FACE">
      <w:pPr>
        <w:spacing w:before="187" w:line="360" w:lineRule="auto"/>
        <w:ind w:left="1079"/>
        <w:rPr>
          <w:rFonts w:ascii="宋体" w:hAnsi="宋体" w:eastAsia="宋体" w:cs="宋体"/>
          <w:sz w:val="24"/>
          <w:szCs w:val="24"/>
        </w:rPr>
      </w:pPr>
      <w:r>
        <w:fldChar w:fldCharType="begin"/>
      </w:r>
      <w:r>
        <w:instrText xml:space="preserve"> HYPERLINK "3.4.3.8" </w:instrText>
      </w:r>
      <w:r>
        <w:fldChar w:fldCharType="separate"/>
      </w:r>
      <w:r>
        <w:rPr>
          <w:rFonts w:ascii="宋体" w:hAnsi="宋体" w:eastAsia="宋体" w:cs="宋体"/>
          <w:spacing w:val="-2"/>
          <w:sz w:val="24"/>
          <w:szCs w:val="24"/>
        </w:rPr>
        <w:t>3.4.3.8</w:t>
      </w:r>
      <w:r>
        <w:rPr>
          <w:rFonts w:ascii="宋体" w:hAnsi="宋体" w:eastAsia="宋体" w:cs="宋体"/>
          <w:spacing w:val="-2"/>
          <w:sz w:val="24"/>
          <w:szCs w:val="24"/>
        </w:rPr>
        <w:fldChar w:fldCharType="end"/>
      </w:r>
      <w:r>
        <w:rPr>
          <w:rFonts w:ascii="宋体" w:hAnsi="宋体" w:eastAsia="宋体" w:cs="宋体"/>
          <w:spacing w:val="-2"/>
          <w:sz w:val="24"/>
          <w:szCs w:val="24"/>
        </w:rPr>
        <w:t xml:space="preserve"> 保护接地</w:t>
      </w:r>
    </w:p>
    <w:p w14:paraId="13FAD3C2">
      <w:pPr>
        <w:spacing w:before="205" w:line="360" w:lineRule="auto"/>
        <w:ind w:left="1079"/>
        <w:rPr>
          <w:rFonts w:ascii="宋体" w:hAnsi="宋体" w:eastAsia="宋体" w:cs="宋体"/>
          <w:sz w:val="24"/>
          <w:szCs w:val="24"/>
        </w:rPr>
      </w:pPr>
      <w:r>
        <w:rPr>
          <w:rFonts w:ascii="宋体" w:hAnsi="宋体" w:eastAsia="宋体" w:cs="宋体"/>
          <w:spacing w:val="1"/>
          <w:sz w:val="24"/>
          <w:szCs w:val="24"/>
        </w:rPr>
        <w:t>(1)装置应设置能贯穿装置全长的接地母线。</w:t>
      </w:r>
    </w:p>
    <w:p w14:paraId="799A73AD">
      <w:pPr>
        <w:spacing w:before="173" w:line="360" w:lineRule="auto"/>
        <w:ind w:left="1079"/>
        <w:rPr>
          <w:rFonts w:ascii="宋体" w:hAnsi="宋体" w:eastAsia="宋体" w:cs="宋体"/>
          <w:sz w:val="24"/>
          <w:szCs w:val="24"/>
        </w:rPr>
      </w:pPr>
      <w:r>
        <w:rPr>
          <w:rFonts w:ascii="宋体" w:hAnsi="宋体" w:eastAsia="宋体" w:cs="宋体"/>
          <w:sz w:val="24"/>
          <w:szCs w:val="24"/>
        </w:rPr>
        <w:t>(2)装置的保护接地回路可由单独的保护接地母线和可导电的结构件构成。</w:t>
      </w:r>
    </w:p>
    <w:p w14:paraId="6AF96761">
      <w:pPr>
        <w:spacing w:before="185" w:line="360" w:lineRule="auto"/>
        <w:jc w:val="right"/>
        <w:rPr>
          <w:rFonts w:ascii="宋体" w:hAnsi="宋体" w:eastAsia="宋体" w:cs="宋体"/>
          <w:sz w:val="24"/>
          <w:szCs w:val="24"/>
        </w:rPr>
      </w:pPr>
      <w:r>
        <w:rPr>
          <w:rFonts w:ascii="宋体" w:hAnsi="宋体" w:eastAsia="宋体" w:cs="宋体"/>
          <w:spacing w:val="-3"/>
          <w:sz w:val="24"/>
          <w:szCs w:val="24"/>
        </w:rPr>
        <w:t>它应能保证装置的各裸露导电部件之间以及它们与保护接地回路之间的可靠连接。</w:t>
      </w:r>
    </w:p>
    <w:p w14:paraId="77CDD3A8">
      <w:pPr>
        <w:spacing w:before="184" w:line="360" w:lineRule="auto"/>
        <w:ind w:left="1079"/>
        <w:rPr>
          <w:rFonts w:ascii="宋体" w:hAnsi="宋体" w:eastAsia="宋体" w:cs="宋体"/>
          <w:sz w:val="24"/>
          <w:szCs w:val="24"/>
        </w:rPr>
      </w:pPr>
      <w:r>
        <w:rPr>
          <w:rFonts w:ascii="宋体" w:hAnsi="宋体" w:eastAsia="宋体" w:cs="宋体"/>
          <w:sz w:val="24"/>
          <w:szCs w:val="24"/>
        </w:rPr>
        <w:t>(3)所有作为隔离带电导体的金属隔板均应有效接地。</w:t>
      </w:r>
    </w:p>
    <w:p w14:paraId="2E4A28D4">
      <w:pPr>
        <w:spacing w:before="177" w:line="360" w:lineRule="auto"/>
        <w:ind w:left="580" w:right="184" w:firstLine="499"/>
        <w:rPr>
          <w:rFonts w:ascii="宋体" w:hAnsi="宋体" w:eastAsia="宋体" w:cs="宋体"/>
          <w:sz w:val="24"/>
          <w:szCs w:val="24"/>
        </w:rPr>
      </w:pPr>
      <w:r>
        <w:rPr>
          <w:rFonts w:ascii="宋体" w:hAnsi="宋体" w:eastAsia="宋体" w:cs="宋体"/>
          <w:sz w:val="24"/>
          <w:szCs w:val="24"/>
        </w:rPr>
        <w:t>(4)装置的框架、电气设备的金属外壳以及金属手动操作结构应有效接地。</w:t>
      </w:r>
      <w:r>
        <w:rPr>
          <w:rFonts w:ascii="宋体" w:hAnsi="宋体" w:eastAsia="宋体" w:cs="宋体"/>
          <w:spacing w:val="18"/>
          <w:sz w:val="24"/>
          <w:szCs w:val="24"/>
        </w:rPr>
        <w:t xml:space="preserve"> </w:t>
      </w:r>
      <w:r>
        <w:rPr>
          <w:rFonts w:ascii="宋体" w:hAnsi="宋体" w:eastAsia="宋体" w:cs="宋体"/>
          <w:spacing w:val="-1"/>
          <w:sz w:val="24"/>
          <w:szCs w:val="24"/>
        </w:rPr>
        <w:t>如果上述部件采用金属螺接安装在已经接地的镀锡、镀锌金属构件上，则认为已</w:t>
      </w:r>
    </w:p>
    <w:p w14:paraId="08D2339E">
      <w:pPr>
        <w:spacing w:line="360" w:lineRule="auto"/>
        <w:ind w:left="580"/>
        <w:rPr>
          <w:rFonts w:ascii="宋体" w:hAnsi="宋体" w:eastAsia="宋体" w:cs="宋体"/>
          <w:sz w:val="24"/>
          <w:szCs w:val="24"/>
        </w:rPr>
      </w:pPr>
      <w:r>
        <w:rPr>
          <w:rFonts w:ascii="宋体" w:hAnsi="宋体" w:eastAsia="宋体" w:cs="宋体"/>
          <w:spacing w:val="-7"/>
          <w:sz w:val="24"/>
          <w:szCs w:val="24"/>
        </w:rPr>
        <w:t>经充分接地。</w:t>
      </w:r>
    </w:p>
    <w:p w14:paraId="0FAA334E">
      <w:pPr>
        <w:spacing w:before="202" w:line="360" w:lineRule="auto"/>
        <w:ind w:left="1079"/>
        <w:rPr>
          <w:rFonts w:ascii="宋体" w:hAnsi="宋体" w:eastAsia="宋体" w:cs="宋体"/>
          <w:sz w:val="24"/>
          <w:szCs w:val="24"/>
        </w:rPr>
      </w:pPr>
      <w:r>
        <w:rPr>
          <w:rFonts w:ascii="宋体" w:hAnsi="宋体" w:eastAsia="宋体" w:cs="宋体"/>
          <w:spacing w:val="2"/>
          <w:position w:val="18"/>
          <w:sz w:val="24"/>
          <w:szCs w:val="24"/>
        </w:rPr>
        <w:t>(5)保护接地母线应能承受装置在运输、安装时所受</w:t>
      </w:r>
      <w:r>
        <w:rPr>
          <w:rFonts w:ascii="宋体" w:hAnsi="宋体" w:eastAsia="宋体" w:cs="宋体"/>
          <w:spacing w:val="1"/>
          <w:position w:val="18"/>
          <w:sz w:val="24"/>
          <w:szCs w:val="24"/>
        </w:rPr>
        <w:t>的机械应力和在单相接</w:t>
      </w:r>
    </w:p>
    <w:p w14:paraId="0EDD8EB2">
      <w:pPr>
        <w:spacing w:before="1" w:line="360" w:lineRule="auto"/>
        <w:ind w:left="580"/>
        <w:rPr>
          <w:rFonts w:ascii="宋体" w:hAnsi="宋体" w:eastAsia="宋体" w:cs="宋体"/>
          <w:sz w:val="24"/>
          <w:szCs w:val="24"/>
        </w:rPr>
      </w:pPr>
      <w:r>
        <w:rPr>
          <w:rFonts w:ascii="宋体" w:hAnsi="宋体" w:eastAsia="宋体" w:cs="宋体"/>
          <w:spacing w:val="-2"/>
          <w:sz w:val="24"/>
          <w:szCs w:val="24"/>
        </w:rPr>
        <w:t>地短路事故中所产生的机械应力和热应力，其接地连续性不能破坏。</w:t>
      </w:r>
    </w:p>
    <w:p w14:paraId="004A20B1">
      <w:pPr>
        <w:pStyle w:val="6"/>
        <w:spacing w:line="360" w:lineRule="auto"/>
      </w:pPr>
    </w:p>
    <w:p w14:paraId="23083DD8">
      <w:pPr>
        <w:spacing w:line="360" w:lineRule="auto"/>
        <w:sectPr>
          <w:footerReference r:id="rId15" w:type="default"/>
          <w:pgSz w:w="11910" w:h="16840"/>
          <w:pgMar w:top="1431" w:right="1639" w:bottom="400" w:left="1140" w:header="0" w:footer="0" w:gutter="0"/>
          <w:cols w:space="720" w:num="1"/>
        </w:sectPr>
      </w:pPr>
    </w:p>
    <w:p w14:paraId="78795E34">
      <w:pPr>
        <w:spacing w:before="279" w:line="360" w:lineRule="auto"/>
        <w:ind w:left="499"/>
        <w:rPr>
          <w:rFonts w:ascii="宋体" w:hAnsi="宋体" w:eastAsia="宋体" w:cs="宋体"/>
          <w:sz w:val="24"/>
          <w:szCs w:val="24"/>
        </w:rPr>
      </w:pPr>
      <w:r>
        <w:fldChar w:fldCharType="begin"/>
      </w:r>
      <w:r>
        <w:instrText xml:space="preserve"> HYPERLINK "3.4.3.9" </w:instrText>
      </w:r>
      <w:r>
        <w:fldChar w:fldCharType="separate"/>
      </w:r>
      <w:r>
        <w:rPr>
          <w:rFonts w:ascii="宋体" w:hAnsi="宋体" w:eastAsia="宋体" w:cs="宋体"/>
          <w:spacing w:val="-3"/>
          <w:sz w:val="24"/>
          <w:szCs w:val="24"/>
        </w:rPr>
        <w:t>3.4.3.9</w:t>
      </w:r>
      <w:r>
        <w:rPr>
          <w:rFonts w:ascii="宋体" w:hAnsi="宋体" w:eastAsia="宋体" w:cs="宋体"/>
          <w:spacing w:val="-3"/>
          <w:sz w:val="24"/>
          <w:szCs w:val="24"/>
        </w:rPr>
        <w:fldChar w:fldCharType="end"/>
      </w:r>
      <w:r>
        <w:rPr>
          <w:rFonts w:ascii="宋体" w:hAnsi="宋体" w:eastAsia="宋体" w:cs="宋体"/>
          <w:spacing w:val="-3"/>
          <w:sz w:val="24"/>
          <w:szCs w:val="24"/>
        </w:rPr>
        <w:t xml:space="preserve"> 母线</w:t>
      </w:r>
    </w:p>
    <w:p w14:paraId="4DF07F79">
      <w:pPr>
        <w:spacing w:before="183" w:line="360" w:lineRule="auto"/>
        <w:ind w:right="535" w:firstLine="499"/>
        <w:rPr>
          <w:rFonts w:ascii="宋体" w:hAnsi="宋体" w:eastAsia="宋体" w:cs="宋体"/>
          <w:sz w:val="24"/>
          <w:szCs w:val="24"/>
        </w:rPr>
      </w:pPr>
      <w:r>
        <w:rPr>
          <w:rFonts w:ascii="宋体" w:hAnsi="宋体" w:eastAsia="宋体" w:cs="宋体"/>
          <w:spacing w:val="2"/>
          <w:sz w:val="24"/>
          <w:szCs w:val="24"/>
        </w:rPr>
        <w:t>(1)母线导体的材质、截面应与开关柜导体一致，除三相工作</w:t>
      </w:r>
      <w:r>
        <w:rPr>
          <w:rFonts w:ascii="宋体" w:hAnsi="宋体" w:eastAsia="宋体" w:cs="宋体"/>
          <w:spacing w:val="1"/>
          <w:sz w:val="24"/>
          <w:szCs w:val="24"/>
        </w:rPr>
        <w:t>母线外另需</w:t>
      </w:r>
      <w:r>
        <w:rPr>
          <w:rFonts w:ascii="宋体" w:hAnsi="宋体" w:eastAsia="宋体" w:cs="宋体"/>
          <w:sz w:val="24"/>
          <w:szCs w:val="24"/>
        </w:rPr>
        <w:t xml:space="preserve"> </w:t>
      </w:r>
      <w:r>
        <w:rPr>
          <w:rFonts w:ascii="宋体" w:hAnsi="宋体" w:eastAsia="宋体" w:cs="宋体"/>
          <w:spacing w:val="-1"/>
          <w:sz w:val="24"/>
          <w:szCs w:val="24"/>
        </w:rPr>
        <w:t>设置专用的中性工作母线，其两端应延伸至开关柜柜内以便分别与开关</w:t>
      </w:r>
      <w:r>
        <w:rPr>
          <w:rFonts w:ascii="宋体" w:hAnsi="宋体" w:eastAsia="宋体" w:cs="宋体"/>
          <w:spacing w:val="-2"/>
          <w:sz w:val="24"/>
          <w:szCs w:val="24"/>
        </w:rPr>
        <w:t>柜内的母</w:t>
      </w:r>
    </w:p>
    <w:p w14:paraId="53B9EA71">
      <w:pPr>
        <w:spacing w:line="360" w:lineRule="auto"/>
        <w:rPr>
          <w:rFonts w:ascii="宋体" w:hAnsi="宋体" w:eastAsia="宋体" w:cs="宋体"/>
          <w:sz w:val="24"/>
          <w:szCs w:val="24"/>
        </w:rPr>
      </w:pPr>
      <w:r>
        <w:rPr>
          <w:rFonts w:ascii="宋体" w:hAnsi="宋体" w:eastAsia="宋体" w:cs="宋体"/>
          <w:spacing w:val="-9"/>
          <w:sz w:val="24"/>
          <w:szCs w:val="24"/>
        </w:rPr>
        <w:t>线连接。</w:t>
      </w:r>
    </w:p>
    <w:p w14:paraId="16B12314">
      <w:pPr>
        <w:spacing w:before="203" w:line="360" w:lineRule="auto"/>
        <w:ind w:left="499"/>
        <w:rPr>
          <w:rFonts w:ascii="宋体" w:hAnsi="宋体" w:eastAsia="宋体" w:cs="宋体"/>
          <w:sz w:val="24"/>
          <w:szCs w:val="24"/>
        </w:rPr>
      </w:pPr>
      <w:r>
        <w:rPr>
          <w:rFonts w:ascii="宋体" w:hAnsi="宋体" w:eastAsia="宋体" w:cs="宋体"/>
          <w:spacing w:val="2"/>
          <w:position w:val="18"/>
          <w:sz w:val="24"/>
          <w:szCs w:val="24"/>
        </w:rPr>
        <w:t>(2)开关柜和母线桥应在制造厂车间内拼盘，以保证现场开关柜和母线桥的</w:t>
      </w:r>
    </w:p>
    <w:p w14:paraId="764FE2BD">
      <w:pPr>
        <w:spacing w:line="360" w:lineRule="auto"/>
        <w:rPr>
          <w:rFonts w:ascii="宋体" w:hAnsi="宋体" w:eastAsia="宋体" w:cs="宋体"/>
          <w:sz w:val="24"/>
          <w:szCs w:val="24"/>
        </w:rPr>
      </w:pPr>
      <w:r>
        <w:rPr>
          <w:rFonts w:ascii="宋体" w:hAnsi="宋体" w:eastAsia="宋体" w:cs="宋体"/>
          <w:spacing w:val="-4"/>
          <w:sz w:val="24"/>
          <w:szCs w:val="24"/>
        </w:rPr>
        <w:t>可靠连接和柜面的平整；开关柜柜面的垂直度和水平偏差不大于1</w:t>
      </w:r>
      <w:r>
        <w:rPr>
          <w:rFonts w:ascii="Times New Roman" w:hAnsi="Times New Roman" w:eastAsia="Times New Roman" w:cs="Times New Roman"/>
          <w:spacing w:val="-4"/>
          <w:sz w:val="24"/>
          <w:szCs w:val="24"/>
        </w:rPr>
        <w:t>mm/1000mm</w:t>
      </w:r>
      <w:r>
        <w:rPr>
          <w:rFonts w:ascii="宋体" w:hAnsi="宋体" w:eastAsia="宋体" w:cs="宋体"/>
          <w:spacing w:val="-4"/>
          <w:sz w:val="24"/>
          <w:szCs w:val="24"/>
        </w:rPr>
        <w:t>。</w:t>
      </w:r>
    </w:p>
    <w:p w14:paraId="734D287B">
      <w:pPr>
        <w:spacing w:before="173" w:line="360" w:lineRule="auto"/>
        <w:ind w:left="499"/>
        <w:rPr>
          <w:rFonts w:ascii="宋体" w:hAnsi="宋体" w:eastAsia="宋体" w:cs="宋体"/>
          <w:sz w:val="24"/>
          <w:szCs w:val="24"/>
        </w:rPr>
      </w:pPr>
      <w:r>
        <w:rPr>
          <w:rFonts w:ascii="宋体" w:hAnsi="宋体" w:eastAsia="宋体" w:cs="宋体"/>
          <w:sz w:val="24"/>
          <w:szCs w:val="24"/>
        </w:rPr>
        <w:t>(3)乙方应提供安装母线所需的吊架。</w:t>
      </w:r>
    </w:p>
    <w:p w14:paraId="4FA39B90">
      <w:pPr>
        <w:spacing w:before="196" w:line="360" w:lineRule="auto"/>
        <w:ind w:left="499"/>
        <w:rPr>
          <w:rFonts w:ascii="宋体" w:hAnsi="宋体" w:eastAsia="宋体" w:cs="宋体"/>
          <w:sz w:val="24"/>
          <w:szCs w:val="24"/>
        </w:rPr>
      </w:pPr>
      <w:r>
        <w:fldChar w:fldCharType="begin"/>
      </w:r>
      <w:r>
        <w:instrText xml:space="preserve"> HYPERLINK "3.4.3.10" </w:instrText>
      </w:r>
      <w:r>
        <w:fldChar w:fldCharType="separate"/>
      </w:r>
      <w:r>
        <w:rPr>
          <w:rFonts w:ascii="宋体" w:hAnsi="宋体" w:eastAsia="宋体" w:cs="宋体"/>
          <w:spacing w:val="-2"/>
          <w:sz w:val="24"/>
          <w:szCs w:val="24"/>
        </w:rPr>
        <w:t>3.4.3.10</w:t>
      </w:r>
      <w:r>
        <w:rPr>
          <w:rFonts w:ascii="宋体" w:hAnsi="宋体" w:eastAsia="宋体" w:cs="宋体"/>
          <w:spacing w:val="-2"/>
          <w:sz w:val="24"/>
          <w:szCs w:val="24"/>
        </w:rPr>
        <w:fldChar w:fldCharType="end"/>
      </w:r>
      <w:r>
        <w:rPr>
          <w:rFonts w:ascii="宋体" w:hAnsi="宋体" w:eastAsia="宋体" w:cs="宋体"/>
          <w:spacing w:val="34"/>
          <w:sz w:val="24"/>
          <w:szCs w:val="24"/>
        </w:rPr>
        <w:t xml:space="preserve"> </w:t>
      </w:r>
      <w:r>
        <w:rPr>
          <w:rFonts w:ascii="宋体" w:hAnsi="宋体" w:eastAsia="宋体" w:cs="宋体"/>
          <w:spacing w:val="-2"/>
          <w:sz w:val="24"/>
          <w:szCs w:val="24"/>
        </w:rPr>
        <w:t>开关柜与干式变压器柜的</w:t>
      </w:r>
      <w:r>
        <w:rPr>
          <w:rFonts w:ascii="宋体" w:hAnsi="宋体" w:eastAsia="宋体" w:cs="宋体"/>
          <w:spacing w:val="-3"/>
          <w:sz w:val="24"/>
          <w:szCs w:val="24"/>
        </w:rPr>
        <w:t>连接</w:t>
      </w:r>
    </w:p>
    <w:p w14:paraId="238D4635">
      <w:pPr>
        <w:spacing w:before="175" w:line="360" w:lineRule="auto"/>
        <w:ind w:left="499"/>
        <w:rPr>
          <w:rFonts w:ascii="宋体" w:hAnsi="宋体" w:eastAsia="宋体" w:cs="宋体"/>
          <w:sz w:val="24"/>
          <w:szCs w:val="24"/>
        </w:rPr>
      </w:pPr>
      <w:r>
        <w:rPr>
          <w:rFonts w:ascii="宋体" w:hAnsi="宋体" w:eastAsia="宋体" w:cs="宋体"/>
          <w:spacing w:val="6"/>
          <w:position w:val="17"/>
          <w:sz w:val="24"/>
          <w:szCs w:val="24"/>
        </w:rPr>
        <w:t>(1)低压开关柜与干式变压器均布置于配电室内、成一列布置</w:t>
      </w:r>
      <w:r>
        <w:rPr>
          <w:rFonts w:ascii="宋体" w:hAnsi="宋体" w:eastAsia="宋体" w:cs="宋体"/>
          <w:spacing w:val="9"/>
          <w:sz w:val="24"/>
          <w:szCs w:val="24"/>
        </w:rPr>
        <w:t>。</w:t>
      </w:r>
    </w:p>
    <w:p w14:paraId="7EEF184E">
      <w:pPr>
        <w:spacing w:before="192" w:line="360" w:lineRule="auto"/>
        <w:ind w:left="499"/>
        <w:rPr>
          <w:rFonts w:ascii="宋体" w:hAnsi="宋体" w:eastAsia="宋体" w:cs="宋体"/>
          <w:sz w:val="24"/>
          <w:szCs w:val="24"/>
        </w:rPr>
      </w:pPr>
      <w:r>
        <w:rPr>
          <w:rFonts w:ascii="宋体" w:hAnsi="宋体" w:eastAsia="宋体" w:cs="宋体"/>
          <w:spacing w:val="2"/>
          <w:position w:val="17"/>
          <w:sz w:val="24"/>
          <w:szCs w:val="24"/>
        </w:rPr>
        <w:t>(2)开关柜母线与变压器低压端子的连接由开关柜厂负责，铜母线由开关柜</w:t>
      </w:r>
    </w:p>
    <w:p w14:paraId="58967F19">
      <w:pPr>
        <w:spacing w:line="360" w:lineRule="auto"/>
        <w:rPr>
          <w:rFonts w:ascii="宋体" w:hAnsi="宋体" w:eastAsia="宋体" w:cs="宋体"/>
          <w:sz w:val="24"/>
          <w:szCs w:val="24"/>
        </w:rPr>
      </w:pPr>
      <w:r>
        <w:rPr>
          <w:rFonts w:ascii="宋体" w:hAnsi="宋体" w:eastAsia="宋体" w:cs="宋体"/>
          <w:spacing w:val="-2"/>
          <w:sz w:val="24"/>
          <w:szCs w:val="24"/>
        </w:rPr>
        <w:t>厂家提供，母线截面应满足变压器最大输出容量的要求。</w:t>
      </w:r>
    </w:p>
    <w:p w14:paraId="30F3BCC7">
      <w:pPr>
        <w:spacing w:before="176" w:line="360" w:lineRule="auto"/>
        <w:ind w:left="499"/>
        <w:rPr>
          <w:rFonts w:ascii="宋体" w:hAnsi="宋体" w:eastAsia="宋体" w:cs="宋体"/>
          <w:sz w:val="24"/>
          <w:szCs w:val="24"/>
        </w:rPr>
      </w:pPr>
      <w:r>
        <w:rPr>
          <w:rFonts w:ascii="宋体" w:hAnsi="宋体" w:eastAsia="宋体" w:cs="宋体"/>
          <w:spacing w:val="1"/>
          <w:position w:val="17"/>
          <w:sz w:val="24"/>
          <w:szCs w:val="24"/>
        </w:rPr>
        <w:t>(3)安装和固定引出线端子板及母线的支柱或绝缘子的部件应有</w:t>
      </w:r>
      <w:r>
        <w:rPr>
          <w:rFonts w:ascii="宋体" w:hAnsi="宋体" w:eastAsia="宋体" w:cs="宋体"/>
          <w:position w:val="17"/>
          <w:sz w:val="24"/>
          <w:szCs w:val="24"/>
        </w:rPr>
        <w:t>足够的强度，</w:t>
      </w:r>
    </w:p>
    <w:p w14:paraId="0AC08D7D">
      <w:pPr>
        <w:spacing w:line="360" w:lineRule="auto"/>
        <w:rPr>
          <w:rFonts w:ascii="宋体" w:hAnsi="宋体" w:eastAsia="宋体" w:cs="宋体"/>
          <w:sz w:val="24"/>
          <w:szCs w:val="24"/>
        </w:rPr>
      </w:pPr>
      <w:r>
        <w:rPr>
          <w:rFonts w:ascii="宋体" w:hAnsi="宋体" w:eastAsia="宋体" w:cs="宋体"/>
          <w:spacing w:val="-5"/>
          <w:sz w:val="24"/>
          <w:szCs w:val="24"/>
        </w:rPr>
        <w:t>防止短路产生电动力使其破坏或发生位移。</w:t>
      </w:r>
    </w:p>
    <w:p w14:paraId="5AB3B6A7">
      <w:pPr>
        <w:spacing w:before="184" w:line="360" w:lineRule="auto"/>
        <w:ind w:right="510" w:firstLine="499"/>
        <w:rPr>
          <w:rFonts w:ascii="宋体" w:hAnsi="宋体" w:eastAsia="宋体" w:cs="宋体"/>
          <w:sz w:val="24"/>
          <w:szCs w:val="24"/>
        </w:rPr>
      </w:pPr>
      <w:r>
        <w:rPr>
          <w:rFonts w:ascii="宋体" w:hAnsi="宋体" w:eastAsia="宋体" w:cs="宋体"/>
          <w:spacing w:val="2"/>
          <w:sz w:val="24"/>
          <w:szCs w:val="24"/>
        </w:rPr>
        <w:t>(4)变压器低压侧母线应全部布置于变压器罩壳内。乙方应与干式变压器厂</w:t>
      </w:r>
      <w:r>
        <w:rPr>
          <w:rFonts w:ascii="宋体" w:hAnsi="宋体" w:eastAsia="宋体" w:cs="宋体"/>
          <w:spacing w:val="15"/>
          <w:sz w:val="24"/>
          <w:szCs w:val="24"/>
        </w:rPr>
        <w:t xml:space="preserve"> </w:t>
      </w:r>
      <w:r>
        <w:rPr>
          <w:rFonts w:ascii="宋体" w:hAnsi="宋体" w:eastAsia="宋体" w:cs="宋体"/>
          <w:sz w:val="24"/>
          <w:szCs w:val="24"/>
        </w:rPr>
        <w:t>家就低压开关柜母线的布置及接口尺寸、引出线端</w:t>
      </w:r>
      <w:r>
        <w:rPr>
          <w:rFonts w:ascii="宋体" w:hAnsi="宋体" w:eastAsia="宋体" w:cs="宋体"/>
          <w:spacing w:val="-1"/>
          <w:sz w:val="24"/>
          <w:szCs w:val="24"/>
        </w:rPr>
        <w:t>子板、连接板及母线的支柱绝</w:t>
      </w:r>
      <w:r>
        <w:rPr>
          <w:rFonts w:ascii="宋体" w:hAnsi="宋体" w:eastAsia="宋体" w:cs="宋体"/>
          <w:sz w:val="24"/>
          <w:szCs w:val="24"/>
        </w:rPr>
        <w:t xml:space="preserve"> 缘子或绝缘子的安装问题进行配合，以便于设计变压</w:t>
      </w:r>
      <w:r>
        <w:rPr>
          <w:rFonts w:ascii="宋体" w:hAnsi="宋体" w:eastAsia="宋体" w:cs="宋体"/>
          <w:spacing w:val="-1"/>
          <w:sz w:val="24"/>
          <w:szCs w:val="24"/>
        </w:rPr>
        <w:t>器罩壳内低压母线的支持结</w:t>
      </w:r>
      <w:r>
        <w:rPr>
          <w:rFonts w:ascii="宋体" w:hAnsi="宋体" w:eastAsia="宋体" w:cs="宋体"/>
          <w:sz w:val="24"/>
          <w:szCs w:val="24"/>
        </w:rPr>
        <w:t xml:space="preserve"> 构。乙方应保证变压器低压侧母线与开关柜母线</w:t>
      </w:r>
      <w:r>
        <w:rPr>
          <w:rFonts w:ascii="宋体" w:hAnsi="宋体" w:eastAsia="宋体" w:cs="宋体"/>
          <w:spacing w:val="-1"/>
          <w:sz w:val="24"/>
          <w:szCs w:val="24"/>
        </w:rPr>
        <w:t>连接接口的准确，以便在现场不</w:t>
      </w:r>
      <w:r>
        <w:rPr>
          <w:rFonts w:ascii="宋体" w:hAnsi="宋体" w:eastAsia="宋体" w:cs="宋体"/>
          <w:sz w:val="24"/>
          <w:szCs w:val="24"/>
        </w:rPr>
        <w:t xml:space="preserve"> </w:t>
      </w:r>
      <w:r>
        <w:rPr>
          <w:rFonts w:ascii="宋体" w:hAnsi="宋体" w:eastAsia="宋体" w:cs="宋体"/>
          <w:spacing w:val="-1"/>
          <w:sz w:val="24"/>
          <w:szCs w:val="24"/>
        </w:rPr>
        <w:t>需调整便可进行可靠连接。变压器柜内的支持结构所需材料和绝缘子由变压器厂</w:t>
      </w:r>
    </w:p>
    <w:p w14:paraId="6C9CCB90">
      <w:pPr>
        <w:spacing w:line="360" w:lineRule="auto"/>
        <w:rPr>
          <w:rFonts w:ascii="宋体" w:hAnsi="宋体" w:eastAsia="宋体" w:cs="宋体"/>
          <w:sz w:val="24"/>
          <w:szCs w:val="24"/>
        </w:rPr>
      </w:pPr>
      <w:r>
        <w:rPr>
          <w:rFonts w:ascii="宋体" w:hAnsi="宋体" w:eastAsia="宋体" w:cs="宋体"/>
          <w:spacing w:val="-11"/>
          <w:sz w:val="24"/>
          <w:szCs w:val="24"/>
        </w:rPr>
        <w:t>提供。</w:t>
      </w:r>
    </w:p>
    <w:p w14:paraId="5EBEDE37">
      <w:pPr>
        <w:spacing w:before="237" w:line="360" w:lineRule="auto"/>
        <w:ind w:left="499"/>
        <w:rPr>
          <w:rFonts w:ascii="宋体" w:hAnsi="宋体" w:eastAsia="宋体" w:cs="宋体"/>
          <w:sz w:val="24"/>
          <w:szCs w:val="24"/>
        </w:rPr>
      </w:pPr>
      <w:r>
        <w:rPr>
          <w:rFonts w:ascii="宋体" w:hAnsi="宋体" w:eastAsia="宋体" w:cs="宋体"/>
          <w:spacing w:val="3"/>
          <w:position w:val="17"/>
          <w:sz w:val="24"/>
          <w:szCs w:val="24"/>
        </w:rPr>
        <w:t>(5)开关柜的工作母线、中性母线、接地保护母线需与变压器柜</w:t>
      </w:r>
      <w:r>
        <w:rPr>
          <w:rFonts w:ascii="宋体" w:hAnsi="宋体" w:eastAsia="宋体" w:cs="宋体"/>
          <w:spacing w:val="2"/>
          <w:position w:val="17"/>
          <w:sz w:val="24"/>
          <w:szCs w:val="24"/>
        </w:rPr>
        <w:t>内的低压出</w:t>
      </w:r>
    </w:p>
    <w:p w14:paraId="4C7C914E">
      <w:pPr>
        <w:spacing w:line="360" w:lineRule="auto"/>
        <w:rPr>
          <w:rFonts w:ascii="宋体" w:hAnsi="宋体" w:eastAsia="宋体" w:cs="宋体"/>
          <w:sz w:val="24"/>
          <w:szCs w:val="24"/>
        </w:rPr>
      </w:pPr>
      <w:r>
        <w:rPr>
          <w:rFonts w:ascii="宋体" w:hAnsi="宋体" w:eastAsia="宋体" w:cs="宋体"/>
          <w:spacing w:val="-3"/>
          <w:sz w:val="24"/>
          <w:szCs w:val="24"/>
        </w:rPr>
        <w:t>线端子、中性母线、接地保护母线对应连接。</w:t>
      </w:r>
    </w:p>
    <w:p w14:paraId="254C45B5">
      <w:pPr>
        <w:spacing w:before="178" w:line="360" w:lineRule="auto"/>
        <w:ind w:left="499"/>
        <w:rPr>
          <w:rFonts w:ascii="宋体" w:hAnsi="宋体" w:eastAsia="宋体" w:cs="宋体"/>
          <w:sz w:val="24"/>
          <w:szCs w:val="24"/>
        </w:rPr>
      </w:pPr>
      <w:r>
        <w:fldChar w:fldCharType="begin"/>
      </w:r>
      <w:r>
        <w:instrText xml:space="preserve"> HYPERLINK "3.4.3.11" </w:instrText>
      </w:r>
      <w:r>
        <w:fldChar w:fldCharType="separate"/>
      </w:r>
      <w:r>
        <w:rPr>
          <w:rFonts w:ascii="宋体" w:hAnsi="宋体" w:eastAsia="宋体" w:cs="宋体"/>
          <w:spacing w:val="-3"/>
          <w:sz w:val="24"/>
          <w:szCs w:val="24"/>
        </w:rPr>
        <w:t>3.4.3.11</w:t>
      </w:r>
      <w:r>
        <w:rPr>
          <w:rFonts w:ascii="宋体" w:hAnsi="宋体" w:eastAsia="宋体" w:cs="宋体"/>
          <w:spacing w:val="-3"/>
          <w:sz w:val="24"/>
          <w:szCs w:val="24"/>
        </w:rPr>
        <w:fldChar w:fldCharType="end"/>
      </w:r>
      <w:r>
        <w:rPr>
          <w:rFonts w:ascii="宋体" w:hAnsi="宋体" w:eastAsia="宋体" w:cs="宋体"/>
          <w:spacing w:val="-3"/>
          <w:sz w:val="24"/>
          <w:szCs w:val="24"/>
        </w:rPr>
        <w:t xml:space="preserve"> 开关柜的其它要求</w:t>
      </w:r>
    </w:p>
    <w:p w14:paraId="11D5C92F">
      <w:pPr>
        <w:spacing w:before="183" w:line="360" w:lineRule="auto"/>
        <w:ind w:left="499"/>
        <w:rPr>
          <w:rFonts w:ascii="宋体" w:hAnsi="宋体" w:eastAsia="宋体" w:cs="宋体"/>
          <w:sz w:val="24"/>
          <w:szCs w:val="24"/>
        </w:rPr>
      </w:pPr>
      <w:r>
        <w:rPr>
          <w:rFonts w:ascii="宋体" w:hAnsi="宋体" w:eastAsia="宋体" w:cs="宋体"/>
          <w:spacing w:val="-2"/>
          <w:sz w:val="24"/>
          <w:szCs w:val="24"/>
        </w:rPr>
        <w:t>(1)  电源进线开关框架</w:t>
      </w:r>
      <w:r>
        <w:rPr>
          <w:rFonts w:ascii="宋体" w:hAnsi="宋体" w:eastAsia="宋体" w:cs="宋体"/>
          <w:spacing w:val="-3"/>
          <w:sz w:val="24"/>
          <w:szCs w:val="24"/>
        </w:rPr>
        <w:t>式智能型抽出式断路器。</w:t>
      </w:r>
    </w:p>
    <w:p w14:paraId="40007F8C">
      <w:pPr>
        <w:spacing w:before="195" w:line="360" w:lineRule="auto"/>
        <w:ind w:left="499"/>
        <w:rPr>
          <w:rFonts w:ascii="宋体" w:hAnsi="宋体" w:eastAsia="宋体" w:cs="宋体"/>
          <w:sz w:val="24"/>
          <w:szCs w:val="24"/>
        </w:rPr>
      </w:pPr>
      <w:r>
        <w:rPr>
          <w:rFonts w:ascii="宋体" w:hAnsi="宋体" w:eastAsia="宋体" w:cs="宋体"/>
          <w:spacing w:val="-1"/>
          <w:sz w:val="24"/>
          <w:szCs w:val="24"/>
        </w:rPr>
        <w:t>(4)  带数显表的馈线回路，其开关的状态信号接入数显表的</w:t>
      </w:r>
      <w:r>
        <w:rPr>
          <w:rFonts w:ascii="Times New Roman" w:hAnsi="Times New Roman" w:eastAsia="Times New Roman" w:cs="Times New Roman"/>
          <w:spacing w:val="-1"/>
          <w:sz w:val="24"/>
          <w:szCs w:val="24"/>
        </w:rPr>
        <w:t xml:space="preserve">DI </w:t>
      </w:r>
      <w:r>
        <w:rPr>
          <w:rFonts w:ascii="宋体" w:hAnsi="宋体" w:eastAsia="宋体" w:cs="宋体"/>
          <w:spacing w:val="-1"/>
          <w:sz w:val="24"/>
          <w:szCs w:val="24"/>
        </w:rPr>
        <w:t>输入。</w:t>
      </w:r>
    </w:p>
    <w:p w14:paraId="55939D4A">
      <w:pPr>
        <w:spacing w:line="360" w:lineRule="auto"/>
        <w:jc w:val="right"/>
      </w:pPr>
    </w:p>
    <w:p w14:paraId="5ED5667B">
      <w:pPr>
        <w:spacing w:line="360" w:lineRule="auto"/>
        <w:sectPr>
          <w:pgSz w:w="11910" w:h="16840"/>
          <w:pgMar w:top="1431" w:right="1299" w:bottom="400" w:left="1710" w:header="0" w:footer="0" w:gutter="0"/>
          <w:cols w:space="720" w:num="1"/>
        </w:sectPr>
      </w:pPr>
    </w:p>
    <w:p w14:paraId="24F5F50F">
      <w:pPr>
        <w:spacing w:before="164" w:line="360" w:lineRule="auto"/>
        <w:ind w:right="49"/>
        <w:jc w:val="left"/>
        <w:rPr>
          <w:rFonts w:ascii="宋体" w:hAnsi="宋体" w:eastAsia="宋体" w:cs="宋体"/>
          <w:spacing w:val="1"/>
          <w:position w:val="18"/>
          <w:sz w:val="24"/>
          <w:szCs w:val="24"/>
        </w:rPr>
      </w:pPr>
      <w:r>
        <w:rPr>
          <w:rFonts w:ascii="宋体" w:hAnsi="宋体" w:eastAsia="宋体" w:cs="宋体"/>
          <w:spacing w:val="1"/>
          <w:position w:val="18"/>
          <w:sz w:val="24"/>
          <w:szCs w:val="24"/>
        </w:rPr>
        <w:t>(5)元件的额定电压、额定电流、使用寿命、接通和分断能力、短路电流承</w:t>
      </w:r>
    </w:p>
    <w:p w14:paraId="64517334">
      <w:pPr>
        <w:spacing w:before="164" w:line="360" w:lineRule="auto"/>
        <w:ind w:right="49"/>
        <w:jc w:val="left"/>
        <w:rPr>
          <w:rFonts w:ascii="宋体" w:hAnsi="宋体" w:eastAsia="宋体" w:cs="宋体"/>
          <w:spacing w:val="1"/>
          <w:position w:val="18"/>
          <w:sz w:val="24"/>
          <w:szCs w:val="24"/>
        </w:rPr>
      </w:pPr>
      <w:r>
        <w:rPr>
          <w:rFonts w:ascii="宋体" w:hAnsi="宋体" w:eastAsia="宋体" w:cs="宋体"/>
          <w:spacing w:val="1"/>
          <w:position w:val="18"/>
          <w:sz w:val="24"/>
          <w:szCs w:val="24"/>
        </w:rPr>
        <w:t>受能力等参数应符合元件额定参数的要求，强制认证的元件应具有ccc 认证标志。</w:t>
      </w:r>
    </w:p>
    <w:p w14:paraId="6104D48E">
      <w:pPr>
        <w:spacing w:before="164" w:line="360" w:lineRule="auto"/>
        <w:ind w:right="49"/>
        <w:jc w:val="left"/>
        <w:rPr>
          <w:rFonts w:ascii="宋体" w:hAnsi="宋体" w:eastAsia="宋体" w:cs="宋体"/>
          <w:spacing w:val="1"/>
          <w:position w:val="18"/>
          <w:sz w:val="24"/>
          <w:szCs w:val="24"/>
        </w:rPr>
      </w:pPr>
      <w:r>
        <w:rPr>
          <w:rFonts w:ascii="宋体" w:hAnsi="宋体" w:eastAsia="宋体" w:cs="宋体"/>
          <w:spacing w:val="1"/>
          <w:position w:val="18"/>
          <w:sz w:val="24"/>
          <w:szCs w:val="24"/>
        </w:rPr>
        <w:t>(6)  对于抽屉柜内电气联锁、控制回路的接线，应进行严格检查，以保证回路的正确性和完整性。</w:t>
      </w:r>
    </w:p>
    <w:p w14:paraId="5069FC83">
      <w:pPr>
        <w:spacing w:before="164" w:line="360" w:lineRule="auto"/>
        <w:ind w:right="49"/>
        <w:jc w:val="left"/>
        <w:rPr>
          <w:rFonts w:ascii="宋体" w:hAnsi="宋体" w:eastAsia="宋体" w:cs="宋体"/>
          <w:spacing w:val="1"/>
          <w:position w:val="18"/>
          <w:sz w:val="24"/>
          <w:szCs w:val="24"/>
        </w:rPr>
      </w:pPr>
      <w:r>
        <w:rPr>
          <w:rFonts w:ascii="宋体" w:hAnsi="宋体" w:eastAsia="宋体" w:cs="宋体"/>
          <w:spacing w:val="1"/>
          <w:position w:val="18"/>
          <w:sz w:val="24"/>
          <w:szCs w:val="24"/>
        </w:rPr>
        <w:t>(8)  本文件所附图纸低压柜型号为</w:t>
      </w:r>
      <w:r>
        <w:rPr>
          <w:rFonts w:hint="eastAsia" w:ascii="宋体" w:hAnsi="宋体" w:eastAsia="宋体" w:cs="宋体"/>
          <w:spacing w:val="1"/>
          <w:position w:val="18"/>
          <w:sz w:val="24"/>
          <w:szCs w:val="24"/>
          <w:lang w:val="en-US" w:eastAsia="zh-CN"/>
        </w:rPr>
        <w:t>GCS</w:t>
      </w:r>
      <w:r>
        <w:rPr>
          <w:rFonts w:ascii="宋体" w:hAnsi="宋体" w:eastAsia="宋体" w:cs="宋体"/>
          <w:spacing w:val="1"/>
          <w:position w:val="18"/>
          <w:sz w:val="24"/>
          <w:szCs w:val="24"/>
        </w:rPr>
        <w:t>系列，各投标商应根据设计院提 供的一次系统图进行设计、核算配电柜，备用回路数量及容量按设计院提供图纸配置。</w:t>
      </w:r>
    </w:p>
    <w:p w14:paraId="0F87F750">
      <w:pPr>
        <w:spacing w:before="247" w:line="360" w:lineRule="auto"/>
        <w:ind w:left="1780"/>
        <w:rPr>
          <w:rFonts w:ascii="宋体" w:hAnsi="宋体" w:eastAsia="宋体" w:cs="宋体"/>
          <w:sz w:val="24"/>
          <w:szCs w:val="24"/>
        </w:rPr>
      </w:pPr>
      <w:r>
        <w:rPr>
          <w:rFonts w:ascii="宋体" w:hAnsi="宋体" w:eastAsia="宋体" w:cs="宋体"/>
          <w:spacing w:val="3"/>
          <w:position w:val="19"/>
          <w:sz w:val="24"/>
          <w:szCs w:val="24"/>
        </w:rPr>
        <w:t>3.4.4低压电容器柜</w:t>
      </w:r>
    </w:p>
    <w:p w14:paraId="502DE16D">
      <w:pPr>
        <w:spacing w:line="360" w:lineRule="auto"/>
        <w:ind w:left="1780"/>
        <w:rPr>
          <w:rFonts w:ascii="宋体" w:hAnsi="宋体" w:eastAsia="宋体" w:cs="宋体"/>
          <w:sz w:val="24"/>
          <w:szCs w:val="24"/>
        </w:rPr>
      </w:pPr>
      <w:r>
        <w:fldChar w:fldCharType="begin"/>
      </w:r>
      <w:r>
        <w:instrText xml:space="preserve"> HYPERLINK "3.4.4.1" </w:instrText>
      </w:r>
      <w:r>
        <w:fldChar w:fldCharType="separate"/>
      </w:r>
      <w:r>
        <w:rPr>
          <w:rFonts w:ascii="宋体" w:hAnsi="宋体" w:eastAsia="宋体" w:cs="宋体"/>
          <w:spacing w:val="2"/>
          <w:sz w:val="24"/>
          <w:szCs w:val="24"/>
        </w:rPr>
        <w:t>3.4.4.1</w:t>
      </w:r>
      <w:r>
        <w:rPr>
          <w:rFonts w:ascii="宋体" w:hAnsi="宋体" w:eastAsia="宋体" w:cs="宋体"/>
          <w:spacing w:val="2"/>
          <w:sz w:val="24"/>
          <w:szCs w:val="24"/>
        </w:rPr>
        <w:fldChar w:fldCharType="end"/>
      </w:r>
      <w:r>
        <w:rPr>
          <w:rFonts w:ascii="宋体" w:hAnsi="宋体" w:eastAsia="宋体" w:cs="宋体"/>
          <w:spacing w:val="2"/>
          <w:sz w:val="24"/>
          <w:szCs w:val="24"/>
        </w:rPr>
        <w:t>参数要求</w:t>
      </w:r>
    </w:p>
    <w:p w14:paraId="0385824E">
      <w:pPr>
        <w:spacing w:before="145" w:line="360" w:lineRule="auto"/>
        <w:ind w:left="1780"/>
        <w:rPr>
          <w:rFonts w:ascii="宋体" w:hAnsi="宋体" w:eastAsia="宋体" w:cs="宋体"/>
          <w:sz w:val="24"/>
          <w:szCs w:val="24"/>
        </w:rPr>
      </w:pPr>
      <w:r>
        <w:rPr>
          <w:rFonts w:ascii="宋体" w:hAnsi="宋体" w:eastAsia="宋体" w:cs="宋体"/>
          <w:spacing w:val="-11"/>
          <w:sz w:val="24"/>
          <w:szCs w:val="24"/>
        </w:rPr>
        <w:t>技术参数：</w:t>
      </w:r>
    </w:p>
    <w:p w14:paraId="7419DA59">
      <w:pPr>
        <w:spacing w:before="115" w:line="360" w:lineRule="auto"/>
        <w:ind w:left="1780"/>
        <w:rPr>
          <w:rFonts w:ascii="宋体" w:hAnsi="宋体" w:eastAsia="宋体" w:cs="宋体"/>
          <w:sz w:val="24"/>
          <w:szCs w:val="24"/>
        </w:rPr>
      </w:pPr>
      <w:r>
        <w:rPr>
          <w:rFonts w:ascii="宋体" w:hAnsi="宋体" w:eastAsia="宋体" w:cs="宋体"/>
          <w:spacing w:val="-9"/>
          <w:position w:val="16"/>
          <w:sz w:val="24"/>
          <w:szCs w:val="24"/>
        </w:rPr>
        <w:t>(1)输入电压： AC380/220V±15%;</w:t>
      </w:r>
    </w:p>
    <w:p w14:paraId="4DB70110">
      <w:pPr>
        <w:spacing w:line="360" w:lineRule="auto"/>
        <w:ind w:left="1780"/>
        <w:rPr>
          <w:rFonts w:ascii="Times New Roman" w:hAnsi="Times New Roman" w:eastAsia="Times New Roman" w:cs="Times New Roman"/>
          <w:sz w:val="24"/>
          <w:szCs w:val="24"/>
        </w:rPr>
      </w:pPr>
      <w:r>
        <w:rPr>
          <w:rFonts w:ascii="宋体" w:hAnsi="宋体" w:eastAsia="宋体" w:cs="宋体"/>
          <w:spacing w:val="-5"/>
          <w:sz w:val="24"/>
          <w:szCs w:val="24"/>
        </w:rPr>
        <w:t>(2)输入电源频率：50</w:t>
      </w:r>
      <w:r>
        <w:rPr>
          <w:rFonts w:ascii="Times New Roman" w:hAnsi="Times New Roman" w:eastAsia="Times New Roman" w:cs="Times New Roman"/>
          <w:spacing w:val="-5"/>
          <w:sz w:val="24"/>
          <w:szCs w:val="24"/>
        </w:rPr>
        <w:t>HZ±10%;</w:t>
      </w:r>
    </w:p>
    <w:p w14:paraId="0F575FBD">
      <w:pPr>
        <w:spacing w:before="200" w:line="360" w:lineRule="auto"/>
        <w:ind w:left="1780"/>
        <w:rPr>
          <w:rFonts w:ascii="宋体" w:hAnsi="宋体" w:eastAsia="宋体" w:cs="宋体"/>
          <w:sz w:val="24"/>
          <w:szCs w:val="24"/>
        </w:rPr>
      </w:pPr>
      <w:r>
        <w:rPr>
          <w:rFonts w:ascii="宋体" w:hAnsi="宋体" w:eastAsia="宋体" w:cs="宋体"/>
          <w:spacing w:val="-9"/>
          <w:sz w:val="24"/>
          <w:szCs w:val="24"/>
        </w:rPr>
        <w:t>(3)输出电压： AC380V±10%;</w:t>
      </w:r>
    </w:p>
    <w:p w14:paraId="1C04C623">
      <w:pPr>
        <w:spacing w:before="164" w:line="360" w:lineRule="auto"/>
        <w:ind w:right="69"/>
        <w:jc w:val="right"/>
        <w:rPr>
          <w:rFonts w:ascii="宋体" w:hAnsi="宋体" w:eastAsia="宋体" w:cs="宋体"/>
          <w:sz w:val="24"/>
          <w:szCs w:val="24"/>
        </w:rPr>
      </w:pPr>
      <w:r>
        <w:rPr>
          <w:rFonts w:ascii="宋体" w:hAnsi="宋体" w:eastAsia="宋体" w:cs="宋体"/>
          <w:spacing w:val="8"/>
          <w:position w:val="17"/>
          <w:sz w:val="24"/>
          <w:szCs w:val="24"/>
        </w:rPr>
        <w:t>(4)判断依据：根据本段电源进线开关提供的电流和电压，判断功率因数</w:t>
      </w:r>
    </w:p>
    <w:p w14:paraId="7240D418">
      <w:pPr>
        <w:spacing w:line="360" w:lineRule="auto"/>
        <w:ind w:left="1280"/>
        <w:rPr>
          <w:rFonts w:ascii="宋体" w:hAnsi="宋体" w:eastAsia="宋体" w:cs="宋体"/>
          <w:sz w:val="24"/>
          <w:szCs w:val="24"/>
        </w:rPr>
      </w:pPr>
      <w:r>
        <w:rPr>
          <w:rFonts w:ascii="Times New Roman" w:hAnsi="Times New Roman" w:eastAsia="Times New Roman" w:cs="Times New Roman"/>
          <w:spacing w:val="-1"/>
          <w:sz w:val="24"/>
          <w:szCs w:val="24"/>
        </w:rPr>
        <w:t xml:space="preserve">cosφ,     </w:t>
      </w:r>
      <w:r>
        <w:rPr>
          <w:rFonts w:ascii="宋体" w:hAnsi="宋体" w:eastAsia="宋体" w:cs="宋体"/>
          <w:spacing w:val="-1"/>
          <w:sz w:val="24"/>
          <w:szCs w:val="24"/>
        </w:rPr>
        <w:t>可实现自动/手动两种方式补偿。</w:t>
      </w:r>
    </w:p>
    <w:p w14:paraId="4E9B801F">
      <w:pPr>
        <w:spacing w:before="216" w:line="360" w:lineRule="auto"/>
        <w:ind w:left="1780"/>
        <w:rPr>
          <w:rFonts w:ascii="Times New Roman" w:hAnsi="Times New Roman" w:eastAsia="Times New Roman" w:cs="Times New Roman"/>
          <w:sz w:val="24"/>
          <w:szCs w:val="24"/>
        </w:rPr>
      </w:pPr>
      <w:r>
        <w:rPr>
          <w:rFonts w:ascii="宋体" w:hAnsi="宋体" w:eastAsia="宋体" w:cs="宋体"/>
          <w:spacing w:val="2"/>
          <w:sz w:val="24"/>
          <w:szCs w:val="24"/>
        </w:rPr>
        <w:t>(5)响应时间：&lt;20</w:t>
      </w:r>
      <w:r>
        <w:rPr>
          <w:rFonts w:ascii="Times New Roman" w:hAnsi="Times New Roman" w:eastAsia="Times New Roman" w:cs="Times New Roman"/>
          <w:sz w:val="24"/>
          <w:szCs w:val="24"/>
        </w:rPr>
        <w:t>mS</w:t>
      </w:r>
      <w:r>
        <w:rPr>
          <w:rFonts w:ascii="Times New Roman" w:hAnsi="Times New Roman" w:eastAsia="Times New Roman" w:cs="Times New Roman"/>
          <w:spacing w:val="2"/>
          <w:sz w:val="24"/>
          <w:szCs w:val="24"/>
        </w:rPr>
        <w:t>;</w:t>
      </w:r>
    </w:p>
    <w:p w14:paraId="2E383B8F">
      <w:pPr>
        <w:spacing w:before="190" w:line="360" w:lineRule="auto"/>
        <w:ind w:left="1780"/>
        <w:rPr>
          <w:rFonts w:ascii="宋体" w:hAnsi="宋体" w:eastAsia="宋体" w:cs="宋体"/>
          <w:sz w:val="24"/>
          <w:szCs w:val="24"/>
        </w:rPr>
      </w:pPr>
      <w:r>
        <w:rPr>
          <w:rFonts w:ascii="宋体" w:hAnsi="宋体" w:eastAsia="宋体" w:cs="宋体"/>
          <w:spacing w:val="-7"/>
          <w:position w:val="17"/>
          <w:sz w:val="24"/>
          <w:szCs w:val="24"/>
        </w:rPr>
        <w:t>(6)补偿容量：根据设计负荷核算，详见低压配置图；</w:t>
      </w:r>
    </w:p>
    <w:p w14:paraId="3342C2DD">
      <w:pPr>
        <w:spacing w:line="360" w:lineRule="auto"/>
        <w:ind w:left="1780"/>
        <w:rPr>
          <w:rFonts w:ascii="Times New Roman" w:hAnsi="Times New Roman" w:eastAsia="Times New Roman" w:cs="Times New Roman"/>
          <w:sz w:val="24"/>
          <w:szCs w:val="24"/>
        </w:rPr>
      </w:pPr>
      <w:r>
        <w:rPr>
          <w:rFonts w:ascii="宋体" w:hAnsi="宋体" w:eastAsia="宋体" w:cs="宋体"/>
          <w:spacing w:val="1"/>
          <w:sz w:val="24"/>
          <w:szCs w:val="24"/>
        </w:rPr>
        <w:t>(7)绝缘水平：端子与外壳间，工频电压3</w:t>
      </w:r>
      <w:r>
        <w:rPr>
          <w:rFonts w:ascii="Times New Roman" w:hAnsi="Times New Roman" w:eastAsia="Times New Roman" w:cs="Times New Roman"/>
          <w:sz w:val="24"/>
          <w:szCs w:val="24"/>
        </w:rPr>
        <w:t>KV</w:t>
      </w:r>
      <w:r>
        <w:rPr>
          <w:rFonts w:ascii="Times New Roman" w:hAnsi="Times New Roman" w:eastAsia="Times New Roman" w:cs="Times New Roman"/>
          <w:spacing w:val="1"/>
          <w:sz w:val="24"/>
          <w:szCs w:val="24"/>
        </w:rPr>
        <w:t>,1</w:t>
      </w:r>
      <w:r>
        <w:rPr>
          <w:rFonts w:ascii="Times New Roman" w:hAnsi="Times New Roman" w:eastAsia="Times New Roman" w:cs="Times New Roman"/>
          <w:sz w:val="24"/>
          <w:szCs w:val="24"/>
        </w:rPr>
        <w:t>min</w:t>
      </w:r>
      <w:r>
        <w:rPr>
          <w:rFonts w:ascii="Times New Roman" w:hAnsi="Times New Roman" w:eastAsia="Times New Roman" w:cs="Times New Roman"/>
          <w:spacing w:val="1"/>
          <w:sz w:val="24"/>
          <w:szCs w:val="24"/>
        </w:rPr>
        <w:t>;</w:t>
      </w:r>
    </w:p>
    <w:p w14:paraId="6875284C">
      <w:pPr>
        <w:spacing w:before="200" w:line="360" w:lineRule="auto"/>
        <w:ind w:left="1780"/>
        <w:rPr>
          <w:rFonts w:ascii="宋体" w:hAnsi="宋体" w:eastAsia="宋体" w:cs="宋体"/>
          <w:sz w:val="24"/>
          <w:szCs w:val="24"/>
        </w:rPr>
      </w:pPr>
      <w:r>
        <w:rPr>
          <w:rFonts w:ascii="宋体" w:hAnsi="宋体" w:eastAsia="宋体" w:cs="宋体"/>
          <w:spacing w:val="-5"/>
          <w:position w:val="22"/>
          <w:sz w:val="24"/>
          <w:szCs w:val="24"/>
        </w:rPr>
        <w:t>(8)允许过电压：1.2倍的额定电压下长期运行；</w:t>
      </w:r>
    </w:p>
    <w:p w14:paraId="0B368E5F">
      <w:pPr>
        <w:spacing w:before="1" w:line="360" w:lineRule="auto"/>
        <w:ind w:left="1780"/>
        <w:rPr>
          <w:rFonts w:ascii="宋体" w:hAnsi="宋体" w:eastAsia="宋体" w:cs="宋体"/>
          <w:sz w:val="24"/>
          <w:szCs w:val="24"/>
        </w:rPr>
      </w:pPr>
      <w:r>
        <w:rPr>
          <w:rFonts w:ascii="宋体" w:hAnsi="宋体" w:eastAsia="宋体" w:cs="宋体"/>
          <w:spacing w:val="-3"/>
          <w:sz w:val="24"/>
          <w:szCs w:val="24"/>
        </w:rPr>
        <w:t>(9)允许过电流：1.5倍的额定电流下长期运行；</w:t>
      </w:r>
    </w:p>
    <w:p w14:paraId="1106C63B">
      <w:pPr>
        <w:spacing w:before="179" w:line="360" w:lineRule="auto"/>
        <w:ind w:left="1780"/>
        <w:rPr>
          <w:rFonts w:ascii="Times New Roman" w:hAnsi="Times New Roman" w:eastAsia="Times New Roman" w:cs="Times New Roman"/>
          <w:sz w:val="24"/>
          <w:szCs w:val="24"/>
        </w:rPr>
      </w:pPr>
      <w:r>
        <w:rPr>
          <w:rFonts w:ascii="宋体" w:hAnsi="宋体" w:eastAsia="宋体" w:cs="宋体"/>
          <w:spacing w:val="4"/>
          <w:sz w:val="24"/>
          <w:szCs w:val="24"/>
        </w:rPr>
        <w:t>(10)采样电流：1</w:t>
      </w:r>
      <w:r>
        <w:rPr>
          <w:rFonts w:ascii="Times New Roman" w:hAnsi="Times New Roman" w:eastAsia="Times New Roman" w:cs="Times New Roman"/>
          <w:spacing w:val="4"/>
          <w:sz w:val="24"/>
          <w:szCs w:val="24"/>
        </w:rPr>
        <w:t>A;</w:t>
      </w:r>
    </w:p>
    <w:p w14:paraId="7C921E52">
      <w:pPr>
        <w:spacing w:before="164" w:line="360" w:lineRule="auto"/>
        <w:ind w:left="1780"/>
        <w:rPr>
          <w:rFonts w:ascii="Times New Roman" w:hAnsi="Times New Roman" w:eastAsia="Times New Roman" w:cs="Times New Roman"/>
          <w:sz w:val="24"/>
          <w:szCs w:val="24"/>
        </w:rPr>
      </w:pPr>
      <w:r>
        <w:rPr>
          <w:rFonts w:ascii="宋体" w:hAnsi="宋体" w:eastAsia="宋体" w:cs="宋体"/>
          <w:spacing w:val="10"/>
          <w:sz w:val="24"/>
          <w:szCs w:val="24"/>
        </w:rPr>
        <w:t>(11)投切延时：0~120</w:t>
      </w:r>
      <w:r>
        <w:rPr>
          <w:rFonts w:ascii="Times New Roman" w:hAnsi="Times New Roman" w:eastAsia="Times New Roman" w:cs="Times New Roman"/>
          <w:spacing w:val="10"/>
          <w:sz w:val="24"/>
          <w:szCs w:val="24"/>
        </w:rPr>
        <w:t>s;</w:t>
      </w:r>
    </w:p>
    <w:p w14:paraId="55115158">
      <w:pPr>
        <w:spacing w:before="171" w:line="360" w:lineRule="auto"/>
        <w:ind w:left="1780"/>
        <w:rPr>
          <w:rFonts w:ascii="宋体" w:hAnsi="宋体" w:eastAsia="宋体" w:cs="宋体"/>
          <w:sz w:val="24"/>
          <w:szCs w:val="24"/>
        </w:rPr>
      </w:pPr>
      <w:r>
        <w:rPr>
          <w:rFonts w:ascii="宋体" w:hAnsi="宋体" w:eastAsia="宋体" w:cs="宋体"/>
          <w:spacing w:val="9"/>
          <w:position w:val="15"/>
          <w:sz w:val="24"/>
          <w:szCs w:val="24"/>
        </w:rPr>
        <w:t>(12)电气间隙：10</w:t>
      </w:r>
      <w:r>
        <w:rPr>
          <w:rFonts w:ascii="宋体" w:hAnsi="宋体" w:eastAsia="宋体" w:cs="宋体"/>
          <w:position w:val="15"/>
          <w:sz w:val="24"/>
          <w:szCs w:val="24"/>
        </w:rPr>
        <w:t>mm</w:t>
      </w:r>
      <w:r>
        <w:rPr>
          <w:rFonts w:ascii="宋体" w:hAnsi="宋体" w:eastAsia="宋体" w:cs="宋体"/>
          <w:spacing w:val="9"/>
          <w:position w:val="15"/>
          <w:sz w:val="24"/>
          <w:szCs w:val="24"/>
        </w:rPr>
        <w:t>;</w:t>
      </w:r>
    </w:p>
    <w:p w14:paraId="7AF36028">
      <w:pPr>
        <w:tabs>
          <w:tab w:val="left" w:pos="1840"/>
        </w:tabs>
        <w:spacing w:line="360" w:lineRule="auto"/>
        <w:rPr>
          <w:rFonts w:ascii="宋体" w:hAnsi="宋体" w:eastAsia="宋体" w:cs="宋体"/>
          <w:sz w:val="24"/>
          <w:szCs w:val="24"/>
        </w:rPr>
      </w:pPr>
      <w:r>
        <w:rPr>
          <w:rFonts w:ascii="宋体" w:hAnsi="宋体" w:eastAsia="宋体" w:cs="宋体"/>
          <w:sz w:val="24"/>
          <w:szCs w:val="24"/>
          <w:u w:val="none" w:color="auto"/>
        </w:rPr>
        <w:tab/>
      </w:r>
      <w:r>
        <w:rPr>
          <w:rFonts w:ascii="宋体" w:hAnsi="宋体" w:eastAsia="宋体" w:cs="宋体"/>
          <w:spacing w:val="7"/>
          <w:sz w:val="24"/>
          <w:szCs w:val="24"/>
        </w:rPr>
        <w:t>(13)爬电距离；12</w:t>
      </w:r>
      <w:r>
        <w:rPr>
          <w:rFonts w:ascii="宋体" w:hAnsi="宋体" w:eastAsia="宋体" w:cs="宋体"/>
          <w:sz w:val="24"/>
          <w:szCs w:val="24"/>
        </w:rPr>
        <w:t>mm</w:t>
      </w:r>
      <w:r>
        <w:rPr>
          <w:rFonts w:ascii="宋体" w:hAnsi="宋体" w:eastAsia="宋体" w:cs="宋体"/>
          <w:spacing w:val="7"/>
          <w:sz w:val="24"/>
          <w:szCs w:val="24"/>
        </w:rPr>
        <w:t>;</w:t>
      </w:r>
    </w:p>
    <w:p w14:paraId="791C0E20">
      <w:pPr>
        <w:spacing w:before="143" w:line="360" w:lineRule="auto"/>
        <w:ind w:left="1780"/>
        <w:rPr>
          <w:rFonts w:ascii="Times New Roman" w:hAnsi="Times New Roman" w:eastAsia="Times New Roman" w:cs="Times New Roman"/>
          <w:sz w:val="24"/>
          <w:szCs w:val="24"/>
        </w:rPr>
      </w:pPr>
      <w:r>
        <w:rPr>
          <w:rFonts w:ascii="宋体" w:hAnsi="宋体" w:eastAsia="宋体" w:cs="宋体"/>
          <w:spacing w:val="18"/>
          <w:position w:val="15"/>
          <w:sz w:val="24"/>
          <w:szCs w:val="24"/>
        </w:rPr>
        <w:t>(14)额定工况下噪声(距离设备1</w:t>
      </w:r>
      <w:r>
        <w:rPr>
          <w:rFonts w:ascii="Times New Roman" w:hAnsi="Times New Roman" w:eastAsia="Times New Roman" w:cs="Times New Roman"/>
          <w:spacing w:val="18"/>
          <w:position w:val="15"/>
          <w:sz w:val="24"/>
          <w:szCs w:val="24"/>
        </w:rPr>
        <w:t xml:space="preserve">m </w:t>
      </w:r>
      <w:r>
        <w:rPr>
          <w:rFonts w:ascii="宋体" w:hAnsi="宋体" w:eastAsia="宋体" w:cs="宋体"/>
          <w:spacing w:val="18"/>
          <w:position w:val="15"/>
          <w:sz w:val="24"/>
          <w:szCs w:val="24"/>
        </w:rPr>
        <w:t>远处)≤60</w:t>
      </w:r>
      <w:r>
        <w:rPr>
          <w:rFonts w:ascii="Times New Roman" w:hAnsi="Times New Roman" w:eastAsia="Times New Roman" w:cs="Times New Roman"/>
          <w:position w:val="15"/>
          <w:sz w:val="24"/>
          <w:szCs w:val="24"/>
        </w:rPr>
        <w:t>dB</w:t>
      </w:r>
    </w:p>
    <w:p w14:paraId="47F61C17">
      <w:pPr>
        <w:spacing w:line="360" w:lineRule="auto"/>
        <w:ind w:left="1780"/>
        <w:rPr>
          <w:rFonts w:ascii="宋体" w:hAnsi="宋体" w:eastAsia="宋体" w:cs="宋体"/>
          <w:sz w:val="24"/>
          <w:szCs w:val="24"/>
        </w:rPr>
      </w:pPr>
      <w:r>
        <w:rPr>
          <w:rFonts w:ascii="宋体" w:hAnsi="宋体" w:eastAsia="宋体" w:cs="宋体"/>
          <w:sz w:val="24"/>
          <w:szCs w:val="24"/>
        </w:rPr>
        <w:t>(15)冷却方式：强制排风；</w:t>
      </w:r>
    </w:p>
    <w:p w14:paraId="1B7C72BB">
      <w:pPr>
        <w:spacing w:before="144" w:line="360" w:lineRule="auto"/>
        <w:ind w:left="1780"/>
        <w:rPr>
          <w:rFonts w:ascii="宋体" w:hAnsi="宋体" w:eastAsia="宋体" w:cs="宋体"/>
          <w:sz w:val="24"/>
          <w:szCs w:val="24"/>
        </w:rPr>
      </w:pPr>
      <w:r>
        <w:rPr>
          <w:rFonts w:ascii="宋体" w:hAnsi="宋体" w:eastAsia="宋体" w:cs="宋体"/>
          <w:spacing w:val="-5"/>
          <w:sz w:val="24"/>
          <w:szCs w:val="24"/>
        </w:rPr>
        <w:t>(16)防护等级： IP21;</w:t>
      </w:r>
    </w:p>
    <w:p w14:paraId="442F2265">
      <w:pPr>
        <w:spacing w:before="155" w:line="360" w:lineRule="auto"/>
        <w:ind w:left="1780"/>
        <w:rPr>
          <w:rFonts w:ascii="宋体" w:hAnsi="宋体" w:eastAsia="宋体" w:cs="宋体"/>
          <w:sz w:val="24"/>
          <w:szCs w:val="24"/>
        </w:rPr>
      </w:pPr>
      <w:r>
        <w:rPr>
          <w:rFonts w:ascii="宋体" w:hAnsi="宋体" w:eastAsia="宋体" w:cs="宋体"/>
          <w:spacing w:val="2"/>
          <w:position w:val="14"/>
          <w:sz w:val="24"/>
          <w:szCs w:val="24"/>
        </w:rPr>
        <w:t>(17)平均无故障时间：≥10 万小时；</w:t>
      </w:r>
    </w:p>
    <w:p w14:paraId="2960DFAF">
      <w:pPr>
        <w:spacing w:line="360" w:lineRule="auto"/>
        <w:ind w:left="1780"/>
      </w:pPr>
      <w:r>
        <w:rPr>
          <w:rFonts w:ascii="宋体" w:hAnsi="宋体" w:eastAsia="宋体" w:cs="宋体"/>
          <w:spacing w:val="12"/>
          <w:sz w:val="24"/>
          <w:szCs w:val="24"/>
        </w:rPr>
        <w:t>(18)补偿容量：单柜不大于420</w:t>
      </w:r>
      <w:r>
        <w:rPr>
          <w:rFonts w:ascii="宋体" w:hAnsi="宋体" w:eastAsia="宋体" w:cs="宋体"/>
          <w:sz w:val="24"/>
          <w:szCs w:val="24"/>
        </w:rPr>
        <w:t>kVar</w:t>
      </w:r>
      <w:r>
        <w:rPr>
          <w:rFonts w:ascii="宋体" w:hAnsi="宋体" w:eastAsia="宋体" w:cs="宋体"/>
          <w:spacing w:val="12"/>
          <w:sz w:val="24"/>
          <w:szCs w:val="24"/>
        </w:rPr>
        <w:t>。</w:t>
      </w:r>
    </w:p>
    <w:p w14:paraId="728644F8">
      <w:pPr>
        <w:spacing w:before="268" w:line="360" w:lineRule="auto"/>
        <w:ind w:left="499"/>
        <w:rPr>
          <w:rFonts w:ascii="宋体" w:hAnsi="宋体" w:eastAsia="宋体" w:cs="宋体"/>
          <w:sz w:val="24"/>
          <w:szCs w:val="24"/>
        </w:rPr>
      </w:pPr>
      <w:bookmarkStart w:id="466" w:name="bookmark11"/>
      <w:bookmarkEnd w:id="466"/>
      <w:bookmarkStart w:id="467" w:name="bookmark10"/>
      <w:bookmarkEnd w:id="467"/>
      <w:bookmarkStart w:id="468" w:name="bookmark12"/>
      <w:bookmarkEnd w:id="468"/>
      <w:r>
        <w:fldChar w:fldCharType="begin"/>
      </w:r>
      <w:r>
        <w:instrText xml:space="preserve"> HYPERLINK "3.4.4.2" </w:instrText>
      </w:r>
      <w:r>
        <w:fldChar w:fldCharType="separate"/>
      </w:r>
      <w:r>
        <w:rPr>
          <w:rFonts w:ascii="宋体" w:hAnsi="宋体" w:eastAsia="宋体" w:cs="宋体"/>
          <w:spacing w:val="2"/>
          <w:position w:val="16"/>
          <w:sz w:val="24"/>
          <w:szCs w:val="24"/>
        </w:rPr>
        <w:t>3.4.4.2</w:t>
      </w:r>
      <w:r>
        <w:rPr>
          <w:rFonts w:ascii="宋体" w:hAnsi="宋体" w:eastAsia="宋体" w:cs="宋体"/>
          <w:spacing w:val="2"/>
          <w:position w:val="16"/>
          <w:sz w:val="24"/>
          <w:szCs w:val="24"/>
        </w:rPr>
        <w:fldChar w:fldCharType="end"/>
      </w:r>
      <w:r>
        <w:rPr>
          <w:rFonts w:ascii="宋体" w:hAnsi="宋体" w:eastAsia="宋体" w:cs="宋体"/>
          <w:spacing w:val="2"/>
          <w:position w:val="16"/>
          <w:sz w:val="24"/>
          <w:szCs w:val="24"/>
        </w:rPr>
        <w:t>低压电容柜应具有必要的防护功能，以确保系统安全与人身</w:t>
      </w:r>
      <w:r>
        <w:rPr>
          <w:rFonts w:ascii="宋体" w:hAnsi="宋体" w:eastAsia="宋体" w:cs="宋体"/>
          <w:spacing w:val="1"/>
          <w:position w:val="16"/>
          <w:sz w:val="24"/>
          <w:szCs w:val="24"/>
        </w:rPr>
        <w:t>安全。</w:t>
      </w:r>
    </w:p>
    <w:p w14:paraId="3FAEB97F">
      <w:pPr>
        <w:spacing w:line="360" w:lineRule="auto"/>
        <w:rPr>
          <w:rFonts w:ascii="宋体" w:hAnsi="宋体" w:eastAsia="宋体" w:cs="宋体"/>
          <w:sz w:val="24"/>
          <w:szCs w:val="24"/>
        </w:rPr>
      </w:pPr>
      <w:r>
        <w:rPr>
          <w:rFonts w:ascii="宋体" w:hAnsi="宋体" w:eastAsia="宋体" w:cs="宋体"/>
          <w:spacing w:val="-1"/>
          <w:sz w:val="24"/>
          <w:szCs w:val="24"/>
        </w:rPr>
        <w:t>低压电容柜配置技术要求与低压开关柜一致，柜深1000</w:t>
      </w:r>
      <w:r>
        <w:rPr>
          <w:rFonts w:ascii="Times New Roman" w:hAnsi="Times New Roman" w:eastAsia="Times New Roman" w:cs="Times New Roman"/>
          <w:spacing w:val="-1"/>
          <w:sz w:val="24"/>
          <w:szCs w:val="24"/>
        </w:rPr>
        <w:t>mm,</w:t>
      </w:r>
      <w:r>
        <w:rPr>
          <w:rFonts w:ascii="Times New Roman" w:hAnsi="Times New Roman" w:eastAsia="Times New Roman" w:cs="Times New Roman"/>
          <w:spacing w:val="7"/>
          <w:sz w:val="24"/>
          <w:szCs w:val="24"/>
        </w:rPr>
        <w:t xml:space="preserve"> </w:t>
      </w:r>
      <w:r>
        <w:rPr>
          <w:rFonts w:ascii="宋体" w:hAnsi="宋体" w:eastAsia="宋体" w:cs="宋体"/>
          <w:spacing w:val="-1"/>
          <w:sz w:val="24"/>
          <w:szCs w:val="24"/>
        </w:rPr>
        <w:t>柜高2200</w:t>
      </w:r>
      <w:r>
        <w:rPr>
          <w:rFonts w:ascii="Times New Roman" w:hAnsi="Times New Roman" w:eastAsia="Times New Roman" w:cs="Times New Roman"/>
          <w:spacing w:val="-1"/>
          <w:sz w:val="24"/>
          <w:szCs w:val="24"/>
        </w:rPr>
        <w:t>mm</w:t>
      </w:r>
      <w:r>
        <w:rPr>
          <w:rFonts w:ascii="宋体" w:hAnsi="宋体" w:eastAsia="宋体" w:cs="宋体"/>
          <w:spacing w:val="-1"/>
          <w:sz w:val="24"/>
          <w:szCs w:val="24"/>
        </w:rPr>
        <w:t>。</w:t>
      </w:r>
    </w:p>
    <w:p w14:paraId="7276219F">
      <w:pPr>
        <w:spacing w:before="210" w:line="360" w:lineRule="auto"/>
        <w:ind w:left="499"/>
        <w:rPr>
          <w:rFonts w:ascii="宋体" w:hAnsi="宋体" w:eastAsia="宋体" w:cs="宋体"/>
          <w:sz w:val="24"/>
          <w:szCs w:val="24"/>
        </w:rPr>
      </w:pPr>
      <w:r>
        <w:fldChar w:fldCharType="begin"/>
      </w:r>
      <w:r>
        <w:instrText xml:space="preserve"> HYPERLINK "3.4.4.3" </w:instrText>
      </w:r>
      <w:r>
        <w:fldChar w:fldCharType="separate"/>
      </w:r>
      <w:r>
        <w:rPr>
          <w:rFonts w:ascii="宋体" w:hAnsi="宋体" w:eastAsia="宋体" w:cs="宋体"/>
          <w:spacing w:val="-7"/>
          <w:sz w:val="24"/>
          <w:szCs w:val="24"/>
        </w:rPr>
        <w:t>3.4.4.3</w:t>
      </w:r>
      <w:r>
        <w:rPr>
          <w:rFonts w:ascii="宋体" w:hAnsi="宋体" w:eastAsia="宋体" w:cs="宋体"/>
          <w:spacing w:val="-7"/>
          <w:sz w:val="24"/>
          <w:szCs w:val="24"/>
        </w:rPr>
        <w:fldChar w:fldCharType="end"/>
      </w:r>
      <w:r>
        <w:rPr>
          <w:rFonts w:ascii="宋体" w:hAnsi="宋体" w:eastAsia="宋体" w:cs="宋体"/>
          <w:spacing w:val="33"/>
          <w:sz w:val="24"/>
          <w:szCs w:val="24"/>
        </w:rPr>
        <w:t xml:space="preserve"> </w:t>
      </w:r>
      <w:r>
        <w:rPr>
          <w:rFonts w:ascii="宋体" w:hAnsi="宋体" w:eastAsia="宋体" w:cs="宋体"/>
          <w:spacing w:val="-7"/>
          <w:sz w:val="24"/>
          <w:szCs w:val="24"/>
        </w:rPr>
        <w:t>电容器：</w:t>
      </w:r>
    </w:p>
    <w:p w14:paraId="7E35F579">
      <w:pPr>
        <w:spacing w:before="141" w:line="360" w:lineRule="auto"/>
        <w:ind w:right="419" w:firstLine="499"/>
        <w:jc w:val="both"/>
        <w:rPr>
          <w:rFonts w:ascii="宋体" w:hAnsi="宋体" w:eastAsia="宋体" w:cs="宋体"/>
          <w:sz w:val="24"/>
          <w:szCs w:val="24"/>
        </w:rPr>
      </w:pPr>
      <w:r>
        <w:rPr>
          <w:rFonts w:ascii="宋体" w:hAnsi="宋体" w:eastAsia="宋体" w:cs="宋体"/>
          <w:spacing w:val="2"/>
          <w:sz w:val="24"/>
          <w:szCs w:val="24"/>
        </w:rPr>
        <w:t>(1)电容器选用自愈干式电力电容器，采用高级金属化聚丙烯薄膜，电容器</w:t>
      </w:r>
      <w:r>
        <w:rPr>
          <w:rFonts w:ascii="宋体" w:hAnsi="宋体" w:eastAsia="宋体" w:cs="宋体"/>
          <w:spacing w:val="13"/>
          <w:sz w:val="24"/>
          <w:szCs w:val="24"/>
        </w:rPr>
        <w:t>的额定电压按电容器接入系统处长期运行电压的1.2 倍选取。</w:t>
      </w:r>
      <w:r>
        <w:rPr>
          <w:rFonts w:ascii="宋体" w:hAnsi="宋体" w:eastAsia="宋体" w:cs="宋体"/>
          <w:spacing w:val="12"/>
          <w:sz w:val="24"/>
          <w:szCs w:val="24"/>
        </w:rPr>
        <w:t>最大允许电流</w:t>
      </w:r>
    </w:p>
    <w:p w14:paraId="5D101123">
      <w:pPr>
        <w:spacing w:line="360" w:lineRule="auto"/>
        <w:rPr>
          <w:rFonts w:ascii="宋体" w:hAnsi="宋体" w:eastAsia="宋体" w:cs="宋体"/>
          <w:sz w:val="24"/>
          <w:szCs w:val="24"/>
        </w:rPr>
      </w:pPr>
      <w:r>
        <w:rPr>
          <w:rFonts w:ascii="宋体" w:hAnsi="宋体" w:eastAsia="宋体" w:cs="宋体"/>
          <w:spacing w:val="7"/>
          <w:sz w:val="24"/>
          <w:szCs w:val="24"/>
        </w:rPr>
        <w:t>2</w:t>
      </w:r>
      <w:r>
        <w:rPr>
          <w:rFonts w:ascii="宋体" w:hAnsi="宋体" w:eastAsia="宋体" w:cs="宋体"/>
          <w:sz w:val="24"/>
          <w:szCs w:val="24"/>
        </w:rPr>
        <w:t>IN</w:t>
      </w:r>
      <w:r>
        <w:rPr>
          <w:rFonts w:ascii="宋体" w:hAnsi="宋体" w:eastAsia="宋体" w:cs="宋体"/>
          <w:spacing w:val="7"/>
          <w:sz w:val="24"/>
          <w:szCs w:val="24"/>
        </w:rPr>
        <w:t>, 浪涌电流400</w:t>
      </w:r>
      <w:r>
        <w:rPr>
          <w:rFonts w:ascii="宋体" w:hAnsi="宋体" w:eastAsia="宋体" w:cs="宋体"/>
          <w:sz w:val="24"/>
          <w:szCs w:val="24"/>
        </w:rPr>
        <w:t>IN</w:t>
      </w:r>
      <w:r>
        <w:rPr>
          <w:rFonts w:ascii="宋体" w:hAnsi="宋体" w:eastAsia="宋体" w:cs="宋体"/>
          <w:spacing w:val="7"/>
          <w:sz w:val="24"/>
          <w:szCs w:val="24"/>
        </w:rPr>
        <w:t>, 使用寿命大于15,000h。</w:t>
      </w:r>
    </w:p>
    <w:p w14:paraId="5A8E16DF">
      <w:pPr>
        <w:spacing w:before="263" w:line="360" w:lineRule="auto"/>
        <w:ind w:right="416" w:firstLine="499"/>
        <w:rPr>
          <w:rFonts w:ascii="宋体" w:hAnsi="宋体" w:eastAsia="宋体" w:cs="宋体"/>
          <w:sz w:val="24"/>
          <w:szCs w:val="24"/>
        </w:rPr>
      </w:pPr>
      <w:r>
        <w:rPr>
          <w:rFonts w:ascii="宋体" w:hAnsi="宋体" w:eastAsia="宋体" w:cs="宋体"/>
          <w:spacing w:val="2"/>
          <w:sz w:val="24"/>
          <w:szCs w:val="24"/>
        </w:rPr>
        <w:t>(2)电容器额定电压与配套电抗器相匹配。电容器带放电电阻，当电容器断</w:t>
      </w:r>
      <w:r>
        <w:rPr>
          <w:rFonts w:ascii="宋体" w:hAnsi="宋体" w:eastAsia="宋体" w:cs="宋体"/>
          <w:spacing w:val="1"/>
          <w:sz w:val="24"/>
          <w:szCs w:val="24"/>
        </w:rPr>
        <w:t xml:space="preserve"> </w:t>
      </w:r>
      <w:r>
        <w:rPr>
          <w:rFonts w:ascii="宋体" w:hAnsi="宋体" w:eastAsia="宋体" w:cs="宋体"/>
          <w:spacing w:val="2"/>
          <w:sz w:val="24"/>
          <w:szCs w:val="24"/>
        </w:rPr>
        <w:t>电后，在1分钟内将电容器的剩余电压降至50</w:t>
      </w:r>
      <w:r>
        <w:rPr>
          <w:rFonts w:ascii="Times New Roman" w:hAnsi="Times New Roman" w:eastAsia="Times New Roman" w:cs="Times New Roman"/>
          <w:spacing w:val="2"/>
          <w:sz w:val="24"/>
          <w:szCs w:val="24"/>
        </w:rPr>
        <w:t>V</w:t>
      </w:r>
      <w:r>
        <w:rPr>
          <w:rFonts w:ascii="宋体" w:hAnsi="宋体" w:eastAsia="宋体" w:cs="宋体"/>
          <w:spacing w:val="2"/>
          <w:sz w:val="24"/>
          <w:szCs w:val="24"/>
        </w:rPr>
        <w:t>以下，再次投入时，电容器端子</w:t>
      </w:r>
      <w:r>
        <w:rPr>
          <w:rFonts w:ascii="宋体" w:hAnsi="宋体" w:eastAsia="宋体" w:cs="宋体"/>
          <w:sz w:val="24"/>
          <w:szCs w:val="24"/>
        </w:rPr>
        <w:t>上剩余电压不应超过额定电压的0.1倍。电容器的裸</w:t>
      </w:r>
      <w:r>
        <w:rPr>
          <w:rFonts w:ascii="宋体" w:hAnsi="宋体" w:eastAsia="宋体" w:cs="宋体"/>
          <w:spacing w:val="-1"/>
          <w:sz w:val="24"/>
          <w:szCs w:val="24"/>
        </w:rPr>
        <w:t>露接线头应有防护帽。</w:t>
      </w:r>
    </w:p>
    <w:p w14:paraId="058DC6AA">
      <w:pPr>
        <w:spacing w:before="197" w:line="360" w:lineRule="auto"/>
        <w:ind w:left="499"/>
        <w:rPr>
          <w:rFonts w:ascii="宋体" w:hAnsi="宋体" w:eastAsia="宋体" w:cs="宋体"/>
          <w:sz w:val="24"/>
          <w:szCs w:val="24"/>
        </w:rPr>
      </w:pPr>
      <w:r>
        <w:rPr>
          <w:rFonts w:ascii="宋体" w:hAnsi="宋体" w:eastAsia="宋体" w:cs="宋体"/>
          <w:spacing w:val="2"/>
          <w:position w:val="14"/>
          <w:sz w:val="24"/>
          <w:szCs w:val="24"/>
        </w:rPr>
        <w:t>(3)刀熔开关最大开断电流应大于被保护的最大三相短路冲击电流；同时最</w:t>
      </w:r>
    </w:p>
    <w:p w14:paraId="6E29256E">
      <w:pPr>
        <w:spacing w:line="360" w:lineRule="auto"/>
        <w:rPr>
          <w:rFonts w:ascii="宋体" w:hAnsi="宋体" w:eastAsia="宋体" w:cs="宋体"/>
          <w:sz w:val="24"/>
          <w:szCs w:val="24"/>
        </w:rPr>
      </w:pPr>
      <w:r>
        <w:rPr>
          <w:rFonts w:ascii="宋体" w:hAnsi="宋体" w:eastAsia="宋体" w:cs="宋体"/>
          <w:spacing w:val="1"/>
          <w:sz w:val="24"/>
          <w:szCs w:val="24"/>
        </w:rPr>
        <w:t>大开断容量应不小于65</w:t>
      </w:r>
      <w:r>
        <w:rPr>
          <w:rFonts w:ascii="Times New Roman" w:hAnsi="Times New Roman" w:eastAsia="Times New Roman" w:cs="Times New Roman"/>
          <w:sz w:val="24"/>
          <w:szCs w:val="24"/>
        </w:rPr>
        <w:t>KA</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(其开关选型额定短路开端电流容量不小于65</w:t>
      </w:r>
      <w:r>
        <w:rPr>
          <w:rFonts w:ascii="Times New Roman" w:hAnsi="Times New Roman" w:eastAsia="Times New Roman" w:cs="Times New Roman"/>
          <w:sz w:val="24"/>
          <w:szCs w:val="24"/>
        </w:rPr>
        <w:t>KA</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7C884F3A">
      <w:pPr>
        <w:spacing w:before="210" w:line="360" w:lineRule="auto"/>
        <w:ind w:right="460" w:firstLine="499"/>
        <w:rPr>
          <w:rFonts w:ascii="宋体" w:hAnsi="宋体" w:eastAsia="宋体" w:cs="宋体"/>
          <w:sz w:val="24"/>
          <w:szCs w:val="24"/>
        </w:rPr>
      </w:pPr>
      <w:r>
        <w:rPr>
          <w:rFonts w:ascii="宋体" w:hAnsi="宋体" w:eastAsia="宋体" w:cs="宋体"/>
          <w:sz w:val="24"/>
          <w:szCs w:val="24"/>
        </w:rPr>
        <w:t>(4)低压电容补偿投切方式，在根据本段电源进线开关提供的电流和电</w:t>
      </w:r>
      <w:r>
        <w:rPr>
          <w:rFonts w:ascii="宋体" w:hAnsi="宋体" w:eastAsia="宋体" w:cs="宋体"/>
          <w:spacing w:val="-1"/>
          <w:sz w:val="24"/>
          <w:szCs w:val="24"/>
        </w:rPr>
        <w:t>压，</w:t>
      </w:r>
      <w:r>
        <w:rPr>
          <w:rFonts w:ascii="宋体" w:hAnsi="宋体" w:eastAsia="宋体" w:cs="宋体"/>
          <w:sz w:val="24"/>
          <w:szCs w:val="24"/>
        </w:rPr>
        <w:t>判断功率因数</w:t>
      </w:r>
      <w:r>
        <w:rPr>
          <w:rFonts w:ascii="宋体" w:hAnsi="宋体" w:eastAsia="宋体" w:cs="宋体"/>
          <w:spacing w:val="-31"/>
          <w:sz w:val="24"/>
          <w:szCs w:val="24"/>
        </w:rPr>
        <w:t xml:space="preserve"> </w:t>
      </w:r>
      <w:r>
        <w:rPr>
          <w:rFonts w:ascii="Times New Roman" w:hAnsi="Times New Roman" w:eastAsia="Times New Roman" w:cs="Times New Roman"/>
          <w:sz w:val="24"/>
          <w:szCs w:val="24"/>
        </w:rPr>
        <w:t>cosφ,</w:t>
      </w:r>
      <w:r>
        <w:rPr>
          <w:rFonts w:ascii="宋体" w:hAnsi="宋体" w:eastAsia="宋体" w:cs="宋体"/>
          <w:sz w:val="24"/>
          <w:szCs w:val="24"/>
        </w:rPr>
        <w:t>实现自动补偿</w:t>
      </w:r>
      <w:r>
        <w:rPr>
          <w:rFonts w:ascii="宋体" w:hAnsi="宋体" w:eastAsia="宋体" w:cs="宋体"/>
          <w:spacing w:val="-1"/>
          <w:sz w:val="24"/>
          <w:szCs w:val="24"/>
        </w:rPr>
        <w:t>设计的同时，还需单独设计手动投切功能，</w:t>
      </w:r>
      <w:r>
        <w:rPr>
          <w:rFonts w:ascii="宋体" w:hAnsi="宋体" w:eastAsia="宋体" w:cs="宋体"/>
          <w:spacing w:val="-7"/>
          <w:sz w:val="24"/>
          <w:szCs w:val="24"/>
        </w:rPr>
        <w:t>以应对功率因素频繁波动工况。</w:t>
      </w:r>
    </w:p>
    <w:p w14:paraId="72F6B491">
      <w:pPr>
        <w:spacing w:before="204" w:line="360" w:lineRule="auto"/>
        <w:ind w:right="420" w:firstLine="499"/>
        <w:rPr>
          <w:rFonts w:ascii="宋体" w:hAnsi="宋体" w:eastAsia="宋体" w:cs="宋体"/>
          <w:sz w:val="24"/>
          <w:szCs w:val="24"/>
        </w:rPr>
      </w:pPr>
      <w:r>
        <w:rPr>
          <w:rFonts w:ascii="宋体" w:hAnsi="宋体" w:eastAsia="宋体" w:cs="宋体"/>
          <w:spacing w:val="2"/>
          <w:sz w:val="24"/>
          <w:szCs w:val="24"/>
        </w:rPr>
        <w:t>(5)电容专用接触器即电容切换接触器供低压无功补偿设备投入或低压并联</w:t>
      </w:r>
      <w:r>
        <w:rPr>
          <w:rFonts w:ascii="宋体" w:hAnsi="宋体" w:eastAsia="宋体" w:cs="宋体"/>
          <w:sz w:val="24"/>
          <w:szCs w:val="24"/>
        </w:rPr>
        <w:t xml:space="preserve"> </w:t>
      </w:r>
      <w:r>
        <w:rPr>
          <w:rFonts w:ascii="宋体" w:hAnsi="宋体" w:eastAsia="宋体" w:cs="宋体"/>
          <w:spacing w:val="-1"/>
          <w:sz w:val="24"/>
          <w:szCs w:val="24"/>
        </w:rPr>
        <w:t>电容器切除之用，接触器带有抑制合闸涌流装置，能够有效地抑制合闸涌</w:t>
      </w:r>
      <w:r>
        <w:rPr>
          <w:rFonts w:ascii="宋体" w:hAnsi="宋体" w:eastAsia="宋体" w:cs="宋体"/>
          <w:spacing w:val="-2"/>
          <w:sz w:val="24"/>
          <w:szCs w:val="24"/>
        </w:rPr>
        <w:t>流对电</w:t>
      </w:r>
      <w:r>
        <w:rPr>
          <w:rFonts w:ascii="宋体" w:hAnsi="宋体" w:eastAsia="宋体" w:cs="宋体"/>
          <w:spacing w:val="-6"/>
          <w:sz w:val="24"/>
          <w:szCs w:val="24"/>
        </w:rPr>
        <w:t>容器的冲击和抑制开断时的过电压。</w:t>
      </w:r>
    </w:p>
    <w:p w14:paraId="79FB01A0">
      <w:pPr>
        <w:spacing w:before="255" w:line="360" w:lineRule="auto"/>
        <w:ind w:left="499"/>
        <w:rPr>
          <w:rFonts w:ascii="宋体" w:hAnsi="宋体" w:eastAsia="宋体" w:cs="宋体"/>
          <w:sz w:val="24"/>
          <w:szCs w:val="24"/>
        </w:rPr>
      </w:pPr>
      <w:r>
        <w:fldChar w:fldCharType="begin"/>
      </w:r>
      <w:r>
        <w:instrText xml:space="preserve"> HYPERLINK "3.4.4.4" </w:instrText>
      </w:r>
      <w:r>
        <w:fldChar w:fldCharType="separate"/>
      </w:r>
      <w:r>
        <w:rPr>
          <w:rFonts w:ascii="宋体" w:hAnsi="宋体" w:eastAsia="宋体" w:cs="宋体"/>
          <w:spacing w:val="4"/>
          <w:sz w:val="24"/>
          <w:szCs w:val="24"/>
        </w:rPr>
        <w:t>3.4.4.4</w:t>
      </w:r>
      <w:r>
        <w:rPr>
          <w:rFonts w:ascii="宋体" w:hAnsi="宋体" w:eastAsia="宋体" w:cs="宋体"/>
          <w:spacing w:val="4"/>
          <w:sz w:val="24"/>
          <w:szCs w:val="24"/>
        </w:rPr>
        <w:fldChar w:fldCharType="end"/>
      </w:r>
      <w:r>
        <w:rPr>
          <w:rFonts w:ascii="宋体" w:hAnsi="宋体" w:eastAsia="宋体" w:cs="宋体"/>
          <w:spacing w:val="4"/>
          <w:sz w:val="24"/>
          <w:szCs w:val="24"/>
        </w:rPr>
        <w:t>电抗器</w:t>
      </w:r>
    </w:p>
    <w:p w14:paraId="4FA2A8C3">
      <w:pPr>
        <w:spacing w:before="144" w:line="360" w:lineRule="auto"/>
        <w:ind w:right="400" w:firstLine="499"/>
        <w:rPr>
          <w:rFonts w:ascii="宋体" w:hAnsi="宋体" w:eastAsia="宋体" w:cs="宋体"/>
          <w:sz w:val="24"/>
          <w:szCs w:val="24"/>
        </w:rPr>
      </w:pPr>
      <w:r>
        <w:rPr>
          <w:rFonts w:ascii="宋体" w:hAnsi="宋体" w:eastAsia="宋体" w:cs="宋体"/>
          <w:spacing w:val="2"/>
          <w:sz w:val="24"/>
          <w:szCs w:val="24"/>
        </w:rPr>
        <w:t>(1)电抗器容量及相关参数由电容器厂家配套设计、供货，应以最大消除电</w:t>
      </w:r>
      <w:r>
        <w:rPr>
          <w:rFonts w:ascii="宋体" w:hAnsi="宋体" w:eastAsia="宋体" w:cs="宋体"/>
          <w:spacing w:val="9"/>
          <w:sz w:val="24"/>
          <w:szCs w:val="24"/>
        </w:rPr>
        <w:t>网谐波(滤5次以上奇次谐波)进行计算选择，电抗率按7%选择，并核算考虑避</w:t>
      </w:r>
      <w:r>
        <w:rPr>
          <w:rFonts w:ascii="宋体" w:hAnsi="宋体" w:eastAsia="宋体" w:cs="宋体"/>
          <w:sz w:val="24"/>
          <w:szCs w:val="24"/>
        </w:rPr>
        <w:t>开系统谐振。选用串联干式、铁心、环氧树脂绕包限</w:t>
      </w:r>
      <w:r>
        <w:rPr>
          <w:rFonts w:ascii="宋体" w:hAnsi="宋体" w:eastAsia="宋体" w:cs="宋体"/>
          <w:spacing w:val="-1"/>
          <w:sz w:val="24"/>
          <w:szCs w:val="24"/>
        </w:rPr>
        <w:t>流电抗器，铁芯材料采用进</w:t>
      </w:r>
      <w:r>
        <w:rPr>
          <w:rFonts w:ascii="宋体" w:hAnsi="宋体" w:eastAsia="宋体" w:cs="宋体"/>
          <w:spacing w:val="-16"/>
          <w:sz w:val="24"/>
          <w:szCs w:val="24"/>
        </w:rPr>
        <w:t>口品牌。</w:t>
      </w:r>
    </w:p>
    <w:p w14:paraId="240299A5">
      <w:pPr>
        <w:spacing w:before="213" w:line="360" w:lineRule="auto"/>
        <w:ind w:left="499"/>
        <w:rPr>
          <w:rFonts w:ascii="宋体" w:hAnsi="宋体" w:eastAsia="宋体" w:cs="宋体"/>
          <w:sz w:val="24"/>
          <w:szCs w:val="24"/>
        </w:rPr>
      </w:pPr>
      <w:r>
        <w:rPr>
          <w:rFonts w:ascii="宋体" w:hAnsi="宋体" w:eastAsia="宋体" w:cs="宋体"/>
          <w:spacing w:val="3"/>
          <w:sz w:val="24"/>
          <w:szCs w:val="24"/>
        </w:rPr>
        <w:t>(2)电抗器线圈按绝缘等级</w:t>
      </w:r>
      <w:r>
        <w:rPr>
          <w:rFonts w:ascii="Times New Roman" w:hAnsi="Times New Roman" w:eastAsia="Times New Roman" w:cs="Times New Roman"/>
          <w:spacing w:val="3"/>
          <w:sz w:val="24"/>
          <w:szCs w:val="24"/>
        </w:rPr>
        <w:t>H</w:t>
      </w:r>
      <w:r>
        <w:rPr>
          <w:rFonts w:ascii="宋体" w:hAnsi="宋体" w:eastAsia="宋体" w:cs="宋体"/>
          <w:spacing w:val="3"/>
          <w:sz w:val="24"/>
          <w:szCs w:val="24"/>
        </w:rPr>
        <w:t>级设计，满足动热</w:t>
      </w:r>
      <w:r>
        <w:rPr>
          <w:rFonts w:ascii="宋体" w:hAnsi="宋体" w:eastAsia="宋体" w:cs="宋体"/>
          <w:spacing w:val="2"/>
          <w:sz w:val="24"/>
          <w:szCs w:val="24"/>
        </w:rPr>
        <w:t>稳定度及机械强度要求。</w:t>
      </w:r>
    </w:p>
    <w:p w14:paraId="30D1DA67">
      <w:pPr>
        <w:spacing w:before="213" w:line="360" w:lineRule="auto"/>
        <w:ind w:left="499"/>
        <w:rPr>
          <w:rFonts w:ascii="宋体" w:hAnsi="宋体" w:eastAsia="宋体" w:cs="宋体"/>
          <w:spacing w:val="3"/>
          <w:sz w:val="24"/>
          <w:szCs w:val="24"/>
        </w:rPr>
      </w:pPr>
      <w:r>
        <w:rPr>
          <w:rFonts w:ascii="宋体" w:hAnsi="宋体" w:eastAsia="宋体" w:cs="宋体"/>
          <w:spacing w:val="3"/>
          <w:sz w:val="24"/>
          <w:szCs w:val="24"/>
        </w:rPr>
        <w:t>(3)电抗器在受电压冲击时，电位分布均匀，耐受短路电流冲击能力强。电抗器绕组导线材质为无氧紫铜镀锡线。</w:t>
      </w:r>
    </w:p>
    <w:p w14:paraId="4DE478F7">
      <w:pPr>
        <w:spacing w:before="196" w:line="360" w:lineRule="auto"/>
        <w:ind w:right="355" w:firstLine="499"/>
        <w:rPr>
          <w:rFonts w:ascii="宋体" w:hAnsi="宋体" w:eastAsia="宋体" w:cs="宋体"/>
          <w:sz w:val="24"/>
          <w:szCs w:val="24"/>
        </w:rPr>
      </w:pPr>
      <w:r>
        <w:rPr>
          <w:rFonts w:ascii="宋体" w:hAnsi="宋体" w:eastAsia="宋体" w:cs="宋体"/>
          <w:spacing w:val="-3"/>
          <w:sz w:val="24"/>
          <w:szCs w:val="24"/>
        </w:rPr>
        <w:t>(4)线圈在绕制时采用专用绕制模具，使绕制线圈端部平整，树脂吸附性</w:t>
      </w:r>
      <w:r>
        <w:rPr>
          <w:rFonts w:ascii="宋体" w:hAnsi="宋体" w:eastAsia="宋体" w:cs="宋体"/>
          <w:spacing w:val="-4"/>
          <w:sz w:val="24"/>
          <w:szCs w:val="24"/>
        </w:rPr>
        <w:t>好，</w:t>
      </w:r>
      <w:r>
        <w:rPr>
          <w:rFonts w:ascii="宋体" w:hAnsi="宋体" w:eastAsia="宋体" w:cs="宋体"/>
          <w:sz w:val="24"/>
          <w:szCs w:val="24"/>
        </w:rPr>
        <w:t>保证整个绕组的外观美观性。绕制完成的电抗器具有</w:t>
      </w:r>
      <w:r>
        <w:rPr>
          <w:rFonts w:ascii="宋体" w:hAnsi="宋体" w:eastAsia="宋体" w:cs="宋体"/>
          <w:spacing w:val="-1"/>
          <w:sz w:val="24"/>
          <w:szCs w:val="24"/>
        </w:rPr>
        <w:t>绝缘性能优良、损耗低、重</w:t>
      </w:r>
      <w:r>
        <w:rPr>
          <w:rFonts w:ascii="宋体" w:hAnsi="宋体" w:eastAsia="宋体" w:cs="宋体"/>
          <w:spacing w:val="-7"/>
          <w:sz w:val="24"/>
          <w:szCs w:val="24"/>
        </w:rPr>
        <w:t>量轻、体积小、免维护等特点。</w:t>
      </w:r>
    </w:p>
    <w:p w14:paraId="5E0FE794">
      <w:pPr>
        <w:spacing w:before="205" w:line="360" w:lineRule="auto"/>
        <w:ind w:left="499"/>
        <w:jc w:val="both"/>
        <w:rPr>
          <w:rFonts w:ascii="宋体" w:hAnsi="宋体" w:eastAsia="宋体" w:cs="宋体"/>
          <w:sz w:val="24"/>
          <w:szCs w:val="24"/>
        </w:rPr>
      </w:pPr>
      <w:r>
        <w:rPr>
          <w:rFonts w:ascii="宋体" w:hAnsi="宋体" w:eastAsia="宋体" w:cs="宋体"/>
          <w:spacing w:val="2"/>
          <w:sz w:val="24"/>
          <w:szCs w:val="24"/>
        </w:rPr>
        <w:t>(5)同一台电容器匹配的电抗器，每相电</w:t>
      </w:r>
      <w:r>
        <w:rPr>
          <w:rFonts w:ascii="宋体" w:hAnsi="宋体" w:eastAsia="宋体" w:cs="宋体"/>
          <w:spacing w:val="1"/>
          <w:sz w:val="24"/>
          <w:szCs w:val="24"/>
        </w:rPr>
        <w:t>抗值差，不应超过三相平均电</w:t>
      </w:r>
      <w:bookmarkStart w:id="469" w:name="bookmark13"/>
      <w:bookmarkEnd w:id="469"/>
      <w:r>
        <w:rPr>
          <w:rFonts w:ascii="宋体" w:hAnsi="宋体" w:eastAsia="宋体" w:cs="宋体"/>
          <w:spacing w:val="9"/>
          <w:sz w:val="24"/>
          <w:szCs w:val="24"/>
        </w:rPr>
        <w:t>抗值的±2%。</w:t>
      </w:r>
    </w:p>
    <w:p w14:paraId="19E7B4D7">
      <w:pPr>
        <w:spacing w:before="154" w:line="360" w:lineRule="auto"/>
        <w:ind w:left="1140"/>
        <w:rPr>
          <w:rFonts w:ascii="宋体" w:hAnsi="宋体" w:eastAsia="宋体" w:cs="宋体"/>
          <w:sz w:val="24"/>
          <w:szCs w:val="24"/>
        </w:rPr>
      </w:pPr>
      <w:r>
        <w:rPr>
          <w:rFonts w:ascii="宋体" w:hAnsi="宋体" w:eastAsia="宋体" w:cs="宋体"/>
          <w:spacing w:val="1"/>
          <w:position w:val="18"/>
          <w:sz w:val="24"/>
          <w:szCs w:val="24"/>
        </w:rPr>
        <w:t>(6)电抗器应能在工频1.35倍的额定电流下连续稳定运行，温升不超标，匝</w:t>
      </w:r>
    </w:p>
    <w:p w14:paraId="08D1C027">
      <w:pPr>
        <w:spacing w:line="360" w:lineRule="auto"/>
        <w:ind w:left="669"/>
        <w:rPr>
          <w:rFonts w:ascii="宋体" w:hAnsi="宋体" w:eastAsia="宋体" w:cs="宋体"/>
          <w:sz w:val="24"/>
          <w:szCs w:val="24"/>
        </w:rPr>
      </w:pPr>
      <w:r>
        <w:rPr>
          <w:rFonts w:ascii="宋体" w:hAnsi="宋体" w:eastAsia="宋体" w:cs="宋体"/>
          <w:spacing w:val="-7"/>
          <w:sz w:val="24"/>
          <w:szCs w:val="24"/>
        </w:rPr>
        <w:t>间绝缘不受损伤。</w:t>
      </w:r>
    </w:p>
    <w:p w14:paraId="3F2AD234">
      <w:pPr>
        <w:spacing w:before="174" w:line="360" w:lineRule="auto"/>
        <w:ind w:left="1140"/>
        <w:rPr>
          <w:rFonts w:ascii="宋体" w:hAnsi="宋体" w:eastAsia="宋体" w:cs="宋体"/>
          <w:sz w:val="24"/>
          <w:szCs w:val="24"/>
        </w:rPr>
      </w:pPr>
      <w:r>
        <w:rPr>
          <w:rFonts w:ascii="宋体" w:hAnsi="宋体" w:eastAsia="宋体" w:cs="宋体"/>
          <w:spacing w:val="1"/>
          <w:position w:val="18"/>
          <w:sz w:val="24"/>
          <w:szCs w:val="24"/>
        </w:rPr>
        <w:t>(7)低压电容柜与其他低压柜的柜型必须保持一致，供货方负责完成低压电</w:t>
      </w:r>
    </w:p>
    <w:p w14:paraId="63BB6197">
      <w:pPr>
        <w:spacing w:before="1" w:line="360" w:lineRule="auto"/>
        <w:ind w:left="669"/>
        <w:rPr>
          <w:rFonts w:ascii="宋体" w:hAnsi="宋体" w:eastAsia="宋体" w:cs="宋体"/>
          <w:sz w:val="24"/>
          <w:szCs w:val="24"/>
        </w:rPr>
      </w:pPr>
      <w:r>
        <w:rPr>
          <w:rFonts w:ascii="宋体" w:hAnsi="宋体" w:eastAsia="宋体" w:cs="宋体"/>
          <w:spacing w:val="-2"/>
          <w:sz w:val="24"/>
          <w:szCs w:val="24"/>
        </w:rPr>
        <w:t>容柜的安装、并柜母线连接以及整套装置的试验、调试工作。</w:t>
      </w:r>
    </w:p>
    <w:p w14:paraId="2ED42C68">
      <w:pPr>
        <w:spacing w:before="245" w:line="360" w:lineRule="auto"/>
        <w:ind w:left="1140"/>
        <w:rPr>
          <w:rFonts w:ascii="宋体" w:hAnsi="宋体" w:eastAsia="宋体" w:cs="宋体"/>
          <w:sz w:val="24"/>
          <w:szCs w:val="24"/>
        </w:rPr>
      </w:pPr>
      <w:r>
        <w:rPr>
          <w:rFonts w:ascii="宋体" w:hAnsi="宋体" w:eastAsia="宋体" w:cs="宋体"/>
          <w:spacing w:val="-4"/>
          <w:sz w:val="24"/>
          <w:szCs w:val="24"/>
        </w:rPr>
        <w:t>3.4.5</w:t>
      </w:r>
      <w:r>
        <w:rPr>
          <w:rFonts w:ascii="宋体" w:hAnsi="宋体" w:eastAsia="宋体" w:cs="宋体"/>
          <w:spacing w:val="41"/>
          <w:sz w:val="24"/>
          <w:szCs w:val="24"/>
        </w:rPr>
        <w:t xml:space="preserve"> </w:t>
      </w:r>
      <w:r>
        <w:rPr>
          <w:rFonts w:ascii="宋体" w:hAnsi="宋体" w:eastAsia="宋体" w:cs="宋体"/>
          <w:spacing w:val="-4"/>
          <w:sz w:val="24"/>
          <w:szCs w:val="24"/>
        </w:rPr>
        <w:t>开关柜主要元器件配置</w:t>
      </w:r>
    </w:p>
    <w:p w14:paraId="2EFE6491">
      <w:pPr>
        <w:spacing w:before="115" w:line="360" w:lineRule="auto"/>
        <w:ind w:left="669" w:firstLine="470"/>
        <w:rPr>
          <w:rFonts w:ascii="宋体" w:hAnsi="宋体" w:eastAsia="宋体" w:cs="宋体"/>
          <w:sz w:val="24"/>
          <w:szCs w:val="24"/>
        </w:rPr>
      </w:pPr>
      <w:r>
        <w:rPr>
          <w:rFonts w:ascii="宋体" w:hAnsi="宋体" w:eastAsia="宋体" w:cs="宋体"/>
          <w:spacing w:val="-1"/>
          <w:sz w:val="24"/>
          <w:szCs w:val="24"/>
        </w:rPr>
        <w:t>乙方须根据设计院图纸或甲方提供的电气设备材料推荐厂家短名单组织相关</w:t>
      </w:r>
      <w:r>
        <w:rPr>
          <w:rFonts w:ascii="宋体" w:hAnsi="宋体" w:eastAsia="宋体" w:cs="宋体"/>
          <w:sz w:val="24"/>
          <w:szCs w:val="24"/>
        </w:rPr>
        <w:t xml:space="preserve"> 采购。当选用非短名单内的其他厂家产品时，其质量应不</w:t>
      </w:r>
      <w:r>
        <w:rPr>
          <w:rFonts w:ascii="宋体" w:hAnsi="宋体" w:eastAsia="宋体" w:cs="宋体"/>
          <w:spacing w:val="-1"/>
          <w:sz w:val="24"/>
          <w:szCs w:val="24"/>
        </w:rPr>
        <w:t>低于推荐厂家制造水平</w:t>
      </w:r>
    </w:p>
    <w:p w14:paraId="7BBA1BB2">
      <w:pPr>
        <w:spacing w:before="1" w:line="360" w:lineRule="auto"/>
        <w:ind w:left="729"/>
        <w:rPr>
          <w:rFonts w:ascii="宋体" w:hAnsi="宋体" w:eastAsia="宋体" w:cs="宋体"/>
          <w:sz w:val="24"/>
          <w:szCs w:val="24"/>
        </w:rPr>
      </w:pPr>
      <w:r>
        <w:rPr>
          <w:rFonts w:ascii="宋体" w:hAnsi="宋体" w:eastAsia="宋体" w:cs="宋体"/>
          <w:spacing w:val="-3"/>
          <w:sz w:val="24"/>
          <w:szCs w:val="24"/>
        </w:rPr>
        <w:t>且为国内一线品牌，必须经过甲方认可。详见附图：低压系统图</w:t>
      </w:r>
    </w:p>
    <w:p w14:paraId="2C021842">
      <w:pPr>
        <w:spacing w:before="166" w:line="360" w:lineRule="auto"/>
        <w:ind w:right="46"/>
        <w:jc w:val="right"/>
        <w:rPr>
          <w:rFonts w:ascii="宋体" w:hAnsi="宋体" w:eastAsia="宋体" w:cs="宋体"/>
          <w:sz w:val="24"/>
          <w:szCs w:val="24"/>
        </w:rPr>
      </w:pPr>
      <w:r>
        <w:rPr>
          <w:rFonts w:ascii="宋体" w:hAnsi="宋体" w:eastAsia="宋体" w:cs="宋体"/>
          <w:spacing w:val="-1"/>
          <w:position w:val="18"/>
          <w:sz w:val="24"/>
          <w:szCs w:val="24"/>
        </w:rPr>
        <w:t>低压配电柜的数量和内部规格根据设计院终版</w:t>
      </w:r>
      <w:r>
        <w:rPr>
          <w:rFonts w:ascii="宋体" w:hAnsi="宋体" w:eastAsia="宋体" w:cs="宋体"/>
          <w:spacing w:val="-2"/>
          <w:position w:val="18"/>
          <w:sz w:val="24"/>
          <w:szCs w:val="24"/>
        </w:rPr>
        <w:t>低压系统图制作，最终的用电</w:t>
      </w:r>
    </w:p>
    <w:p w14:paraId="3A2FB460">
      <w:pPr>
        <w:spacing w:before="1" w:line="360" w:lineRule="auto"/>
        <w:ind w:left="669"/>
        <w:rPr>
          <w:rFonts w:ascii="宋体" w:hAnsi="宋体" w:eastAsia="宋体" w:cs="宋体"/>
          <w:sz w:val="24"/>
          <w:szCs w:val="24"/>
        </w:rPr>
      </w:pPr>
      <w:r>
        <w:rPr>
          <w:rFonts w:ascii="宋体" w:hAnsi="宋体" w:eastAsia="宋体" w:cs="宋体"/>
          <w:spacing w:val="-5"/>
          <w:sz w:val="24"/>
          <w:szCs w:val="24"/>
        </w:rPr>
        <w:t>条件如有稍微的变动，不影响总体报价。</w:t>
      </w:r>
    </w:p>
    <w:p w14:paraId="73F23746">
      <w:pPr>
        <w:spacing w:before="185" w:line="360" w:lineRule="auto"/>
        <w:ind w:left="489"/>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3、变压器</w:t>
      </w:r>
    </w:p>
    <w:p w14:paraId="79A7B42B">
      <w:pPr>
        <w:pStyle w:val="2"/>
        <w:pageBreakBefore w:val="0"/>
        <w:wordWrap/>
        <w:topLinePunct w:val="0"/>
        <w:autoSpaceDE/>
        <w:autoSpaceDN/>
        <w:bidi w:val="0"/>
        <w:spacing w:before="157" w:beforeLines="50" w:after="157" w:afterLines="50" w:line="360" w:lineRule="auto"/>
        <w:jc w:val="center"/>
        <w:rPr>
          <w:rFonts w:hint="default"/>
          <w:sz w:val="32"/>
          <w:szCs w:val="15"/>
          <w:lang w:val="en-US" w:eastAsia="zh-CN"/>
        </w:rPr>
      </w:pPr>
      <w:r>
        <w:rPr>
          <w:rFonts w:hint="eastAsia"/>
          <w:sz w:val="32"/>
          <w:szCs w:val="15"/>
          <w:lang w:val="en-US" w:eastAsia="zh-CN"/>
        </w:rPr>
        <w:t>第一章 供货范围</w:t>
      </w:r>
    </w:p>
    <w:p w14:paraId="2AB17EFE">
      <w:pPr>
        <w:pageBreakBefore w:val="0"/>
        <w:wordWrap/>
        <w:topLinePunct w:val="0"/>
        <w:autoSpaceDE/>
        <w:autoSpaceDN/>
        <w:bidi w:val="0"/>
        <w:spacing w:before="157" w:beforeLines="50" w:after="157" w:afterLines="50" w:line="360" w:lineRule="auto"/>
        <w:rPr>
          <w:rFonts w:hint="eastAsia" w:ascii="宋体" w:hAnsi="宋体" w:eastAsia="宋体" w:cs="宋体"/>
          <w:b/>
          <w:bCs/>
          <w:lang w:val="en-US" w:eastAsia="zh-CN"/>
        </w:rPr>
      </w:pPr>
      <w:r>
        <w:rPr>
          <w:rFonts w:hint="eastAsia" w:ascii="宋体" w:hAnsi="宋体" w:eastAsia="宋体" w:cs="宋体"/>
          <w:b/>
          <w:bCs/>
          <w:lang w:val="en-US" w:eastAsia="zh-CN"/>
        </w:rPr>
        <w:t>2.1供货范围</w:t>
      </w:r>
    </w:p>
    <w:p w14:paraId="63AA3CAE">
      <w:pPr>
        <w:pageBreakBefore w:val="0"/>
        <w:wordWrap/>
        <w:topLinePunct w:val="0"/>
        <w:autoSpaceDE/>
        <w:autoSpaceDN/>
        <w:bidi w:val="0"/>
        <w:spacing w:before="157" w:beforeLines="50" w:after="157" w:afterLines="50" w:line="360" w:lineRule="auto"/>
        <w:rPr>
          <w:rFonts w:hint="default"/>
          <w:highlight w:val="none"/>
          <w:lang w:val="en-US" w:eastAsia="zh-CN"/>
        </w:rPr>
      </w:pPr>
      <w:r>
        <w:rPr>
          <w:rFonts w:hint="eastAsia" w:ascii="宋体" w:hAnsi="宋体" w:eastAsia="宋体" w:cs="宋体"/>
          <w:sz w:val="24"/>
          <w:szCs w:val="24"/>
        </w:rPr>
        <w:t>本次供货范围包括</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SCB14-</w:t>
      </w:r>
      <w:r>
        <w:rPr>
          <w:rFonts w:hint="eastAsia" w:ascii="宋体" w:hAnsi="宋体" w:eastAsia="宋体" w:cs="宋体"/>
          <w:sz w:val="24"/>
          <w:szCs w:val="24"/>
          <w:highlight w:val="none"/>
          <w:lang w:val="en-US" w:eastAsia="zh-CN"/>
        </w:rPr>
        <w:t>500</w:t>
      </w:r>
      <w:r>
        <w:rPr>
          <w:rFonts w:hint="eastAsia" w:ascii="宋体" w:hAnsi="宋体" w:eastAsia="宋体" w:cs="宋体"/>
          <w:sz w:val="24"/>
          <w:szCs w:val="24"/>
          <w:highlight w:val="none"/>
          <w:lang w:eastAsia="zh-CN"/>
        </w:rPr>
        <w:t>/10/0.4</w:t>
      </w:r>
      <w:r>
        <w:rPr>
          <w:rFonts w:hint="eastAsia" w:ascii="宋体" w:hAnsi="宋体" w:eastAsia="宋体" w:cs="宋体"/>
          <w:sz w:val="24"/>
          <w:szCs w:val="24"/>
          <w:highlight w:val="none"/>
          <w:lang w:val="en-US" w:eastAsia="zh-CN"/>
        </w:rPr>
        <w:t>变压器1台。</w:t>
      </w:r>
    </w:p>
    <w:p w14:paraId="305D7900">
      <w:pPr>
        <w:pStyle w:val="2"/>
        <w:pageBreakBefore w:val="0"/>
        <w:wordWrap/>
        <w:topLinePunct w:val="0"/>
        <w:autoSpaceDE/>
        <w:autoSpaceDN/>
        <w:bidi w:val="0"/>
        <w:spacing w:before="157" w:beforeLines="50" w:after="157" w:afterLines="50" w:line="360" w:lineRule="auto"/>
        <w:ind w:firstLine="2249" w:firstLineChars="700"/>
        <w:jc w:val="both"/>
        <w:rPr>
          <w:rFonts w:hint="default"/>
          <w:sz w:val="32"/>
          <w:szCs w:val="15"/>
          <w:lang w:val="en-US" w:eastAsia="zh-CN"/>
        </w:rPr>
      </w:pPr>
      <w:bookmarkStart w:id="470" w:name="_Toc13836"/>
      <w:r>
        <w:rPr>
          <w:rFonts w:hint="eastAsia"/>
          <w:sz w:val="32"/>
          <w:szCs w:val="15"/>
          <w:lang w:val="en-US" w:eastAsia="zh-CN"/>
        </w:rPr>
        <w:t>第二章 主要技术要求</w:t>
      </w:r>
      <w:bookmarkEnd w:id="470"/>
    </w:p>
    <w:p w14:paraId="0521A7A0">
      <w:pPr>
        <w:pStyle w:val="3"/>
        <w:pageBreakBefore w:val="0"/>
        <w:wordWrap/>
        <w:topLinePunct w:val="0"/>
        <w:autoSpaceDE/>
        <w:autoSpaceDN/>
        <w:bidi w:val="0"/>
        <w:spacing w:before="157" w:beforeLines="50" w:after="157" w:afterLines="50" w:line="360" w:lineRule="auto"/>
        <w:rPr>
          <w:rFonts w:hint="eastAsia" w:ascii="宋体" w:hAnsi="宋体" w:eastAsia="宋体" w:cs="宋体"/>
          <w:sz w:val="28"/>
          <w:szCs w:val="28"/>
          <w:lang w:val="en-US" w:eastAsia="zh-CN"/>
        </w:rPr>
      </w:pPr>
      <w:bookmarkStart w:id="471" w:name="_Toc1737"/>
      <w:r>
        <w:rPr>
          <w:rFonts w:hint="eastAsia" w:ascii="宋体" w:hAnsi="宋体" w:eastAsia="宋体" w:cs="宋体"/>
          <w:sz w:val="28"/>
          <w:szCs w:val="28"/>
          <w:lang w:val="en-US" w:eastAsia="zh-CN"/>
        </w:rPr>
        <w:t>3.1使用环境条件</w:t>
      </w:r>
      <w:bookmarkEnd w:id="471"/>
    </w:p>
    <w:p w14:paraId="2C6A0F6C">
      <w:pPr>
        <w:pageBreakBefore w:val="0"/>
        <w:widowControl w:val="0"/>
        <w:numPr>
          <w:ilvl w:val="0"/>
          <w:numId w:val="0"/>
        </w:numPr>
        <w:wordWrap/>
        <w:topLinePunct w:val="0"/>
        <w:autoSpaceDE/>
        <w:autoSpaceDN/>
        <w:bidi w:val="0"/>
        <w:spacing w:before="157" w:beforeLines="50" w:after="157" w:afterLines="50" w:line="360" w:lineRule="auto"/>
        <w:jc w:val="both"/>
        <w:rPr>
          <w:rFonts w:hint="default"/>
          <w:sz w:val="24"/>
          <w:szCs w:val="24"/>
          <w:lang w:val="en-US" w:eastAsia="zh-CN"/>
        </w:rPr>
      </w:pPr>
      <w:r>
        <w:rPr>
          <w:rFonts w:hint="default"/>
          <w:sz w:val="24"/>
          <w:szCs w:val="24"/>
          <w:lang w:val="en-US" w:eastAsia="zh-CN"/>
        </w:rPr>
        <w:t>设备使用环境条件包括（不限于）以下内容：</w:t>
      </w:r>
    </w:p>
    <w:p w14:paraId="785AA78C">
      <w:pPr>
        <w:pageBreakBefore w:val="0"/>
        <w:widowControl w:val="0"/>
        <w:numPr>
          <w:ilvl w:val="0"/>
          <w:numId w:val="11"/>
        </w:numPr>
        <w:wordWrap/>
        <w:topLinePunct w:val="0"/>
        <w:autoSpaceDE/>
        <w:autoSpaceDN/>
        <w:bidi w:val="0"/>
        <w:spacing w:before="157" w:beforeLines="50" w:after="157" w:afterLines="50" w:line="360" w:lineRule="auto"/>
        <w:jc w:val="both"/>
        <w:rPr>
          <w:rFonts w:hint="eastAsia" w:ascii="宋体" w:hAnsi="宋体" w:cs="宋体"/>
          <w:sz w:val="24"/>
          <w:szCs w:val="24"/>
          <w:lang w:val="en-US" w:eastAsia="zh-CN"/>
        </w:rPr>
      </w:pPr>
      <w:r>
        <w:rPr>
          <w:rFonts w:hint="default"/>
          <w:sz w:val="24"/>
          <w:szCs w:val="24"/>
          <w:lang w:val="en-US" w:eastAsia="zh-CN"/>
        </w:rPr>
        <w:t>使用地点：</w:t>
      </w:r>
      <w:r>
        <w:rPr>
          <w:rFonts w:hint="eastAsia" w:ascii="宋体" w:hAnsi="宋体" w:cs="宋体"/>
          <w:sz w:val="24"/>
          <w:szCs w:val="24"/>
          <w:lang w:val="en-US" w:eastAsia="zh-CN"/>
        </w:rPr>
        <w:t>榆林市开发区</w:t>
      </w:r>
    </w:p>
    <w:p w14:paraId="3E89BEA4">
      <w:pPr>
        <w:pageBreakBefore w:val="0"/>
        <w:widowControl w:val="0"/>
        <w:numPr>
          <w:ilvl w:val="0"/>
          <w:numId w:val="0"/>
        </w:numPr>
        <w:wordWrap/>
        <w:topLinePunct w:val="0"/>
        <w:autoSpaceDE/>
        <w:autoSpaceDN/>
        <w:bidi w:val="0"/>
        <w:spacing w:before="157" w:beforeLines="50" w:after="157" w:afterLines="50" w:line="360" w:lineRule="auto"/>
        <w:jc w:val="both"/>
        <w:rPr>
          <w:rFonts w:hint="default"/>
          <w:sz w:val="24"/>
          <w:szCs w:val="24"/>
          <w:lang w:val="en-US" w:eastAsia="zh-CN"/>
        </w:rPr>
      </w:pPr>
      <w:r>
        <w:rPr>
          <w:rFonts w:hint="default"/>
          <w:sz w:val="24"/>
          <w:szCs w:val="24"/>
          <w:lang w:val="en-US" w:eastAsia="zh-CN"/>
        </w:rPr>
        <w:t>（2）当地温、湿度条件：榆林市属大陆性气候。年平均气温10.7 ℃，昼夜温差达12-15 ℃，</w:t>
      </w:r>
      <w:r>
        <w:rPr>
          <w:rFonts w:hint="eastAsia"/>
          <w:sz w:val="24"/>
          <w:szCs w:val="24"/>
          <w:lang w:val="en-US" w:eastAsia="zh-CN"/>
        </w:rPr>
        <w:t>年最低气温-23.4℃（12 月），年最高气温37.4 （7月、8月）</w:t>
      </w:r>
      <w:r>
        <w:rPr>
          <w:rFonts w:hint="default"/>
          <w:sz w:val="24"/>
          <w:szCs w:val="24"/>
          <w:lang w:val="en-US" w:eastAsia="zh-CN"/>
        </w:rPr>
        <w:t xml:space="preserve"> ℃</w:t>
      </w:r>
      <w:r>
        <w:rPr>
          <w:rFonts w:hint="eastAsia"/>
          <w:sz w:val="24"/>
          <w:szCs w:val="24"/>
          <w:lang w:val="en-US" w:eastAsia="zh-CN"/>
        </w:rPr>
        <w:t>。</w:t>
      </w:r>
      <w:r>
        <w:rPr>
          <w:rFonts w:hint="default"/>
          <w:sz w:val="24"/>
          <w:szCs w:val="24"/>
          <w:lang w:val="en-US" w:eastAsia="zh-CN"/>
        </w:rPr>
        <w:t>年平均降雨量400mm。</w:t>
      </w:r>
    </w:p>
    <w:p w14:paraId="72D6721E">
      <w:pPr>
        <w:pageBreakBefore w:val="0"/>
        <w:widowControl w:val="0"/>
        <w:numPr>
          <w:ilvl w:val="0"/>
          <w:numId w:val="0"/>
        </w:numPr>
        <w:wordWrap/>
        <w:topLinePunct w:val="0"/>
        <w:autoSpaceDE/>
        <w:autoSpaceDN/>
        <w:bidi w:val="0"/>
        <w:spacing w:before="157" w:beforeLines="50" w:after="157" w:afterLines="50" w:line="360" w:lineRule="auto"/>
        <w:jc w:val="both"/>
        <w:rPr>
          <w:rFonts w:hint="default"/>
          <w:color w:val="auto"/>
          <w:sz w:val="24"/>
          <w:szCs w:val="24"/>
          <w:lang w:val="en-US" w:eastAsia="zh-CN"/>
        </w:rPr>
      </w:pPr>
      <w:r>
        <w:rPr>
          <w:rFonts w:hint="default"/>
          <w:color w:val="auto"/>
          <w:sz w:val="24"/>
          <w:szCs w:val="24"/>
          <w:lang w:val="en-US" w:eastAsia="zh-CN"/>
        </w:rPr>
        <w:t>（3）海拔：</w:t>
      </w:r>
      <w:r>
        <w:rPr>
          <w:rFonts w:hint="eastAsia"/>
          <w:color w:val="auto"/>
          <w:sz w:val="24"/>
          <w:szCs w:val="24"/>
          <w:lang w:val="en-US" w:eastAsia="zh-CN"/>
        </w:rPr>
        <w:t>1300</w:t>
      </w:r>
      <w:r>
        <w:rPr>
          <w:rFonts w:hint="default"/>
          <w:color w:val="auto"/>
          <w:sz w:val="24"/>
          <w:szCs w:val="24"/>
          <w:lang w:val="en-US" w:eastAsia="zh-CN"/>
        </w:rPr>
        <w:t>m</w:t>
      </w:r>
      <w:r>
        <w:rPr>
          <w:rFonts w:hint="eastAsia"/>
          <w:color w:val="auto"/>
          <w:sz w:val="24"/>
          <w:szCs w:val="24"/>
          <w:lang w:val="en-US" w:eastAsia="zh-CN"/>
        </w:rPr>
        <w:t>内</w:t>
      </w:r>
      <w:r>
        <w:rPr>
          <w:rFonts w:hint="default"/>
          <w:color w:val="auto"/>
          <w:sz w:val="24"/>
          <w:szCs w:val="24"/>
          <w:lang w:val="en-US" w:eastAsia="zh-CN"/>
        </w:rPr>
        <w:t>；</w:t>
      </w:r>
    </w:p>
    <w:p w14:paraId="739A9F9D">
      <w:pPr>
        <w:pageBreakBefore w:val="0"/>
        <w:widowControl w:val="0"/>
        <w:numPr>
          <w:ilvl w:val="0"/>
          <w:numId w:val="0"/>
        </w:numPr>
        <w:wordWrap/>
        <w:topLinePunct w:val="0"/>
        <w:autoSpaceDE/>
        <w:autoSpaceDN/>
        <w:bidi w:val="0"/>
        <w:spacing w:before="157" w:beforeLines="50" w:after="157" w:afterLines="50" w:line="360" w:lineRule="auto"/>
        <w:jc w:val="both"/>
        <w:rPr>
          <w:rFonts w:hint="default"/>
          <w:sz w:val="24"/>
          <w:szCs w:val="24"/>
          <w:lang w:val="en-US" w:eastAsia="zh-CN"/>
        </w:rPr>
      </w:pPr>
      <w:r>
        <w:rPr>
          <w:rFonts w:hint="default"/>
          <w:sz w:val="24"/>
          <w:szCs w:val="24"/>
          <w:lang w:val="en-US" w:eastAsia="zh-CN"/>
        </w:rPr>
        <w:t>（4）设备抗震级别：抗震设防烈度为6度。</w:t>
      </w:r>
    </w:p>
    <w:p w14:paraId="48F9B984">
      <w:pPr>
        <w:pStyle w:val="3"/>
        <w:pageBreakBefore w:val="0"/>
        <w:wordWrap/>
        <w:topLinePunct w:val="0"/>
        <w:autoSpaceDE/>
        <w:autoSpaceDN/>
        <w:bidi w:val="0"/>
        <w:spacing w:before="157" w:beforeLines="50" w:after="157" w:afterLines="50" w:line="360" w:lineRule="auto"/>
        <w:rPr>
          <w:rFonts w:hint="eastAsia" w:ascii="宋体" w:hAnsi="宋体" w:eastAsia="宋体" w:cs="宋体"/>
          <w:sz w:val="28"/>
          <w:szCs w:val="28"/>
          <w:lang w:val="en-US" w:eastAsia="zh-CN"/>
        </w:rPr>
      </w:pPr>
      <w:bookmarkStart w:id="472" w:name="_Toc20320"/>
      <w:r>
        <w:rPr>
          <w:rFonts w:hint="eastAsia" w:ascii="宋体" w:hAnsi="宋体" w:eastAsia="宋体" w:cs="宋体"/>
          <w:sz w:val="28"/>
          <w:szCs w:val="28"/>
          <w:lang w:val="en-US" w:eastAsia="zh-CN"/>
        </w:rPr>
        <w:t>3.2设计、制造应遵守的规程、规范和标准</w:t>
      </w:r>
      <w:bookmarkEnd w:id="472"/>
    </w:p>
    <w:p w14:paraId="4696D29E">
      <w:pPr>
        <w:pageBreakBefore w:val="0"/>
        <w:widowControl w:val="0"/>
        <w:numPr>
          <w:ilvl w:val="0"/>
          <w:numId w:val="0"/>
        </w:numPr>
        <w:wordWrap/>
        <w:topLinePunct w:val="0"/>
        <w:autoSpaceDE/>
        <w:autoSpaceDN/>
        <w:bidi w:val="0"/>
        <w:spacing w:before="157" w:beforeLines="50" w:after="157" w:afterLines="50" w:line="36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节主要针对技术文件及附件要求遵循的制造标准体系进行详细解释，乙方应根据甲方“设备数据表”提出的标准体系按以下要求执行（在本技术文件的其它附件当中有特殊约定时除外），否则按违约处理。具体如下：</w:t>
      </w:r>
    </w:p>
    <w:p w14:paraId="2BD622D6">
      <w:pPr>
        <w:pageBreakBefore w:val="0"/>
        <w:wordWrap/>
        <w:topLinePunct w:val="0"/>
        <w:autoSpaceDE/>
        <w:autoSpaceDN/>
        <w:bidi w:val="0"/>
        <w:spacing w:before="157" w:beforeLines="50" w:after="157" w:afterLines="50" w:line="360" w:lineRule="auto"/>
        <w:ind w:firstLine="480" w:firstLineChars="200"/>
        <w:outlineLvl w:val="0"/>
        <w:rPr>
          <w:rFonts w:hint="eastAsia" w:ascii="宋体" w:hAnsi="宋体" w:eastAsia="宋体" w:cs="宋体"/>
          <w:sz w:val="24"/>
          <w:szCs w:val="24"/>
          <w:lang w:eastAsia="zh-CN"/>
        </w:rPr>
      </w:pPr>
      <w:bookmarkStart w:id="473" w:name="_Toc23737"/>
      <w:bookmarkStart w:id="474" w:name="_Toc12644"/>
      <w:bookmarkStart w:id="475" w:name="_Toc8205"/>
      <w:r>
        <w:rPr>
          <w:rFonts w:hint="eastAsia" w:ascii="宋体" w:hAnsi="宋体" w:eastAsia="宋体" w:cs="宋体"/>
          <w:sz w:val="24"/>
          <w:szCs w:val="24"/>
          <w:lang w:eastAsia="zh-CN"/>
        </w:rPr>
        <w:t>■IEC60076</w:t>
      </w:r>
      <w:r>
        <w:rPr>
          <w:rFonts w:hint="eastAsia" w:ascii="宋体" w:hAnsi="宋体" w:eastAsia="宋体" w:cs="宋体"/>
          <w:sz w:val="24"/>
          <w:szCs w:val="24"/>
          <w:lang w:eastAsia="zh-CN"/>
        </w:rPr>
        <w:tab/>
      </w:r>
      <w:r>
        <w:rPr>
          <w:rFonts w:hint="eastAsia" w:ascii="宋体" w:hAnsi="宋体" w:eastAsia="宋体" w:cs="宋体"/>
          <w:sz w:val="24"/>
          <w:szCs w:val="24"/>
          <w:lang w:eastAsia="zh-CN"/>
        </w:rPr>
        <w:t>干式电力变压器</w:t>
      </w:r>
      <w:bookmarkEnd w:id="473"/>
      <w:bookmarkEnd w:id="474"/>
      <w:bookmarkEnd w:id="475"/>
    </w:p>
    <w:p w14:paraId="444A2F78">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■GB1094.11</w:t>
      </w:r>
      <w:r>
        <w:rPr>
          <w:rFonts w:hint="eastAsia" w:ascii="宋体" w:hAnsi="宋体" w:eastAsia="宋体" w:cs="宋体"/>
          <w:sz w:val="24"/>
          <w:szCs w:val="24"/>
          <w:lang w:eastAsia="zh-CN"/>
        </w:rPr>
        <w:tab/>
      </w:r>
      <w:r>
        <w:rPr>
          <w:rFonts w:hint="eastAsia" w:ascii="宋体" w:hAnsi="宋体" w:eastAsia="宋体" w:cs="宋体"/>
          <w:sz w:val="24"/>
          <w:szCs w:val="24"/>
          <w:lang w:eastAsia="zh-CN"/>
        </w:rPr>
        <w:t>干式变压器</w:t>
      </w:r>
    </w:p>
    <w:p w14:paraId="6BF816FF">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■GB/T 10228</w:t>
      </w:r>
      <w:r>
        <w:rPr>
          <w:rFonts w:hint="eastAsia" w:ascii="宋体" w:hAnsi="宋体" w:eastAsia="宋体" w:cs="宋体"/>
          <w:sz w:val="24"/>
          <w:szCs w:val="24"/>
          <w:lang w:eastAsia="zh-CN"/>
        </w:rPr>
        <w:tab/>
      </w:r>
      <w:r>
        <w:rPr>
          <w:rFonts w:hint="eastAsia" w:ascii="宋体" w:hAnsi="宋体" w:eastAsia="宋体" w:cs="宋体"/>
          <w:sz w:val="24"/>
          <w:szCs w:val="24"/>
          <w:lang w:eastAsia="zh-CN"/>
        </w:rPr>
        <w:t>干式电力变压器技术参数和要求</w:t>
      </w:r>
    </w:p>
    <w:p w14:paraId="4512FF1B">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■GB1094.12</w:t>
      </w:r>
      <w:r>
        <w:rPr>
          <w:rFonts w:hint="eastAsia" w:ascii="宋体" w:hAnsi="宋体" w:eastAsia="宋体" w:cs="宋体"/>
          <w:sz w:val="24"/>
          <w:szCs w:val="24"/>
          <w:lang w:eastAsia="zh-CN"/>
        </w:rPr>
        <w:tab/>
      </w:r>
      <w:r>
        <w:rPr>
          <w:rFonts w:hint="eastAsia" w:ascii="宋体" w:hAnsi="宋体" w:eastAsia="宋体" w:cs="宋体"/>
          <w:sz w:val="24"/>
          <w:szCs w:val="24"/>
          <w:lang w:eastAsia="zh-CN"/>
        </w:rPr>
        <w:t>干式电力变压器负载导则</w:t>
      </w:r>
    </w:p>
    <w:p w14:paraId="72BC8EE3">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■JB/T501</w:t>
      </w:r>
      <w:r>
        <w:rPr>
          <w:rFonts w:hint="eastAsia" w:ascii="宋体" w:hAnsi="宋体" w:eastAsia="宋体" w:cs="宋体"/>
          <w:sz w:val="24"/>
          <w:szCs w:val="24"/>
          <w:lang w:eastAsia="zh-CN"/>
        </w:rPr>
        <w:tab/>
      </w:r>
      <w:r>
        <w:rPr>
          <w:rFonts w:hint="eastAsia" w:ascii="宋体" w:hAnsi="宋体" w:eastAsia="宋体" w:cs="宋体"/>
          <w:sz w:val="24"/>
          <w:szCs w:val="24"/>
          <w:lang w:eastAsia="zh-CN"/>
        </w:rPr>
        <w:t>电力变压器试验导则</w:t>
      </w:r>
    </w:p>
    <w:p w14:paraId="64751AAD">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■GB4208</w:t>
      </w:r>
      <w:r>
        <w:rPr>
          <w:rFonts w:hint="eastAsia" w:ascii="宋体" w:hAnsi="宋体" w:eastAsia="宋体" w:cs="宋体"/>
          <w:sz w:val="24"/>
          <w:szCs w:val="24"/>
          <w:lang w:eastAsia="zh-CN"/>
        </w:rPr>
        <w:tab/>
      </w:r>
      <w:r>
        <w:rPr>
          <w:rFonts w:hint="eastAsia" w:ascii="宋体" w:hAnsi="宋体" w:eastAsia="宋体" w:cs="宋体"/>
          <w:sz w:val="24"/>
          <w:szCs w:val="24"/>
          <w:lang w:eastAsia="zh-CN"/>
        </w:rPr>
        <w:t>外壳防护等级（IP代码）</w:t>
      </w:r>
    </w:p>
    <w:p w14:paraId="65FDE20B">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■GB 20052-2020</w:t>
      </w:r>
      <w:r>
        <w:rPr>
          <w:rFonts w:hint="eastAsia" w:ascii="宋体" w:hAnsi="宋体" w:eastAsia="宋体" w:cs="宋体"/>
          <w:sz w:val="24"/>
          <w:szCs w:val="24"/>
          <w:lang w:eastAsia="zh-CN"/>
        </w:rPr>
        <w:tab/>
      </w:r>
      <w:r>
        <w:rPr>
          <w:rFonts w:hint="eastAsia" w:ascii="宋体" w:hAnsi="宋体" w:eastAsia="宋体" w:cs="宋体"/>
          <w:sz w:val="24"/>
          <w:szCs w:val="24"/>
          <w:lang w:eastAsia="zh-CN"/>
        </w:rPr>
        <w:t>电力变压器能效限定值及能效等级</w:t>
      </w:r>
    </w:p>
    <w:p w14:paraId="36446162">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■GB 55015-2021</w:t>
      </w:r>
      <w:r>
        <w:rPr>
          <w:rFonts w:hint="eastAsia" w:ascii="宋体" w:hAnsi="宋体" w:eastAsia="宋体" w:cs="宋体"/>
          <w:sz w:val="24"/>
          <w:szCs w:val="24"/>
          <w:lang w:eastAsia="zh-CN"/>
        </w:rPr>
        <w:tab/>
      </w:r>
      <w:r>
        <w:rPr>
          <w:rFonts w:hint="eastAsia" w:ascii="宋体" w:hAnsi="宋体" w:eastAsia="宋体" w:cs="宋体"/>
          <w:sz w:val="24"/>
          <w:szCs w:val="24"/>
          <w:lang w:eastAsia="zh-CN"/>
        </w:rPr>
        <w:t>建筑节能与可再生能源利用通用规范</w:t>
      </w:r>
    </w:p>
    <w:p w14:paraId="19FF8724">
      <w:pPr>
        <w:pStyle w:val="3"/>
        <w:pageBreakBefore w:val="0"/>
        <w:widowControl w:val="0"/>
        <w:kinsoku/>
        <w:wordWrap/>
        <w:overflowPunct/>
        <w:topLinePunct w:val="0"/>
        <w:autoSpaceDE/>
        <w:autoSpaceDN/>
        <w:bidi w:val="0"/>
        <w:snapToGrid w:val="0"/>
        <w:spacing w:before="157" w:beforeLines="50" w:after="157" w:afterLines="50" w:line="360" w:lineRule="auto"/>
        <w:outlineLvl w:val="0"/>
        <w:rPr>
          <w:rFonts w:hint="eastAsia" w:ascii="宋体" w:hAnsi="宋体" w:eastAsia="宋体" w:cs="宋体"/>
          <w:b/>
          <w:bCs w:val="0"/>
          <w:color w:val="auto"/>
          <w:sz w:val="28"/>
          <w:szCs w:val="28"/>
        </w:rPr>
      </w:pPr>
      <w:bookmarkStart w:id="476" w:name="_Toc25269"/>
      <w:r>
        <w:rPr>
          <w:rFonts w:hint="eastAsia" w:ascii="宋体" w:hAnsi="宋体" w:eastAsia="宋体" w:cs="宋体"/>
          <w:b/>
          <w:bCs w:val="0"/>
          <w:color w:val="auto"/>
          <w:sz w:val="28"/>
          <w:szCs w:val="28"/>
          <w:lang w:val="en-US" w:eastAsia="zh-CN"/>
        </w:rPr>
        <w:t>3.4</w:t>
      </w:r>
      <w:r>
        <w:rPr>
          <w:rFonts w:hint="eastAsia" w:ascii="宋体" w:hAnsi="宋体" w:eastAsia="宋体" w:cs="宋体"/>
          <w:b/>
          <w:bCs w:val="0"/>
          <w:color w:val="auto"/>
          <w:sz w:val="28"/>
          <w:szCs w:val="28"/>
        </w:rPr>
        <w:t>技术要求</w:t>
      </w:r>
      <w:bookmarkEnd w:id="476"/>
    </w:p>
    <w:p w14:paraId="4F358560">
      <w:pPr>
        <w:pageBreakBefore w:val="0"/>
        <w:widowControl w:val="0"/>
        <w:kinsoku/>
        <w:wordWrap/>
        <w:overflowPunct/>
        <w:topLinePunct w:val="0"/>
        <w:autoSpaceDE/>
        <w:autoSpaceDN/>
        <w:bidi w:val="0"/>
        <w:adjustRightInd w:val="0"/>
        <w:snapToGrid w:val="0"/>
        <w:spacing w:before="157" w:beforeLines="50" w:after="157" w:afterLines="50" w:line="360" w:lineRule="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3.4.1</w:t>
      </w:r>
      <w:r>
        <w:rPr>
          <w:rFonts w:hint="eastAsia" w:ascii="宋体" w:hAnsi="宋体" w:eastAsia="宋体" w:cs="宋体"/>
          <w:b w:val="0"/>
          <w:bCs/>
          <w:sz w:val="24"/>
          <w:szCs w:val="24"/>
          <w:lang w:eastAsia="zh-CN"/>
        </w:rPr>
        <w:t>产品型式</w:t>
      </w:r>
    </w:p>
    <w:p w14:paraId="19211574">
      <w:pPr>
        <w:pageBreakBefore w:val="0"/>
        <w:widowControl w:val="0"/>
        <w:kinsoku/>
        <w:wordWrap/>
        <w:overflowPunct/>
        <w:topLinePunct w:val="0"/>
        <w:autoSpaceDE/>
        <w:autoSpaceDN/>
        <w:bidi w:val="0"/>
        <w:adjustRightInd w:val="0"/>
        <w:snapToGrid w:val="0"/>
        <w:spacing w:before="157" w:beforeLines="50" w:after="157" w:afterLines="50" w:line="360" w:lineRule="auto"/>
        <w:ind w:firstLine="424" w:firstLineChars="177"/>
        <w:rPr>
          <w:rFonts w:hint="eastAsia" w:ascii="宋体" w:hAnsi="宋体" w:eastAsia="宋体" w:cs="宋体"/>
          <w:b w:val="0"/>
          <w:bCs/>
          <w:color w:val="auto"/>
          <w:sz w:val="24"/>
          <w:szCs w:val="24"/>
          <w:lang w:eastAsia="zh-CN"/>
        </w:rPr>
      </w:pPr>
      <w:r>
        <w:rPr>
          <w:rFonts w:hint="eastAsia" w:ascii="宋体" w:hAnsi="宋体" w:eastAsia="宋体" w:cs="宋体"/>
          <w:color w:val="auto"/>
          <w:sz w:val="24"/>
          <w:szCs w:val="24"/>
          <w:highlight w:val="none"/>
          <w:lang w:eastAsia="zh-CN"/>
        </w:rPr>
        <w:t>SCB14-</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00-/10/0.4</w:t>
      </w:r>
      <w:r>
        <w:rPr>
          <w:rFonts w:hint="eastAsia" w:ascii="宋体" w:hAnsi="宋体" w:eastAsia="宋体" w:cs="宋体"/>
          <w:b w:val="0"/>
          <w:bCs/>
          <w:color w:val="auto"/>
          <w:sz w:val="24"/>
          <w:szCs w:val="24"/>
          <w:lang w:eastAsia="zh-CN"/>
        </w:rPr>
        <w:t>三相、双线圈、无载调压、高效节能型干式电力变压器</w:t>
      </w:r>
    </w:p>
    <w:p w14:paraId="38A2AD26">
      <w:pPr>
        <w:pageBreakBefore w:val="0"/>
        <w:widowControl w:val="0"/>
        <w:kinsoku/>
        <w:wordWrap/>
        <w:overflowPunct/>
        <w:topLinePunct w:val="0"/>
        <w:autoSpaceDE/>
        <w:autoSpaceDN/>
        <w:bidi w:val="0"/>
        <w:adjustRightInd w:val="0"/>
        <w:snapToGrid w:val="0"/>
        <w:spacing w:before="157" w:beforeLines="50" w:after="157" w:afterLines="50"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3.4</w:t>
      </w:r>
      <w:r>
        <w:rPr>
          <w:rFonts w:hint="eastAsia" w:ascii="宋体" w:hAnsi="宋体" w:eastAsia="宋体" w:cs="宋体"/>
          <w:b w:val="0"/>
          <w:bCs/>
          <w:sz w:val="24"/>
          <w:szCs w:val="24"/>
          <w:lang w:eastAsia="zh-CN"/>
        </w:rPr>
        <w:t xml:space="preserve">.2 </w:t>
      </w:r>
      <w:r>
        <w:rPr>
          <w:rFonts w:hint="eastAsia" w:ascii="宋体" w:hAnsi="宋体" w:eastAsia="宋体" w:cs="宋体"/>
          <w:b w:val="0"/>
          <w:bCs/>
          <w:sz w:val="24"/>
          <w:szCs w:val="24"/>
          <w:lang w:val="en-US" w:eastAsia="zh-CN"/>
        </w:rPr>
        <w:t>参数要求</w:t>
      </w:r>
    </w:p>
    <w:p w14:paraId="430F925A">
      <w:pPr>
        <w:pageBreakBefore w:val="0"/>
        <w:widowControl w:val="0"/>
        <w:kinsoku/>
        <w:wordWrap/>
        <w:overflowPunct/>
        <w:topLinePunct w:val="0"/>
        <w:autoSpaceDE/>
        <w:autoSpaceDN/>
        <w:bidi w:val="0"/>
        <w:adjustRightInd w:val="0"/>
        <w:snapToGrid w:val="0"/>
        <w:spacing w:before="157" w:beforeLines="50" w:after="157" w:afterLines="50" w:line="360" w:lineRule="auto"/>
        <w:ind w:firstLine="240" w:firstLineChars="1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 xml:space="preserve"> 主要技术参数</w:t>
      </w:r>
    </w:p>
    <w:p w14:paraId="70017F01">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■相数：</w:t>
      </w:r>
      <w:r>
        <w:rPr>
          <w:rFonts w:hint="eastAsia" w:ascii="宋体" w:hAnsi="宋体" w:eastAsia="宋体" w:cs="宋体"/>
          <w:b w:val="0"/>
          <w:bCs/>
          <w:sz w:val="24"/>
          <w:szCs w:val="24"/>
          <w:lang w:eastAsia="zh-CN"/>
        </w:rPr>
        <w:tab/>
      </w:r>
      <w:r>
        <w:rPr>
          <w:rFonts w:hint="eastAsia" w:ascii="宋体" w:hAnsi="宋体" w:eastAsia="宋体" w:cs="宋体"/>
          <w:b w:val="0"/>
          <w:bCs/>
          <w:sz w:val="24"/>
          <w:szCs w:val="24"/>
          <w:lang w:eastAsia="zh-CN"/>
        </w:rPr>
        <w:t>3</w:t>
      </w:r>
    </w:p>
    <w:p w14:paraId="06693934">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■频率：</w:t>
      </w:r>
      <w:r>
        <w:rPr>
          <w:rFonts w:hint="eastAsia" w:ascii="宋体" w:hAnsi="宋体" w:eastAsia="宋体" w:cs="宋体"/>
          <w:b w:val="0"/>
          <w:bCs/>
          <w:sz w:val="24"/>
          <w:szCs w:val="24"/>
          <w:lang w:eastAsia="zh-CN"/>
        </w:rPr>
        <w:tab/>
      </w:r>
      <w:r>
        <w:rPr>
          <w:rFonts w:hint="eastAsia" w:ascii="宋体" w:hAnsi="宋体" w:eastAsia="宋体" w:cs="宋体"/>
          <w:b w:val="0"/>
          <w:bCs/>
          <w:sz w:val="24"/>
          <w:szCs w:val="24"/>
          <w:lang w:eastAsia="zh-CN"/>
        </w:rPr>
        <w:t>50 Hz</w:t>
      </w:r>
    </w:p>
    <w:p w14:paraId="6C632DEF">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■工作电压：</w:t>
      </w:r>
      <w:r>
        <w:rPr>
          <w:rFonts w:hint="eastAsia" w:ascii="宋体" w:hAnsi="宋体" w:eastAsia="宋体" w:cs="宋体"/>
          <w:b w:val="0"/>
          <w:bCs/>
          <w:sz w:val="24"/>
          <w:szCs w:val="24"/>
          <w:lang w:eastAsia="zh-CN"/>
        </w:rPr>
        <w:tab/>
      </w:r>
      <w:r>
        <w:rPr>
          <w:rFonts w:hint="eastAsia" w:ascii="宋体" w:hAnsi="宋体" w:eastAsia="宋体" w:cs="宋体"/>
          <w:b w:val="0"/>
          <w:bCs/>
          <w:sz w:val="24"/>
          <w:szCs w:val="24"/>
          <w:lang w:eastAsia="zh-CN"/>
        </w:rPr>
        <w:t>10 kV</w:t>
      </w:r>
    </w:p>
    <w:p w14:paraId="5D0BAC48">
      <w:pPr>
        <w:pageBreakBefore w:val="0"/>
        <w:wordWrap/>
        <w:topLinePunct w:val="0"/>
        <w:autoSpaceDE/>
        <w:autoSpaceDN/>
        <w:bidi w:val="0"/>
        <w:spacing w:before="157" w:beforeLines="50" w:after="157" w:afterLines="50" w:line="360" w:lineRule="auto"/>
        <w:ind w:firstLine="720" w:firstLineChars="3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短路电流有效值：40kA；冲击短路电流 100kA</w:t>
      </w:r>
    </w:p>
    <w:p w14:paraId="3AB84992">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■最高工作电压：</w:t>
      </w:r>
      <w:r>
        <w:rPr>
          <w:rFonts w:hint="eastAsia" w:ascii="宋体" w:hAnsi="宋体" w:eastAsia="宋体" w:cs="宋体"/>
          <w:b w:val="0"/>
          <w:bCs/>
          <w:sz w:val="24"/>
          <w:szCs w:val="24"/>
          <w:lang w:eastAsia="zh-CN"/>
        </w:rPr>
        <w:tab/>
      </w:r>
      <w:r>
        <w:rPr>
          <w:rFonts w:hint="eastAsia" w:ascii="宋体" w:hAnsi="宋体" w:eastAsia="宋体" w:cs="宋体"/>
          <w:b w:val="0"/>
          <w:bCs/>
          <w:sz w:val="24"/>
          <w:szCs w:val="24"/>
          <w:lang w:eastAsia="zh-CN"/>
        </w:rPr>
        <w:t>12kV</w:t>
      </w:r>
    </w:p>
    <w:p w14:paraId="414D501B">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■绝缘水平：</w:t>
      </w:r>
      <w:r>
        <w:rPr>
          <w:rFonts w:hint="eastAsia" w:ascii="宋体" w:hAnsi="宋体" w:eastAsia="宋体" w:cs="宋体"/>
          <w:b w:val="0"/>
          <w:bCs/>
          <w:sz w:val="24"/>
          <w:szCs w:val="24"/>
          <w:lang w:eastAsia="zh-CN"/>
        </w:rPr>
        <w:tab/>
      </w:r>
      <w:r>
        <w:rPr>
          <w:rFonts w:hint="eastAsia" w:ascii="宋体" w:hAnsi="宋体" w:eastAsia="宋体" w:cs="宋体"/>
          <w:b w:val="0"/>
          <w:bCs/>
          <w:sz w:val="24"/>
          <w:szCs w:val="24"/>
          <w:lang w:eastAsia="zh-CN"/>
        </w:rPr>
        <w:t>30/35 kV（工频 1min）</w:t>
      </w:r>
    </w:p>
    <w:p w14:paraId="1E6AC76C">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75 kV(雷电冲击)</w:t>
      </w:r>
    </w:p>
    <w:p w14:paraId="639FF256">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■工作方式：</w:t>
      </w:r>
      <w:r>
        <w:rPr>
          <w:rFonts w:hint="eastAsia" w:ascii="宋体" w:hAnsi="宋体" w:eastAsia="宋体" w:cs="宋体"/>
          <w:b w:val="0"/>
          <w:bCs/>
          <w:sz w:val="24"/>
          <w:szCs w:val="24"/>
          <w:lang w:eastAsia="zh-CN"/>
        </w:rPr>
        <w:tab/>
      </w:r>
      <w:r>
        <w:rPr>
          <w:rFonts w:hint="eastAsia" w:ascii="宋体" w:hAnsi="宋体" w:eastAsia="宋体" w:cs="宋体"/>
          <w:b w:val="0"/>
          <w:bCs/>
          <w:sz w:val="24"/>
          <w:szCs w:val="24"/>
          <w:lang w:eastAsia="zh-CN"/>
        </w:rPr>
        <w:t>连续</w:t>
      </w:r>
    </w:p>
    <w:p w14:paraId="28E52C89">
      <w:pPr>
        <w:pageBreakBefore w:val="0"/>
        <w:wordWrap/>
        <w:topLinePunct w:val="0"/>
        <w:autoSpaceDE/>
        <w:autoSpaceDN/>
        <w:bidi w:val="0"/>
        <w:spacing w:before="157" w:beforeLines="50" w:after="157" w:afterLines="50" w:line="360" w:lineRule="auto"/>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eastAsia="zh-CN"/>
        </w:rPr>
        <w:t>■一次侧额定电压：</w:t>
      </w:r>
      <w:r>
        <w:rPr>
          <w:rFonts w:hint="eastAsia" w:ascii="宋体" w:hAnsi="宋体" w:eastAsia="宋体" w:cs="宋体"/>
          <w:b w:val="0"/>
          <w:bCs/>
          <w:sz w:val="24"/>
          <w:szCs w:val="24"/>
          <w:lang w:eastAsia="zh-CN"/>
        </w:rPr>
        <w:tab/>
      </w:r>
      <w:r>
        <w:rPr>
          <w:rFonts w:hint="eastAsia" w:ascii="宋体" w:hAnsi="宋体" w:eastAsia="宋体" w:cs="宋体"/>
          <w:b w:val="0"/>
          <w:bCs/>
          <w:sz w:val="24"/>
          <w:szCs w:val="24"/>
          <w:lang w:val="en-US" w:eastAsia="zh-CN"/>
        </w:rPr>
        <w:t>10KV</w:t>
      </w:r>
    </w:p>
    <w:p w14:paraId="1DBACCF6">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eastAsia="zh-CN"/>
        </w:rPr>
        <w:t xml:space="preserve">■二次侧额定电压：   </w:t>
      </w:r>
      <w:r>
        <w:rPr>
          <w:rFonts w:hint="eastAsia" w:ascii="宋体" w:hAnsi="宋体" w:eastAsia="宋体" w:cs="宋体"/>
          <w:b w:val="0"/>
          <w:bCs/>
          <w:sz w:val="24"/>
          <w:szCs w:val="24"/>
          <w:lang w:val="en-US" w:eastAsia="zh-CN"/>
        </w:rPr>
        <w:t>0.4KV</w:t>
      </w:r>
    </w:p>
    <w:p w14:paraId="7D463C5E">
      <w:pPr>
        <w:pageBreakBefore w:val="0"/>
        <w:wordWrap/>
        <w:topLinePunct w:val="0"/>
        <w:autoSpaceDE/>
        <w:autoSpaceDN/>
        <w:bidi w:val="0"/>
        <w:spacing w:before="157" w:beforeLines="50" w:after="157" w:afterLines="50" w:line="360" w:lineRule="auto"/>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eastAsia="zh-CN"/>
        </w:rPr>
        <w:t>■额定容量：</w:t>
      </w:r>
      <w:r>
        <w:rPr>
          <w:rFonts w:hint="eastAsia" w:ascii="宋体" w:hAnsi="宋体" w:eastAsia="宋体" w:cs="宋体"/>
          <w:b w:val="0"/>
          <w:bCs/>
          <w:sz w:val="24"/>
          <w:szCs w:val="24"/>
          <w:lang w:eastAsia="zh-CN"/>
        </w:rPr>
        <w:tab/>
      </w:r>
      <w:r>
        <w:rPr>
          <w:rFonts w:hint="eastAsia" w:ascii="宋体" w:hAnsi="宋体" w:eastAsia="宋体" w:cs="宋体"/>
          <w:b w:val="0"/>
          <w:bCs/>
          <w:sz w:val="24"/>
          <w:szCs w:val="24"/>
          <w:lang w:eastAsia="zh-CN"/>
        </w:rPr>
        <w:t xml:space="preserve">       </w:t>
      </w:r>
      <w:r>
        <w:rPr>
          <w:rFonts w:hint="eastAsia" w:ascii="宋体" w:hAnsi="宋体" w:eastAsia="宋体" w:cs="宋体"/>
          <w:b w:val="0"/>
          <w:bCs/>
          <w:sz w:val="24"/>
          <w:szCs w:val="24"/>
          <w:lang w:val="en-US" w:eastAsia="zh-CN"/>
        </w:rPr>
        <w:t>500KVA</w:t>
      </w:r>
    </w:p>
    <w:p w14:paraId="26452DAD">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联接组别</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eastAsia="zh-CN"/>
        </w:rPr>
        <w:tab/>
      </w:r>
      <w:r>
        <w:rPr>
          <w:rFonts w:hint="eastAsia" w:ascii="宋体" w:hAnsi="宋体" w:eastAsia="宋体" w:cs="宋体"/>
          <w:b w:val="0"/>
          <w:bCs/>
          <w:sz w:val="24"/>
          <w:szCs w:val="24"/>
          <w:lang w:eastAsia="zh-CN"/>
        </w:rPr>
        <w:t xml:space="preserve">       </w:t>
      </w:r>
      <w:r>
        <w:rPr>
          <w:rFonts w:hint="eastAsia" w:ascii="宋体" w:hAnsi="宋体" w:eastAsia="宋体" w:cs="宋体"/>
          <w:b w:val="0"/>
          <w:bCs/>
          <w:sz w:val="24"/>
          <w:szCs w:val="24"/>
          <w:lang w:val="en-US" w:eastAsia="zh-CN"/>
        </w:rPr>
        <w:t>Dyn11</w:t>
      </w:r>
    </w:p>
    <w:p w14:paraId="1FEA751C">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■局部放电量</w:t>
      </w:r>
      <w:r>
        <w:rPr>
          <w:rFonts w:hint="eastAsia" w:ascii="宋体" w:hAnsi="宋体" w:eastAsia="宋体" w:cs="宋体"/>
          <w:b w:val="0"/>
          <w:bCs/>
          <w:sz w:val="24"/>
          <w:szCs w:val="24"/>
          <w:lang w:eastAsia="zh-CN"/>
        </w:rPr>
        <w:tab/>
      </w:r>
      <w:r>
        <w:rPr>
          <w:rFonts w:hint="eastAsia" w:ascii="宋体" w:hAnsi="宋体" w:eastAsia="宋体" w:cs="宋体"/>
          <w:b w:val="0"/>
          <w:bCs/>
          <w:sz w:val="24"/>
          <w:szCs w:val="24"/>
          <w:lang w:eastAsia="zh-CN"/>
        </w:rPr>
        <w:t xml:space="preserve">       ≤</w:t>
      </w:r>
      <w:r>
        <w:rPr>
          <w:rFonts w:hint="eastAsia" w:ascii="宋体" w:hAnsi="宋体" w:eastAsia="宋体" w:cs="宋体"/>
          <w:b w:val="0"/>
          <w:bCs/>
          <w:sz w:val="24"/>
          <w:szCs w:val="24"/>
          <w:lang w:val="en-US" w:eastAsia="zh-CN"/>
        </w:rPr>
        <w:t>10</w:t>
      </w:r>
      <w:r>
        <w:rPr>
          <w:rFonts w:hint="eastAsia" w:ascii="宋体" w:hAnsi="宋体" w:eastAsia="宋体" w:cs="宋体"/>
          <w:b w:val="0"/>
          <w:bCs/>
          <w:sz w:val="24"/>
          <w:szCs w:val="24"/>
          <w:lang w:eastAsia="zh-CN"/>
        </w:rPr>
        <w:t>PC</w:t>
      </w:r>
    </w:p>
    <w:p w14:paraId="46360A7B">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调压方式：无励磁调压；</w:t>
      </w:r>
    </w:p>
    <w:p w14:paraId="4894C722">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分接范围：±2×2.5％；</w:t>
      </w:r>
    </w:p>
    <w:p w14:paraId="2A3ECF53">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高压绕组绝缘水平：额定雷电冲击耐压（峰值）：75kV</w:t>
      </w:r>
    </w:p>
    <w:p w14:paraId="26018331">
      <w:pPr>
        <w:pageBreakBefore w:val="0"/>
        <w:wordWrap/>
        <w:topLinePunct w:val="0"/>
        <w:autoSpaceDE/>
        <w:autoSpaceDN/>
        <w:bidi w:val="0"/>
        <w:spacing w:before="157" w:beforeLines="50" w:after="157" w:afterLines="50" w:line="360" w:lineRule="auto"/>
        <w:ind w:firstLine="2640" w:firstLineChars="11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额定短时工频耐压（有效值）5kV</w:t>
      </w:r>
    </w:p>
    <w:p w14:paraId="1D286075">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低压绕组绝缘水平：额定雷电冲击耐压（峰值）：10kV</w:t>
      </w:r>
    </w:p>
    <w:p w14:paraId="31371B20">
      <w:pPr>
        <w:pageBreakBefore w:val="0"/>
        <w:wordWrap/>
        <w:topLinePunct w:val="0"/>
        <w:autoSpaceDE/>
        <w:autoSpaceDN/>
        <w:bidi w:val="0"/>
        <w:spacing w:before="157" w:beforeLines="50" w:after="157" w:afterLines="50" w:line="360" w:lineRule="auto"/>
        <w:ind w:firstLine="2640" w:firstLineChars="11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额定短时工频耐压（有效值）：3kV</w:t>
      </w:r>
    </w:p>
    <w:p w14:paraId="224CFAE4">
      <w:pPr>
        <w:pageBreakBefore w:val="0"/>
        <w:widowControl w:val="0"/>
        <w:kinsoku/>
        <w:wordWrap/>
        <w:overflowPunct/>
        <w:topLinePunct w:val="0"/>
        <w:autoSpaceDE/>
        <w:autoSpaceDN/>
        <w:bidi w:val="0"/>
        <w:adjustRightInd w:val="0"/>
        <w:snapToGrid w:val="0"/>
        <w:spacing w:before="157" w:beforeLines="50" w:after="157" w:afterLines="50" w:line="360" w:lineRule="auto"/>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 xml:space="preserve"> 冷却方式： 空气自然冷却（配风冷风扇AN/AF）(当变压器打开风扇风冷时，应可带1</w:t>
      </w: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lang w:eastAsia="zh-CN"/>
        </w:rPr>
        <w:t>0%的额定容量负荷长期运行。)</w:t>
      </w:r>
    </w:p>
    <w:p w14:paraId="5D221988">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低压绕组中性点接地方式：直接接地；</w:t>
      </w:r>
    </w:p>
    <w:p w14:paraId="35F57A60">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联结组标号：Dyn11；</w:t>
      </w:r>
    </w:p>
    <w:p w14:paraId="75D35C1A">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绕组材料：低压绕组采用铜箔，高压绕组采用铜线绕制；</w:t>
      </w:r>
    </w:p>
    <w:p w14:paraId="7C5C576C">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绝缘等级：绝缘树脂优先采用进口材料，全缠绕，簿绝缘，H级绝缘，F级温升考核；</w:t>
      </w:r>
    </w:p>
    <w:p w14:paraId="1DC22256">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变压器</w:t>
      </w:r>
      <w:r>
        <w:rPr>
          <w:rFonts w:hint="eastAsia" w:ascii="宋体" w:hAnsi="宋体" w:eastAsia="宋体" w:cs="宋体"/>
          <w:b w:val="0"/>
          <w:bCs/>
          <w:sz w:val="24"/>
          <w:szCs w:val="24"/>
          <w:lang w:val="en-US" w:eastAsia="zh-CN"/>
        </w:rPr>
        <w:t>不锈钢</w:t>
      </w:r>
      <w:r>
        <w:rPr>
          <w:rFonts w:hint="eastAsia" w:ascii="宋体" w:hAnsi="宋体" w:eastAsia="宋体" w:cs="宋体"/>
          <w:b w:val="0"/>
          <w:bCs/>
          <w:sz w:val="24"/>
          <w:szCs w:val="24"/>
          <w:lang w:eastAsia="zh-CN"/>
        </w:rPr>
        <w:t>外壳：由乙方成套提供，低压侧引出母排及开孔尺寸及位置应主动与0.4kV低压开关柜厂协调、配合；</w:t>
      </w:r>
    </w:p>
    <w:p w14:paraId="4AED67A1">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变压器外壳防护等级：IP30；</w:t>
      </w:r>
    </w:p>
    <w:p w14:paraId="39076E7A">
      <w:pPr>
        <w:pageBreakBefore w:val="0"/>
        <w:widowControl w:val="0"/>
        <w:kinsoku/>
        <w:wordWrap/>
        <w:overflowPunct/>
        <w:topLinePunct w:val="0"/>
        <w:autoSpaceDE/>
        <w:autoSpaceDN/>
        <w:bidi w:val="0"/>
        <w:adjustRightInd w:val="0"/>
        <w:snapToGrid w:val="0"/>
        <w:spacing w:before="157" w:beforeLines="50" w:after="157" w:afterLines="50" w:line="360" w:lineRule="auto"/>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 xml:space="preserve">    </w:t>
      </w:r>
    </w:p>
    <w:p w14:paraId="04F57191">
      <w:pPr>
        <w:pStyle w:val="3"/>
        <w:pageBreakBefore w:val="0"/>
        <w:wordWrap/>
        <w:topLinePunct w:val="0"/>
        <w:autoSpaceDE/>
        <w:autoSpaceDN/>
        <w:bidi w:val="0"/>
        <w:spacing w:before="157" w:beforeLines="50" w:after="157" w:afterLines="50" w:line="360" w:lineRule="auto"/>
        <w:rPr>
          <w:rFonts w:hint="eastAsia" w:ascii="宋体" w:hAnsi="宋体" w:eastAsia="宋体" w:cs="宋体"/>
          <w:b w:val="0"/>
          <w:bCs/>
          <w:sz w:val="24"/>
          <w:szCs w:val="24"/>
          <w:lang w:eastAsia="zh-CN"/>
        </w:rPr>
      </w:pPr>
      <w:bookmarkStart w:id="477" w:name="_Toc11162"/>
      <w:bookmarkStart w:id="478" w:name="_Toc16935"/>
      <w:r>
        <w:rPr>
          <w:rFonts w:hint="eastAsia" w:ascii="宋体" w:hAnsi="宋体" w:eastAsia="宋体" w:cs="宋体"/>
          <w:b w:val="0"/>
          <w:bCs/>
          <w:sz w:val="24"/>
          <w:szCs w:val="24"/>
          <w:lang w:val="en-US" w:eastAsia="zh-CN"/>
        </w:rPr>
        <w:t>3.4.3</w:t>
      </w:r>
      <w:r>
        <w:rPr>
          <w:rFonts w:hint="eastAsia" w:ascii="宋体" w:hAnsi="宋体" w:eastAsia="宋体" w:cs="宋体"/>
          <w:b w:val="0"/>
          <w:bCs/>
          <w:sz w:val="24"/>
          <w:szCs w:val="24"/>
          <w:lang w:eastAsia="zh-CN"/>
        </w:rPr>
        <w:t>性能保证要求</w:t>
      </w:r>
      <w:bookmarkEnd w:id="477"/>
      <w:bookmarkEnd w:id="478"/>
    </w:p>
    <w:p w14:paraId="37962564">
      <w:pPr>
        <w:pStyle w:val="3"/>
        <w:pageBreakBefore w:val="0"/>
        <w:wordWrap/>
        <w:topLinePunct w:val="0"/>
        <w:autoSpaceDE/>
        <w:autoSpaceDN/>
        <w:bidi w:val="0"/>
        <w:spacing w:before="157" w:beforeLines="50" w:after="157" w:afterLines="50" w:line="360" w:lineRule="auto"/>
        <w:rPr>
          <w:rFonts w:hint="default" w:ascii="宋体" w:hAnsi="宋体" w:eastAsia="宋体" w:cs="宋体"/>
          <w:b w:val="0"/>
          <w:bCs/>
          <w:sz w:val="24"/>
          <w:szCs w:val="24"/>
          <w:lang w:val="en-US" w:eastAsia="zh-CN"/>
        </w:rPr>
      </w:pPr>
      <w:bookmarkStart w:id="479" w:name="_Toc11062"/>
      <w:bookmarkStart w:id="480" w:name="_Toc10235"/>
      <w:r>
        <w:rPr>
          <w:rFonts w:hint="eastAsia" w:ascii="宋体" w:hAnsi="宋体" w:eastAsia="宋体" w:cs="宋体"/>
          <w:b w:val="0"/>
          <w:bCs/>
          <w:sz w:val="24"/>
          <w:szCs w:val="24"/>
          <w:lang w:val="en-US" w:eastAsia="zh-CN"/>
        </w:rPr>
        <w:t>3.4.3.1</w:t>
      </w:r>
      <w:r>
        <w:rPr>
          <w:rFonts w:hint="eastAsia" w:ascii="宋体" w:hAnsi="宋体" w:eastAsia="宋体" w:cs="宋体"/>
          <w:b w:val="0"/>
          <w:bCs/>
          <w:sz w:val="24"/>
          <w:szCs w:val="24"/>
          <w:lang w:eastAsia="zh-CN"/>
        </w:rPr>
        <w:t>过载能力:</w:t>
      </w:r>
      <w:bookmarkEnd w:id="479"/>
      <w:bookmarkEnd w:id="480"/>
      <w:r>
        <w:rPr>
          <w:rFonts w:hint="eastAsia" w:ascii="宋体" w:hAnsi="宋体" w:eastAsia="宋体" w:cs="宋体"/>
          <w:b w:val="0"/>
          <w:bCs/>
          <w:sz w:val="24"/>
          <w:szCs w:val="24"/>
          <w:lang w:eastAsia="zh-CN"/>
        </w:rPr>
        <w:t xml:space="preserve">  </w:t>
      </w:r>
      <w:r>
        <w:rPr>
          <w:rFonts w:hint="eastAsia" w:ascii="宋体" w:hAnsi="宋体" w:eastAsia="宋体" w:cs="宋体"/>
          <w:b w:val="0"/>
          <w:bCs/>
          <w:sz w:val="24"/>
          <w:szCs w:val="24"/>
          <w:lang w:val="en-US" w:eastAsia="zh-CN"/>
        </w:rPr>
        <w:t xml:space="preserve"> </w:t>
      </w:r>
    </w:p>
    <w:p w14:paraId="54FED0D7">
      <w:pPr>
        <w:pStyle w:val="3"/>
        <w:pageBreakBefore w:val="0"/>
        <w:wordWrap/>
        <w:topLinePunct w:val="0"/>
        <w:autoSpaceDE/>
        <w:autoSpaceDN/>
        <w:bidi w:val="0"/>
        <w:spacing w:before="157" w:beforeLines="50" w:after="157" w:afterLines="50" w:line="360" w:lineRule="auto"/>
        <w:ind w:firstLine="240" w:firstLineChars="100"/>
        <w:rPr>
          <w:rFonts w:hint="eastAsia" w:ascii="宋体" w:hAnsi="宋体" w:eastAsia="宋体" w:cs="宋体"/>
          <w:b w:val="0"/>
          <w:bCs/>
          <w:sz w:val="24"/>
          <w:szCs w:val="24"/>
          <w:lang w:eastAsia="zh-CN"/>
        </w:rPr>
      </w:pPr>
      <w:bookmarkStart w:id="481" w:name="_Toc14003"/>
      <w:bookmarkStart w:id="482" w:name="_Toc15383"/>
      <w:r>
        <w:rPr>
          <w:rFonts w:hint="eastAsia" w:ascii="宋体" w:hAnsi="宋体" w:eastAsia="宋体" w:cs="宋体"/>
          <w:b w:val="0"/>
          <w:bCs/>
          <w:sz w:val="24"/>
          <w:szCs w:val="24"/>
          <w:lang w:eastAsia="zh-CN"/>
        </w:rPr>
        <w:t>变压器的过负荷能力符合IEC60905：《干式变压器负载导则》。乙方出厂时提供在不同环境温度及负载情况下，变压器的过负载能力及允许时间曲线，和环境温度为 40℃时，100%负载运行的温升试验报告。（提供同类型产品的型式试验报告）自然空气冷却（AN）时，在规定的运行条件下，安装在柜体内的变压器，能连续输出100%的额定容量；强迫空气冷却（AF）时，在同样条件下，变压器能输出1</w:t>
      </w: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lang w:eastAsia="zh-CN"/>
        </w:rPr>
        <w:t>0%以上的额定容量，并能保证长期运行。铭牌上分别标明AN/AF的输出容量。变压器允许短时间过载能力在自然空气冷却情况下应满足下表的要求（正常寿命期间，过载前已带满负荷）。</w:t>
      </w:r>
      <w:bookmarkEnd w:id="481"/>
      <w:bookmarkEnd w:id="482"/>
    </w:p>
    <w:tbl>
      <w:tblPr>
        <w:tblStyle w:val="17"/>
        <w:tblW w:w="0" w:type="auto"/>
        <w:tblInd w:w="337" w:type="dxa"/>
        <w:tblLayout w:type="fixed"/>
        <w:tblCellMar>
          <w:top w:w="0" w:type="dxa"/>
          <w:left w:w="0" w:type="dxa"/>
          <w:bottom w:w="0" w:type="dxa"/>
          <w:right w:w="0" w:type="dxa"/>
        </w:tblCellMar>
      </w:tblPr>
      <w:tblGrid>
        <w:gridCol w:w="2735"/>
        <w:gridCol w:w="1240"/>
        <w:gridCol w:w="1241"/>
        <w:gridCol w:w="1241"/>
        <w:gridCol w:w="1241"/>
        <w:gridCol w:w="841"/>
      </w:tblGrid>
      <w:tr w14:paraId="7B1DE508">
        <w:tblPrEx>
          <w:tblCellMar>
            <w:top w:w="0" w:type="dxa"/>
            <w:left w:w="0" w:type="dxa"/>
            <w:bottom w:w="0" w:type="dxa"/>
            <w:right w:w="0" w:type="dxa"/>
          </w:tblCellMar>
        </w:tblPrEx>
        <w:trPr>
          <w:trHeight w:val="440" w:hRule="atLeast"/>
        </w:trPr>
        <w:tc>
          <w:tcPr>
            <w:tcW w:w="2735" w:type="dxa"/>
            <w:tcBorders>
              <w:top w:val="single" w:color="000000" w:sz="12" w:space="0"/>
              <w:left w:val="single" w:color="000000" w:sz="12" w:space="0"/>
              <w:bottom w:val="single" w:color="000000" w:sz="12" w:space="0"/>
              <w:right w:val="single" w:color="000000" w:sz="6" w:space="0"/>
            </w:tcBorders>
            <w:noWrap w:val="0"/>
            <w:vAlign w:val="top"/>
          </w:tcPr>
          <w:p w14:paraId="05A285E7">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过电流(%)</w:t>
            </w:r>
          </w:p>
        </w:tc>
        <w:tc>
          <w:tcPr>
            <w:tcW w:w="1240" w:type="dxa"/>
            <w:tcBorders>
              <w:top w:val="single" w:color="000000" w:sz="12" w:space="0"/>
              <w:left w:val="single" w:color="000000" w:sz="6" w:space="0"/>
              <w:bottom w:val="single" w:color="000000" w:sz="12" w:space="0"/>
              <w:right w:val="single" w:color="000000" w:sz="6" w:space="0"/>
            </w:tcBorders>
            <w:noWrap w:val="0"/>
            <w:vAlign w:val="top"/>
          </w:tcPr>
          <w:p w14:paraId="584E1758">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20</w:t>
            </w:r>
          </w:p>
        </w:tc>
        <w:tc>
          <w:tcPr>
            <w:tcW w:w="1241" w:type="dxa"/>
            <w:tcBorders>
              <w:top w:val="single" w:color="000000" w:sz="12" w:space="0"/>
              <w:left w:val="single" w:color="000000" w:sz="6" w:space="0"/>
              <w:bottom w:val="single" w:color="000000" w:sz="12" w:space="0"/>
              <w:right w:val="single" w:color="000000" w:sz="6" w:space="0"/>
            </w:tcBorders>
            <w:noWrap w:val="0"/>
            <w:vAlign w:val="top"/>
          </w:tcPr>
          <w:p w14:paraId="687072C3">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30</w:t>
            </w:r>
          </w:p>
        </w:tc>
        <w:tc>
          <w:tcPr>
            <w:tcW w:w="1241" w:type="dxa"/>
            <w:tcBorders>
              <w:top w:val="single" w:color="000000" w:sz="12" w:space="0"/>
              <w:left w:val="single" w:color="000000" w:sz="6" w:space="0"/>
              <w:bottom w:val="single" w:color="000000" w:sz="12" w:space="0"/>
              <w:right w:val="single" w:color="000000" w:sz="6" w:space="0"/>
            </w:tcBorders>
            <w:noWrap w:val="0"/>
            <w:vAlign w:val="top"/>
          </w:tcPr>
          <w:p w14:paraId="7B1C8618">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40</w:t>
            </w:r>
          </w:p>
        </w:tc>
        <w:tc>
          <w:tcPr>
            <w:tcW w:w="1241" w:type="dxa"/>
            <w:tcBorders>
              <w:top w:val="single" w:color="000000" w:sz="12" w:space="0"/>
              <w:left w:val="single" w:color="000000" w:sz="6" w:space="0"/>
              <w:bottom w:val="single" w:color="000000" w:sz="12" w:space="0"/>
              <w:right w:val="single" w:color="000000" w:sz="6" w:space="0"/>
            </w:tcBorders>
            <w:noWrap w:val="0"/>
            <w:vAlign w:val="top"/>
          </w:tcPr>
          <w:p w14:paraId="008B2081">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50</w:t>
            </w:r>
          </w:p>
        </w:tc>
        <w:tc>
          <w:tcPr>
            <w:tcW w:w="841" w:type="dxa"/>
            <w:tcBorders>
              <w:top w:val="single" w:color="000000" w:sz="12" w:space="0"/>
              <w:left w:val="single" w:color="000000" w:sz="6" w:space="0"/>
              <w:bottom w:val="single" w:color="000000" w:sz="12" w:space="0"/>
              <w:right w:val="single" w:color="000000" w:sz="12" w:space="0"/>
            </w:tcBorders>
            <w:noWrap w:val="0"/>
            <w:vAlign w:val="top"/>
          </w:tcPr>
          <w:p w14:paraId="6159E86F">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60</w:t>
            </w:r>
          </w:p>
        </w:tc>
      </w:tr>
      <w:tr w14:paraId="0B3CF667">
        <w:tblPrEx>
          <w:tblCellMar>
            <w:top w:w="0" w:type="dxa"/>
            <w:left w:w="0" w:type="dxa"/>
            <w:bottom w:w="0" w:type="dxa"/>
            <w:right w:w="0" w:type="dxa"/>
          </w:tblCellMar>
        </w:tblPrEx>
        <w:trPr>
          <w:trHeight w:val="440" w:hRule="atLeast"/>
        </w:trPr>
        <w:tc>
          <w:tcPr>
            <w:tcW w:w="2735" w:type="dxa"/>
            <w:tcBorders>
              <w:top w:val="single" w:color="000000" w:sz="12" w:space="0"/>
              <w:left w:val="single" w:color="000000" w:sz="12" w:space="0"/>
              <w:bottom w:val="single" w:color="000000" w:sz="12" w:space="0"/>
              <w:right w:val="single" w:color="000000" w:sz="6" w:space="0"/>
            </w:tcBorders>
            <w:noWrap w:val="0"/>
            <w:vAlign w:val="top"/>
          </w:tcPr>
          <w:p w14:paraId="586897A7">
            <w:pPr>
              <w:pageBreakBefore w:val="0"/>
              <w:wordWrap/>
              <w:topLinePunct w:val="0"/>
              <w:autoSpaceDE/>
              <w:autoSpaceDN/>
              <w:bidi w:val="0"/>
              <w:spacing w:before="157" w:beforeLines="50" w:after="157" w:afterLines="50" w:line="360" w:lineRule="auto"/>
              <w:rPr>
                <w:rFonts w:hint="eastAsia" w:ascii="宋体" w:hAnsi="宋体" w:eastAsia="宋体" w:cs="宋体"/>
                <w:b w:val="0"/>
                <w:bCs/>
                <w:sz w:val="24"/>
                <w:szCs w:val="24"/>
              </w:rPr>
            </w:pPr>
            <w:r>
              <w:rPr>
                <w:rFonts w:hint="eastAsia" w:ascii="宋体" w:hAnsi="宋体" w:eastAsia="宋体" w:cs="宋体"/>
                <w:b w:val="0"/>
                <w:bCs/>
                <w:sz w:val="24"/>
                <w:szCs w:val="24"/>
              </w:rPr>
              <w:t>允许运行时间 (分钟)</w:t>
            </w:r>
          </w:p>
        </w:tc>
        <w:tc>
          <w:tcPr>
            <w:tcW w:w="1240" w:type="dxa"/>
            <w:tcBorders>
              <w:top w:val="single" w:color="000000" w:sz="12" w:space="0"/>
              <w:left w:val="single" w:color="000000" w:sz="6" w:space="0"/>
              <w:bottom w:val="single" w:color="000000" w:sz="12" w:space="0"/>
              <w:right w:val="single" w:color="000000" w:sz="6" w:space="0"/>
            </w:tcBorders>
            <w:noWrap w:val="0"/>
            <w:vAlign w:val="top"/>
          </w:tcPr>
          <w:p w14:paraId="4FB5DF59">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60</w:t>
            </w:r>
          </w:p>
        </w:tc>
        <w:tc>
          <w:tcPr>
            <w:tcW w:w="1241" w:type="dxa"/>
            <w:tcBorders>
              <w:top w:val="single" w:color="000000" w:sz="12" w:space="0"/>
              <w:left w:val="single" w:color="000000" w:sz="6" w:space="0"/>
              <w:bottom w:val="single" w:color="000000" w:sz="12" w:space="0"/>
              <w:right w:val="single" w:color="000000" w:sz="6" w:space="0"/>
            </w:tcBorders>
            <w:noWrap w:val="0"/>
            <w:vAlign w:val="top"/>
          </w:tcPr>
          <w:p w14:paraId="62A7D31E">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40</w:t>
            </w:r>
          </w:p>
        </w:tc>
        <w:tc>
          <w:tcPr>
            <w:tcW w:w="1241" w:type="dxa"/>
            <w:tcBorders>
              <w:top w:val="single" w:color="000000" w:sz="12" w:space="0"/>
              <w:left w:val="single" w:color="000000" w:sz="6" w:space="0"/>
              <w:bottom w:val="single" w:color="000000" w:sz="12" w:space="0"/>
              <w:right w:val="single" w:color="000000" w:sz="6" w:space="0"/>
            </w:tcBorders>
            <w:noWrap w:val="0"/>
            <w:vAlign w:val="top"/>
          </w:tcPr>
          <w:p w14:paraId="59E457C3">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32</w:t>
            </w:r>
          </w:p>
        </w:tc>
        <w:tc>
          <w:tcPr>
            <w:tcW w:w="1241" w:type="dxa"/>
            <w:tcBorders>
              <w:top w:val="single" w:color="000000" w:sz="12" w:space="0"/>
              <w:left w:val="single" w:color="000000" w:sz="6" w:space="0"/>
              <w:bottom w:val="single" w:color="000000" w:sz="12" w:space="0"/>
              <w:right w:val="single" w:color="000000" w:sz="6" w:space="0"/>
            </w:tcBorders>
            <w:noWrap w:val="0"/>
            <w:vAlign w:val="top"/>
          </w:tcPr>
          <w:p w14:paraId="7AB83361">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18</w:t>
            </w:r>
          </w:p>
        </w:tc>
        <w:tc>
          <w:tcPr>
            <w:tcW w:w="841" w:type="dxa"/>
            <w:tcBorders>
              <w:top w:val="single" w:color="000000" w:sz="12" w:space="0"/>
              <w:left w:val="single" w:color="000000" w:sz="6" w:space="0"/>
              <w:bottom w:val="single" w:color="000000" w:sz="12" w:space="0"/>
              <w:right w:val="single" w:color="000000" w:sz="12" w:space="0"/>
            </w:tcBorders>
            <w:noWrap w:val="0"/>
            <w:vAlign w:val="top"/>
          </w:tcPr>
          <w:p w14:paraId="70ADDA88">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5</w:t>
            </w:r>
          </w:p>
        </w:tc>
      </w:tr>
    </w:tbl>
    <w:p w14:paraId="59358BB8">
      <w:pPr>
        <w:keepNext w:val="0"/>
        <w:keepLines w:val="0"/>
        <w:pageBreakBefore w:val="0"/>
        <w:widowControl w:val="0"/>
        <w:tabs>
          <w:tab w:val="left" w:pos="737"/>
        </w:tabs>
        <w:kinsoku/>
        <w:wordWrap/>
        <w:overflowPunct/>
        <w:topLinePunct w:val="0"/>
        <w:autoSpaceDE/>
        <w:autoSpaceDN/>
        <w:bidi w:val="0"/>
        <w:spacing w:before="157" w:beforeLines="50" w:after="157" w:afterLines="50" w:line="360" w:lineRule="auto"/>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3.4.3.2</w:t>
      </w:r>
      <w:r>
        <w:rPr>
          <w:rFonts w:hint="eastAsia" w:ascii="宋体" w:hAnsi="宋体" w:eastAsia="宋体" w:cs="宋体"/>
          <w:b w:val="0"/>
          <w:bCs/>
          <w:sz w:val="24"/>
          <w:szCs w:val="24"/>
          <w:lang w:eastAsia="zh-CN"/>
        </w:rPr>
        <w:t>承受短路的能力</w:t>
      </w:r>
    </w:p>
    <w:p w14:paraId="4010CAF1">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firstLine="480" w:firstLineChars="200"/>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乙方保证变压器高、低压绕组及其辅助设备如支持绝缘子，无载切换电压连接片等在变压器高压侧系统阻抗为零（电源为无穷大），电源电压为1</w:t>
      </w:r>
      <w:r>
        <w:rPr>
          <w:rFonts w:hint="eastAsia" w:ascii="宋体" w:hAnsi="宋体" w:eastAsia="宋体" w:cs="宋体"/>
          <w:b w:val="0"/>
          <w:bCs/>
          <w:sz w:val="24"/>
          <w:szCs w:val="24"/>
        </w:rPr>
        <w:sym w:font="Symbol" w:char="F02E"/>
      </w:r>
      <w:r>
        <w:rPr>
          <w:rFonts w:hint="eastAsia" w:ascii="宋体" w:hAnsi="宋体" w:eastAsia="宋体" w:cs="宋体"/>
          <w:b w:val="0"/>
          <w:bCs/>
          <w:sz w:val="24"/>
          <w:szCs w:val="24"/>
          <w:lang w:eastAsia="zh-CN"/>
        </w:rPr>
        <w:t>05Ue，变压器处于任何分接头位置情况下，变压器低压侧出口发生三相属性短路时, 短路热稳定等效时间为4秒，在此情况下，变压器绕组不应产生有害的机械变形和电气损伤，设备和部件不应发生损坏。乙方提供相同容量或近似容量产品承受短路能力的试验报告。</w:t>
      </w:r>
    </w:p>
    <w:p w14:paraId="41E3F3E0">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3.4.3.3</w:t>
      </w:r>
      <w:r>
        <w:rPr>
          <w:rFonts w:hint="eastAsia" w:ascii="宋体" w:hAnsi="宋体" w:eastAsia="宋体" w:cs="宋体"/>
          <w:b w:val="0"/>
          <w:bCs/>
          <w:sz w:val="24"/>
          <w:szCs w:val="24"/>
          <w:lang w:eastAsia="zh-CN"/>
        </w:rPr>
        <w:t>变压器空载损耗和负载损耗</w:t>
      </w:r>
    </w:p>
    <w:p w14:paraId="0964FF90">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空载、负载损耗均不高于新国标标准要求，变压器使用年限不小于30年。</w:t>
      </w:r>
    </w:p>
    <w:p w14:paraId="091A00A8">
      <w:pPr>
        <w:pageBreakBefore w:val="0"/>
        <w:wordWrap/>
        <w:topLinePunct w:val="0"/>
        <w:autoSpaceDE/>
        <w:autoSpaceDN/>
        <w:bidi w:val="0"/>
        <w:spacing w:before="157" w:beforeLines="50" w:after="157" w:afterLines="50" w:line="360" w:lineRule="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3.4.3.4</w:t>
      </w:r>
      <w:r>
        <w:rPr>
          <w:rFonts w:hint="eastAsia" w:ascii="宋体" w:hAnsi="宋体" w:eastAsia="宋体" w:cs="宋体"/>
          <w:b w:val="0"/>
          <w:bCs/>
          <w:sz w:val="24"/>
          <w:szCs w:val="24"/>
          <w:lang w:eastAsia="zh-CN"/>
        </w:rPr>
        <w:t>噪音水平</w:t>
      </w:r>
    </w:p>
    <w:p w14:paraId="7116F81D">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按照GB/T7328《变压器和电抗器的声级测定》，ZBK4141005《6-220kV级变压器声级》的测量方法和规定，当变压器在额定负载时，在距离变压器本体（不带外壳）1m处测量，变压器声压级噪声水平不大于55dB。</w:t>
      </w:r>
    </w:p>
    <w:p w14:paraId="777C4414">
      <w:pPr>
        <w:keepNext w:val="0"/>
        <w:keepLines w:val="0"/>
        <w:pageBreakBefore w:val="0"/>
        <w:widowControl w:val="0"/>
        <w:tabs>
          <w:tab w:val="left" w:pos="737"/>
        </w:tabs>
        <w:kinsoku/>
        <w:wordWrap/>
        <w:overflowPunct/>
        <w:topLinePunct w:val="0"/>
        <w:autoSpaceDE/>
        <w:autoSpaceDN/>
        <w:bidi w:val="0"/>
        <w:spacing w:before="157" w:beforeLines="50" w:after="157" w:afterLines="50" w:line="360" w:lineRule="auto"/>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3.4.3.5</w:t>
      </w:r>
      <w:r>
        <w:rPr>
          <w:rFonts w:hint="eastAsia" w:ascii="宋体" w:hAnsi="宋体" w:eastAsia="宋体" w:cs="宋体"/>
          <w:b w:val="0"/>
          <w:bCs/>
          <w:sz w:val="24"/>
          <w:szCs w:val="24"/>
          <w:lang w:eastAsia="zh-CN"/>
        </w:rPr>
        <w:t>过激磁能力</w:t>
      </w:r>
    </w:p>
    <w:p w14:paraId="40B83286">
      <w:pPr>
        <w:keepNext w:val="0"/>
        <w:keepLines w:val="0"/>
        <w:pageBreakBefore w:val="0"/>
        <w:widowControl w:val="0"/>
        <w:tabs>
          <w:tab w:val="left" w:pos="737"/>
        </w:tabs>
        <w:kinsoku/>
        <w:wordWrap/>
        <w:overflowPunct/>
        <w:topLinePunct w:val="0"/>
        <w:autoSpaceDE/>
        <w:autoSpaceDN/>
        <w:bidi w:val="0"/>
        <w:spacing w:before="157" w:beforeLines="50" w:after="157" w:afterLines="50" w:line="360" w:lineRule="auto"/>
        <w:ind w:firstLine="480" w:firstLineChars="200"/>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变压器应能在110%额定电压时空载下长期连续运行。105%额定电压时，可在额定电流下长期连续运行。</w:t>
      </w:r>
    </w:p>
    <w:p w14:paraId="6D30FB72">
      <w:pPr>
        <w:keepNext w:val="0"/>
        <w:keepLines w:val="0"/>
        <w:pageBreakBefore w:val="0"/>
        <w:widowControl w:val="0"/>
        <w:tabs>
          <w:tab w:val="left" w:pos="737"/>
        </w:tabs>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3.4.3.6</w:t>
      </w:r>
      <w:r>
        <w:rPr>
          <w:rFonts w:hint="eastAsia" w:ascii="宋体" w:hAnsi="宋体" w:eastAsia="宋体" w:cs="宋体"/>
          <w:b w:val="0"/>
          <w:bCs/>
          <w:sz w:val="24"/>
          <w:szCs w:val="24"/>
          <w:lang w:eastAsia="zh-CN"/>
        </w:rPr>
        <w:t>局部放电</w:t>
      </w:r>
    </w:p>
    <w:p w14:paraId="6E755773">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eastAsia="zh-CN"/>
        </w:rPr>
        <w:t>变压器局部放电量不大于</w:t>
      </w:r>
      <w:r>
        <w:rPr>
          <w:rFonts w:hint="eastAsia" w:ascii="宋体" w:hAnsi="宋体" w:eastAsia="宋体" w:cs="宋体"/>
          <w:b w:val="0"/>
          <w:bCs/>
          <w:sz w:val="24"/>
          <w:szCs w:val="24"/>
          <w:lang w:val="en-US" w:eastAsia="zh-CN"/>
        </w:rPr>
        <w:t>10</w:t>
      </w:r>
      <w:r>
        <w:rPr>
          <w:rFonts w:hint="eastAsia" w:ascii="宋体" w:hAnsi="宋体" w:eastAsia="宋体" w:cs="宋体"/>
          <w:b w:val="0"/>
          <w:bCs/>
          <w:sz w:val="24"/>
          <w:szCs w:val="24"/>
          <w:lang w:eastAsia="zh-CN"/>
        </w:rPr>
        <w:t>pC（按IEC726规定的方法测量）。</w:t>
      </w:r>
    </w:p>
    <w:p w14:paraId="151FFCA3">
      <w:pPr>
        <w:pageBreakBefore w:val="0"/>
        <w:wordWrap/>
        <w:topLinePunct w:val="0"/>
        <w:autoSpaceDE/>
        <w:autoSpaceDN/>
        <w:bidi w:val="0"/>
        <w:spacing w:before="157" w:beforeLines="50" w:after="157" w:afterLines="50" w:line="360" w:lineRule="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3.4.3.7</w:t>
      </w:r>
      <w:r>
        <w:rPr>
          <w:rFonts w:hint="eastAsia" w:ascii="宋体" w:hAnsi="宋体" w:eastAsia="宋体" w:cs="宋体"/>
          <w:b w:val="0"/>
          <w:bCs/>
          <w:sz w:val="24"/>
          <w:szCs w:val="24"/>
        </w:rPr>
        <w:t>变压器接地</w:t>
      </w:r>
    </w:p>
    <w:p w14:paraId="424DF1A9">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变压器铁芯和金属件均应可靠接地（铁扼穿芯螺杆除外），接地装置应有防锈镀层，并有明显的接地标志，铁芯和金属件应有防锈保护层。</w:t>
      </w:r>
    </w:p>
    <w:p w14:paraId="7FEA6C8B">
      <w:pPr>
        <w:keepNext w:val="0"/>
        <w:keepLines w:val="0"/>
        <w:pageBreakBefore w:val="0"/>
        <w:widowControl w:val="0"/>
        <w:tabs>
          <w:tab w:val="left" w:pos="737"/>
        </w:tabs>
        <w:kinsoku/>
        <w:wordWrap/>
        <w:overflowPunct/>
        <w:topLinePunct w:val="0"/>
        <w:autoSpaceDE/>
        <w:autoSpaceDN/>
        <w:bidi w:val="0"/>
        <w:spacing w:before="157" w:beforeLines="50" w:after="157" w:afterLines="50" w:line="360" w:lineRule="auto"/>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 xml:space="preserve"> </w:t>
      </w:r>
      <w:r>
        <w:rPr>
          <w:rFonts w:hint="eastAsia" w:ascii="宋体" w:hAnsi="宋体" w:eastAsia="宋体" w:cs="宋体"/>
          <w:b w:val="0"/>
          <w:bCs/>
          <w:sz w:val="24"/>
          <w:szCs w:val="24"/>
          <w:lang w:val="en-US" w:eastAsia="zh-CN"/>
        </w:rPr>
        <w:t>3.4.4</w:t>
      </w:r>
      <w:r>
        <w:rPr>
          <w:rFonts w:hint="eastAsia" w:ascii="宋体" w:hAnsi="宋体" w:eastAsia="宋体" w:cs="宋体"/>
          <w:b w:val="0"/>
          <w:bCs/>
          <w:sz w:val="24"/>
          <w:szCs w:val="24"/>
          <w:lang w:eastAsia="zh-CN"/>
        </w:rPr>
        <w:t>变压器结构要求</w:t>
      </w:r>
    </w:p>
    <w:p w14:paraId="0BD4B143">
      <w:pPr>
        <w:keepNext w:val="0"/>
        <w:keepLines w:val="0"/>
        <w:pageBreakBefore w:val="0"/>
        <w:widowControl w:val="0"/>
        <w:tabs>
          <w:tab w:val="left" w:pos="737"/>
        </w:tabs>
        <w:kinsoku/>
        <w:wordWrap/>
        <w:overflowPunct/>
        <w:topLinePunct w:val="0"/>
        <w:autoSpaceDE/>
        <w:autoSpaceDN/>
        <w:bidi w:val="0"/>
        <w:spacing w:before="157" w:beforeLines="50" w:after="157" w:afterLines="50" w:line="360" w:lineRule="auto"/>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3.4.4.1</w:t>
      </w:r>
      <w:r>
        <w:rPr>
          <w:rFonts w:hint="eastAsia" w:ascii="宋体" w:hAnsi="宋体" w:eastAsia="宋体" w:cs="宋体"/>
          <w:b w:val="0"/>
          <w:bCs/>
          <w:sz w:val="24"/>
          <w:szCs w:val="24"/>
          <w:lang w:eastAsia="zh-CN"/>
        </w:rPr>
        <w:t>绕组</w:t>
      </w:r>
    </w:p>
    <w:p w14:paraId="15F621D2">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变压器绕组采用高导电率（99.9999%）的无氧铜导体，</w:t>
      </w:r>
      <w:r>
        <w:rPr>
          <w:rFonts w:hint="eastAsia" w:ascii="宋体" w:hAnsi="宋体" w:eastAsia="宋体" w:cs="宋体"/>
          <w:b w:val="0"/>
          <w:bCs/>
          <w:color w:val="auto"/>
          <w:sz w:val="24"/>
          <w:szCs w:val="24"/>
          <w:lang w:eastAsia="zh-CN"/>
        </w:rPr>
        <w:t>高压线圈铜线采用多层圆筒式绕制结构，低压线圈采用铜箔绕制结构，保</w:t>
      </w:r>
      <w:r>
        <w:rPr>
          <w:rFonts w:hint="eastAsia" w:ascii="宋体" w:hAnsi="宋体" w:eastAsia="宋体" w:cs="宋体"/>
          <w:b w:val="0"/>
          <w:bCs/>
          <w:sz w:val="24"/>
          <w:szCs w:val="24"/>
          <w:lang w:eastAsia="zh-CN"/>
        </w:rPr>
        <w:t>证线圈的动、热稳定性和散热效果，提高变压器的可靠性。能效要求执行国标《GB20052-2020电力变压器能效限定值及能效等级》中干变</w:t>
      </w:r>
      <w:r>
        <w:rPr>
          <w:rFonts w:hint="eastAsia" w:ascii="宋体" w:hAnsi="宋体" w:eastAsia="宋体" w:cs="宋体"/>
          <w:b w:val="0"/>
          <w:bCs/>
          <w:sz w:val="24"/>
          <w:szCs w:val="24"/>
          <w:lang w:val="en-US" w:eastAsia="zh-CN"/>
        </w:rPr>
        <w:t>二级</w:t>
      </w:r>
      <w:r>
        <w:rPr>
          <w:rFonts w:hint="eastAsia" w:ascii="宋体" w:hAnsi="宋体" w:eastAsia="宋体" w:cs="宋体"/>
          <w:b w:val="0"/>
          <w:bCs/>
          <w:sz w:val="24"/>
          <w:szCs w:val="24"/>
          <w:lang w:eastAsia="zh-CN"/>
        </w:rPr>
        <w:t>能效要求参数。</w:t>
      </w:r>
    </w:p>
    <w:p w14:paraId="658E67B8">
      <w:pPr>
        <w:keepNext w:val="0"/>
        <w:keepLines w:val="0"/>
        <w:pageBreakBefore w:val="0"/>
        <w:widowControl w:val="0"/>
        <w:tabs>
          <w:tab w:val="left" w:pos="737"/>
        </w:tabs>
        <w:kinsoku/>
        <w:wordWrap/>
        <w:overflowPunct/>
        <w:topLinePunct w:val="0"/>
        <w:autoSpaceDE/>
        <w:autoSpaceDN/>
        <w:bidi w:val="0"/>
        <w:spacing w:before="157" w:beforeLines="50" w:after="157" w:afterLines="50" w:line="360" w:lineRule="auto"/>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3.4.4.2</w:t>
      </w:r>
      <w:r>
        <w:rPr>
          <w:rFonts w:hint="eastAsia" w:ascii="宋体" w:hAnsi="宋体" w:eastAsia="宋体" w:cs="宋体"/>
          <w:b w:val="0"/>
          <w:bCs/>
          <w:sz w:val="24"/>
          <w:szCs w:val="24"/>
          <w:lang w:eastAsia="zh-CN"/>
        </w:rPr>
        <w:t>铁芯</w:t>
      </w:r>
    </w:p>
    <w:p w14:paraId="4B00881C">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铁芯应为双面绝缘晶粒取向优质冷轧低损耗硅钢片（钢材采用武钢或宝钢、新日铁）。</w:t>
      </w:r>
    </w:p>
    <w:p w14:paraId="5F0D8981">
      <w:pPr>
        <w:pageBreakBefore w:val="0"/>
        <w:wordWrap/>
        <w:topLinePunct w:val="0"/>
        <w:autoSpaceDE/>
        <w:autoSpaceDN/>
        <w:bidi w:val="0"/>
        <w:spacing w:before="157" w:beforeLines="50" w:after="157" w:afterLines="50" w:line="360" w:lineRule="auto"/>
        <w:outlineLvl w:val="1"/>
        <w:rPr>
          <w:rFonts w:hint="eastAsia" w:ascii="宋体" w:hAnsi="宋体" w:eastAsia="宋体" w:cs="宋体"/>
          <w:b w:val="0"/>
          <w:bCs/>
          <w:sz w:val="24"/>
          <w:szCs w:val="24"/>
          <w:lang w:eastAsia="zh-CN"/>
        </w:rPr>
      </w:pPr>
      <w:bookmarkStart w:id="483" w:name="_Toc30907"/>
      <w:bookmarkStart w:id="484" w:name="_Toc12597"/>
      <w:r>
        <w:rPr>
          <w:rFonts w:hint="eastAsia" w:ascii="宋体" w:hAnsi="宋体" w:eastAsia="宋体" w:cs="宋体"/>
          <w:b w:val="0"/>
          <w:bCs/>
          <w:sz w:val="24"/>
          <w:szCs w:val="24"/>
          <w:lang w:val="en-US" w:eastAsia="zh-CN"/>
        </w:rPr>
        <w:t>3.4.4.3</w:t>
      </w:r>
      <w:r>
        <w:rPr>
          <w:rFonts w:hint="eastAsia" w:ascii="宋体" w:hAnsi="宋体" w:eastAsia="宋体" w:cs="宋体"/>
          <w:b w:val="0"/>
          <w:bCs/>
          <w:sz w:val="24"/>
          <w:szCs w:val="24"/>
          <w:lang w:eastAsia="zh-CN"/>
        </w:rPr>
        <w:t xml:space="preserve"> 绝缘</w:t>
      </w:r>
      <w:bookmarkEnd w:id="483"/>
      <w:bookmarkEnd w:id="484"/>
    </w:p>
    <w:p w14:paraId="323CCAEF">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绝缘应满足标准规范中对变压器绝缘水平、绝缘试验和外绝缘空气间隙的要求,绝缘材料的选用应使变压器具有免维护、防潮、抗湿热、阻燃和自熄特性。</w:t>
      </w:r>
    </w:p>
    <w:p w14:paraId="3C8F899E">
      <w:pPr>
        <w:pageBreakBefore w:val="0"/>
        <w:wordWrap/>
        <w:topLinePunct w:val="0"/>
        <w:autoSpaceDE/>
        <w:autoSpaceDN/>
        <w:bidi w:val="0"/>
        <w:spacing w:before="157" w:beforeLines="50" w:after="157" w:afterLines="50" w:line="360" w:lineRule="auto"/>
        <w:outlineLvl w:val="1"/>
        <w:rPr>
          <w:rFonts w:hint="eastAsia" w:ascii="宋体" w:hAnsi="宋体" w:eastAsia="宋体" w:cs="宋体"/>
          <w:b w:val="0"/>
          <w:bCs/>
          <w:sz w:val="24"/>
          <w:szCs w:val="24"/>
          <w:lang w:eastAsia="zh-CN"/>
        </w:rPr>
      </w:pPr>
      <w:bookmarkStart w:id="485" w:name="_Toc22513"/>
      <w:bookmarkStart w:id="486" w:name="_Toc23000"/>
      <w:r>
        <w:rPr>
          <w:rFonts w:hint="eastAsia" w:ascii="宋体" w:hAnsi="宋体" w:eastAsia="宋体" w:cs="宋体"/>
          <w:b w:val="0"/>
          <w:bCs/>
          <w:sz w:val="24"/>
          <w:szCs w:val="24"/>
          <w:lang w:val="en-US" w:eastAsia="zh-CN"/>
        </w:rPr>
        <w:t>3.4.4.4</w:t>
      </w:r>
      <w:r>
        <w:rPr>
          <w:rFonts w:hint="eastAsia" w:ascii="宋体" w:hAnsi="宋体" w:eastAsia="宋体" w:cs="宋体"/>
          <w:b w:val="0"/>
          <w:bCs/>
          <w:sz w:val="24"/>
          <w:szCs w:val="24"/>
          <w:lang w:eastAsia="zh-CN"/>
        </w:rPr>
        <w:t>接线组别</w:t>
      </w:r>
      <w:bookmarkEnd w:id="485"/>
      <w:bookmarkEnd w:id="486"/>
    </w:p>
    <w:p w14:paraId="7244A540">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变压器一次侧电压为10±2x2.5%kV，变压器其绕组接线组别为Dyn11。分接头应在高压绕组上，表面安装并在不带电时操作,分接头位置应明确的标记,低压侧中性点直接接地系统。</w:t>
      </w:r>
    </w:p>
    <w:p w14:paraId="19B7DFAD">
      <w:pPr>
        <w:pStyle w:val="6"/>
        <w:pageBreakBefore w:val="0"/>
        <w:wordWrap/>
        <w:topLinePunct w:val="0"/>
        <w:autoSpaceDE/>
        <w:autoSpaceDN/>
        <w:bidi w:val="0"/>
        <w:spacing w:before="157" w:beforeLines="50" w:after="157" w:afterLines="50" w:line="360" w:lineRule="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3.4.4.5结构</w:t>
      </w:r>
    </w:p>
    <w:p w14:paraId="57B519AC">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 xml:space="preserve"> </w:t>
      </w:r>
      <w:r>
        <w:rPr>
          <w:rFonts w:hint="eastAsia" w:ascii="宋体" w:hAnsi="宋体" w:eastAsia="宋体" w:cs="宋体"/>
          <w:b w:val="0"/>
          <w:bCs/>
          <w:sz w:val="24"/>
          <w:szCs w:val="24"/>
          <w:lang w:eastAsia="zh-CN"/>
        </w:rPr>
        <w:t>要求低压侧面向柜前操作通道，高压侧面向背后检修通道。变压器高压侧为电缆进线，低压侧为硬母线出线。低压绕组端子连接低压动力中心的主母线，乙方需提供变压器与开关柜母线连接附件。低压绕组中性点端子通过铜排连接到外壳的接地铜母线。</w:t>
      </w:r>
      <w:r>
        <w:rPr>
          <w:rFonts w:hint="eastAsia" w:ascii="宋体" w:hAnsi="宋体" w:eastAsia="宋体" w:cs="宋体"/>
          <w:b w:val="0"/>
          <w:bCs/>
          <w:sz w:val="24"/>
          <w:szCs w:val="24"/>
        </w:rPr>
        <w:t>要求变压器高压侧外壳中柱上提供固定高压电缆的抱箍。</w:t>
      </w:r>
      <w:r>
        <w:rPr>
          <w:rFonts w:hint="eastAsia" w:ascii="宋体" w:hAnsi="宋体" w:eastAsia="宋体" w:cs="宋体"/>
          <w:b w:val="0"/>
          <w:bCs/>
          <w:sz w:val="24"/>
          <w:szCs w:val="24"/>
          <w:lang w:eastAsia="zh-CN"/>
        </w:rPr>
        <w:t>变压器底座应有起重设施，应提供能承受整个变压器重量的吊耳，吊耳的安装位置应在不用拆卸变压器外壳的情况下吊起变压器。</w:t>
      </w:r>
    </w:p>
    <w:p w14:paraId="45FA089C">
      <w:pPr>
        <w:keepNext w:val="0"/>
        <w:keepLines w:val="0"/>
        <w:pageBreakBefore w:val="0"/>
        <w:widowControl w:val="0"/>
        <w:tabs>
          <w:tab w:val="left" w:pos="737"/>
        </w:tabs>
        <w:kinsoku/>
        <w:wordWrap/>
        <w:overflowPunct/>
        <w:topLinePunct w:val="0"/>
        <w:autoSpaceDE/>
        <w:autoSpaceDN/>
        <w:bidi w:val="0"/>
        <w:spacing w:before="157" w:beforeLines="50" w:after="157" w:afterLines="50" w:line="360" w:lineRule="auto"/>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3.4.4.6</w:t>
      </w:r>
      <w:r>
        <w:rPr>
          <w:rFonts w:hint="eastAsia" w:ascii="宋体" w:hAnsi="宋体" w:eastAsia="宋体" w:cs="宋体"/>
          <w:b w:val="0"/>
          <w:bCs/>
          <w:sz w:val="24"/>
          <w:szCs w:val="24"/>
          <w:lang w:eastAsia="zh-CN"/>
        </w:rPr>
        <w:t>变压器外壳</w:t>
      </w:r>
    </w:p>
    <w:p w14:paraId="0C09FF86">
      <w:pPr>
        <w:pageBreakBefore w:val="0"/>
        <w:wordWrap/>
        <w:topLinePunct w:val="0"/>
        <w:autoSpaceDE/>
        <w:autoSpaceDN/>
        <w:bidi w:val="0"/>
        <w:spacing w:before="157" w:beforeLines="50" w:after="157" w:afterLines="50" w:line="360" w:lineRule="auto"/>
        <w:ind w:firstLine="480" w:firstLineChars="200"/>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由乙方成套提供，低压侧引出母排及开孔尺寸及位置应主动与0.4kV低压开关柜厂协调、配合；变压器外壳应是自承式刚性结构，外壳钢板的厚度应满足国标和IEC的有关标准。外壳的前后均设置铰链门，需要时打开门即可拉出变压器。柜体正面及背面应留有双扇门，用以检修时充分接近柜内设备。</w:t>
      </w:r>
      <w:r>
        <w:rPr>
          <w:rFonts w:hint="eastAsia" w:ascii="宋体" w:hAnsi="宋体" w:eastAsia="宋体" w:cs="宋体"/>
          <w:b w:val="0"/>
          <w:bCs/>
          <w:sz w:val="24"/>
          <w:szCs w:val="24"/>
        </w:rPr>
        <w:t>要求变压器前后柜门加装电磁锁，带电时不允许开门。变压器门开启联锁信号。变压器门关闭后，开关柜才具备合闸条件；变压器门打开时，联锁开关柜跳闸。</w:t>
      </w:r>
      <w:r>
        <w:rPr>
          <w:rFonts w:hint="eastAsia" w:ascii="宋体" w:hAnsi="宋体" w:eastAsia="宋体" w:cs="宋体"/>
          <w:b w:val="0"/>
          <w:bCs/>
          <w:sz w:val="24"/>
          <w:szCs w:val="24"/>
          <w:lang w:val="en-US" w:eastAsia="zh-CN"/>
        </w:rPr>
        <w:t>变压器外壳尺寸参照变压器厂家图纸（轨距1070mm)。</w:t>
      </w:r>
    </w:p>
    <w:p w14:paraId="5F7494F1">
      <w:pPr>
        <w:keepNext w:val="0"/>
        <w:keepLines w:val="0"/>
        <w:pageBreakBefore w:val="0"/>
        <w:widowControl w:val="0"/>
        <w:numPr>
          <w:ilvl w:val="0"/>
          <w:numId w:val="0"/>
        </w:numPr>
        <w:tabs>
          <w:tab w:val="left" w:pos="737"/>
        </w:tabs>
        <w:kinsoku/>
        <w:wordWrap/>
        <w:overflowPunct/>
        <w:topLinePunct w:val="0"/>
        <w:autoSpaceDE/>
        <w:autoSpaceDN/>
        <w:bidi w:val="0"/>
        <w:spacing w:before="157" w:beforeLines="50" w:after="157" w:afterLines="50" w:line="360" w:lineRule="auto"/>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3.4.4.7</w:t>
      </w:r>
      <w:r>
        <w:rPr>
          <w:rFonts w:hint="eastAsia" w:ascii="宋体" w:hAnsi="宋体" w:eastAsia="宋体" w:cs="宋体"/>
          <w:b w:val="0"/>
          <w:bCs/>
          <w:sz w:val="24"/>
          <w:szCs w:val="24"/>
          <w:lang w:eastAsia="zh-CN"/>
        </w:rPr>
        <w:t>变压器外壳内的适当位置布置接地铜母线，并与相邻的低压动力中心接地母线连接。</w:t>
      </w:r>
    </w:p>
    <w:p w14:paraId="5E088C02">
      <w:pPr>
        <w:keepNext w:val="0"/>
        <w:keepLines w:val="0"/>
        <w:pageBreakBefore w:val="0"/>
        <w:widowControl w:val="0"/>
        <w:tabs>
          <w:tab w:val="left" w:pos="737"/>
        </w:tabs>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3.4.4.8</w:t>
      </w:r>
      <w:r>
        <w:rPr>
          <w:rFonts w:hint="eastAsia" w:ascii="宋体" w:hAnsi="宋体" w:eastAsia="宋体" w:cs="宋体"/>
          <w:b w:val="0"/>
          <w:bCs/>
          <w:sz w:val="24"/>
          <w:szCs w:val="24"/>
          <w:lang w:eastAsia="zh-CN"/>
        </w:rPr>
        <w:t>铭牌</w:t>
      </w:r>
    </w:p>
    <w:p w14:paraId="50E86BE1">
      <w:pPr>
        <w:keepNext w:val="0"/>
        <w:keepLines w:val="0"/>
        <w:pageBreakBefore w:val="0"/>
        <w:widowControl w:val="0"/>
        <w:tabs>
          <w:tab w:val="left" w:pos="737"/>
        </w:tabs>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每台变压器均应备有一个铭牌，其安装在显而易见的位置，并由不锈钢材料制作，字样、符号应清晰耐久，铭牌应符合IEC56和国家标准的有关规范。</w:t>
      </w:r>
    </w:p>
    <w:p w14:paraId="7EF23F2F">
      <w:pPr>
        <w:keepNext w:val="0"/>
        <w:keepLines w:val="0"/>
        <w:pageBreakBefore w:val="0"/>
        <w:widowControl w:val="0"/>
        <w:tabs>
          <w:tab w:val="left" w:pos="737"/>
        </w:tabs>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铭牌要提供有关设备的全部必要资料，但至少必须包括(不限于)下列：变压器名称、额定频率、变压器无风机冷却时的额定容量、有风机冷却时的最大额定容量、制造厂名称；标准代号、各绕组额定电压、各绕组额定电流；联结组标号、绕组联结示意图；出厂序号、额定电流的阻抗电压（实测值）；出厂日期；相数、重量、冷却方式。</w:t>
      </w:r>
    </w:p>
    <w:p w14:paraId="16F677F9">
      <w:pPr>
        <w:pStyle w:val="6"/>
        <w:pageBreakBefore w:val="0"/>
        <w:wordWrap/>
        <w:topLinePunct w:val="0"/>
        <w:autoSpaceDE/>
        <w:autoSpaceDN/>
        <w:bidi w:val="0"/>
        <w:spacing w:before="157" w:beforeLines="50" w:after="157" w:afterLines="50" w:line="360" w:lineRule="auto"/>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3.4.4.9 冷却系统</w:t>
      </w:r>
    </w:p>
    <w:p w14:paraId="68B5D39A">
      <w:pPr>
        <w:pageBreakBefore w:val="0"/>
        <w:wordWrap/>
        <w:topLinePunct w:val="0"/>
        <w:autoSpaceDE/>
        <w:autoSpaceDN/>
        <w:bidi w:val="0"/>
        <w:spacing w:before="157" w:beforeLines="50" w:after="157" w:afterLines="50" w:line="360" w:lineRule="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1)</w:t>
      </w:r>
      <w:r>
        <w:rPr>
          <w:rFonts w:hint="eastAsia" w:ascii="宋体" w:hAnsi="宋体" w:eastAsia="宋体" w:cs="宋体"/>
          <w:b w:val="0"/>
          <w:bCs/>
          <w:sz w:val="24"/>
          <w:szCs w:val="24"/>
          <w:lang w:eastAsia="zh-CN"/>
        </w:rPr>
        <w:t>乙方冷却风扇功率需按变压器容量选型，并考虑足够备用。自然空气冷却AN；带风机，可强迫空气冷却AF。通风方式可自动、手动切换。变压器应带IP30或以上外壳(此时不降容)，且在不使用强迫空气冷却装置时，应能带100%额定负荷长期运行，并具有一定的过载能力。所有散热风机加装空开单独控制。自然风冷（AN）的状态下，当绕组温度超过规定值时，能自动启动风机并输出信号；当绕组温度继续升高，超过规定值时发出报警信号；绕组温度继续升高并超过允许值时输出跳闸信号。当绕组温度降低到规定值时，应能自动停运风机。为能选择冷却风扇的运行方式，应有一套手动操作的选择切换开关，具有自动和手动两个位置。风机装置采用优质不锈钢板和高强度铝合金搭扣组合而成。</w:t>
      </w:r>
    </w:p>
    <w:p w14:paraId="3D8FC728">
      <w:pPr>
        <w:keepNext w:val="0"/>
        <w:keepLines w:val="0"/>
        <w:pageBreakBefore w:val="0"/>
        <w:widowControl w:val="0"/>
        <w:tabs>
          <w:tab w:val="left" w:pos="737"/>
        </w:tabs>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2)</w:t>
      </w:r>
      <w:r>
        <w:rPr>
          <w:rFonts w:hint="eastAsia" w:ascii="宋体" w:hAnsi="宋体" w:eastAsia="宋体" w:cs="宋体"/>
          <w:b w:val="0"/>
          <w:bCs/>
          <w:sz w:val="24"/>
          <w:szCs w:val="24"/>
          <w:lang w:eastAsia="zh-CN"/>
        </w:rPr>
        <w:t>温度数字显示系统、温控保护系统，由乙方提供，其装置电源为AC 220V，且具有超温报警及跳闸无源接点输出，接点容量DC110V，5A。</w:t>
      </w:r>
      <w:r>
        <w:rPr>
          <w:rFonts w:hint="eastAsia" w:ascii="宋体" w:hAnsi="宋体" w:eastAsia="宋体" w:cs="宋体"/>
          <w:b w:val="0"/>
          <w:bCs/>
          <w:sz w:val="24"/>
          <w:szCs w:val="24"/>
        </w:rPr>
        <w:t>温控器配备RS485通讯口，支持MODBUS RTU协议，可与电气综合自动化系统连接。温控器（温度范围可设置）自动（并具有手动控制功能）发出信号，控制风机的启动和停止，并能发出报警和跳闸信号温度等模拟量信号及部分开关量信号，可通过RS485通讯口上送，并能现场显示。温控器安装在变压器壳体上。</w:t>
      </w:r>
      <w:r>
        <w:rPr>
          <w:rFonts w:hint="eastAsia" w:ascii="宋体" w:hAnsi="宋体" w:eastAsia="宋体" w:cs="宋体"/>
          <w:b w:val="0"/>
          <w:bCs/>
          <w:sz w:val="24"/>
          <w:szCs w:val="24"/>
          <w:lang w:eastAsia="zh-CN"/>
        </w:rPr>
        <w:t>每台变压器温控器测点数量为每相2个。温控元件输出信号点的容量不应小于DC220V，5A；变压器绕组温度高跳闸信号接点的容量不小于DC220V，5A。提供远方跳闸和报警的接点各两组供甲方使用。变压器温控装置至少具有以下功能：三相绕组和铁芯温度巡检及最大值显示；超温报警；超温跳闸；风扇起动报警；冷却风扇启停；信号接至端子排。温控器应具有可输出至远方显示摸拟信号（4~20mA）。温控器配置双极空气电源开关保护。温控器配置16个备用端子（端子选用凤凰、魏德米勒端子或同等及以上质量产品）</w:t>
      </w:r>
    </w:p>
    <w:p w14:paraId="3F4B1950">
      <w:pPr>
        <w:pageBreakBefore w:val="0"/>
        <w:wordWrap/>
        <w:topLinePunct w:val="0"/>
        <w:autoSpaceDE/>
        <w:autoSpaceDN/>
        <w:bidi w:val="0"/>
        <w:spacing w:before="157" w:beforeLines="50" w:after="157" w:afterLines="50" w:line="360" w:lineRule="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lang w:eastAsia="zh-CN"/>
        </w:rPr>
        <w:t>每台干式变压器的冷却风扇（风机）和温度控制、显示系统的电源由乙方自行从变压器低压侧引接和分配，</w:t>
      </w:r>
      <w:r>
        <w:rPr>
          <w:rFonts w:hint="eastAsia" w:ascii="宋体" w:hAnsi="宋体" w:eastAsia="宋体" w:cs="宋体"/>
          <w:b w:val="0"/>
          <w:bCs/>
          <w:sz w:val="24"/>
          <w:szCs w:val="24"/>
        </w:rPr>
        <w:t>电源回路应设置短路保护装置，保护装置的短路分断能力应满足短路电流的要求。</w:t>
      </w:r>
    </w:p>
    <w:p w14:paraId="2ADF5697">
      <w:pPr>
        <w:keepNext w:val="0"/>
        <w:keepLines w:val="0"/>
        <w:pageBreakBefore w:val="0"/>
        <w:widowControl w:val="0"/>
        <w:tabs>
          <w:tab w:val="left" w:pos="737"/>
        </w:tabs>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4）</w:t>
      </w:r>
      <w:r>
        <w:rPr>
          <w:rFonts w:hint="eastAsia" w:ascii="宋体" w:hAnsi="宋体" w:eastAsia="宋体" w:cs="宋体"/>
          <w:b w:val="0"/>
          <w:bCs/>
          <w:sz w:val="24"/>
          <w:szCs w:val="24"/>
          <w:lang w:eastAsia="zh-CN"/>
        </w:rPr>
        <w:t>温控、温显装置应满足抗震、电磁干扰不敏感、显示数字和动作正确，以及使用寿命的要求&gt;10年。</w:t>
      </w:r>
    </w:p>
    <w:p w14:paraId="691800FB">
      <w:pPr>
        <w:keepNext w:val="0"/>
        <w:keepLines w:val="0"/>
        <w:pageBreakBefore w:val="0"/>
        <w:widowControl w:val="0"/>
        <w:tabs>
          <w:tab w:val="left" w:pos="737"/>
        </w:tabs>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5）</w:t>
      </w:r>
      <w:r>
        <w:rPr>
          <w:rFonts w:hint="eastAsia" w:ascii="宋体" w:hAnsi="宋体" w:eastAsia="宋体" w:cs="宋体"/>
          <w:b w:val="0"/>
          <w:bCs/>
          <w:sz w:val="24"/>
          <w:szCs w:val="24"/>
          <w:lang w:eastAsia="zh-CN"/>
        </w:rPr>
        <w:t>温控器应可在变压器不停电的情况下，不必开本体柜门可直接在本体外壳外进行更换，温控器应提供4~20mA模拟量温度信号供甲方使用。</w:t>
      </w:r>
    </w:p>
    <w:p w14:paraId="59F7C3A8">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6)</w:t>
      </w:r>
      <w:r>
        <w:rPr>
          <w:rFonts w:hint="eastAsia" w:ascii="宋体" w:hAnsi="宋体" w:eastAsia="宋体" w:cs="宋体"/>
          <w:b w:val="0"/>
          <w:bCs/>
          <w:sz w:val="24"/>
          <w:szCs w:val="24"/>
        </w:rPr>
        <w:t>变压器</w:t>
      </w:r>
      <w:r>
        <w:rPr>
          <w:rFonts w:hint="eastAsia" w:ascii="宋体" w:hAnsi="宋体" w:eastAsia="宋体" w:cs="宋体"/>
          <w:b w:val="0"/>
          <w:bCs/>
          <w:sz w:val="24"/>
          <w:szCs w:val="24"/>
          <w:lang w:val="en-US" w:eastAsia="zh-CN"/>
        </w:rPr>
        <w:t>内</w:t>
      </w:r>
      <w:r>
        <w:rPr>
          <w:rFonts w:hint="eastAsia" w:ascii="宋体" w:hAnsi="宋体" w:eastAsia="宋体" w:cs="宋体"/>
          <w:b w:val="0"/>
          <w:bCs/>
          <w:sz w:val="24"/>
          <w:szCs w:val="24"/>
        </w:rPr>
        <w:t>全部铜排采用热缩套管绝缘</w:t>
      </w:r>
      <w:r>
        <w:rPr>
          <w:rFonts w:hint="eastAsia" w:ascii="宋体" w:hAnsi="宋体" w:eastAsia="宋体" w:cs="宋体"/>
          <w:b w:val="0"/>
          <w:bCs/>
          <w:sz w:val="24"/>
          <w:szCs w:val="24"/>
          <w:lang w:eastAsia="zh-CN"/>
        </w:rPr>
        <w:t>，并加黄、绿、红色标以区别相序。</w:t>
      </w:r>
    </w:p>
    <w:p w14:paraId="3D271D30">
      <w:pPr>
        <w:pageBreakBefore w:val="0"/>
        <w:wordWrap/>
        <w:topLinePunct w:val="0"/>
        <w:autoSpaceDE/>
        <w:autoSpaceDN/>
        <w:bidi w:val="0"/>
        <w:spacing w:before="157" w:beforeLines="50" w:after="157" w:afterLines="50" w:line="240" w:lineRule="auto"/>
        <w:rPr>
          <w:rFonts w:hint="eastAsia"/>
          <w:lang w:eastAsia="zh-CN"/>
        </w:rPr>
      </w:pPr>
      <w:r>
        <w:rPr>
          <w:rFonts w:hint="eastAsia" w:ascii="宋体" w:hAnsi="宋体" w:eastAsia="宋体" w:cs="宋体"/>
          <w:b w:val="0"/>
          <w:bCs/>
          <w:sz w:val="24"/>
          <w:szCs w:val="24"/>
          <w:lang w:val="en-US" w:eastAsia="zh-CN"/>
        </w:rPr>
        <w:t xml:space="preserve">7) </w:t>
      </w:r>
      <w:r>
        <w:rPr>
          <w:rFonts w:hint="eastAsia" w:ascii="宋体" w:hAnsi="宋体" w:eastAsia="宋体" w:cs="宋体"/>
          <w:b w:val="0"/>
          <w:bCs/>
          <w:sz w:val="24"/>
          <w:szCs w:val="24"/>
        </w:rPr>
        <w:t>变压器在构造上应允许相同单元部件可以互换。所有同样设计和相同额定容量的变压器,其电气上完全一样，机械部件可以互换。</w:t>
      </w:r>
      <w:r>
        <w:rPr>
          <w:rFonts w:hint="eastAsia" w:ascii="宋体" w:hAnsi="宋体" w:eastAsia="宋体" w:cs="宋体"/>
          <w:b w:val="0"/>
          <w:bCs/>
          <w:sz w:val="24"/>
          <w:szCs w:val="24"/>
          <w:lang w:eastAsia="zh-CN"/>
        </w:rPr>
        <w:t>变压器本体与外壳应留有足够的空间，便于检修。</w:t>
      </w:r>
    </w:p>
    <w:p w14:paraId="2112AFAE">
      <w:pPr>
        <w:pageBreakBefore w:val="0"/>
        <w:wordWrap/>
        <w:topLinePunct w:val="0"/>
        <w:autoSpaceDE/>
        <w:autoSpaceDN/>
        <w:bidi w:val="0"/>
        <w:spacing w:before="157" w:beforeLines="50" w:after="157" w:afterLines="50" w:line="240" w:lineRule="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3.4.5</w:t>
      </w:r>
      <w:r>
        <w:rPr>
          <w:rFonts w:hint="eastAsia" w:ascii="宋体" w:hAnsi="宋体" w:eastAsia="宋体" w:cs="宋体"/>
          <w:b w:val="0"/>
          <w:bCs/>
          <w:sz w:val="24"/>
          <w:szCs w:val="24"/>
        </w:rPr>
        <w:t>变压器与低压开关柜连接</w:t>
      </w:r>
    </w:p>
    <w:p w14:paraId="218B5A6E">
      <w:pPr>
        <w:numPr>
          <w:ilvl w:val="0"/>
          <w:numId w:val="0"/>
        </w:numPr>
        <w:spacing w:line="240" w:lineRule="auto"/>
        <w:rPr>
          <w:sz w:val="24"/>
        </w:rPr>
      </w:pPr>
      <w:r>
        <w:rPr>
          <w:rFonts w:hint="eastAsia" w:ascii="宋体" w:hAnsi="宋体" w:eastAsia="宋体" w:cs="宋体"/>
          <w:b w:val="0"/>
          <w:bCs/>
          <w:sz w:val="24"/>
          <w:szCs w:val="24"/>
          <w:lang w:val="en-US" w:eastAsia="zh-CN"/>
        </w:rPr>
        <w:t>3.4.5.1</w:t>
      </w:r>
      <w:r>
        <w:rPr>
          <w:rFonts w:hint="eastAsia" w:ascii="宋体" w:hAnsi="宋体" w:eastAsia="宋体" w:cs="宋体"/>
          <w:b w:val="0"/>
          <w:bCs/>
          <w:sz w:val="24"/>
          <w:szCs w:val="24"/>
          <w:lang w:eastAsia="zh-CN"/>
        </w:rPr>
        <w:t>变压器与低压开关柜并排排列（具体排列方式由设计院最终确定），</w:t>
      </w:r>
      <w:r>
        <w:rPr>
          <w:rFonts w:hint="eastAsia" w:ascii="宋体" w:hAnsi="宋体" w:eastAsia="宋体" w:cs="宋体"/>
          <w:b w:val="0"/>
          <w:bCs/>
          <w:sz w:val="24"/>
          <w:szCs w:val="24"/>
          <w:lang w:val="en-US" w:eastAsia="zh-CN"/>
        </w:rPr>
        <w:t>低压柜</w:t>
      </w:r>
      <w:r>
        <w:rPr>
          <w:sz w:val="24"/>
        </w:rPr>
        <w:t>由</w:t>
      </w:r>
      <w:r>
        <w:rPr>
          <w:rFonts w:hint="eastAsia"/>
          <w:sz w:val="24"/>
          <w:lang w:eastAsia="zh-CN"/>
        </w:rPr>
        <w:t>甲方</w:t>
      </w:r>
      <w:r>
        <w:rPr>
          <w:sz w:val="24"/>
        </w:rPr>
        <w:t>另购。</w:t>
      </w:r>
    </w:p>
    <w:p w14:paraId="101939E8">
      <w:pPr>
        <w:numPr>
          <w:ilvl w:val="0"/>
          <w:numId w:val="0"/>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3.4.5.2</w:t>
      </w:r>
      <w:r>
        <w:rPr>
          <w:rFonts w:hint="eastAsia" w:ascii="宋体" w:hAnsi="宋体" w:eastAsia="宋体" w:cs="宋体"/>
          <w:b w:val="0"/>
          <w:bCs/>
          <w:color w:val="auto"/>
          <w:sz w:val="24"/>
          <w:szCs w:val="24"/>
          <w:lang w:eastAsia="zh-CN"/>
        </w:rPr>
        <w:t>开关柜母排伸入变压器外壳内200mm（具体以侧出接口图确认为准）</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开关柜母线与变压器低压端子的连接由开关柜厂负责，铜母线由开关柜厂家提供，母线截面应满足变压器最大输出容量的要求。</w:t>
      </w:r>
      <w:r>
        <w:rPr>
          <w:rFonts w:hint="eastAsia" w:ascii="宋体" w:hAnsi="宋体" w:eastAsia="宋体" w:cs="宋体"/>
          <w:b w:val="0"/>
          <w:bCs/>
          <w:sz w:val="24"/>
          <w:szCs w:val="24"/>
          <w:lang w:eastAsia="zh-CN"/>
        </w:rPr>
        <w:t>变压器外壳内的水平连接母线由变压器制造厂提供；变压器制造厂还应提供垂直连接母线、所有母线绝缘子、固定支架和支撑、高压电缆支架；并主动与低压柜制造厂配合，保证硬母线能顺利连接。需要与低压开关柜厂积极沟通、合作保持一致。</w:t>
      </w:r>
    </w:p>
    <w:p w14:paraId="58DEEA01">
      <w:pPr>
        <w:numPr>
          <w:ilvl w:val="0"/>
          <w:numId w:val="0"/>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3.4.5.3</w:t>
      </w:r>
      <w:r>
        <w:rPr>
          <w:rFonts w:hint="eastAsia" w:ascii="宋体" w:hAnsi="宋体" w:eastAsia="宋体" w:cs="宋体"/>
          <w:b w:val="0"/>
          <w:bCs/>
          <w:sz w:val="24"/>
          <w:szCs w:val="24"/>
        </w:rPr>
        <w:t>安装和固定引出线端子板及母线的支柱或绝缘子的部件应有足够的强度，防止短路产生电动力使其破坏或发生位移。</w:t>
      </w:r>
    </w:p>
    <w:p w14:paraId="03F7F740">
      <w:pPr>
        <w:numPr>
          <w:ilvl w:val="0"/>
          <w:numId w:val="0"/>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3.4.5.4</w:t>
      </w:r>
      <w:r>
        <w:rPr>
          <w:rFonts w:hint="eastAsia" w:ascii="宋体" w:hAnsi="宋体" w:eastAsia="宋体" w:cs="宋体"/>
          <w:b w:val="0"/>
          <w:bCs/>
          <w:sz w:val="24"/>
          <w:szCs w:val="24"/>
        </w:rPr>
        <w:t>变压器低压侧母线应全部布置于变压器罩壳内。</w:t>
      </w:r>
      <w:r>
        <w:rPr>
          <w:rFonts w:hint="eastAsia" w:ascii="宋体" w:hAnsi="宋体" w:eastAsia="宋体" w:cs="宋体"/>
          <w:b w:val="0"/>
          <w:bCs/>
          <w:sz w:val="24"/>
          <w:szCs w:val="24"/>
          <w:lang w:eastAsia="zh-CN"/>
        </w:rPr>
        <w:t>乙方</w:t>
      </w:r>
      <w:r>
        <w:rPr>
          <w:rFonts w:hint="eastAsia" w:ascii="宋体" w:hAnsi="宋体" w:eastAsia="宋体" w:cs="宋体"/>
          <w:b w:val="0"/>
          <w:bCs/>
          <w:sz w:val="24"/>
          <w:szCs w:val="24"/>
        </w:rPr>
        <w:t>应与低压开关柜厂家就低压开关柜母线的布置及接口尺寸、引出线端子板、连接板及母线的支柱绝缘子或绝缘子的安装问题进行配合，以便于设计变压器罩壳内低压母线的支持结构。</w:t>
      </w:r>
      <w:r>
        <w:rPr>
          <w:rFonts w:hint="eastAsia" w:ascii="宋体" w:hAnsi="宋体" w:eastAsia="宋体" w:cs="宋体"/>
          <w:b w:val="0"/>
          <w:bCs/>
          <w:sz w:val="24"/>
          <w:szCs w:val="24"/>
          <w:lang w:eastAsia="zh-CN"/>
        </w:rPr>
        <w:t>乙方</w:t>
      </w:r>
      <w:r>
        <w:rPr>
          <w:rFonts w:hint="eastAsia" w:ascii="宋体" w:hAnsi="宋体" w:eastAsia="宋体" w:cs="宋体"/>
          <w:b w:val="0"/>
          <w:bCs/>
          <w:sz w:val="24"/>
          <w:szCs w:val="24"/>
        </w:rPr>
        <w:t>应保证变压器低压侧母线与开关柜母线连接接口的准确，以便在现场不需调整便可进行可靠连接。变压器柜内的支持结构所需材料和绝缘子由变压器厂提供。</w:t>
      </w:r>
    </w:p>
    <w:p w14:paraId="6DA4EDE6">
      <w:pPr>
        <w:numPr>
          <w:ilvl w:val="0"/>
          <w:numId w:val="0"/>
        </w:numPr>
        <w:spacing w:line="360" w:lineRule="auto"/>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3.4.5.5</w:t>
      </w:r>
      <w:r>
        <w:rPr>
          <w:rFonts w:hint="eastAsia" w:ascii="宋体" w:hAnsi="宋体" w:eastAsia="宋体" w:cs="宋体"/>
          <w:b w:val="0"/>
          <w:bCs/>
          <w:sz w:val="24"/>
          <w:szCs w:val="24"/>
        </w:rPr>
        <w:t>低压母线穿出开关柜及穿入变压器柜处应设置保护套管，</w:t>
      </w:r>
      <w:r>
        <w:rPr>
          <w:rFonts w:hint="eastAsia" w:ascii="宋体" w:hAnsi="宋体" w:eastAsia="宋体" w:cs="宋体"/>
          <w:b w:val="0"/>
          <w:bCs/>
          <w:sz w:val="24"/>
          <w:szCs w:val="24"/>
          <w:lang w:eastAsia="zh-CN"/>
        </w:rPr>
        <w:t>乙方</w:t>
      </w:r>
      <w:r>
        <w:rPr>
          <w:rFonts w:hint="eastAsia" w:ascii="宋体" w:hAnsi="宋体" w:eastAsia="宋体" w:cs="宋体"/>
          <w:b w:val="0"/>
          <w:bCs/>
          <w:sz w:val="24"/>
          <w:szCs w:val="24"/>
        </w:rPr>
        <w:t>应就保护套管的尺寸、外形、安装位置与低压开关柜厂配合。</w:t>
      </w:r>
    </w:p>
    <w:p w14:paraId="3E1D17C7">
      <w:pPr>
        <w:numPr>
          <w:ilvl w:val="0"/>
          <w:numId w:val="0"/>
        </w:numPr>
        <w:spacing w:line="360" w:lineRule="auto"/>
        <w:rPr>
          <w:rFonts w:hint="eastAsia"/>
          <w:b/>
          <w:bCs/>
        </w:rPr>
      </w:pPr>
      <w:r>
        <w:rPr>
          <w:rFonts w:hint="eastAsia" w:ascii="宋体" w:hAnsi="宋体" w:eastAsia="宋体" w:cs="宋体"/>
          <w:b w:val="0"/>
          <w:bCs/>
          <w:sz w:val="24"/>
          <w:szCs w:val="24"/>
          <w:lang w:val="en-US" w:eastAsia="zh-CN"/>
        </w:rPr>
        <w:t>3.4.5.6</w:t>
      </w:r>
      <w:r>
        <w:rPr>
          <w:rFonts w:hint="eastAsia" w:ascii="宋体" w:hAnsi="宋体" w:eastAsia="宋体" w:cs="宋体"/>
          <w:b w:val="0"/>
          <w:bCs/>
          <w:sz w:val="24"/>
          <w:szCs w:val="24"/>
          <w:lang w:eastAsia="zh-CN"/>
        </w:rPr>
        <w:t>乙方</w:t>
      </w:r>
      <w:r>
        <w:rPr>
          <w:rFonts w:hint="eastAsia" w:ascii="宋体" w:hAnsi="宋体" w:eastAsia="宋体" w:cs="宋体"/>
          <w:b w:val="0"/>
          <w:bCs/>
          <w:sz w:val="24"/>
          <w:szCs w:val="24"/>
        </w:rPr>
        <w:t>应与低压开关柜供货商就变压器、低压柜安装、各个母线的连接等问题进行配合，</w:t>
      </w:r>
      <w:r>
        <w:rPr>
          <w:rFonts w:hint="eastAsia" w:ascii="宋体" w:hAnsi="宋体" w:eastAsia="宋体" w:cs="宋体"/>
          <w:b w:val="0"/>
          <w:bCs/>
          <w:sz w:val="24"/>
          <w:szCs w:val="24"/>
          <w:lang w:val="en-US" w:eastAsia="zh-CN"/>
        </w:rPr>
        <w:t>协助</w:t>
      </w:r>
      <w:r>
        <w:rPr>
          <w:rFonts w:hint="eastAsia" w:ascii="宋体" w:hAnsi="宋体" w:eastAsia="宋体" w:cs="宋体"/>
          <w:b w:val="0"/>
          <w:bCs/>
          <w:sz w:val="24"/>
          <w:szCs w:val="24"/>
        </w:rPr>
        <w:t>完成开关柜与干式变压器连接安装等一系列工作。</w:t>
      </w:r>
    </w:p>
    <w:p w14:paraId="6D5DC9A3">
      <w:pPr>
        <w:numPr>
          <w:ilvl w:val="0"/>
          <w:numId w:val="0"/>
        </w:numPr>
        <w:spacing w:line="360" w:lineRule="auto"/>
        <w:jc w:val="center"/>
        <w:rPr>
          <w:rFonts w:hint="eastAsia" w:ascii="宋体" w:hAnsi="宋体" w:eastAsia="宋体" w:cs="宋体"/>
          <w:b/>
          <w:bCs w:val="0"/>
          <w:sz w:val="32"/>
          <w:szCs w:val="32"/>
          <w:lang w:val="en-US" w:eastAsia="zh-CN"/>
        </w:rPr>
      </w:pPr>
      <w:r>
        <w:rPr>
          <w:rFonts w:hint="eastAsia" w:ascii="宋体" w:hAnsi="宋体" w:eastAsia="宋体" w:cs="宋体"/>
          <w:b/>
          <w:bCs w:val="0"/>
          <w:sz w:val="32"/>
          <w:szCs w:val="32"/>
          <w:lang w:val="en-US" w:eastAsia="zh-CN"/>
        </w:rPr>
        <w:t>土建</w:t>
      </w:r>
    </w:p>
    <w:p w14:paraId="49650BA4">
      <w:pPr>
        <w:numPr>
          <w:ilvl w:val="0"/>
          <w:numId w:val="0"/>
        </w:numPr>
        <w:spacing w:line="360" w:lineRule="auto"/>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配电房墙体为240cm,根据现场土质情况增加基础墙体宽度，其强度等级必须符合设计要求，基础放线尺寸偏差不超过±5mm,配电房高压室和低压室单独分离，配电室内地沟制作请详见图纸。配电房须符合临时用电标准，具体详见图纸。本工程为交钥匙工程，包含土建、设备供货和安装、外线电缆和供电。</w:t>
      </w:r>
    </w:p>
    <w:p w14:paraId="32764011">
      <w:pPr>
        <w:pStyle w:val="3"/>
        <w:spacing w:line="240" w:lineRule="auto"/>
        <w:jc w:val="center"/>
        <w:rPr>
          <w:rFonts w:hint="eastAsia" w:ascii="宋体" w:hAnsi="宋体" w:eastAsia="宋体" w:cs="宋体"/>
          <w:sz w:val="36"/>
          <w:szCs w:val="36"/>
        </w:rPr>
      </w:pPr>
      <w:r>
        <w:rPr>
          <w:rFonts w:hint="eastAsia" w:ascii="宋体" w:hAnsi="宋体" w:eastAsia="宋体" w:cs="宋体"/>
          <w:sz w:val="36"/>
          <w:szCs w:val="36"/>
        </w:rPr>
        <w:t>第七部分 评审方法</w:t>
      </w:r>
      <w:bookmarkEnd w:id="451"/>
    </w:p>
    <w:p w14:paraId="5D42C856">
      <w:pPr>
        <w:spacing w:line="480" w:lineRule="auto"/>
        <w:rPr>
          <w:rFonts w:hint="eastAsia" w:ascii="宋体" w:hAnsi="宋体" w:cs="宋体"/>
          <w:sz w:val="24"/>
          <w:szCs w:val="24"/>
        </w:rPr>
      </w:pPr>
      <w:r>
        <w:rPr>
          <w:rFonts w:hint="eastAsia" w:ascii="宋体" w:hAnsi="宋体" w:cs="宋体"/>
          <w:b/>
          <w:bCs/>
          <w:sz w:val="24"/>
          <w:szCs w:val="24"/>
        </w:rPr>
        <w:t>一、评审方法：本次评审采用最低评审价法</w:t>
      </w:r>
    </w:p>
    <w:p w14:paraId="45B1BA7D">
      <w:pPr>
        <w:spacing w:line="480" w:lineRule="auto"/>
        <w:ind w:firstLine="480" w:firstLineChars="200"/>
        <w:rPr>
          <w:rFonts w:hint="eastAsia" w:ascii="宋体" w:hAnsi="宋体" w:cs="宋体"/>
          <w:sz w:val="24"/>
          <w:szCs w:val="24"/>
        </w:rPr>
      </w:pPr>
      <w:r>
        <w:rPr>
          <w:rFonts w:hint="eastAsia" w:ascii="宋体" w:hAnsi="宋体" w:cs="宋体"/>
          <w:sz w:val="24"/>
          <w:szCs w:val="24"/>
        </w:rPr>
        <w:t>最低评审价法，是指响应文件满足谈判文件全部实质性要求，且谈判报价最低的供应商为成交候选人的评审方法。</w:t>
      </w:r>
    </w:p>
    <w:p w14:paraId="36A4403C">
      <w:pPr>
        <w:spacing w:line="480" w:lineRule="auto"/>
        <w:rPr>
          <w:rFonts w:hint="eastAsia" w:ascii="宋体" w:hAnsi="宋体" w:cs="宋体"/>
          <w:b/>
          <w:bCs/>
          <w:sz w:val="24"/>
          <w:szCs w:val="24"/>
        </w:rPr>
      </w:pPr>
      <w:r>
        <w:rPr>
          <w:rFonts w:hint="eastAsia" w:ascii="宋体" w:hAnsi="宋体" w:cs="宋体"/>
          <w:b/>
          <w:bCs/>
          <w:sz w:val="24"/>
          <w:szCs w:val="24"/>
        </w:rPr>
        <w:t>二、谈判程序</w:t>
      </w:r>
    </w:p>
    <w:p w14:paraId="1184A164">
      <w:pPr>
        <w:spacing w:line="480" w:lineRule="auto"/>
        <w:ind w:firstLine="480" w:firstLineChars="200"/>
        <w:rPr>
          <w:rFonts w:hint="eastAsia" w:ascii="宋体" w:hAnsi="宋体" w:cs="宋体"/>
          <w:sz w:val="24"/>
          <w:szCs w:val="24"/>
        </w:rPr>
      </w:pPr>
      <w:r>
        <w:rPr>
          <w:rFonts w:hint="eastAsia" w:ascii="宋体" w:hAnsi="宋体" w:cs="宋体"/>
          <w:sz w:val="24"/>
          <w:szCs w:val="24"/>
        </w:rPr>
        <w:t>谈判的全过程分为第一次谈判报价、资格性审查、符合性审查、谈判过程、谈判承诺、最终报价、评审阶段。通过资质审查合格的各供应商，只有在响应文件及谈判承诺符合谈判文件要求和满足技术、商务需要的才有最终报价和评审的机会。</w:t>
      </w:r>
    </w:p>
    <w:p w14:paraId="19BC98A5">
      <w:pPr>
        <w:spacing w:line="480" w:lineRule="auto"/>
        <w:ind w:firstLine="482" w:firstLineChars="200"/>
        <w:rPr>
          <w:rFonts w:hint="eastAsia" w:ascii="宋体" w:hAnsi="宋体" w:cs="宋体"/>
          <w:b/>
          <w:bCs/>
          <w:sz w:val="24"/>
          <w:szCs w:val="24"/>
        </w:rPr>
      </w:pPr>
      <w:r>
        <w:rPr>
          <w:rFonts w:hint="eastAsia" w:ascii="宋体" w:hAnsi="宋体" w:cs="宋体"/>
          <w:b/>
          <w:bCs/>
          <w:sz w:val="24"/>
          <w:szCs w:val="24"/>
        </w:rPr>
        <w:t>1、第一次谈判报价。</w:t>
      </w:r>
    </w:p>
    <w:p w14:paraId="289830E9">
      <w:pPr>
        <w:spacing w:line="480" w:lineRule="auto"/>
        <w:ind w:firstLine="482" w:firstLineChars="200"/>
        <w:rPr>
          <w:rFonts w:hint="eastAsia" w:ascii="宋体" w:hAnsi="宋体" w:cs="宋体"/>
          <w:b/>
          <w:bCs/>
          <w:sz w:val="24"/>
          <w:szCs w:val="24"/>
        </w:rPr>
      </w:pPr>
      <w:r>
        <w:rPr>
          <w:rFonts w:hint="eastAsia" w:ascii="宋体" w:hAnsi="宋体" w:cs="宋体"/>
          <w:b/>
          <w:bCs/>
          <w:sz w:val="24"/>
          <w:szCs w:val="24"/>
        </w:rPr>
        <w:t>2、资格性审查</w:t>
      </w:r>
    </w:p>
    <w:p w14:paraId="4ADE35E8">
      <w:pPr>
        <w:spacing w:line="480" w:lineRule="auto"/>
        <w:ind w:firstLine="480" w:firstLineChars="200"/>
        <w:rPr>
          <w:rFonts w:hint="eastAsia" w:ascii="宋体" w:hAnsi="宋体" w:cs="宋体"/>
          <w:sz w:val="24"/>
          <w:szCs w:val="24"/>
        </w:rPr>
      </w:pPr>
      <w:r>
        <w:rPr>
          <w:rFonts w:hint="eastAsia" w:ascii="宋体" w:hAnsi="宋体" w:cs="宋体"/>
          <w:sz w:val="24"/>
          <w:szCs w:val="24"/>
        </w:rPr>
        <w:t>开标结束后，资格审查小组依法对供应商的资格证明文件进行审查，不符合竞争性谈判文件要求的按无效谈判响应处理，不得进入后续评审，签字确认检查结果。</w:t>
      </w:r>
    </w:p>
    <w:p w14:paraId="756FFF4C">
      <w:pPr>
        <w:spacing w:line="480" w:lineRule="auto"/>
        <w:ind w:firstLine="480" w:firstLineChars="200"/>
        <w:rPr>
          <w:rFonts w:hint="eastAsia" w:ascii="宋体" w:hAnsi="宋体" w:cs="宋体"/>
          <w:sz w:val="24"/>
          <w:szCs w:val="24"/>
        </w:rPr>
      </w:pPr>
      <w:r>
        <w:rPr>
          <w:rFonts w:hint="eastAsia" w:ascii="宋体" w:hAnsi="宋体" w:cs="宋体"/>
          <w:sz w:val="24"/>
          <w:szCs w:val="24"/>
        </w:rPr>
        <w:t>不符合竞争性谈判文件要求的按无效文件处理，不得进入后续评审工作。</w:t>
      </w:r>
    </w:p>
    <w:p w14:paraId="1DB766E1">
      <w:pPr>
        <w:spacing w:line="480" w:lineRule="auto"/>
        <w:ind w:firstLine="480" w:firstLineChars="200"/>
        <w:rPr>
          <w:rFonts w:hint="eastAsia" w:ascii="宋体" w:hAnsi="宋体" w:cs="宋体"/>
          <w:sz w:val="24"/>
          <w:szCs w:val="24"/>
        </w:rPr>
      </w:pPr>
      <w:r>
        <w:rPr>
          <w:rFonts w:hint="eastAsia" w:ascii="宋体" w:hAnsi="宋体" w:cs="宋体"/>
          <w:sz w:val="24"/>
          <w:szCs w:val="24"/>
        </w:rPr>
        <w:t>合格投标人不足三家的，不得评标。</w:t>
      </w:r>
    </w:p>
    <w:p w14:paraId="76EE57A4">
      <w:pPr>
        <w:spacing w:line="480" w:lineRule="auto"/>
        <w:ind w:firstLine="482" w:firstLineChars="200"/>
        <w:rPr>
          <w:rFonts w:hint="eastAsia" w:ascii="宋体" w:hAnsi="宋体" w:cs="宋体"/>
          <w:b/>
          <w:bCs/>
          <w:sz w:val="24"/>
          <w:szCs w:val="24"/>
        </w:rPr>
      </w:pPr>
      <w:r>
        <w:rPr>
          <w:rFonts w:hint="eastAsia" w:ascii="宋体" w:hAnsi="宋体" w:cs="宋体"/>
          <w:b/>
          <w:bCs/>
          <w:sz w:val="24"/>
          <w:szCs w:val="24"/>
        </w:rPr>
        <w:t>3、谈判响应文件的符合性审查</w:t>
      </w:r>
    </w:p>
    <w:p w14:paraId="064121E8">
      <w:pPr>
        <w:spacing w:line="480" w:lineRule="auto"/>
        <w:ind w:firstLine="480" w:firstLineChars="200"/>
        <w:rPr>
          <w:rFonts w:hint="eastAsia" w:ascii="宋体" w:hAnsi="宋体" w:cs="宋体"/>
          <w:sz w:val="24"/>
          <w:szCs w:val="24"/>
        </w:rPr>
      </w:pPr>
      <w:r>
        <w:rPr>
          <w:rFonts w:hint="eastAsia" w:ascii="宋体" w:hAnsi="宋体" w:cs="宋体"/>
          <w:sz w:val="24"/>
          <w:szCs w:val="24"/>
        </w:rPr>
        <w:t>谈判小组依据谈判文件的规定，对谈判响应文件的有效性、完整性和对谈判文件的响应程度进行审查，以确定是否对谈判文件的全部实质性要求做出响应。</w:t>
      </w:r>
    </w:p>
    <w:p w14:paraId="7686D5CD">
      <w:pPr>
        <w:spacing w:line="480" w:lineRule="auto"/>
        <w:ind w:firstLine="480" w:firstLineChars="200"/>
        <w:rPr>
          <w:rFonts w:hint="eastAsia" w:ascii="宋体" w:hAnsi="宋体" w:cs="宋体"/>
          <w:sz w:val="24"/>
          <w:szCs w:val="24"/>
        </w:rPr>
      </w:pPr>
      <w:r>
        <w:rPr>
          <w:rFonts w:hint="eastAsia" w:ascii="宋体" w:hAnsi="宋体" w:cs="宋体"/>
          <w:sz w:val="24"/>
          <w:szCs w:val="24"/>
        </w:rPr>
        <w:t>谈判小组要审查每份谈判响应文件是否实质上响应了谈判文件的要求。实质上没有响应谈判文件要求的投标作无效响应文件处理。谈判小组应告知有关供应商未通过审查的原因，供应商不得通过修正或撤销不符之处而使其成为实质上响应。</w:t>
      </w:r>
    </w:p>
    <w:p w14:paraId="0C8C53FC">
      <w:pPr>
        <w:jc w:val="center"/>
        <w:rPr>
          <w:rFonts w:hint="eastAsia" w:ascii="宋体" w:hAnsi="宋体" w:cs="宋体"/>
          <w:b/>
          <w:bCs/>
          <w:sz w:val="24"/>
          <w:szCs w:val="24"/>
        </w:rPr>
      </w:pPr>
    </w:p>
    <w:p w14:paraId="06229B75">
      <w:pPr>
        <w:spacing w:line="360" w:lineRule="auto"/>
        <w:jc w:val="center"/>
        <w:rPr>
          <w:rFonts w:hint="eastAsia" w:ascii="宋体" w:hAnsi="宋体" w:cs="宋体"/>
          <w:sz w:val="24"/>
          <w:szCs w:val="24"/>
        </w:rPr>
      </w:pPr>
      <w:r>
        <w:rPr>
          <w:rFonts w:hint="eastAsia" w:ascii="宋体" w:hAnsi="宋体" w:cs="宋体"/>
          <w:b/>
          <w:bCs/>
          <w:sz w:val="30"/>
          <w:szCs w:val="30"/>
        </w:rPr>
        <w:t>符合性审查表</w:t>
      </w:r>
    </w:p>
    <w:tbl>
      <w:tblPr>
        <w:tblStyle w:val="17"/>
        <w:tblW w:w="9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3150"/>
        <w:gridCol w:w="5748"/>
      </w:tblGrid>
      <w:tr w14:paraId="7D6D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78" w:type="dxa"/>
            <w:noWrap w:val="0"/>
            <w:vAlign w:val="center"/>
          </w:tcPr>
          <w:p w14:paraId="65164AD7">
            <w:pPr>
              <w:jc w:val="center"/>
              <w:rPr>
                <w:rFonts w:hint="eastAsia" w:ascii="宋体" w:hAnsi="宋体" w:cs="宋体"/>
                <w:b/>
                <w:bCs/>
                <w:sz w:val="24"/>
                <w:szCs w:val="24"/>
              </w:rPr>
            </w:pPr>
            <w:r>
              <w:rPr>
                <w:rFonts w:hint="eastAsia" w:ascii="宋体" w:hAnsi="宋体" w:cs="宋体"/>
                <w:b/>
                <w:bCs/>
                <w:sz w:val="24"/>
                <w:szCs w:val="24"/>
              </w:rPr>
              <w:t>序号</w:t>
            </w:r>
          </w:p>
        </w:tc>
        <w:tc>
          <w:tcPr>
            <w:tcW w:w="3150" w:type="dxa"/>
            <w:noWrap w:val="0"/>
            <w:vAlign w:val="center"/>
          </w:tcPr>
          <w:p w14:paraId="3BF7F56A">
            <w:pPr>
              <w:jc w:val="center"/>
              <w:rPr>
                <w:rFonts w:hint="eastAsia" w:ascii="宋体" w:hAnsi="宋体" w:cs="宋体"/>
                <w:b/>
                <w:bCs/>
                <w:sz w:val="24"/>
                <w:szCs w:val="24"/>
              </w:rPr>
            </w:pPr>
            <w:r>
              <w:rPr>
                <w:rFonts w:hint="eastAsia" w:ascii="宋体" w:hAnsi="宋体" w:cs="宋体"/>
                <w:b/>
                <w:bCs/>
                <w:sz w:val="24"/>
                <w:szCs w:val="24"/>
              </w:rPr>
              <w:t>符合性审查项</w:t>
            </w:r>
          </w:p>
        </w:tc>
        <w:tc>
          <w:tcPr>
            <w:tcW w:w="5748" w:type="dxa"/>
            <w:noWrap w:val="0"/>
            <w:vAlign w:val="center"/>
          </w:tcPr>
          <w:p w14:paraId="2EB19388">
            <w:pPr>
              <w:jc w:val="center"/>
              <w:rPr>
                <w:rFonts w:hint="eastAsia" w:ascii="宋体" w:hAnsi="宋体" w:cs="宋体"/>
                <w:b/>
                <w:bCs/>
                <w:sz w:val="24"/>
                <w:szCs w:val="24"/>
              </w:rPr>
            </w:pPr>
            <w:r>
              <w:rPr>
                <w:rFonts w:hint="eastAsia" w:ascii="宋体" w:hAnsi="宋体" w:cs="宋体"/>
                <w:b/>
                <w:bCs/>
                <w:sz w:val="24"/>
                <w:szCs w:val="24"/>
              </w:rPr>
              <w:t>通过条件</w:t>
            </w:r>
          </w:p>
        </w:tc>
      </w:tr>
      <w:tr w14:paraId="25B5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5EC145FA">
            <w:pPr>
              <w:jc w:val="center"/>
              <w:rPr>
                <w:rFonts w:hint="eastAsia" w:ascii="宋体" w:hAnsi="宋体" w:cs="宋体"/>
                <w:sz w:val="24"/>
                <w:szCs w:val="24"/>
              </w:rPr>
            </w:pPr>
            <w:r>
              <w:rPr>
                <w:rFonts w:hint="eastAsia" w:ascii="宋体" w:hAnsi="宋体" w:cs="宋体"/>
                <w:sz w:val="24"/>
                <w:szCs w:val="24"/>
              </w:rPr>
              <w:t>1</w:t>
            </w:r>
          </w:p>
        </w:tc>
        <w:tc>
          <w:tcPr>
            <w:tcW w:w="3150" w:type="dxa"/>
            <w:noWrap w:val="0"/>
            <w:vAlign w:val="center"/>
          </w:tcPr>
          <w:p w14:paraId="552DE349">
            <w:pPr>
              <w:jc w:val="left"/>
              <w:rPr>
                <w:rFonts w:hint="eastAsia" w:ascii="宋体" w:hAnsi="宋体" w:cs="宋体"/>
                <w:sz w:val="24"/>
                <w:szCs w:val="24"/>
              </w:rPr>
            </w:pPr>
            <w:r>
              <w:rPr>
                <w:rFonts w:hint="eastAsia" w:ascii="宋体" w:hAnsi="宋体" w:cs="宋体"/>
                <w:sz w:val="24"/>
                <w:szCs w:val="24"/>
              </w:rPr>
              <w:t>响应文件项目名称、项目编号、标段（未划分标段的除外）</w:t>
            </w:r>
          </w:p>
        </w:tc>
        <w:tc>
          <w:tcPr>
            <w:tcW w:w="5748" w:type="dxa"/>
            <w:noWrap w:val="0"/>
            <w:vAlign w:val="center"/>
          </w:tcPr>
          <w:p w14:paraId="47D5BB3B">
            <w:pPr>
              <w:spacing w:line="360" w:lineRule="auto"/>
              <w:jc w:val="left"/>
              <w:rPr>
                <w:rFonts w:hint="eastAsia" w:ascii="宋体" w:hAnsi="宋体" w:cs="宋体"/>
                <w:sz w:val="24"/>
                <w:szCs w:val="24"/>
              </w:rPr>
            </w:pPr>
            <w:r>
              <w:rPr>
                <w:rFonts w:hint="eastAsia" w:ascii="宋体" w:hAnsi="宋体" w:cs="宋体"/>
                <w:sz w:val="24"/>
                <w:szCs w:val="24"/>
              </w:rPr>
              <w:t>投标文件的项目名称、项目编号、标段与本项目完全一致，且无遗漏。</w:t>
            </w:r>
          </w:p>
        </w:tc>
      </w:tr>
      <w:tr w14:paraId="27BF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778" w:type="dxa"/>
            <w:noWrap w:val="0"/>
            <w:vAlign w:val="center"/>
          </w:tcPr>
          <w:p w14:paraId="487BC54E">
            <w:pPr>
              <w:jc w:val="center"/>
              <w:rPr>
                <w:rFonts w:hint="eastAsia" w:ascii="宋体" w:hAnsi="宋体" w:cs="宋体"/>
                <w:sz w:val="24"/>
                <w:szCs w:val="24"/>
              </w:rPr>
            </w:pPr>
            <w:r>
              <w:rPr>
                <w:rFonts w:hint="eastAsia" w:ascii="宋体" w:hAnsi="宋体" w:cs="宋体"/>
                <w:sz w:val="24"/>
                <w:szCs w:val="24"/>
              </w:rPr>
              <w:t>2</w:t>
            </w:r>
          </w:p>
        </w:tc>
        <w:tc>
          <w:tcPr>
            <w:tcW w:w="3150" w:type="dxa"/>
            <w:noWrap w:val="0"/>
            <w:vAlign w:val="center"/>
          </w:tcPr>
          <w:p w14:paraId="21E4F339">
            <w:pPr>
              <w:jc w:val="center"/>
              <w:rPr>
                <w:rFonts w:hint="eastAsia" w:ascii="宋体" w:hAnsi="宋体" w:cs="宋体"/>
                <w:sz w:val="24"/>
                <w:szCs w:val="24"/>
              </w:rPr>
            </w:pPr>
            <w:r>
              <w:rPr>
                <w:rFonts w:hint="eastAsia" w:ascii="宋体" w:hAnsi="宋体" w:cs="宋体"/>
                <w:sz w:val="24"/>
                <w:szCs w:val="24"/>
              </w:rPr>
              <w:t>响应文件组成</w:t>
            </w:r>
          </w:p>
        </w:tc>
        <w:tc>
          <w:tcPr>
            <w:tcW w:w="5748" w:type="dxa"/>
            <w:noWrap w:val="0"/>
            <w:vAlign w:val="center"/>
          </w:tcPr>
          <w:p w14:paraId="10E82789">
            <w:pPr>
              <w:spacing w:line="360" w:lineRule="auto"/>
              <w:jc w:val="left"/>
              <w:rPr>
                <w:rFonts w:hint="eastAsia" w:ascii="Calibri" w:hAnsi="Calibri" w:cs="Calibri"/>
                <w:szCs w:val="22"/>
              </w:rPr>
            </w:pPr>
            <w:r>
              <w:rPr>
                <w:rFonts w:hint="eastAsia" w:ascii="宋体" w:hAnsi="宋体" w:cs="宋体"/>
                <w:sz w:val="24"/>
                <w:szCs w:val="24"/>
              </w:rPr>
              <w:t>没有私自篡改谈判文件中规定的谈判响应文件格式及相关内容，按谈判文件中规定的谈判响应文件格式填写相关内容的。</w:t>
            </w:r>
          </w:p>
        </w:tc>
      </w:tr>
      <w:tr w14:paraId="0278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778" w:type="dxa"/>
            <w:noWrap w:val="0"/>
            <w:vAlign w:val="center"/>
          </w:tcPr>
          <w:p w14:paraId="307ECBAA">
            <w:pPr>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3</w:t>
            </w:r>
          </w:p>
        </w:tc>
        <w:tc>
          <w:tcPr>
            <w:tcW w:w="3150" w:type="dxa"/>
            <w:noWrap w:val="0"/>
            <w:vAlign w:val="center"/>
          </w:tcPr>
          <w:p w14:paraId="2E39F7EF">
            <w:pPr>
              <w:jc w:val="center"/>
              <w:rPr>
                <w:rFonts w:hint="eastAsia" w:ascii="宋体" w:hAnsi="宋体" w:cs="宋体"/>
                <w:sz w:val="24"/>
                <w:szCs w:val="24"/>
              </w:rPr>
            </w:pPr>
            <w:r>
              <w:rPr>
                <w:rFonts w:hint="eastAsia" w:ascii="宋体" w:hAnsi="宋体" w:cs="宋体"/>
                <w:sz w:val="24"/>
                <w:szCs w:val="24"/>
              </w:rPr>
              <w:t>法定代表人授权书</w:t>
            </w:r>
          </w:p>
        </w:tc>
        <w:tc>
          <w:tcPr>
            <w:tcW w:w="5748" w:type="dxa"/>
            <w:noWrap w:val="0"/>
            <w:vAlign w:val="center"/>
          </w:tcPr>
          <w:p w14:paraId="12FC46E2">
            <w:pPr>
              <w:rPr>
                <w:rFonts w:hint="eastAsia" w:ascii="宋体" w:hAnsi="宋体" w:cs="宋体"/>
                <w:sz w:val="24"/>
                <w:szCs w:val="24"/>
              </w:rPr>
            </w:pPr>
            <w:r>
              <w:rPr>
                <w:rFonts w:hint="eastAsia" w:ascii="宋体" w:hAnsi="宋体" w:cs="宋体"/>
                <w:sz w:val="24"/>
                <w:szCs w:val="24"/>
              </w:rPr>
              <w:t>响应文件有法定代表人授权书（法人直接投标除外）且授权书的合法性和有效性符合竞争性谈判文件规定的。</w:t>
            </w:r>
          </w:p>
        </w:tc>
      </w:tr>
      <w:tr w14:paraId="2695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778" w:type="dxa"/>
            <w:noWrap w:val="0"/>
            <w:vAlign w:val="center"/>
          </w:tcPr>
          <w:p w14:paraId="660BDD2C">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4</w:t>
            </w:r>
          </w:p>
        </w:tc>
        <w:tc>
          <w:tcPr>
            <w:tcW w:w="3150" w:type="dxa"/>
            <w:noWrap w:val="0"/>
            <w:vAlign w:val="center"/>
          </w:tcPr>
          <w:p w14:paraId="3A5B1B59">
            <w:pPr>
              <w:jc w:val="center"/>
              <w:rPr>
                <w:rFonts w:hint="eastAsia" w:ascii="宋体" w:hAnsi="宋体" w:cs="宋体"/>
                <w:sz w:val="24"/>
                <w:szCs w:val="24"/>
              </w:rPr>
            </w:pPr>
            <w:r>
              <w:rPr>
                <w:rFonts w:hint="eastAsia" w:ascii="宋体" w:hAnsi="宋体" w:cs="宋体"/>
                <w:sz w:val="24"/>
                <w:szCs w:val="24"/>
              </w:rPr>
              <w:t>响应文件签署、盖章</w:t>
            </w:r>
          </w:p>
        </w:tc>
        <w:tc>
          <w:tcPr>
            <w:tcW w:w="5748" w:type="dxa"/>
            <w:noWrap w:val="0"/>
            <w:vAlign w:val="center"/>
          </w:tcPr>
          <w:p w14:paraId="6876629D">
            <w:pPr>
              <w:rPr>
                <w:rFonts w:hint="eastAsia" w:ascii="宋体" w:hAnsi="宋体" w:cs="宋体"/>
                <w:sz w:val="24"/>
                <w:szCs w:val="24"/>
              </w:rPr>
            </w:pPr>
            <w:r>
              <w:rPr>
                <w:rFonts w:hint="eastAsia" w:ascii="宋体" w:hAnsi="宋体" w:cs="宋体"/>
                <w:sz w:val="24"/>
                <w:szCs w:val="24"/>
              </w:rPr>
              <w:t>签署、盖章符合谈判文件要求，且无遗漏。</w:t>
            </w:r>
          </w:p>
        </w:tc>
      </w:tr>
      <w:tr w14:paraId="6774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778" w:type="dxa"/>
            <w:noWrap w:val="0"/>
            <w:vAlign w:val="center"/>
          </w:tcPr>
          <w:p w14:paraId="69D91A04">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5</w:t>
            </w:r>
          </w:p>
        </w:tc>
        <w:tc>
          <w:tcPr>
            <w:tcW w:w="3150" w:type="dxa"/>
            <w:noWrap w:val="0"/>
            <w:vAlign w:val="center"/>
          </w:tcPr>
          <w:p w14:paraId="7857C28B">
            <w:pPr>
              <w:jc w:val="center"/>
              <w:rPr>
                <w:rFonts w:hint="eastAsia" w:ascii="宋体" w:hAnsi="宋体" w:cs="宋体"/>
                <w:sz w:val="24"/>
                <w:szCs w:val="24"/>
              </w:rPr>
            </w:pPr>
            <w:r>
              <w:rPr>
                <w:rFonts w:hint="eastAsia" w:ascii="宋体" w:hAnsi="宋体" w:cs="宋体"/>
                <w:sz w:val="24"/>
                <w:szCs w:val="24"/>
              </w:rPr>
              <w:t>响应文件有效期</w:t>
            </w:r>
          </w:p>
        </w:tc>
        <w:tc>
          <w:tcPr>
            <w:tcW w:w="5748" w:type="dxa"/>
            <w:noWrap w:val="0"/>
            <w:vAlign w:val="center"/>
          </w:tcPr>
          <w:p w14:paraId="3E2CB95A">
            <w:pPr>
              <w:rPr>
                <w:rFonts w:hint="eastAsia" w:ascii="宋体" w:hAnsi="宋体" w:cs="宋体"/>
                <w:sz w:val="24"/>
                <w:szCs w:val="24"/>
              </w:rPr>
            </w:pPr>
            <w:r>
              <w:rPr>
                <w:rFonts w:hint="eastAsia" w:ascii="宋体" w:hAnsi="宋体" w:cs="宋体"/>
                <w:sz w:val="24"/>
                <w:szCs w:val="24"/>
              </w:rPr>
              <w:t>符合谈判文件的要求。</w:t>
            </w:r>
          </w:p>
        </w:tc>
      </w:tr>
      <w:tr w14:paraId="5E59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778" w:type="dxa"/>
            <w:noWrap w:val="0"/>
            <w:vAlign w:val="center"/>
          </w:tcPr>
          <w:p w14:paraId="741C1579">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6</w:t>
            </w:r>
          </w:p>
        </w:tc>
        <w:tc>
          <w:tcPr>
            <w:tcW w:w="3150" w:type="dxa"/>
            <w:noWrap w:val="0"/>
            <w:vAlign w:val="center"/>
          </w:tcPr>
          <w:p w14:paraId="0A30E1A3">
            <w:pPr>
              <w:spacing w:line="360" w:lineRule="auto"/>
              <w:jc w:val="center"/>
              <w:rPr>
                <w:rFonts w:hint="eastAsia" w:ascii="宋体" w:hAnsi="宋体" w:cs="宋体"/>
                <w:sz w:val="24"/>
                <w:szCs w:val="24"/>
              </w:rPr>
            </w:pPr>
            <w:r>
              <w:rPr>
                <w:rFonts w:hint="eastAsia" w:ascii="宋体" w:hAnsi="宋体" w:cs="宋体"/>
                <w:sz w:val="24"/>
                <w:szCs w:val="24"/>
              </w:rPr>
              <w:t>谈判报价</w:t>
            </w:r>
          </w:p>
        </w:tc>
        <w:tc>
          <w:tcPr>
            <w:tcW w:w="5748" w:type="dxa"/>
            <w:noWrap w:val="0"/>
            <w:vAlign w:val="center"/>
          </w:tcPr>
          <w:p w14:paraId="24469A8C">
            <w:pPr>
              <w:spacing w:line="360" w:lineRule="auto"/>
              <w:jc w:val="left"/>
              <w:rPr>
                <w:rFonts w:hint="eastAsia" w:ascii="宋体" w:hAnsi="宋体" w:cs="宋体"/>
                <w:sz w:val="24"/>
                <w:szCs w:val="24"/>
              </w:rPr>
            </w:pPr>
            <w:r>
              <w:rPr>
                <w:rFonts w:hint="eastAsia" w:ascii="宋体" w:hAnsi="宋体" w:cs="宋体"/>
                <w:sz w:val="24"/>
                <w:szCs w:val="24"/>
              </w:rPr>
              <w:t>同时满足以下条款：</w:t>
            </w:r>
          </w:p>
          <w:p w14:paraId="5B987EE1">
            <w:pPr>
              <w:spacing w:line="360" w:lineRule="auto"/>
              <w:jc w:val="left"/>
              <w:rPr>
                <w:rFonts w:hint="eastAsia" w:ascii="宋体" w:hAnsi="宋体" w:cs="宋体"/>
                <w:sz w:val="24"/>
                <w:szCs w:val="24"/>
              </w:rPr>
            </w:pPr>
            <w:r>
              <w:rPr>
                <w:rFonts w:hint="eastAsia" w:ascii="宋体" w:hAnsi="宋体" w:cs="宋体"/>
                <w:sz w:val="24"/>
                <w:szCs w:val="24"/>
              </w:rPr>
              <w:t>（1）谈判报价符合唯一性要求；</w:t>
            </w:r>
          </w:p>
          <w:p w14:paraId="787FA5FB">
            <w:pPr>
              <w:spacing w:line="360" w:lineRule="auto"/>
              <w:jc w:val="left"/>
              <w:rPr>
                <w:rFonts w:hint="eastAsia" w:ascii="宋体" w:hAnsi="宋体" w:cs="宋体"/>
                <w:sz w:val="24"/>
                <w:szCs w:val="24"/>
              </w:rPr>
            </w:pPr>
            <w:r>
              <w:rPr>
                <w:rFonts w:hint="eastAsia" w:ascii="宋体" w:hAnsi="宋体" w:cs="宋体"/>
                <w:sz w:val="24"/>
                <w:szCs w:val="24"/>
              </w:rPr>
              <w:t>（2）第一次谈判报价表填写符合要求；</w:t>
            </w:r>
          </w:p>
          <w:p w14:paraId="66479C19">
            <w:pPr>
              <w:spacing w:line="360" w:lineRule="auto"/>
              <w:jc w:val="left"/>
              <w:rPr>
                <w:rFonts w:hint="eastAsia" w:ascii="宋体" w:hAnsi="宋体" w:cs="宋体"/>
                <w:sz w:val="24"/>
                <w:szCs w:val="24"/>
              </w:rPr>
            </w:pPr>
            <w:r>
              <w:rPr>
                <w:rFonts w:hint="eastAsia" w:ascii="宋体" w:hAnsi="宋体" w:cs="宋体"/>
                <w:sz w:val="24"/>
                <w:szCs w:val="24"/>
              </w:rPr>
              <w:t>（3）报价货币、单位符合谈判文件要求；</w:t>
            </w:r>
          </w:p>
          <w:p w14:paraId="0948EFC5">
            <w:pPr>
              <w:spacing w:line="360" w:lineRule="auto"/>
              <w:jc w:val="left"/>
              <w:rPr>
                <w:rFonts w:hint="eastAsia" w:ascii="宋体" w:hAnsi="宋体" w:cs="宋体"/>
                <w:sz w:val="24"/>
                <w:szCs w:val="24"/>
              </w:rPr>
            </w:pPr>
            <w:r>
              <w:rPr>
                <w:rFonts w:hint="eastAsia" w:ascii="宋体" w:hAnsi="宋体" w:cs="宋体"/>
                <w:sz w:val="24"/>
                <w:szCs w:val="24"/>
              </w:rPr>
              <w:t>（4）未超出采购预算或谈判文件规定的最高限价；</w:t>
            </w:r>
          </w:p>
        </w:tc>
      </w:tr>
      <w:tr w14:paraId="431D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778" w:type="dxa"/>
            <w:noWrap w:val="0"/>
            <w:vAlign w:val="center"/>
          </w:tcPr>
          <w:p w14:paraId="12D5B477">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7</w:t>
            </w:r>
          </w:p>
        </w:tc>
        <w:tc>
          <w:tcPr>
            <w:tcW w:w="3150" w:type="dxa"/>
            <w:noWrap w:val="0"/>
            <w:vAlign w:val="center"/>
          </w:tcPr>
          <w:p w14:paraId="260F1588">
            <w:pPr>
              <w:jc w:val="center"/>
              <w:rPr>
                <w:rFonts w:hint="eastAsia" w:ascii="宋体" w:hAnsi="宋体" w:cs="宋体"/>
                <w:sz w:val="24"/>
                <w:szCs w:val="24"/>
              </w:rPr>
            </w:pPr>
            <w:r>
              <w:rPr>
                <w:rFonts w:hint="eastAsia" w:ascii="宋体" w:hAnsi="宋体" w:cs="宋体"/>
                <w:sz w:val="24"/>
                <w:szCs w:val="24"/>
              </w:rPr>
              <w:t>谈判响应文件编写</w:t>
            </w:r>
          </w:p>
        </w:tc>
        <w:tc>
          <w:tcPr>
            <w:tcW w:w="5748" w:type="dxa"/>
            <w:noWrap w:val="0"/>
            <w:vAlign w:val="center"/>
          </w:tcPr>
          <w:p w14:paraId="0869599F">
            <w:pPr>
              <w:spacing w:line="360" w:lineRule="auto"/>
              <w:rPr>
                <w:rFonts w:hint="eastAsia" w:ascii="宋体" w:hAnsi="宋体" w:cs="宋体"/>
                <w:sz w:val="24"/>
                <w:szCs w:val="24"/>
              </w:rPr>
            </w:pPr>
            <w:r>
              <w:rPr>
                <w:rFonts w:hint="eastAsia" w:ascii="宋体" w:hAnsi="宋体" w:cs="宋体"/>
                <w:sz w:val="24"/>
                <w:szCs w:val="24"/>
              </w:rPr>
              <w:t>谈判响应文件按照竞争性谈判文件要求的格式编写及谈判响应文件的关键内容字迹清晰、可辨认的。</w:t>
            </w:r>
          </w:p>
        </w:tc>
      </w:tr>
      <w:tr w14:paraId="1594B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778" w:type="dxa"/>
            <w:noWrap w:val="0"/>
            <w:vAlign w:val="center"/>
          </w:tcPr>
          <w:p w14:paraId="337CE073">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8</w:t>
            </w:r>
          </w:p>
        </w:tc>
        <w:tc>
          <w:tcPr>
            <w:tcW w:w="3150" w:type="dxa"/>
            <w:noWrap w:val="0"/>
            <w:vAlign w:val="center"/>
          </w:tcPr>
          <w:p w14:paraId="68AAE8A1">
            <w:pPr>
              <w:jc w:val="center"/>
              <w:rPr>
                <w:rFonts w:hint="eastAsia" w:ascii="宋体" w:hAnsi="宋体" w:cs="宋体"/>
                <w:sz w:val="24"/>
                <w:szCs w:val="24"/>
              </w:rPr>
            </w:pPr>
            <w:r>
              <w:rPr>
                <w:rFonts w:hint="eastAsia" w:ascii="宋体" w:hAnsi="宋体" w:cs="宋体"/>
                <w:sz w:val="24"/>
                <w:szCs w:val="24"/>
              </w:rPr>
              <w:t>虚假材料</w:t>
            </w:r>
          </w:p>
        </w:tc>
        <w:tc>
          <w:tcPr>
            <w:tcW w:w="5748" w:type="dxa"/>
            <w:noWrap w:val="0"/>
            <w:vAlign w:val="center"/>
          </w:tcPr>
          <w:p w14:paraId="2C5080A6">
            <w:pPr>
              <w:rPr>
                <w:rFonts w:hint="eastAsia" w:ascii="宋体" w:hAnsi="宋体" w:cs="宋体"/>
                <w:sz w:val="24"/>
                <w:szCs w:val="24"/>
              </w:rPr>
            </w:pPr>
            <w:r>
              <w:rPr>
                <w:rFonts w:hint="eastAsia" w:ascii="宋体" w:hAnsi="宋体" w:cs="宋体"/>
                <w:sz w:val="24"/>
                <w:szCs w:val="24"/>
              </w:rPr>
              <w:t>未提供虚假证明（包括第三方提供的虚假证明），未开具虚假资质，未出现虚假应答。</w:t>
            </w:r>
          </w:p>
        </w:tc>
      </w:tr>
      <w:tr w14:paraId="7B36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778" w:type="dxa"/>
            <w:noWrap w:val="0"/>
            <w:vAlign w:val="center"/>
          </w:tcPr>
          <w:p w14:paraId="64423608">
            <w:pPr>
              <w:jc w:val="center"/>
              <w:rPr>
                <w:rFonts w:hint="eastAsia" w:ascii="宋体" w:hAnsi="宋体" w:eastAsia="宋体" w:cs="宋体"/>
                <w:sz w:val="24"/>
                <w:szCs w:val="24"/>
                <w:lang w:eastAsia="zh-CN"/>
              </w:rPr>
            </w:pPr>
            <w:r>
              <w:rPr>
                <w:rFonts w:hint="eastAsia" w:ascii="宋体" w:hAnsi="宋体" w:cs="宋体"/>
                <w:sz w:val="24"/>
                <w:szCs w:val="24"/>
                <w:lang w:val="en-US" w:eastAsia="zh-CN"/>
              </w:rPr>
              <w:t>9</w:t>
            </w:r>
          </w:p>
        </w:tc>
        <w:tc>
          <w:tcPr>
            <w:tcW w:w="3150" w:type="dxa"/>
            <w:noWrap w:val="0"/>
            <w:vAlign w:val="center"/>
          </w:tcPr>
          <w:p w14:paraId="0A9A6787">
            <w:pPr>
              <w:jc w:val="center"/>
              <w:rPr>
                <w:rFonts w:hint="eastAsia" w:ascii="宋体" w:hAnsi="宋体" w:cs="宋体"/>
                <w:sz w:val="24"/>
                <w:szCs w:val="24"/>
              </w:rPr>
            </w:pPr>
            <w:r>
              <w:rPr>
                <w:rFonts w:hint="eastAsia" w:ascii="宋体" w:hAnsi="宋体" w:cs="宋体"/>
                <w:sz w:val="24"/>
                <w:szCs w:val="24"/>
              </w:rPr>
              <w:t>实质性条款响应</w:t>
            </w:r>
          </w:p>
        </w:tc>
        <w:tc>
          <w:tcPr>
            <w:tcW w:w="5748" w:type="dxa"/>
            <w:noWrap w:val="0"/>
            <w:vAlign w:val="center"/>
          </w:tcPr>
          <w:p w14:paraId="23551260">
            <w:pPr>
              <w:rPr>
                <w:rFonts w:hint="eastAsia" w:ascii="宋体" w:hAnsi="宋体" w:cs="宋体"/>
                <w:sz w:val="24"/>
                <w:szCs w:val="24"/>
              </w:rPr>
            </w:pPr>
            <w:r>
              <w:rPr>
                <w:rFonts w:hint="eastAsia" w:ascii="宋体" w:hAnsi="宋体" w:cs="宋体"/>
                <w:sz w:val="24"/>
                <w:szCs w:val="24"/>
              </w:rPr>
              <w:t>对竞争性谈判文件做出了实质性响应没有重大缺项漏项,无明显不符合技术规格、技术标准的要求的。</w:t>
            </w:r>
          </w:p>
        </w:tc>
      </w:tr>
      <w:tr w14:paraId="66D8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778" w:type="dxa"/>
            <w:noWrap w:val="0"/>
            <w:vAlign w:val="center"/>
          </w:tcPr>
          <w:p w14:paraId="6627DC03">
            <w:pPr>
              <w:jc w:val="center"/>
              <w:rPr>
                <w:rFonts w:hint="eastAsia" w:ascii="宋体" w:hAnsi="宋体" w:eastAsia="宋体" w:cs="宋体"/>
                <w:sz w:val="24"/>
                <w:szCs w:val="24"/>
                <w:lang w:eastAsia="zh-CN"/>
              </w:rPr>
            </w:pPr>
            <w:r>
              <w:rPr>
                <w:rFonts w:hint="eastAsia" w:ascii="宋体" w:hAnsi="宋体" w:cs="宋体"/>
                <w:sz w:val="24"/>
                <w:szCs w:val="24"/>
              </w:rPr>
              <w:t>1</w:t>
            </w:r>
            <w:r>
              <w:rPr>
                <w:rFonts w:hint="eastAsia" w:ascii="宋体" w:hAnsi="宋体" w:cs="宋体"/>
                <w:sz w:val="24"/>
                <w:szCs w:val="24"/>
                <w:lang w:val="en-US" w:eastAsia="zh-CN"/>
              </w:rPr>
              <w:t>0</w:t>
            </w:r>
          </w:p>
        </w:tc>
        <w:tc>
          <w:tcPr>
            <w:tcW w:w="3150" w:type="dxa"/>
            <w:noWrap w:val="0"/>
            <w:vAlign w:val="center"/>
          </w:tcPr>
          <w:p w14:paraId="37F046C3">
            <w:pPr>
              <w:jc w:val="center"/>
              <w:rPr>
                <w:rFonts w:hint="eastAsia" w:ascii="宋体" w:hAnsi="宋体" w:cs="宋体"/>
                <w:sz w:val="24"/>
                <w:szCs w:val="24"/>
              </w:rPr>
            </w:pPr>
            <w:r>
              <w:rPr>
                <w:rFonts w:hint="eastAsia" w:ascii="宋体" w:hAnsi="宋体" w:cs="宋体"/>
                <w:sz w:val="24"/>
                <w:szCs w:val="24"/>
              </w:rPr>
              <w:t>商务要求</w:t>
            </w:r>
          </w:p>
        </w:tc>
        <w:tc>
          <w:tcPr>
            <w:tcW w:w="5748" w:type="dxa"/>
            <w:noWrap w:val="0"/>
            <w:vAlign w:val="center"/>
          </w:tcPr>
          <w:p w14:paraId="76F65EEB">
            <w:pPr>
              <w:rPr>
                <w:rFonts w:hint="eastAsia" w:ascii="宋体" w:hAnsi="宋体" w:cs="宋体"/>
                <w:sz w:val="24"/>
                <w:szCs w:val="24"/>
              </w:rPr>
            </w:pPr>
            <w:r>
              <w:rPr>
                <w:rFonts w:hint="eastAsia" w:ascii="宋体" w:hAnsi="宋体" w:cs="宋体"/>
                <w:sz w:val="24"/>
                <w:szCs w:val="24"/>
              </w:rPr>
              <w:t>商务要求逐条响应并满足竞争性谈判文件要求。</w:t>
            </w:r>
          </w:p>
        </w:tc>
      </w:tr>
      <w:tr w14:paraId="08B0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778" w:type="dxa"/>
            <w:noWrap w:val="0"/>
            <w:vAlign w:val="center"/>
          </w:tcPr>
          <w:p w14:paraId="7EFAFED9">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11</w:t>
            </w:r>
          </w:p>
        </w:tc>
        <w:tc>
          <w:tcPr>
            <w:tcW w:w="3150" w:type="dxa"/>
            <w:noWrap w:val="0"/>
            <w:vAlign w:val="center"/>
          </w:tcPr>
          <w:p w14:paraId="3B1271B6">
            <w:pPr>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响应方案</w:t>
            </w:r>
          </w:p>
        </w:tc>
        <w:tc>
          <w:tcPr>
            <w:tcW w:w="5748" w:type="dxa"/>
            <w:noWrap w:val="0"/>
            <w:vAlign w:val="center"/>
          </w:tcPr>
          <w:p w14:paraId="5FEE5492">
            <w:pPr>
              <w:spacing w:line="360" w:lineRule="auto"/>
              <w:rPr>
                <w:rFonts w:hint="eastAsia" w:ascii="宋体" w:hAnsi="宋体" w:cs="宋体"/>
                <w:color w:val="auto"/>
                <w:sz w:val="24"/>
                <w:szCs w:val="24"/>
              </w:rPr>
            </w:pPr>
            <w:r>
              <w:rPr>
                <w:rFonts w:hint="eastAsia" w:ascii="宋体" w:hAnsi="宋体" w:cs="宋体"/>
                <w:color w:val="auto"/>
                <w:sz w:val="24"/>
                <w:szCs w:val="24"/>
              </w:rPr>
              <w:t>1、供应商企业简介；</w:t>
            </w:r>
          </w:p>
          <w:p w14:paraId="6158B554">
            <w:pPr>
              <w:spacing w:line="360" w:lineRule="auto"/>
              <w:rPr>
                <w:rFonts w:ascii="宋体" w:hAnsi="宋体" w:cs="宋体"/>
                <w:color w:val="auto"/>
                <w:sz w:val="24"/>
                <w:szCs w:val="24"/>
              </w:rPr>
            </w:pPr>
            <w:r>
              <w:rPr>
                <w:rFonts w:hint="eastAsia" w:ascii="宋体" w:hAnsi="宋体" w:cs="宋体"/>
                <w:color w:val="auto"/>
                <w:sz w:val="24"/>
                <w:szCs w:val="24"/>
              </w:rPr>
              <w:t>2、供货</w:t>
            </w:r>
            <w:r>
              <w:rPr>
                <w:rFonts w:hint="eastAsia" w:ascii="宋体" w:hAnsi="宋体" w:cs="宋体"/>
                <w:color w:val="auto"/>
                <w:sz w:val="24"/>
                <w:szCs w:val="24"/>
                <w:lang w:val="en-US" w:eastAsia="zh-CN"/>
              </w:rPr>
              <w:t>及安装调试</w:t>
            </w:r>
            <w:r>
              <w:rPr>
                <w:rFonts w:hint="eastAsia" w:ascii="宋体" w:hAnsi="宋体" w:cs="宋体"/>
                <w:color w:val="auto"/>
                <w:sz w:val="24"/>
                <w:szCs w:val="24"/>
              </w:rPr>
              <w:t>方案；</w:t>
            </w:r>
          </w:p>
          <w:p w14:paraId="60747201">
            <w:pPr>
              <w:spacing w:line="360" w:lineRule="auto"/>
              <w:rPr>
                <w:rFonts w:ascii="宋体" w:hAnsi="宋体" w:cs="宋体"/>
                <w:color w:val="auto"/>
                <w:sz w:val="24"/>
                <w:szCs w:val="24"/>
              </w:rPr>
            </w:pPr>
            <w:r>
              <w:rPr>
                <w:rFonts w:hint="eastAsia" w:ascii="宋体" w:hAnsi="宋体" w:cs="宋体"/>
                <w:color w:val="auto"/>
                <w:sz w:val="24"/>
                <w:szCs w:val="24"/>
              </w:rPr>
              <w:t>3、质量保证、售后服务计划及应急承诺；</w:t>
            </w:r>
          </w:p>
          <w:p w14:paraId="1093E3D7">
            <w:pPr>
              <w:spacing w:line="360" w:lineRule="auto"/>
              <w:rPr>
                <w:rFonts w:hint="eastAsia" w:ascii="宋体" w:hAnsi="宋体" w:cs="宋体"/>
                <w:color w:val="auto"/>
                <w:sz w:val="24"/>
                <w:szCs w:val="24"/>
              </w:rPr>
            </w:pPr>
            <w:r>
              <w:rPr>
                <w:rFonts w:hint="eastAsia" w:ascii="宋体" w:hAnsi="宋体" w:cs="宋体"/>
                <w:color w:val="auto"/>
                <w:sz w:val="24"/>
                <w:szCs w:val="24"/>
              </w:rPr>
              <w:t>4、投标供应商商务投标响应与合同条款说明；</w:t>
            </w:r>
          </w:p>
          <w:p w14:paraId="1464CD38">
            <w:pPr>
              <w:spacing w:line="360" w:lineRule="auto"/>
              <w:rPr>
                <w:rFonts w:hint="eastAsia" w:ascii="宋体" w:hAnsi="宋体" w:cs="宋体"/>
                <w:color w:val="auto"/>
                <w:sz w:val="24"/>
                <w:szCs w:val="24"/>
              </w:rPr>
            </w:pPr>
            <w:r>
              <w:rPr>
                <w:rFonts w:hint="eastAsia" w:ascii="宋体" w:hAnsi="宋体" w:cs="宋体"/>
                <w:color w:val="auto"/>
                <w:sz w:val="24"/>
                <w:szCs w:val="24"/>
              </w:rPr>
              <w:t>5、谈判文件及投标供应商其他有必要说明的问题。</w:t>
            </w:r>
          </w:p>
        </w:tc>
      </w:tr>
      <w:tr w14:paraId="0D41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778" w:type="dxa"/>
            <w:noWrap w:val="0"/>
            <w:vAlign w:val="center"/>
          </w:tcPr>
          <w:p w14:paraId="6D20C913">
            <w:pPr>
              <w:jc w:val="center"/>
              <w:rPr>
                <w:rFonts w:hint="default" w:ascii="宋体" w:hAnsi="宋体" w:cs="宋体"/>
                <w:sz w:val="24"/>
                <w:szCs w:val="24"/>
                <w:lang w:val="en-US" w:eastAsia="zh-CN"/>
              </w:rPr>
            </w:pPr>
            <w:r>
              <w:rPr>
                <w:rFonts w:hint="eastAsia" w:ascii="宋体" w:hAnsi="宋体" w:cs="宋体"/>
                <w:sz w:val="24"/>
                <w:szCs w:val="24"/>
                <w:lang w:val="en-US" w:eastAsia="zh-CN"/>
              </w:rPr>
              <w:t>12</w:t>
            </w:r>
          </w:p>
        </w:tc>
        <w:tc>
          <w:tcPr>
            <w:tcW w:w="3150" w:type="dxa"/>
            <w:noWrap w:val="0"/>
            <w:vAlign w:val="center"/>
          </w:tcPr>
          <w:p w14:paraId="0BC2BB4C">
            <w:pPr>
              <w:jc w:val="center"/>
              <w:rPr>
                <w:rFonts w:hint="eastAsia" w:ascii="宋体" w:hAnsi="宋体" w:cs="宋体"/>
                <w:kern w:val="2"/>
                <w:sz w:val="24"/>
                <w:szCs w:val="24"/>
                <w:lang w:val="en-US" w:eastAsia="zh-CN" w:bidi="ar-SA"/>
              </w:rPr>
            </w:pPr>
            <w:r>
              <w:rPr>
                <w:rFonts w:hint="eastAsia" w:ascii="宋体" w:hAnsi="宋体" w:cs="宋体"/>
                <w:sz w:val="24"/>
                <w:szCs w:val="24"/>
              </w:rPr>
              <w:t>其他要求</w:t>
            </w:r>
          </w:p>
        </w:tc>
        <w:tc>
          <w:tcPr>
            <w:tcW w:w="5748" w:type="dxa"/>
            <w:noWrap w:val="0"/>
            <w:vAlign w:val="center"/>
          </w:tcPr>
          <w:p w14:paraId="3A38EF46">
            <w:pPr>
              <w:spacing w:line="360" w:lineRule="auto"/>
              <w:rPr>
                <w:rFonts w:hint="eastAsia" w:ascii="宋体" w:hAnsi="宋体" w:cs="宋体"/>
                <w:kern w:val="2"/>
                <w:sz w:val="24"/>
                <w:szCs w:val="24"/>
                <w:lang w:val="en-US" w:eastAsia="zh-CN" w:bidi="ar-SA"/>
              </w:rPr>
            </w:pPr>
            <w:r>
              <w:rPr>
                <w:rFonts w:hint="eastAsia" w:ascii="宋体" w:hAnsi="宋体" w:cs="宋体"/>
                <w:sz w:val="24"/>
                <w:szCs w:val="24"/>
              </w:rPr>
              <w:t>完全理解并接受法律法规和谈判文件对供应商的各项须知、规约要求和责任义务，没有出现法律法规或谈判文件明确规定的其他被视为“无效响应”的情形。</w:t>
            </w:r>
          </w:p>
        </w:tc>
      </w:tr>
    </w:tbl>
    <w:p w14:paraId="0801ED53">
      <w:pPr>
        <w:spacing w:line="480" w:lineRule="auto"/>
        <w:ind w:firstLine="482" w:firstLineChars="200"/>
        <w:rPr>
          <w:rFonts w:hint="eastAsia" w:ascii="宋体" w:hAnsi="宋体" w:cs="宋体"/>
          <w:b/>
          <w:bCs/>
          <w:sz w:val="24"/>
          <w:szCs w:val="24"/>
        </w:rPr>
      </w:pPr>
      <w:r>
        <w:rPr>
          <w:rFonts w:hint="eastAsia" w:ascii="宋体" w:hAnsi="宋体" w:cs="宋体"/>
          <w:b/>
          <w:bCs/>
          <w:sz w:val="24"/>
          <w:szCs w:val="24"/>
        </w:rPr>
        <w:t>4、谈判响应文件的澄清</w:t>
      </w:r>
    </w:p>
    <w:p w14:paraId="4F711DDD">
      <w:pPr>
        <w:spacing w:line="360" w:lineRule="auto"/>
        <w:ind w:firstLine="480" w:firstLineChars="200"/>
        <w:rPr>
          <w:rFonts w:hint="eastAsia" w:ascii="宋体" w:hAnsi="宋体" w:cs="宋体"/>
          <w:sz w:val="24"/>
          <w:szCs w:val="24"/>
        </w:rPr>
      </w:pPr>
      <w:r>
        <w:rPr>
          <w:rFonts w:hint="eastAsia" w:ascii="宋体" w:hAnsi="宋体" w:cs="宋体"/>
          <w:sz w:val="24"/>
          <w:szCs w:val="24"/>
        </w:rPr>
        <w:t>（1）谈判小组在对谈判响应文件的有效性、完整性和响应程度进行审查时，可以要求供应商对谈判响应文件中含义不明确、同类问题表述不一致或者有明显文字和计算错误的内容等做出必要的澄清、说明或者补正。</w:t>
      </w:r>
    </w:p>
    <w:p w14:paraId="5728AD36">
      <w:pPr>
        <w:spacing w:line="360" w:lineRule="auto"/>
        <w:ind w:firstLine="480" w:firstLineChars="200"/>
        <w:rPr>
          <w:rFonts w:hint="eastAsia" w:ascii="宋体" w:hAnsi="宋体" w:cs="宋体"/>
          <w:sz w:val="24"/>
          <w:szCs w:val="24"/>
        </w:rPr>
      </w:pPr>
      <w:r>
        <w:rPr>
          <w:rFonts w:hint="eastAsia" w:ascii="宋体" w:hAnsi="宋体" w:cs="宋体"/>
          <w:sz w:val="24"/>
          <w:szCs w:val="24"/>
        </w:rPr>
        <w:t>（2）依照民法中的过失责任原则，澄清、说明或补正前谈判小组将按最不利于供应商的原则对谈判响应文件做出评判。</w:t>
      </w:r>
    </w:p>
    <w:p w14:paraId="75166FCC">
      <w:pPr>
        <w:spacing w:line="360" w:lineRule="auto"/>
        <w:ind w:firstLine="480" w:firstLineChars="200"/>
        <w:rPr>
          <w:rFonts w:hint="eastAsia" w:ascii="宋体" w:hAnsi="宋体" w:cs="宋体"/>
          <w:sz w:val="24"/>
          <w:szCs w:val="24"/>
        </w:rPr>
      </w:pPr>
      <w:r>
        <w:rPr>
          <w:rFonts w:hint="eastAsia" w:ascii="宋体" w:hAnsi="宋体" w:cs="宋体"/>
          <w:sz w:val="24"/>
          <w:szCs w:val="24"/>
        </w:rPr>
        <w:t>（3）谈判小组要求供应商澄清、说明或者补正谈判响应文件应通过书面形式通知供应商。供应商应当在规定的澄清时限内按谈判小组要求的方式提交。</w:t>
      </w:r>
    </w:p>
    <w:p w14:paraId="06298597">
      <w:pPr>
        <w:spacing w:line="360" w:lineRule="auto"/>
        <w:ind w:firstLine="480" w:firstLineChars="200"/>
        <w:rPr>
          <w:rFonts w:hint="eastAsia" w:ascii="宋体" w:hAnsi="宋体" w:cs="宋体"/>
          <w:sz w:val="24"/>
          <w:szCs w:val="24"/>
        </w:rPr>
      </w:pPr>
      <w:r>
        <w:rPr>
          <w:rFonts w:hint="eastAsia" w:ascii="宋体" w:hAnsi="宋体" w:cs="宋体"/>
          <w:sz w:val="24"/>
          <w:szCs w:val="24"/>
        </w:rPr>
        <w:t>（4）供应商的澄清、说明或者补正不得超出谈判响应文件的范围或者改变谈判响应文件的实质性内容。澄清、说明或者补正的内容将作为合同履行的重要依据。</w:t>
      </w:r>
    </w:p>
    <w:p w14:paraId="2255EF14">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5、谈判过程</w:t>
      </w:r>
    </w:p>
    <w:p w14:paraId="2C1E29C1">
      <w:pPr>
        <w:spacing w:line="360" w:lineRule="auto"/>
        <w:ind w:firstLine="480" w:firstLineChars="200"/>
        <w:rPr>
          <w:rFonts w:hint="eastAsia" w:ascii="宋体" w:hAnsi="宋体" w:cs="宋体"/>
          <w:sz w:val="24"/>
          <w:szCs w:val="24"/>
        </w:rPr>
      </w:pPr>
      <w:r>
        <w:rPr>
          <w:rFonts w:hint="eastAsia" w:ascii="宋体" w:hAnsi="宋体" w:cs="宋体"/>
          <w:sz w:val="24"/>
          <w:szCs w:val="24"/>
        </w:rPr>
        <w:t>谈判小组应在符合性评审的基础上对各供应商的响应文件认真阅读，谈判小组必须对响应文件的采购内容等有关要求和供应商一对一谈判。</w:t>
      </w:r>
    </w:p>
    <w:p w14:paraId="2203A8A1">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6、最终报价</w:t>
      </w:r>
    </w:p>
    <w:p w14:paraId="415B90C6">
      <w:pPr>
        <w:spacing w:line="360" w:lineRule="auto"/>
        <w:ind w:firstLine="480" w:firstLineChars="200"/>
        <w:rPr>
          <w:rFonts w:hint="eastAsia" w:ascii="宋体" w:hAnsi="宋体" w:cs="宋体"/>
          <w:sz w:val="24"/>
          <w:szCs w:val="24"/>
        </w:rPr>
      </w:pPr>
      <w:r>
        <w:rPr>
          <w:rFonts w:hint="eastAsia" w:ascii="宋体" w:hAnsi="宋体" w:cs="宋体"/>
          <w:sz w:val="24"/>
          <w:szCs w:val="24"/>
        </w:rPr>
        <w:t>资格性审查和符合性审查通过的供应商进入最终报价阶段。最终报价是供应商响应文件的有效组成部分。（最后报价相同时，可进行多次报价）</w:t>
      </w:r>
    </w:p>
    <w:p w14:paraId="10D7A789">
      <w:pPr>
        <w:spacing w:line="360" w:lineRule="auto"/>
        <w:ind w:firstLine="480" w:firstLineChars="200"/>
        <w:rPr>
          <w:rFonts w:hint="eastAsia" w:ascii="宋体" w:hAnsi="宋体" w:cs="宋体"/>
          <w:sz w:val="24"/>
          <w:szCs w:val="24"/>
        </w:rPr>
      </w:pPr>
      <w:r>
        <w:rPr>
          <w:rFonts w:hint="eastAsia" w:ascii="宋体" w:hAnsi="宋体" w:cs="宋体"/>
          <w:sz w:val="24"/>
          <w:szCs w:val="24"/>
        </w:rPr>
        <w:t>供应商在线进行最终报价。对成交供应商的最终报价出现明显低于或高于同业同期市场平均价的情形时，谈判小组应当在评审意见中详细说明推荐理由。</w:t>
      </w:r>
    </w:p>
    <w:p w14:paraId="545C54DB">
      <w:pPr>
        <w:spacing w:line="360" w:lineRule="auto"/>
        <w:ind w:firstLine="480" w:firstLineChars="200"/>
        <w:rPr>
          <w:rFonts w:hint="eastAsia" w:ascii="宋体" w:hAnsi="宋体" w:cs="宋体"/>
          <w:sz w:val="24"/>
          <w:szCs w:val="24"/>
        </w:rPr>
      </w:pPr>
      <w:r>
        <w:rPr>
          <w:rFonts w:hint="eastAsia" w:ascii="宋体" w:hAnsi="宋体" w:cs="宋体"/>
          <w:sz w:val="24"/>
          <w:szCs w:val="24"/>
        </w:rPr>
        <w:t>谈判小组应审查供应商是否具备“落实政府采购政策”的资格，如不符合相关文件要求或供应商未提供相关声明或证明材料，供应商不可以享受价格折扣优惠政策。</w:t>
      </w:r>
    </w:p>
    <w:p w14:paraId="4AB1CB15">
      <w:pPr>
        <w:spacing w:line="360" w:lineRule="auto"/>
        <w:ind w:firstLine="480" w:firstLineChars="200"/>
        <w:rPr>
          <w:rFonts w:hint="eastAsia" w:ascii="宋体" w:hAnsi="宋体" w:cs="宋体"/>
          <w:sz w:val="24"/>
          <w:szCs w:val="24"/>
        </w:rPr>
      </w:pPr>
      <w:r>
        <w:rPr>
          <w:rFonts w:hint="eastAsia" w:ascii="宋体" w:hAnsi="宋体" w:cs="宋体"/>
          <w:sz w:val="24"/>
          <w:szCs w:val="24"/>
        </w:rPr>
        <w:t>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0B82695E">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7、推荐成交候选人</w:t>
      </w:r>
    </w:p>
    <w:p w14:paraId="18AAF769">
      <w:pPr>
        <w:spacing w:line="360" w:lineRule="auto"/>
        <w:ind w:firstLine="480" w:firstLineChars="200"/>
        <w:rPr>
          <w:rFonts w:hint="eastAsia" w:ascii="宋体" w:hAnsi="宋体" w:cs="宋体"/>
          <w:sz w:val="24"/>
          <w:szCs w:val="24"/>
        </w:rPr>
      </w:pPr>
      <w:r>
        <w:rPr>
          <w:rFonts w:hint="eastAsia" w:ascii="宋体" w:hAnsi="宋体" w:cs="宋体"/>
          <w:sz w:val="24"/>
          <w:szCs w:val="24"/>
        </w:rPr>
        <w:t>经过最后报价，谈判小组按上述规则对最后报价做必要的价格扣除，按扣除后的价格由低到高的顺序推荐</w:t>
      </w:r>
      <w:bookmarkStart w:id="487" w:name="■Finalists_CH2_A■"/>
      <w:r>
        <w:rPr>
          <w:rFonts w:hint="eastAsia" w:ascii="宋体" w:hAnsi="宋体" w:cs="宋体"/>
          <w:sz w:val="24"/>
          <w:szCs w:val="24"/>
        </w:rPr>
        <w:t>三名</w:t>
      </w:r>
      <w:bookmarkEnd w:id="487"/>
      <w:r>
        <w:rPr>
          <w:rFonts w:hint="eastAsia" w:ascii="宋体" w:hAnsi="宋体" w:cs="宋体"/>
          <w:sz w:val="24"/>
          <w:szCs w:val="24"/>
        </w:rPr>
        <w:t>成交候选人。</w:t>
      </w:r>
    </w:p>
    <w:p w14:paraId="5F3C78AD">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8、编写评审报告</w:t>
      </w:r>
    </w:p>
    <w:p w14:paraId="79148F31">
      <w:pPr>
        <w:spacing w:line="360" w:lineRule="auto"/>
        <w:ind w:firstLine="480" w:firstLineChars="200"/>
        <w:rPr>
          <w:rFonts w:hint="eastAsia" w:ascii="宋体" w:hAnsi="宋体" w:cs="宋体"/>
          <w:sz w:val="24"/>
          <w:szCs w:val="24"/>
        </w:rPr>
      </w:pPr>
      <w:r>
        <w:rPr>
          <w:rFonts w:hint="eastAsia" w:ascii="宋体" w:hAnsi="宋体" w:cs="宋体"/>
          <w:sz w:val="24"/>
          <w:szCs w:val="24"/>
        </w:rPr>
        <w:t>（1）谈判小组应根据全体评审成员签字的原始评审记录和评审结果编写评审报告。评审报告应包括：谈判公告刊登的媒体名称、开标日期和地点；供应商名单和谈判小组成员名单；评审方法和标准；开标记录和评审情况及说明，包括无效供应商名单及原因；评审结果，确定的成交候选人名单或者经采购人委托直接确定的成交人；其他需要说明的情况，包括评审过程中供应商根据谈判小组要求进行的澄清、说明或者补正，谈判小组成员的更换等。</w:t>
      </w:r>
    </w:p>
    <w:p w14:paraId="672E5F14">
      <w:pPr>
        <w:spacing w:line="360" w:lineRule="auto"/>
        <w:ind w:firstLine="480" w:firstLineChars="200"/>
        <w:rPr>
          <w:rFonts w:hint="eastAsia" w:ascii="宋体" w:hAnsi="宋体" w:cs="宋体"/>
          <w:sz w:val="24"/>
          <w:szCs w:val="24"/>
        </w:rPr>
      </w:pPr>
      <w:r>
        <w:rPr>
          <w:rFonts w:hint="eastAsia" w:ascii="宋体" w:hAnsi="宋体" w:cs="宋体"/>
          <w:sz w:val="24"/>
          <w:szCs w:val="24"/>
        </w:rPr>
        <w:t>（2）谈判小组成员对需要共同认定的事项存在争议的，应当按照少数服从多数的原则做出结论。持不同意见的谈判小组成员应当在评审报告上签署不同意见及理由，否则视为同意评审报告。对拒绝说明理由的，报市财政局处理，并将其评审情况如实计入考核表。</w:t>
      </w:r>
    </w:p>
    <w:p w14:paraId="16FFBC68">
      <w:pPr>
        <w:spacing w:line="360" w:lineRule="auto"/>
        <w:rPr>
          <w:rFonts w:hint="eastAsia" w:ascii="宋体" w:hAnsi="宋体" w:cs="宋体"/>
          <w:sz w:val="24"/>
          <w:szCs w:val="24"/>
        </w:rPr>
      </w:pPr>
      <w:r>
        <w:rPr>
          <w:rFonts w:hint="eastAsia" w:ascii="宋体" w:hAnsi="宋体" w:cs="宋体"/>
          <w:b/>
          <w:bCs/>
          <w:sz w:val="24"/>
          <w:szCs w:val="24"/>
        </w:rPr>
        <w:t>三、成交：</w:t>
      </w:r>
    </w:p>
    <w:p w14:paraId="64DD27AA">
      <w:pPr>
        <w:spacing w:line="360" w:lineRule="auto"/>
        <w:ind w:firstLine="480" w:firstLineChars="200"/>
        <w:rPr>
          <w:rFonts w:hint="eastAsia" w:ascii="宋体" w:hAnsi="宋体" w:cs="宋体"/>
          <w:sz w:val="24"/>
          <w:szCs w:val="24"/>
        </w:rPr>
      </w:pPr>
      <w:r>
        <w:rPr>
          <w:rFonts w:hint="eastAsia" w:ascii="宋体" w:hAnsi="宋体" w:cs="宋体"/>
          <w:sz w:val="24"/>
          <w:szCs w:val="24"/>
        </w:rPr>
        <w:t>1、采购代理机构在评审工作结束后2个工作日内将评审报告送采购人。</w:t>
      </w:r>
    </w:p>
    <w:p w14:paraId="3FC83B35">
      <w:pPr>
        <w:spacing w:line="360" w:lineRule="auto"/>
        <w:ind w:firstLine="480" w:firstLineChars="200"/>
        <w:rPr>
          <w:rFonts w:hint="eastAsia" w:ascii="宋体" w:hAnsi="宋体" w:cs="宋体"/>
          <w:sz w:val="24"/>
          <w:szCs w:val="24"/>
        </w:rPr>
      </w:pPr>
      <w:r>
        <w:rPr>
          <w:rFonts w:hint="eastAsia" w:ascii="宋体" w:hAnsi="宋体" w:cs="宋体"/>
          <w:sz w:val="24"/>
          <w:szCs w:val="24"/>
        </w:rPr>
        <w:t>2、采购人在收到评审报告之日起5个工作日内，在评审报告确定的成交候选人名单中按顺序确定成交供应商。</w:t>
      </w:r>
    </w:p>
    <w:p w14:paraId="78FF1D46">
      <w:pPr>
        <w:spacing w:line="360" w:lineRule="auto"/>
        <w:ind w:firstLine="480" w:firstLineChars="200"/>
        <w:rPr>
          <w:rFonts w:hint="eastAsia" w:ascii="宋体" w:hAnsi="宋体" w:cs="宋体"/>
          <w:sz w:val="24"/>
          <w:szCs w:val="24"/>
        </w:rPr>
      </w:pPr>
      <w:r>
        <w:rPr>
          <w:rFonts w:hint="eastAsia" w:ascii="宋体" w:hAnsi="宋体" w:cs="宋体"/>
          <w:sz w:val="24"/>
          <w:szCs w:val="24"/>
        </w:rPr>
        <w:t>采购人在收到评审报告5个工作日内未按评审报告推荐的成交候选人顺序确定成交供应商，又不能说明合法理由的，视同按评审报告推荐的顺序确定成交供应商，采购代理机构将发布成交公告。</w:t>
      </w:r>
    </w:p>
    <w:p w14:paraId="0953315C">
      <w:pPr>
        <w:spacing w:line="360" w:lineRule="auto"/>
        <w:ind w:firstLine="480" w:firstLineChars="200"/>
        <w:rPr>
          <w:rFonts w:hint="eastAsia" w:ascii="宋体" w:hAnsi="宋体" w:cs="宋体"/>
          <w:sz w:val="24"/>
          <w:szCs w:val="24"/>
        </w:rPr>
      </w:pPr>
      <w:r>
        <w:rPr>
          <w:rFonts w:hint="eastAsia" w:ascii="宋体" w:hAnsi="宋体" w:cs="宋体"/>
          <w:sz w:val="24"/>
          <w:szCs w:val="24"/>
        </w:rPr>
        <w:t>3、采购代理机构将在成交供应商确定之日起2个工作日内，发布媒体为【</w:t>
      </w:r>
      <w:r>
        <w:rPr>
          <w:rFonts w:hint="eastAsia" w:ascii="宋体" w:hAnsi="宋体" w:cs="宋体"/>
          <w:sz w:val="24"/>
          <w:szCs w:val="24"/>
        </w:rPr>
        <w:fldChar w:fldCharType="begin"/>
      </w:r>
      <w:r>
        <w:rPr>
          <w:rFonts w:hint="eastAsia" w:ascii="宋体" w:hAnsi="宋体" w:cs="宋体"/>
          <w:sz w:val="24"/>
          <w:szCs w:val="24"/>
        </w:rPr>
        <w:instrText xml:space="preserve"> HYPERLINK "http://www.ccgp-shaanxi.gov.cn" </w:instrText>
      </w:r>
      <w:r>
        <w:rPr>
          <w:rFonts w:hint="eastAsia" w:ascii="宋体" w:hAnsi="宋体" w:cs="宋体"/>
          <w:sz w:val="24"/>
          <w:szCs w:val="24"/>
        </w:rPr>
        <w:fldChar w:fldCharType="separate"/>
      </w:r>
      <w:r>
        <w:rPr>
          <w:rFonts w:hint="eastAsia" w:ascii="宋体" w:hAnsi="宋体" w:cs="宋体"/>
          <w:sz w:val="24"/>
          <w:szCs w:val="24"/>
        </w:rPr>
        <w:t>陕西省政府采购网</w:t>
      </w:r>
      <w:r>
        <w:rPr>
          <w:rFonts w:hint="eastAsia" w:ascii="宋体" w:hAnsi="宋体" w:cs="宋体"/>
          <w:sz w:val="24"/>
          <w:szCs w:val="24"/>
        </w:rPr>
        <w:fldChar w:fldCharType="end"/>
      </w:r>
      <w:r>
        <w:rPr>
          <w:rFonts w:hint="eastAsia" w:ascii="宋体" w:hAnsi="宋体" w:cs="宋体"/>
          <w:sz w:val="24"/>
          <w:szCs w:val="24"/>
        </w:rPr>
        <w:t>（www.ccgp-shaanxi.gov.cn）】、【全国公共资源交易平台（陕西省）（http://www.sxggzyjy.cn/）】上公告成交结果。</w:t>
      </w:r>
    </w:p>
    <w:p w14:paraId="08187CFB">
      <w:pPr>
        <w:spacing w:line="360" w:lineRule="auto"/>
        <w:ind w:firstLine="480" w:firstLineChars="200"/>
        <w:rPr>
          <w:rFonts w:hint="eastAsia" w:ascii="宋体" w:hAnsi="宋体" w:cs="宋体"/>
          <w:sz w:val="24"/>
          <w:szCs w:val="24"/>
        </w:rPr>
      </w:pPr>
      <w:r>
        <w:rPr>
          <w:rFonts w:hint="eastAsia" w:ascii="宋体" w:hAnsi="宋体" w:cs="宋体"/>
          <w:sz w:val="24"/>
          <w:szCs w:val="24"/>
        </w:rPr>
        <w:t>成交公告期限为1个工作日。</w:t>
      </w:r>
    </w:p>
    <w:p w14:paraId="24F1A5B0">
      <w:pPr>
        <w:spacing w:line="360" w:lineRule="auto"/>
        <w:ind w:firstLine="480" w:firstLineChars="200"/>
        <w:rPr>
          <w:rFonts w:hint="eastAsia" w:ascii="宋体" w:hAnsi="宋体" w:cs="宋体"/>
          <w:sz w:val="24"/>
          <w:szCs w:val="24"/>
        </w:rPr>
      </w:pPr>
      <w:r>
        <w:rPr>
          <w:rFonts w:hint="eastAsia" w:ascii="宋体" w:hAnsi="宋体" w:cs="宋体"/>
          <w:sz w:val="24"/>
          <w:szCs w:val="24"/>
        </w:rPr>
        <w:t>4、在公告成交结果的同时，采购代理机构向成交供应商发出成交通知书。</w:t>
      </w:r>
    </w:p>
    <w:p w14:paraId="2283F333">
      <w:pPr>
        <w:spacing w:line="360" w:lineRule="auto"/>
        <w:ind w:firstLine="480" w:firstLineChars="200"/>
        <w:rPr>
          <w:rFonts w:hint="eastAsia" w:ascii="宋体" w:hAnsi="宋体" w:cs="宋体"/>
          <w:sz w:val="24"/>
          <w:szCs w:val="24"/>
        </w:rPr>
      </w:pPr>
      <w:r>
        <w:rPr>
          <w:rFonts w:hint="eastAsia" w:ascii="宋体" w:hAnsi="宋体" w:cs="宋体"/>
          <w:sz w:val="24"/>
          <w:szCs w:val="24"/>
        </w:rPr>
        <w:t>5、成交通知书发出后，采购人不得违法改变成交结果，成交供应商无正当理由不得放弃成交。</w:t>
      </w:r>
    </w:p>
    <w:p w14:paraId="40D929E8">
      <w:pPr>
        <w:rPr>
          <w:rFonts w:hint="eastAsia"/>
        </w:rPr>
      </w:pPr>
    </w:p>
    <w:p w14:paraId="226367D9">
      <w:pPr>
        <w:rPr>
          <w:rFonts w:hint="eastAsia"/>
        </w:rPr>
      </w:pPr>
    </w:p>
    <w:p w14:paraId="384EF508">
      <w:pPr>
        <w:rPr>
          <w:rFonts w:hint="eastAsia"/>
        </w:rPr>
      </w:pPr>
    </w:p>
    <w:p w14:paraId="4BAB27B4">
      <w:pPr>
        <w:pStyle w:val="6"/>
        <w:rPr>
          <w:rFonts w:hint="eastAsia"/>
        </w:rPr>
      </w:pPr>
    </w:p>
    <w:p w14:paraId="4677C39A">
      <w:pPr>
        <w:rPr>
          <w:rFonts w:hint="eastAsia"/>
        </w:rPr>
      </w:pPr>
    </w:p>
    <w:p w14:paraId="5D5B0FD7">
      <w:pPr>
        <w:pStyle w:val="6"/>
        <w:rPr>
          <w:rFonts w:hint="eastAsia"/>
        </w:rPr>
      </w:pPr>
    </w:p>
    <w:p w14:paraId="244F0808">
      <w:pPr>
        <w:rPr>
          <w:rFonts w:hint="eastAsia"/>
        </w:rPr>
      </w:pPr>
    </w:p>
    <w:p w14:paraId="743164F4">
      <w:pPr>
        <w:pStyle w:val="6"/>
        <w:rPr>
          <w:rFonts w:hint="eastAsia"/>
        </w:rPr>
      </w:pPr>
    </w:p>
    <w:p w14:paraId="3127854D">
      <w:pPr>
        <w:spacing w:line="360" w:lineRule="auto"/>
        <w:rPr>
          <w:rFonts w:ascii="宋体" w:hAnsi="宋体" w:cs="宋体"/>
          <w:b/>
          <w:bCs/>
          <w:sz w:val="32"/>
          <w:szCs w:val="32"/>
        </w:rPr>
      </w:pPr>
    </w:p>
    <w:p w14:paraId="7EC2E08D">
      <w:pPr>
        <w:spacing w:line="360" w:lineRule="auto"/>
        <w:rPr>
          <w:rFonts w:ascii="宋体" w:hAnsi="宋体" w:cs="宋体"/>
          <w:b/>
          <w:bCs/>
          <w:sz w:val="32"/>
          <w:szCs w:val="32"/>
        </w:rPr>
      </w:pPr>
    </w:p>
    <w:p w14:paraId="6DD549CC">
      <w:pPr>
        <w:spacing w:line="360" w:lineRule="auto"/>
        <w:rPr>
          <w:rFonts w:ascii="宋体" w:hAnsi="宋体" w:cs="宋体"/>
          <w:b/>
          <w:bCs/>
          <w:sz w:val="32"/>
          <w:szCs w:val="32"/>
        </w:rPr>
      </w:pPr>
    </w:p>
    <w:p w14:paraId="25BBCB59">
      <w:pPr>
        <w:spacing w:line="360" w:lineRule="auto"/>
        <w:rPr>
          <w:rFonts w:ascii="宋体" w:hAnsi="宋体" w:cs="宋体"/>
          <w:b/>
          <w:bCs/>
          <w:sz w:val="32"/>
          <w:szCs w:val="32"/>
        </w:rPr>
      </w:pPr>
    </w:p>
    <w:p w14:paraId="4F43BE50">
      <w:pPr>
        <w:pStyle w:val="2"/>
        <w:jc w:val="center"/>
        <w:rPr>
          <w:rFonts w:hint="eastAsia"/>
          <w:sz w:val="40"/>
          <w:szCs w:val="18"/>
        </w:rPr>
        <w:sectPr>
          <w:headerReference r:id="rId17" w:type="first"/>
          <w:footerReference r:id="rId19" w:type="first"/>
          <w:headerReference r:id="rId16" w:type="default"/>
          <w:footerReference r:id="rId18" w:type="default"/>
          <w:footnotePr>
            <w:pos w:val="beneathText"/>
          </w:footnotePr>
          <w:pgSz w:w="11906" w:h="16838"/>
          <w:pgMar w:top="1701" w:right="1418" w:bottom="1701" w:left="1418" w:header="1091" w:footer="992" w:gutter="0"/>
          <w:cols w:space="720" w:num="1"/>
          <w:titlePg/>
          <w:docGrid w:type="lines" w:linePitch="312" w:charSpace="0"/>
        </w:sectPr>
      </w:pPr>
      <w:bookmarkStart w:id="488" w:name="_Toc9033"/>
      <w:bookmarkStart w:id="489" w:name="_Toc31238"/>
    </w:p>
    <w:p w14:paraId="2125ED4D">
      <w:pPr>
        <w:pStyle w:val="2"/>
        <w:jc w:val="center"/>
        <w:rPr>
          <w:sz w:val="40"/>
          <w:szCs w:val="18"/>
        </w:rPr>
      </w:pPr>
      <w:bookmarkStart w:id="490" w:name="_Toc13219"/>
      <w:r>
        <w:rPr>
          <w:rFonts w:hint="eastAsia"/>
          <w:sz w:val="40"/>
          <w:szCs w:val="18"/>
        </w:rPr>
        <w:t>第八部分  竞争性谈判响应文件格式</w:t>
      </w:r>
      <w:bookmarkEnd w:id="488"/>
      <w:bookmarkEnd w:id="489"/>
      <w:bookmarkEnd w:id="490"/>
    </w:p>
    <w:p w14:paraId="588F32BA">
      <w:pPr>
        <w:spacing w:line="360" w:lineRule="auto"/>
        <w:rPr>
          <w:rFonts w:ascii="宋体" w:hAnsi="宋体" w:cs="宋体"/>
          <w:bCs/>
          <w:sz w:val="28"/>
          <w:szCs w:val="28"/>
        </w:rPr>
      </w:pPr>
      <w:r>
        <w:rPr>
          <w:rFonts w:hint="eastAsia" w:ascii="宋体" w:hAnsi="宋体" w:cs="宋体"/>
          <w:b/>
          <w:bCs/>
          <w:sz w:val="32"/>
          <w:szCs w:val="32"/>
        </w:rPr>
        <w:t>（封面）</w:t>
      </w:r>
      <w:r>
        <w:rPr>
          <w:rFonts w:hint="eastAsia" w:ascii="宋体" w:hAnsi="宋体" w:cs="宋体"/>
          <w:b/>
          <w:bCs/>
          <w:sz w:val="24"/>
          <w:szCs w:val="24"/>
        </w:rPr>
        <w:t xml:space="preserve">                                                  </w:t>
      </w:r>
      <w:r>
        <w:rPr>
          <w:rFonts w:hint="eastAsia" w:ascii="宋体" w:hAnsi="宋体" w:cs="宋体"/>
          <w:b/>
          <w:kern w:val="0"/>
          <w:sz w:val="36"/>
          <w:szCs w:val="36"/>
          <w:bdr w:val="single" w:color="auto" w:sz="4" w:space="0"/>
        </w:rPr>
        <w:t>正/副本</w:t>
      </w:r>
    </w:p>
    <w:p w14:paraId="72E937D3">
      <w:pPr>
        <w:spacing w:line="360" w:lineRule="auto"/>
        <w:jc w:val="left"/>
        <w:rPr>
          <w:rFonts w:ascii="宋体" w:hAnsi="宋体" w:cs="宋体"/>
          <w:b/>
          <w:sz w:val="28"/>
          <w:szCs w:val="28"/>
        </w:rPr>
      </w:pPr>
      <w:r>
        <w:rPr>
          <w:rFonts w:hint="eastAsia" w:ascii="宋体" w:hAnsi="宋体" w:cs="宋体"/>
          <w:b/>
          <w:sz w:val="28"/>
          <w:szCs w:val="28"/>
        </w:rPr>
        <w:t>采购项目编号：</w:t>
      </w:r>
      <w:bookmarkEnd w:id="439"/>
    </w:p>
    <w:p w14:paraId="5625F97F"/>
    <w:p w14:paraId="447A7FB4">
      <w:pPr>
        <w:pStyle w:val="6"/>
      </w:pPr>
      <w:r>
        <w:rPr>
          <w:rFonts w:hint="eastAsia" w:ascii="宋体" w:hAnsi="宋体" w:cs="宋体"/>
          <w:b/>
          <w:bCs/>
          <w:spacing w:val="15"/>
          <w:sz w:val="48"/>
          <w:szCs w:val="48"/>
          <w:u w:val="single"/>
        </w:rPr>
        <w:t xml:space="preserve">           （项目名称）                            </w:t>
      </w:r>
    </w:p>
    <w:p w14:paraId="1A76E0F3"/>
    <w:p w14:paraId="38918985">
      <w:pPr>
        <w:spacing w:line="360" w:lineRule="auto"/>
        <w:jc w:val="center"/>
        <w:rPr>
          <w:rFonts w:hint="eastAsia" w:ascii="宋体" w:hAnsi="宋体" w:cs="宋体"/>
          <w:b/>
          <w:sz w:val="72"/>
          <w:szCs w:val="72"/>
        </w:rPr>
      </w:pPr>
    </w:p>
    <w:p w14:paraId="223E4532">
      <w:pPr>
        <w:spacing w:line="360" w:lineRule="auto"/>
        <w:jc w:val="center"/>
        <w:rPr>
          <w:rFonts w:hint="eastAsia" w:ascii="宋体" w:hAnsi="宋体" w:cs="宋体"/>
          <w:b/>
          <w:sz w:val="72"/>
          <w:szCs w:val="72"/>
        </w:rPr>
      </w:pPr>
    </w:p>
    <w:p w14:paraId="1750A3A4">
      <w:pPr>
        <w:spacing w:line="360" w:lineRule="auto"/>
        <w:jc w:val="center"/>
        <w:rPr>
          <w:rFonts w:ascii="宋体" w:hAnsi="宋体" w:cs="宋体"/>
          <w:b/>
          <w:sz w:val="24"/>
          <w:szCs w:val="24"/>
        </w:rPr>
      </w:pPr>
      <w:r>
        <w:rPr>
          <w:rFonts w:hint="eastAsia" w:ascii="宋体" w:hAnsi="宋体" w:cs="宋体"/>
          <w:b/>
          <w:sz w:val="72"/>
          <w:szCs w:val="72"/>
        </w:rPr>
        <w:t>竞争性谈判响应文件</w:t>
      </w:r>
      <w:r>
        <w:rPr>
          <w:rFonts w:hint="eastAsia" w:ascii="宋体" w:hAnsi="宋体" w:cs="宋体"/>
          <w:b/>
          <w:sz w:val="24"/>
          <w:szCs w:val="24"/>
        </w:rPr>
        <w:t xml:space="preserve"> </w:t>
      </w:r>
    </w:p>
    <w:p w14:paraId="5D327717">
      <w:pPr>
        <w:spacing w:line="360" w:lineRule="auto"/>
        <w:rPr>
          <w:rFonts w:ascii="宋体" w:hAnsi="宋体" w:cs="宋体"/>
          <w:b/>
          <w:sz w:val="24"/>
          <w:szCs w:val="24"/>
        </w:rPr>
      </w:pPr>
    </w:p>
    <w:p w14:paraId="2651B263">
      <w:pPr>
        <w:pStyle w:val="6"/>
      </w:pPr>
    </w:p>
    <w:p w14:paraId="451A11FC"/>
    <w:p w14:paraId="6C3E63F3">
      <w:pPr>
        <w:pStyle w:val="5"/>
      </w:pPr>
    </w:p>
    <w:p w14:paraId="73E96D70"/>
    <w:p w14:paraId="09A4630E">
      <w:pPr>
        <w:spacing w:line="360" w:lineRule="auto"/>
        <w:jc w:val="center"/>
        <w:rPr>
          <w:rFonts w:ascii="宋体" w:hAnsi="宋体" w:cs="宋体"/>
          <w:b/>
          <w:sz w:val="28"/>
          <w:szCs w:val="22"/>
        </w:rPr>
      </w:pPr>
      <w:r>
        <w:rPr>
          <w:rFonts w:hint="eastAsia" w:ascii="宋体" w:hAnsi="宋体" w:cs="宋体"/>
          <w:b/>
          <w:sz w:val="28"/>
          <w:szCs w:val="22"/>
        </w:rPr>
        <w:t>投标供应商：</w:t>
      </w:r>
      <w:r>
        <w:rPr>
          <w:rFonts w:hint="eastAsia" w:ascii="宋体" w:hAnsi="宋体" w:cs="宋体"/>
          <w:b/>
          <w:sz w:val="28"/>
          <w:u w:val="single"/>
        </w:rPr>
        <w:t xml:space="preserve">                     </w:t>
      </w:r>
      <w:r>
        <w:rPr>
          <w:rFonts w:hint="eastAsia" w:ascii="宋体" w:hAnsi="宋体" w:cs="宋体"/>
          <w:b/>
          <w:sz w:val="28"/>
          <w:szCs w:val="22"/>
        </w:rPr>
        <w:t>（盖章）</w:t>
      </w:r>
    </w:p>
    <w:p w14:paraId="0ADD5339">
      <w:pPr>
        <w:spacing w:line="360" w:lineRule="auto"/>
        <w:ind w:firstLine="1265" w:firstLineChars="450"/>
        <w:rPr>
          <w:rFonts w:ascii="宋体" w:hAnsi="宋体" w:cs="宋体"/>
          <w:b/>
          <w:sz w:val="28"/>
          <w:szCs w:val="22"/>
        </w:rPr>
      </w:pPr>
    </w:p>
    <w:p w14:paraId="6E972F6C">
      <w:pPr>
        <w:spacing w:line="360" w:lineRule="auto"/>
        <w:ind w:firstLine="1687" w:firstLineChars="600"/>
        <w:rPr>
          <w:rFonts w:ascii="宋体" w:hAnsi="宋体" w:cs="宋体"/>
          <w:b/>
          <w:sz w:val="28"/>
          <w:szCs w:val="22"/>
        </w:rPr>
      </w:pPr>
      <w:r>
        <w:rPr>
          <w:rFonts w:hint="eastAsia" w:ascii="宋体" w:hAnsi="宋体" w:cs="宋体"/>
          <w:b/>
          <w:sz w:val="28"/>
          <w:szCs w:val="22"/>
        </w:rPr>
        <w:t>法定代表人或被授权人（签字或盖章）：</w:t>
      </w:r>
    </w:p>
    <w:p w14:paraId="50EE9DAE">
      <w:pPr>
        <w:spacing w:line="360" w:lineRule="auto"/>
        <w:jc w:val="center"/>
        <w:rPr>
          <w:rFonts w:ascii="宋体" w:hAnsi="宋体" w:cs="宋体"/>
          <w:b/>
          <w:sz w:val="28"/>
          <w:szCs w:val="22"/>
        </w:rPr>
      </w:pPr>
    </w:p>
    <w:p w14:paraId="053FD6D4">
      <w:pPr>
        <w:spacing w:line="360" w:lineRule="auto"/>
        <w:jc w:val="center"/>
        <w:rPr>
          <w:rFonts w:ascii="宋体" w:hAnsi="宋体" w:cs="宋体"/>
          <w:b/>
          <w:sz w:val="28"/>
          <w:szCs w:val="22"/>
        </w:rPr>
      </w:pPr>
      <w:r>
        <w:rPr>
          <w:rFonts w:hint="eastAsia" w:ascii="宋体" w:hAnsi="宋体" w:cs="宋体"/>
          <w:b/>
          <w:sz w:val="28"/>
          <w:szCs w:val="22"/>
        </w:rPr>
        <w:t>年   月</w:t>
      </w:r>
    </w:p>
    <w:p w14:paraId="5C2599A9">
      <w:pPr>
        <w:rPr>
          <w:sz w:val="24"/>
          <w:szCs w:val="24"/>
        </w:rPr>
        <w:sectPr>
          <w:footnotePr>
            <w:pos w:val="beneathText"/>
          </w:footnotePr>
          <w:pgSz w:w="11906" w:h="16838"/>
          <w:pgMar w:top="1701" w:right="1418" w:bottom="1701" w:left="1418" w:header="1091" w:footer="992" w:gutter="0"/>
          <w:cols w:space="720" w:num="1"/>
          <w:titlePg/>
          <w:docGrid w:type="lines" w:linePitch="312" w:charSpace="0"/>
        </w:sectPr>
      </w:pPr>
      <w:bookmarkStart w:id="491" w:name="_Toc21305"/>
      <w:bookmarkStart w:id="492" w:name="_Toc357087380"/>
    </w:p>
    <w:p w14:paraId="65831E36">
      <w:pPr>
        <w:tabs>
          <w:tab w:val="left" w:pos="3329"/>
        </w:tabs>
        <w:jc w:val="center"/>
        <w:rPr>
          <w:b/>
          <w:sz w:val="44"/>
        </w:rPr>
        <w:sectPr>
          <w:type w:val="continuous"/>
          <w:pgSz w:w="11906" w:h="16838"/>
          <w:pgMar w:top="1440" w:right="1531" w:bottom="1440" w:left="1531" w:header="720" w:footer="720" w:gutter="0"/>
          <w:cols w:space="720" w:num="1"/>
          <w:docGrid w:type="lines" w:linePitch="312" w:charSpace="0"/>
        </w:sectPr>
      </w:pPr>
      <w:bookmarkStart w:id="493" w:name="_Toc30709"/>
      <w:bookmarkStart w:id="494" w:name="_Toc22764"/>
      <w:bookmarkStart w:id="495" w:name="_Toc24244"/>
      <w:bookmarkStart w:id="496" w:name="_Toc15746"/>
      <w:bookmarkStart w:id="497" w:name="_Toc465958130"/>
      <w:bookmarkStart w:id="498" w:name="_Toc6250"/>
    </w:p>
    <w:bookmarkEnd w:id="440"/>
    <w:bookmarkEnd w:id="441"/>
    <w:bookmarkEnd w:id="442"/>
    <w:bookmarkEnd w:id="443"/>
    <w:bookmarkEnd w:id="444"/>
    <w:bookmarkEnd w:id="445"/>
    <w:bookmarkEnd w:id="446"/>
    <w:bookmarkEnd w:id="447"/>
    <w:bookmarkEnd w:id="448"/>
    <w:bookmarkEnd w:id="449"/>
    <w:bookmarkEnd w:id="491"/>
    <w:bookmarkEnd w:id="492"/>
    <w:bookmarkEnd w:id="493"/>
    <w:bookmarkEnd w:id="494"/>
    <w:bookmarkEnd w:id="495"/>
    <w:bookmarkEnd w:id="496"/>
    <w:bookmarkEnd w:id="497"/>
    <w:bookmarkEnd w:id="498"/>
    <w:p w14:paraId="0ABC4012">
      <w:pPr>
        <w:spacing w:line="360" w:lineRule="auto"/>
        <w:jc w:val="center"/>
        <w:rPr>
          <w:b/>
          <w:sz w:val="44"/>
        </w:rPr>
      </w:pPr>
      <w:bookmarkStart w:id="499" w:name="_Toc8935"/>
      <w:bookmarkStart w:id="500" w:name="_Toc30563"/>
      <w:bookmarkStart w:id="501" w:name="_Toc13680"/>
      <w:bookmarkStart w:id="502" w:name="_Toc1595"/>
      <w:bookmarkStart w:id="503" w:name="_Toc8917"/>
      <w:bookmarkStart w:id="504" w:name="_Toc465958141"/>
      <w:bookmarkStart w:id="505" w:name="_Toc15466"/>
      <w:r>
        <w:rPr>
          <w:rFonts w:hint="eastAsia"/>
          <w:b/>
          <w:sz w:val="44"/>
        </w:rPr>
        <w:t>目  录</w:t>
      </w:r>
    </w:p>
    <w:p w14:paraId="522DE7B0">
      <w:pPr>
        <w:spacing w:line="360" w:lineRule="auto"/>
        <w:jc w:val="center"/>
        <w:rPr>
          <w:rFonts w:ascii="宋体" w:hAnsi="宋体" w:cs="宋体"/>
          <w:b/>
          <w:sz w:val="32"/>
          <w:szCs w:val="22"/>
        </w:rPr>
      </w:pPr>
      <w:r>
        <w:rPr>
          <w:rFonts w:hint="eastAsia" w:ascii="宋体" w:hAnsi="宋体" w:cs="宋体"/>
          <w:b/>
          <w:bCs/>
          <w:kern w:val="0"/>
          <w:sz w:val="24"/>
          <w:szCs w:val="24"/>
        </w:rPr>
        <w:t>(引用三级目录）</w:t>
      </w:r>
      <w:r>
        <w:rPr>
          <w:rFonts w:hint="eastAsia" w:ascii="宋体" w:hAnsi="宋体" w:cs="宋体"/>
        </w:rPr>
        <w:br w:type="page"/>
      </w:r>
      <w:r>
        <w:rPr>
          <w:rFonts w:hint="eastAsia" w:ascii="宋体" w:hAnsi="宋体" w:cs="宋体"/>
          <w:b/>
          <w:sz w:val="32"/>
          <w:szCs w:val="22"/>
        </w:rPr>
        <w:t>一、响应函</w:t>
      </w:r>
    </w:p>
    <w:p w14:paraId="4F702A44">
      <w:pPr>
        <w:spacing w:line="360" w:lineRule="auto"/>
        <w:rPr>
          <w:rFonts w:ascii="宋体" w:hAnsi="宋体" w:cs="宋体"/>
          <w:sz w:val="24"/>
          <w:szCs w:val="24"/>
        </w:rPr>
      </w:pPr>
      <w:bookmarkStart w:id="506" w:name="_Toc25167"/>
      <w:bookmarkStart w:id="507" w:name="_Toc21360"/>
      <w:bookmarkStart w:id="508" w:name="_Toc465958131"/>
      <w:bookmarkStart w:id="509" w:name="_Toc190"/>
      <w:bookmarkStart w:id="510" w:name="_Toc30703"/>
      <w:bookmarkStart w:id="511" w:name="_Toc698"/>
      <w:bookmarkStart w:id="512" w:name="_Toc7763"/>
      <w:r>
        <w:rPr>
          <w:rFonts w:hint="eastAsia" w:ascii="宋体" w:hAnsi="宋体" w:cs="宋体"/>
          <w:sz w:val="24"/>
          <w:szCs w:val="24"/>
        </w:rPr>
        <w:t>致：陕西三秦大地招标有限责任公司</w:t>
      </w:r>
    </w:p>
    <w:p w14:paraId="2FB4F998">
      <w:pPr>
        <w:spacing w:line="400" w:lineRule="atLeast"/>
        <w:ind w:firstLine="540" w:firstLineChars="225"/>
        <w:rPr>
          <w:rFonts w:ascii="宋体" w:hAnsi="宋体" w:cs="宋体"/>
          <w:sz w:val="24"/>
          <w:szCs w:val="24"/>
        </w:rPr>
      </w:pPr>
      <w:r>
        <w:rPr>
          <w:rFonts w:hint="eastAsia" w:ascii="宋体" w:hAnsi="宋体" w:cs="宋体"/>
          <w:sz w:val="24"/>
          <w:szCs w:val="24"/>
        </w:rPr>
        <w:t>根据已收到贵方的采购项目编号为（采购项目编号）的（采购项目名称）的竞争性谈判文件，签字代表</w:t>
      </w:r>
      <w:r>
        <w:rPr>
          <w:rFonts w:hint="eastAsia" w:ascii="宋体" w:hAnsi="宋体" w:cs="宋体"/>
          <w:sz w:val="24"/>
          <w:szCs w:val="24"/>
          <w:u w:val="single"/>
        </w:rPr>
        <w:t xml:space="preserve">              </w:t>
      </w:r>
      <w:r>
        <w:rPr>
          <w:rFonts w:hint="eastAsia" w:ascii="宋体" w:hAnsi="宋体" w:cs="宋体"/>
          <w:sz w:val="24"/>
          <w:szCs w:val="24"/>
        </w:rPr>
        <w:t>(全名、职务)经正式授权并代表 (供应商名称、地址、统一社会信用代码）提交包含下述内容的竞争性谈判响应文件，正本一份、副本一式二份，电子版（u盘）一份，资格证明文件一套。</w:t>
      </w:r>
    </w:p>
    <w:p w14:paraId="12214225">
      <w:pPr>
        <w:spacing w:line="360" w:lineRule="auto"/>
        <w:rPr>
          <w:rFonts w:ascii="宋体" w:hAnsi="宋体" w:cs="宋体"/>
          <w:sz w:val="24"/>
          <w:szCs w:val="24"/>
        </w:rPr>
      </w:pPr>
      <w:r>
        <w:rPr>
          <w:rFonts w:hint="eastAsia" w:ascii="宋体" w:hAnsi="宋体" w:cs="宋体"/>
          <w:sz w:val="24"/>
          <w:szCs w:val="24"/>
        </w:rPr>
        <w:t xml:space="preserve">    (1) 谈判函</w:t>
      </w:r>
    </w:p>
    <w:p w14:paraId="7CD4E257">
      <w:pPr>
        <w:spacing w:line="360" w:lineRule="auto"/>
        <w:rPr>
          <w:rFonts w:ascii="宋体" w:hAnsi="宋体" w:cs="宋体"/>
          <w:sz w:val="24"/>
          <w:szCs w:val="24"/>
        </w:rPr>
      </w:pPr>
      <w:r>
        <w:rPr>
          <w:rFonts w:hint="eastAsia" w:ascii="宋体" w:hAnsi="宋体" w:cs="宋体"/>
          <w:sz w:val="24"/>
          <w:szCs w:val="24"/>
        </w:rPr>
        <w:t xml:space="preserve">    (2) 报价一览表</w:t>
      </w:r>
    </w:p>
    <w:p w14:paraId="2D3ED4D2">
      <w:pPr>
        <w:spacing w:line="360" w:lineRule="auto"/>
        <w:rPr>
          <w:rFonts w:ascii="宋体" w:hAnsi="宋体" w:cs="宋体"/>
          <w:sz w:val="24"/>
          <w:szCs w:val="24"/>
        </w:rPr>
      </w:pPr>
      <w:r>
        <w:rPr>
          <w:rFonts w:hint="eastAsia" w:ascii="宋体" w:hAnsi="宋体" w:cs="宋体"/>
          <w:sz w:val="24"/>
          <w:szCs w:val="24"/>
        </w:rPr>
        <w:t xml:space="preserve">    (3) 按供应商须知要求提供的全部文件和竞争性谈判文件要求的响应文件。</w:t>
      </w:r>
    </w:p>
    <w:p w14:paraId="6CFD2D0E">
      <w:pPr>
        <w:spacing w:line="360" w:lineRule="auto"/>
        <w:rPr>
          <w:rFonts w:ascii="宋体" w:hAnsi="宋体" w:cs="宋体"/>
          <w:sz w:val="24"/>
          <w:szCs w:val="24"/>
        </w:rPr>
      </w:pPr>
      <w:r>
        <w:rPr>
          <w:rFonts w:hint="eastAsia" w:ascii="宋体" w:hAnsi="宋体" w:cs="宋体"/>
          <w:sz w:val="24"/>
          <w:szCs w:val="24"/>
        </w:rPr>
        <w:t xml:space="preserve">    (4) 供应商资格证明文件。</w:t>
      </w:r>
    </w:p>
    <w:p w14:paraId="269CF468">
      <w:pPr>
        <w:spacing w:line="360" w:lineRule="auto"/>
        <w:rPr>
          <w:rFonts w:ascii="宋体" w:hAnsi="宋体" w:cs="宋体"/>
          <w:sz w:val="24"/>
          <w:szCs w:val="24"/>
        </w:rPr>
      </w:pPr>
      <w:r>
        <w:rPr>
          <w:rFonts w:hint="eastAsia" w:ascii="宋体" w:hAnsi="宋体" w:cs="宋体"/>
          <w:sz w:val="24"/>
          <w:szCs w:val="24"/>
        </w:rPr>
        <w:tab/>
      </w:r>
      <w:r>
        <w:rPr>
          <w:rFonts w:hint="eastAsia" w:ascii="宋体" w:hAnsi="宋体" w:cs="宋体"/>
          <w:sz w:val="24"/>
          <w:szCs w:val="24"/>
        </w:rPr>
        <w:t>据此函，签字代表宣布同意如下：</w:t>
      </w:r>
    </w:p>
    <w:p w14:paraId="642F6828">
      <w:pPr>
        <w:spacing w:line="360" w:lineRule="auto"/>
        <w:rPr>
          <w:rFonts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rPr>
        <w:tab/>
      </w:r>
      <w:r>
        <w:rPr>
          <w:rFonts w:hint="eastAsia" w:ascii="宋体" w:hAnsi="宋体" w:cs="宋体"/>
          <w:sz w:val="24"/>
          <w:szCs w:val="24"/>
        </w:rPr>
        <w:t>1. 所附报价一览表中的投标报价为：</w:t>
      </w:r>
      <w:r>
        <w:rPr>
          <w:rFonts w:hint="eastAsia" w:ascii="宋体" w:hAnsi="宋体" w:cs="宋体"/>
          <w:sz w:val="24"/>
          <w:szCs w:val="24"/>
          <w:u w:val="single"/>
        </w:rPr>
        <w:t xml:space="preserve">        元   </w:t>
      </w:r>
      <w:r>
        <w:rPr>
          <w:rFonts w:hint="eastAsia" w:ascii="宋体" w:hAnsi="宋体" w:cs="宋体"/>
          <w:sz w:val="24"/>
          <w:szCs w:val="24"/>
        </w:rPr>
        <w:t>（即：</w:t>
      </w:r>
      <w:r>
        <w:rPr>
          <w:rFonts w:hint="eastAsia" w:ascii="宋体" w:hAnsi="宋体" w:cs="宋体"/>
          <w:sz w:val="24"/>
          <w:szCs w:val="24"/>
          <w:u w:val="single"/>
        </w:rPr>
        <w:t xml:space="preserve">    大写金额     </w:t>
      </w:r>
      <w:r>
        <w:rPr>
          <w:rFonts w:hint="eastAsia" w:ascii="宋体" w:hAnsi="宋体" w:cs="宋体"/>
          <w:sz w:val="24"/>
          <w:szCs w:val="24"/>
        </w:rPr>
        <w:t>）；</w:t>
      </w:r>
    </w:p>
    <w:p w14:paraId="04565EF0">
      <w:pPr>
        <w:spacing w:line="360" w:lineRule="auto"/>
        <w:ind w:firstLine="420"/>
        <w:rPr>
          <w:rFonts w:ascii="宋体" w:hAnsi="宋体" w:cs="宋体"/>
          <w:sz w:val="24"/>
          <w:szCs w:val="24"/>
        </w:rPr>
      </w:pPr>
      <w:r>
        <w:rPr>
          <w:rFonts w:hint="eastAsia" w:ascii="宋体" w:hAnsi="宋体" w:cs="宋体"/>
          <w:sz w:val="24"/>
          <w:szCs w:val="24"/>
        </w:rPr>
        <w:t>2. 供应商将按竞争性谈判文件的规定履行合同责任和义务；</w:t>
      </w:r>
    </w:p>
    <w:p w14:paraId="5086A1A7">
      <w:pPr>
        <w:spacing w:line="360" w:lineRule="auto"/>
        <w:ind w:firstLine="420"/>
        <w:rPr>
          <w:rFonts w:ascii="宋体" w:hAnsi="宋体" w:cs="宋体"/>
          <w:sz w:val="24"/>
          <w:szCs w:val="24"/>
        </w:rPr>
      </w:pPr>
      <w:r>
        <w:rPr>
          <w:rFonts w:hint="eastAsia" w:ascii="宋体" w:hAnsi="宋体" w:cs="宋体"/>
          <w:sz w:val="24"/>
          <w:szCs w:val="24"/>
        </w:rPr>
        <w:t>3. 供应商已详细审查全部竞争性谈判文件，包括修改文件（如有的话）以及全部参考资料和有关附件。我们完全理解并同意放弃对这方面有不明及误解的权利；</w:t>
      </w:r>
    </w:p>
    <w:p w14:paraId="5633A65F">
      <w:pPr>
        <w:spacing w:line="360" w:lineRule="auto"/>
        <w:ind w:firstLine="420"/>
        <w:rPr>
          <w:rFonts w:ascii="宋体" w:hAnsi="宋体" w:cs="宋体"/>
          <w:sz w:val="24"/>
          <w:szCs w:val="24"/>
        </w:rPr>
      </w:pPr>
      <w:r>
        <w:rPr>
          <w:rFonts w:hint="eastAsia" w:ascii="宋体" w:hAnsi="宋体" w:cs="宋体"/>
          <w:sz w:val="24"/>
          <w:szCs w:val="24"/>
        </w:rPr>
        <w:t>4. 谈判报价自谈判截止之日起有效期为</w:t>
      </w:r>
      <w:r>
        <w:rPr>
          <w:rFonts w:hint="eastAsia" w:ascii="宋体" w:hAnsi="宋体" w:cs="宋体"/>
          <w:sz w:val="24"/>
          <w:szCs w:val="24"/>
          <w:u w:val="single"/>
        </w:rPr>
        <w:t xml:space="preserve">   </w:t>
      </w:r>
      <w:r>
        <w:rPr>
          <w:rFonts w:hint="eastAsia" w:ascii="宋体" w:hAnsi="宋体" w:cs="宋体"/>
          <w:sz w:val="24"/>
          <w:szCs w:val="24"/>
        </w:rPr>
        <w:t>个日历天；</w:t>
      </w:r>
    </w:p>
    <w:p w14:paraId="562F7797">
      <w:pPr>
        <w:spacing w:line="360" w:lineRule="auto"/>
        <w:ind w:firstLine="420"/>
        <w:rPr>
          <w:rFonts w:ascii="宋体" w:hAnsi="宋体" w:cs="宋体"/>
          <w:sz w:val="24"/>
          <w:szCs w:val="24"/>
        </w:rPr>
      </w:pPr>
      <w:r>
        <w:rPr>
          <w:rFonts w:hint="eastAsia" w:ascii="宋体" w:hAnsi="宋体" w:cs="宋体"/>
          <w:sz w:val="24"/>
          <w:szCs w:val="24"/>
        </w:rPr>
        <w:t>5. 如果在规定的谈判报价时间后，供应商在谈判有效期内撤回谈判报价；或入选后未按竞争性谈判文件中供应商须知规定的向采购代理机构交纳足额的招标代理服务费，其谈判保证金将被贵方没收；</w:t>
      </w:r>
    </w:p>
    <w:p w14:paraId="28BC86E0">
      <w:pPr>
        <w:spacing w:line="360" w:lineRule="auto"/>
        <w:ind w:firstLine="420"/>
        <w:rPr>
          <w:rFonts w:ascii="宋体" w:hAnsi="宋体" w:cs="宋体"/>
          <w:sz w:val="24"/>
          <w:szCs w:val="24"/>
        </w:rPr>
      </w:pPr>
      <w:r>
        <w:rPr>
          <w:rFonts w:hint="eastAsia" w:ascii="宋体" w:hAnsi="宋体" w:cs="宋体"/>
          <w:sz w:val="24"/>
          <w:szCs w:val="24"/>
        </w:rPr>
        <w:t>6. 供应商同意提供按照贵方可能要求的与其报价有关的一切数据或资料。</w:t>
      </w:r>
    </w:p>
    <w:p w14:paraId="09C75D6D">
      <w:pPr>
        <w:spacing w:line="360" w:lineRule="auto"/>
        <w:ind w:firstLine="420"/>
        <w:rPr>
          <w:rFonts w:ascii="宋体" w:hAnsi="宋体" w:cs="宋体"/>
          <w:sz w:val="24"/>
          <w:szCs w:val="24"/>
        </w:rPr>
      </w:pPr>
      <w:r>
        <w:rPr>
          <w:rFonts w:hint="eastAsia" w:ascii="宋体" w:hAnsi="宋体" w:cs="宋体"/>
          <w:sz w:val="24"/>
          <w:szCs w:val="24"/>
        </w:rPr>
        <w:t>7. 与本谈判有关的一切正式往来通讯请寄：</w:t>
      </w:r>
    </w:p>
    <w:p w14:paraId="09A0EDA2">
      <w:pPr>
        <w:spacing w:line="360" w:lineRule="auto"/>
        <w:ind w:firstLine="360" w:firstLineChars="150"/>
        <w:rPr>
          <w:rFonts w:ascii="宋体" w:hAnsi="宋体" w:cs="宋体"/>
          <w:sz w:val="24"/>
          <w:szCs w:val="24"/>
        </w:rPr>
      </w:pPr>
      <w:r>
        <w:rPr>
          <w:rFonts w:hint="eastAsia" w:ascii="宋体" w:hAnsi="宋体" w:cs="宋体"/>
          <w:sz w:val="24"/>
          <w:szCs w:val="24"/>
        </w:rPr>
        <w:t>地址：</w:t>
      </w:r>
      <w:r>
        <w:rPr>
          <w:rFonts w:hint="eastAsia" w:ascii="宋体" w:hAnsi="宋体" w:cs="宋体"/>
          <w:sz w:val="24"/>
          <w:szCs w:val="24"/>
          <w:u w:val="single"/>
        </w:rPr>
        <w:t xml:space="preserve">                               </w:t>
      </w:r>
      <w:r>
        <w:rPr>
          <w:rFonts w:hint="eastAsia" w:ascii="宋体" w:hAnsi="宋体" w:cs="宋体"/>
          <w:sz w:val="24"/>
          <w:szCs w:val="24"/>
        </w:rPr>
        <w:t xml:space="preserve">   邮编：</w:t>
      </w:r>
      <w:r>
        <w:rPr>
          <w:rFonts w:hint="eastAsia" w:ascii="宋体" w:hAnsi="宋体" w:cs="宋体"/>
          <w:sz w:val="24"/>
          <w:szCs w:val="24"/>
          <w:u w:val="single"/>
        </w:rPr>
        <w:t xml:space="preserve">                    </w:t>
      </w:r>
    </w:p>
    <w:p w14:paraId="25A1705C">
      <w:pPr>
        <w:spacing w:line="360" w:lineRule="auto"/>
        <w:ind w:firstLine="360" w:firstLineChars="150"/>
        <w:rPr>
          <w:rFonts w:ascii="宋体" w:hAnsi="宋体" w:cs="宋体"/>
          <w:sz w:val="24"/>
          <w:szCs w:val="24"/>
        </w:rPr>
      </w:pPr>
      <w:r>
        <w:rPr>
          <w:rFonts w:hint="eastAsia" w:ascii="宋体" w:hAnsi="宋体" w:cs="宋体"/>
          <w:sz w:val="24"/>
          <w:szCs w:val="24"/>
        </w:rPr>
        <w:t>电话：</w:t>
      </w:r>
      <w:r>
        <w:rPr>
          <w:rFonts w:hint="eastAsia" w:ascii="宋体" w:hAnsi="宋体" w:cs="宋体"/>
          <w:sz w:val="24"/>
          <w:szCs w:val="24"/>
          <w:u w:val="single"/>
        </w:rPr>
        <w:t xml:space="preserve">                                </w:t>
      </w:r>
      <w:r>
        <w:rPr>
          <w:rFonts w:hint="eastAsia" w:ascii="宋体" w:hAnsi="宋体" w:cs="宋体"/>
          <w:sz w:val="24"/>
          <w:szCs w:val="24"/>
        </w:rPr>
        <w:t xml:space="preserve">  传真：</w:t>
      </w:r>
      <w:r>
        <w:rPr>
          <w:rFonts w:hint="eastAsia" w:ascii="宋体" w:hAnsi="宋体" w:cs="宋体"/>
          <w:sz w:val="24"/>
          <w:szCs w:val="24"/>
          <w:u w:val="single"/>
        </w:rPr>
        <w:t xml:space="preserve">                    </w:t>
      </w:r>
      <w:r>
        <w:rPr>
          <w:rFonts w:hint="eastAsia" w:ascii="宋体" w:hAnsi="宋体" w:cs="宋体"/>
          <w:sz w:val="24"/>
          <w:szCs w:val="24"/>
        </w:rPr>
        <w:t xml:space="preserve"> </w:t>
      </w:r>
    </w:p>
    <w:p w14:paraId="2C8CA498">
      <w:pPr>
        <w:spacing w:line="360" w:lineRule="auto"/>
        <w:ind w:firstLine="360" w:firstLineChars="150"/>
        <w:rPr>
          <w:rFonts w:ascii="宋体" w:hAnsi="宋体" w:cs="宋体"/>
          <w:sz w:val="24"/>
          <w:szCs w:val="24"/>
        </w:rPr>
      </w:pPr>
      <w:r>
        <w:rPr>
          <w:rFonts w:hint="eastAsia" w:ascii="宋体" w:hAnsi="宋体" w:cs="宋体"/>
          <w:sz w:val="24"/>
          <w:szCs w:val="24"/>
        </w:rPr>
        <w:t>供应商代表姓名、职务：</w:t>
      </w:r>
      <w:r>
        <w:rPr>
          <w:rFonts w:hint="eastAsia" w:ascii="宋体" w:hAnsi="宋体" w:cs="宋体"/>
          <w:sz w:val="24"/>
          <w:szCs w:val="24"/>
          <w:u w:val="single"/>
        </w:rPr>
        <w:t xml:space="preserve">                                   </w:t>
      </w:r>
    </w:p>
    <w:p w14:paraId="230B6A94">
      <w:pPr>
        <w:spacing w:line="360" w:lineRule="auto"/>
        <w:ind w:firstLine="360" w:firstLineChars="150"/>
        <w:rPr>
          <w:rFonts w:ascii="宋体" w:hAnsi="宋体" w:cs="宋体"/>
          <w:sz w:val="24"/>
          <w:szCs w:val="24"/>
        </w:rPr>
      </w:pPr>
      <w:r>
        <w:rPr>
          <w:rFonts w:hint="eastAsia" w:ascii="宋体" w:hAnsi="宋体" w:cs="宋体"/>
          <w:sz w:val="24"/>
          <w:szCs w:val="24"/>
        </w:rPr>
        <w:t>供应商名称：</w:t>
      </w:r>
      <w:r>
        <w:rPr>
          <w:rFonts w:hint="eastAsia" w:ascii="宋体" w:hAnsi="宋体" w:cs="宋体"/>
          <w:sz w:val="24"/>
          <w:szCs w:val="24"/>
          <w:u w:val="single"/>
        </w:rPr>
        <w:t xml:space="preserve">                    （公章）</w:t>
      </w:r>
    </w:p>
    <w:p w14:paraId="31759683">
      <w:pPr>
        <w:spacing w:line="360" w:lineRule="auto"/>
        <w:ind w:firstLine="360" w:firstLineChars="150"/>
        <w:rPr>
          <w:rFonts w:ascii="宋体" w:hAnsi="宋体" w:cs="宋体"/>
          <w:sz w:val="24"/>
          <w:szCs w:val="24"/>
        </w:rPr>
      </w:pPr>
      <w:r>
        <w:rPr>
          <w:rFonts w:hint="eastAsia" w:ascii="宋体" w:hAnsi="宋体" w:cs="宋体"/>
          <w:sz w:val="24"/>
          <w:szCs w:val="24"/>
        </w:rPr>
        <w:t>法定代表人（负责人）或被授权代表签字或盖章：</w:t>
      </w:r>
      <w:r>
        <w:rPr>
          <w:rFonts w:hint="eastAsia" w:ascii="宋体" w:hAnsi="宋体" w:cs="宋体"/>
          <w:sz w:val="24"/>
          <w:szCs w:val="24"/>
          <w:u w:val="single"/>
        </w:rPr>
        <w:t xml:space="preserve">                                 </w:t>
      </w:r>
      <w:r>
        <w:rPr>
          <w:rFonts w:hint="eastAsia" w:ascii="宋体" w:hAnsi="宋体" w:cs="宋体"/>
          <w:sz w:val="24"/>
          <w:szCs w:val="24"/>
        </w:rPr>
        <w:t xml:space="preserve"> </w:t>
      </w:r>
    </w:p>
    <w:p w14:paraId="7D907485">
      <w:pPr>
        <w:spacing w:line="360" w:lineRule="auto"/>
        <w:ind w:firstLine="360" w:firstLineChars="150"/>
        <w:rPr>
          <w:rFonts w:ascii="宋体" w:hAnsi="宋体" w:cs="宋体"/>
          <w:sz w:val="24"/>
          <w:szCs w:val="24"/>
        </w:rPr>
      </w:pPr>
      <w:r>
        <w:rPr>
          <w:rFonts w:hint="eastAsia" w:ascii="宋体" w:hAnsi="宋体" w:cs="宋体"/>
          <w:sz w:val="24"/>
          <w:szCs w:val="24"/>
        </w:rPr>
        <w:t xml:space="preserve">日期： </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520ECEA4">
      <w:pPr>
        <w:pStyle w:val="3"/>
        <w:keepLines w:val="0"/>
        <w:adjustRightInd w:val="0"/>
        <w:spacing w:line="360" w:lineRule="auto"/>
        <w:jc w:val="center"/>
        <w:textAlignment w:val="baseline"/>
        <w:rPr>
          <w:rFonts w:ascii="宋体" w:hAnsi="宋体" w:eastAsia="宋体" w:cs="宋体"/>
          <w:bCs/>
        </w:rPr>
      </w:pPr>
      <w:bookmarkStart w:id="513" w:name="_Toc2842"/>
      <w:r>
        <w:rPr>
          <w:rFonts w:hint="eastAsia" w:ascii="宋体" w:hAnsi="宋体" w:eastAsia="宋体" w:cs="宋体"/>
          <w:bCs/>
        </w:rPr>
        <w:t>二</w:t>
      </w:r>
      <w:bookmarkEnd w:id="506"/>
      <w:bookmarkEnd w:id="507"/>
      <w:bookmarkEnd w:id="508"/>
      <w:bookmarkEnd w:id="509"/>
      <w:bookmarkEnd w:id="510"/>
      <w:bookmarkEnd w:id="511"/>
      <w:r>
        <w:rPr>
          <w:rFonts w:hint="eastAsia" w:ascii="宋体" w:hAnsi="宋体" w:eastAsia="宋体" w:cs="宋体"/>
          <w:bCs/>
        </w:rPr>
        <w:t>、第一次谈判报价表</w:t>
      </w:r>
      <w:bookmarkEnd w:id="512"/>
      <w:bookmarkEnd w:id="513"/>
    </w:p>
    <w:p w14:paraId="39638AB6">
      <w:pPr>
        <w:rPr>
          <w:rFonts w:ascii="宋体" w:hAnsi="宋体" w:cs="宋体"/>
          <w:b/>
          <w:bCs/>
          <w:sz w:val="28"/>
          <w:szCs w:val="28"/>
        </w:rPr>
      </w:pPr>
      <w:r>
        <w:rPr>
          <w:rFonts w:hint="eastAsia" w:ascii="宋体" w:hAnsi="宋体" w:cs="宋体"/>
          <w:b/>
          <w:bCs/>
          <w:sz w:val="28"/>
          <w:szCs w:val="28"/>
        </w:rPr>
        <w:t>项目编号：</w:t>
      </w:r>
    </w:p>
    <w:p w14:paraId="7370A855">
      <w:pPr>
        <w:pStyle w:val="6"/>
        <w:rPr>
          <w:rFonts w:ascii="宋体" w:hAnsi="宋体" w:cs="宋体"/>
          <w:b/>
          <w:bCs/>
          <w:sz w:val="28"/>
          <w:szCs w:val="28"/>
        </w:rPr>
      </w:pPr>
      <w:r>
        <w:rPr>
          <w:rFonts w:hint="eastAsia" w:ascii="宋体" w:hAnsi="宋体" w:cs="宋体"/>
          <w:b/>
          <w:bCs/>
          <w:sz w:val="28"/>
          <w:szCs w:val="28"/>
        </w:rPr>
        <w:t>项目名称：</w:t>
      </w:r>
    </w:p>
    <w:tbl>
      <w:tblPr>
        <w:tblStyle w:val="17"/>
        <w:tblW w:w="9179"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07"/>
        <w:gridCol w:w="7172"/>
      </w:tblGrid>
      <w:tr w14:paraId="0374A53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18" w:hRule="atLeast"/>
        </w:trPr>
        <w:tc>
          <w:tcPr>
            <w:tcW w:w="2007" w:type="dxa"/>
            <w:tcBorders>
              <w:bottom w:val="single" w:color="auto" w:sz="4" w:space="0"/>
            </w:tcBorders>
            <w:noWrap w:val="0"/>
            <w:vAlign w:val="center"/>
          </w:tcPr>
          <w:p w14:paraId="225B80CF">
            <w:pPr>
              <w:spacing w:line="360" w:lineRule="auto"/>
              <w:jc w:val="center"/>
              <w:rPr>
                <w:rFonts w:ascii="宋体" w:hAnsi="宋体" w:cs="宋体"/>
                <w:b/>
                <w:bCs/>
                <w:sz w:val="24"/>
              </w:rPr>
            </w:pPr>
            <w:bookmarkStart w:id="514" w:name="OLE_LINK14"/>
            <w:r>
              <w:rPr>
                <w:rFonts w:hint="eastAsia" w:ascii="宋体" w:hAnsi="宋体" w:cs="宋体"/>
                <w:b/>
                <w:bCs/>
                <w:sz w:val="24"/>
              </w:rPr>
              <w:t>标题</w:t>
            </w:r>
          </w:p>
        </w:tc>
        <w:tc>
          <w:tcPr>
            <w:tcW w:w="7172" w:type="dxa"/>
            <w:noWrap w:val="0"/>
            <w:vAlign w:val="center"/>
          </w:tcPr>
          <w:p w14:paraId="350A3144">
            <w:pPr>
              <w:pStyle w:val="2"/>
              <w:spacing w:line="360" w:lineRule="auto"/>
              <w:jc w:val="center"/>
              <w:rPr>
                <w:rFonts w:ascii="宋体" w:hAnsi="宋体" w:cs="宋体"/>
                <w:b w:val="0"/>
                <w:bCs/>
                <w:kern w:val="2"/>
                <w:sz w:val="24"/>
              </w:rPr>
            </w:pPr>
            <w:bookmarkStart w:id="515" w:name="_Toc14155"/>
            <w:bookmarkStart w:id="516" w:name="_Toc7618"/>
            <w:bookmarkStart w:id="517" w:name="_Toc18669"/>
            <w:bookmarkStart w:id="518" w:name="_Toc15651"/>
            <w:bookmarkStart w:id="519" w:name="_Toc19577"/>
            <w:bookmarkStart w:id="520" w:name="_Toc18323"/>
            <w:r>
              <w:rPr>
                <w:rFonts w:hint="eastAsia" w:ascii="宋体" w:hAnsi="宋体" w:cs="宋体"/>
                <w:bCs/>
                <w:kern w:val="2"/>
                <w:sz w:val="24"/>
              </w:rPr>
              <w:t>内容</w:t>
            </w:r>
            <w:bookmarkEnd w:id="515"/>
            <w:bookmarkEnd w:id="516"/>
            <w:bookmarkEnd w:id="517"/>
            <w:bookmarkEnd w:id="518"/>
            <w:bookmarkEnd w:id="519"/>
            <w:bookmarkEnd w:id="520"/>
          </w:p>
        </w:tc>
      </w:tr>
      <w:tr w14:paraId="5462A0F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510" w:hRule="atLeast"/>
        </w:trPr>
        <w:tc>
          <w:tcPr>
            <w:tcW w:w="2007" w:type="dxa"/>
            <w:tcBorders>
              <w:bottom w:val="single" w:color="auto" w:sz="4" w:space="0"/>
            </w:tcBorders>
            <w:noWrap w:val="0"/>
            <w:vAlign w:val="center"/>
          </w:tcPr>
          <w:p w14:paraId="56EA88E4">
            <w:pPr>
              <w:spacing w:line="360" w:lineRule="auto"/>
              <w:jc w:val="center"/>
              <w:rPr>
                <w:rFonts w:ascii="宋体" w:hAnsi="宋体" w:cs="宋体"/>
                <w:b/>
                <w:bCs/>
                <w:sz w:val="24"/>
              </w:rPr>
            </w:pPr>
            <w:r>
              <w:rPr>
                <w:rFonts w:hint="eastAsia" w:ascii="宋体" w:hAnsi="宋体" w:cs="宋体"/>
                <w:b/>
                <w:bCs/>
                <w:sz w:val="24"/>
              </w:rPr>
              <w:t>投标总价（合计）</w:t>
            </w:r>
          </w:p>
        </w:tc>
        <w:tc>
          <w:tcPr>
            <w:tcW w:w="7172" w:type="dxa"/>
            <w:tcBorders>
              <w:bottom w:val="single" w:color="auto" w:sz="4" w:space="0"/>
            </w:tcBorders>
            <w:noWrap w:val="0"/>
            <w:vAlign w:val="center"/>
          </w:tcPr>
          <w:p w14:paraId="1EC3A679">
            <w:pPr>
              <w:spacing w:line="360" w:lineRule="auto"/>
              <w:jc w:val="center"/>
              <w:rPr>
                <w:rFonts w:ascii="宋体" w:hAnsi="宋体" w:cs="宋体"/>
                <w:bCs/>
                <w:sz w:val="24"/>
              </w:rPr>
            </w:pPr>
          </w:p>
        </w:tc>
      </w:tr>
      <w:tr w14:paraId="03FC68C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330" w:hRule="atLeast"/>
        </w:trPr>
        <w:tc>
          <w:tcPr>
            <w:tcW w:w="2007" w:type="dxa"/>
            <w:noWrap w:val="0"/>
            <w:vAlign w:val="center"/>
          </w:tcPr>
          <w:p w14:paraId="26E3D8C7">
            <w:pPr>
              <w:spacing w:line="360" w:lineRule="auto"/>
              <w:jc w:val="center"/>
              <w:rPr>
                <w:rFonts w:ascii="宋体" w:hAnsi="宋体" w:cs="宋体"/>
                <w:b/>
                <w:bCs/>
                <w:sz w:val="24"/>
              </w:rPr>
            </w:pPr>
            <w:r>
              <w:rPr>
                <w:rFonts w:hint="eastAsia" w:ascii="宋体" w:hAnsi="宋体" w:cs="宋体"/>
                <w:b/>
                <w:bCs/>
                <w:sz w:val="24"/>
              </w:rPr>
              <w:t>投标人</w:t>
            </w:r>
          </w:p>
          <w:p w14:paraId="1A853231">
            <w:pPr>
              <w:spacing w:line="360" w:lineRule="auto"/>
              <w:jc w:val="center"/>
              <w:rPr>
                <w:rFonts w:ascii="宋体" w:hAnsi="宋体" w:cs="宋体"/>
                <w:b/>
                <w:bCs/>
                <w:sz w:val="24"/>
              </w:rPr>
            </w:pPr>
            <w:r>
              <w:rPr>
                <w:rFonts w:hint="eastAsia" w:ascii="宋体" w:hAnsi="宋体" w:cs="宋体"/>
                <w:b/>
                <w:bCs/>
                <w:sz w:val="24"/>
              </w:rPr>
              <w:t>（公司名称）</w:t>
            </w:r>
          </w:p>
        </w:tc>
        <w:tc>
          <w:tcPr>
            <w:tcW w:w="7172" w:type="dxa"/>
            <w:noWrap w:val="0"/>
            <w:vAlign w:val="top"/>
          </w:tcPr>
          <w:p w14:paraId="6B09A677">
            <w:pPr>
              <w:spacing w:line="360" w:lineRule="auto"/>
              <w:rPr>
                <w:rFonts w:ascii="宋体" w:hAnsi="宋体" w:cs="宋体"/>
                <w:b/>
                <w:bCs/>
                <w:sz w:val="24"/>
              </w:rPr>
            </w:pPr>
          </w:p>
        </w:tc>
      </w:tr>
      <w:tr w14:paraId="5ED3AFF6">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99" w:hRule="atLeast"/>
        </w:trPr>
        <w:tc>
          <w:tcPr>
            <w:tcW w:w="2007" w:type="dxa"/>
            <w:noWrap w:val="0"/>
            <w:vAlign w:val="center"/>
          </w:tcPr>
          <w:p w14:paraId="65182868">
            <w:pPr>
              <w:spacing w:line="360" w:lineRule="auto"/>
              <w:jc w:val="center"/>
              <w:rPr>
                <w:rFonts w:hint="eastAsia" w:ascii="宋体" w:hAnsi="宋体" w:eastAsia="宋体" w:cs="宋体"/>
                <w:b/>
                <w:bCs/>
                <w:color w:val="auto"/>
                <w:sz w:val="24"/>
                <w:lang w:eastAsia="zh-CN"/>
              </w:rPr>
            </w:pPr>
            <w:r>
              <w:rPr>
                <w:rFonts w:hint="eastAsia" w:ascii="宋体" w:hAnsi="宋体" w:cs="宋体"/>
                <w:b/>
                <w:bCs/>
                <w:color w:val="auto"/>
                <w:sz w:val="24"/>
                <w:lang w:val="en-US" w:eastAsia="zh-CN"/>
              </w:rPr>
              <w:t>工期</w:t>
            </w:r>
          </w:p>
        </w:tc>
        <w:tc>
          <w:tcPr>
            <w:tcW w:w="7172" w:type="dxa"/>
            <w:noWrap w:val="0"/>
            <w:vAlign w:val="top"/>
          </w:tcPr>
          <w:p w14:paraId="342AA395">
            <w:pPr>
              <w:spacing w:line="360" w:lineRule="auto"/>
              <w:rPr>
                <w:rFonts w:ascii="宋体" w:hAnsi="宋体" w:cs="宋体"/>
                <w:b/>
                <w:bCs/>
                <w:color w:val="auto"/>
                <w:sz w:val="24"/>
              </w:rPr>
            </w:pPr>
          </w:p>
        </w:tc>
      </w:tr>
      <w:tr w14:paraId="5891094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299" w:hRule="atLeast"/>
        </w:trPr>
        <w:tc>
          <w:tcPr>
            <w:tcW w:w="2007" w:type="dxa"/>
            <w:noWrap w:val="0"/>
            <w:vAlign w:val="center"/>
          </w:tcPr>
          <w:p w14:paraId="7C25C0E4">
            <w:pPr>
              <w:spacing w:line="360" w:lineRule="auto"/>
              <w:jc w:val="center"/>
              <w:rPr>
                <w:rFonts w:hint="default" w:ascii="宋体" w:hAnsi="宋体" w:cs="宋体"/>
                <w:b/>
                <w:bCs/>
                <w:color w:val="auto"/>
                <w:sz w:val="24"/>
                <w:lang w:val="en-US" w:eastAsia="zh-CN"/>
              </w:rPr>
            </w:pPr>
            <w:r>
              <w:rPr>
                <w:rFonts w:hint="eastAsia" w:ascii="宋体" w:hAnsi="宋体" w:cs="宋体"/>
                <w:b/>
                <w:bCs/>
                <w:color w:val="auto"/>
                <w:sz w:val="24"/>
                <w:lang w:val="en-US" w:eastAsia="zh-CN"/>
              </w:rPr>
              <w:t>质保期</w:t>
            </w:r>
          </w:p>
        </w:tc>
        <w:tc>
          <w:tcPr>
            <w:tcW w:w="7172" w:type="dxa"/>
            <w:noWrap w:val="0"/>
            <w:vAlign w:val="top"/>
          </w:tcPr>
          <w:p w14:paraId="48ADD594">
            <w:pPr>
              <w:spacing w:line="360" w:lineRule="auto"/>
              <w:rPr>
                <w:rFonts w:ascii="宋体" w:hAnsi="宋体" w:cs="宋体"/>
                <w:b/>
                <w:bCs/>
                <w:color w:val="auto"/>
                <w:sz w:val="24"/>
              </w:rPr>
            </w:pPr>
          </w:p>
        </w:tc>
      </w:tr>
      <w:tr w14:paraId="0D034CF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544" w:hRule="atLeast"/>
        </w:trPr>
        <w:tc>
          <w:tcPr>
            <w:tcW w:w="2007" w:type="dxa"/>
            <w:noWrap w:val="0"/>
            <w:vAlign w:val="center"/>
          </w:tcPr>
          <w:p w14:paraId="3753294A">
            <w:pPr>
              <w:spacing w:line="360" w:lineRule="auto"/>
              <w:jc w:val="center"/>
              <w:rPr>
                <w:rFonts w:ascii="宋体" w:hAnsi="宋体" w:cs="宋体"/>
                <w:b/>
                <w:bCs/>
                <w:sz w:val="24"/>
              </w:rPr>
            </w:pPr>
            <w:r>
              <w:rPr>
                <w:rFonts w:hint="eastAsia" w:ascii="宋体" w:hAnsi="宋体" w:cs="宋体"/>
                <w:b/>
                <w:bCs/>
                <w:sz w:val="24"/>
              </w:rPr>
              <w:t>投标声明</w:t>
            </w:r>
          </w:p>
        </w:tc>
        <w:tc>
          <w:tcPr>
            <w:tcW w:w="7172" w:type="dxa"/>
            <w:noWrap w:val="0"/>
            <w:vAlign w:val="top"/>
          </w:tcPr>
          <w:p w14:paraId="7EA42FB5">
            <w:pPr>
              <w:spacing w:line="360" w:lineRule="auto"/>
              <w:rPr>
                <w:rFonts w:ascii="宋体" w:hAnsi="宋体" w:cs="宋体"/>
                <w:b/>
                <w:bCs/>
                <w:sz w:val="24"/>
              </w:rPr>
            </w:pPr>
          </w:p>
        </w:tc>
      </w:tr>
      <w:bookmarkEnd w:id="514"/>
    </w:tbl>
    <w:p w14:paraId="4ECE0439">
      <w:pPr>
        <w:spacing w:line="360" w:lineRule="auto"/>
        <w:rPr>
          <w:rFonts w:ascii="宋体" w:hAnsi="宋体" w:cs="宋体"/>
          <w:sz w:val="24"/>
          <w:szCs w:val="24"/>
        </w:rPr>
      </w:pPr>
    </w:p>
    <w:p w14:paraId="6E5D3470">
      <w:pPr>
        <w:spacing w:line="360" w:lineRule="auto"/>
        <w:ind w:right="-161"/>
        <w:rPr>
          <w:rFonts w:ascii="宋体" w:hAnsi="宋体" w:cs="宋体"/>
          <w:sz w:val="24"/>
          <w:szCs w:val="24"/>
        </w:rPr>
      </w:pPr>
    </w:p>
    <w:p w14:paraId="59A0EE92">
      <w:pPr>
        <w:ind w:right="-161" w:firstLine="2640" w:firstLineChars="1100"/>
        <w:rPr>
          <w:rFonts w:ascii="宋体" w:hAnsi="宋体" w:cs="宋体"/>
          <w:sz w:val="24"/>
          <w:szCs w:val="24"/>
          <w:u w:val="single"/>
        </w:rPr>
      </w:pPr>
      <w:r>
        <w:rPr>
          <w:rFonts w:hint="eastAsia" w:ascii="宋体" w:hAnsi="宋体" w:cs="宋体"/>
          <w:sz w:val="24"/>
          <w:szCs w:val="24"/>
        </w:rPr>
        <w:t>法定代表人或被授权代表（签字或盖章）：</w:t>
      </w:r>
      <w:r>
        <w:rPr>
          <w:rFonts w:hint="eastAsia" w:ascii="宋体" w:hAnsi="宋体" w:cs="宋体"/>
          <w:sz w:val="24"/>
          <w:szCs w:val="24"/>
          <w:u w:val="single"/>
        </w:rPr>
        <w:t xml:space="preserve">                           </w:t>
      </w:r>
    </w:p>
    <w:p w14:paraId="34373AA1">
      <w:pPr>
        <w:ind w:right="-161" w:firstLine="2640" w:firstLineChars="1100"/>
        <w:rPr>
          <w:rFonts w:ascii="宋体" w:hAnsi="宋体" w:cs="宋体"/>
          <w:sz w:val="24"/>
          <w:szCs w:val="24"/>
          <w:u w:val="single"/>
        </w:rPr>
      </w:pPr>
    </w:p>
    <w:p w14:paraId="6B4F056E">
      <w:pPr>
        <w:ind w:right="-161" w:firstLine="2640" w:firstLineChars="1100"/>
        <w:rPr>
          <w:rFonts w:ascii="宋体" w:hAnsi="宋体" w:cs="宋体"/>
          <w:sz w:val="24"/>
          <w:szCs w:val="24"/>
          <w:u w:val="single"/>
        </w:rPr>
      </w:pPr>
      <w:r>
        <w:rPr>
          <w:rFonts w:hint="eastAsia" w:ascii="宋体" w:hAnsi="宋体" w:cs="宋体"/>
          <w:sz w:val="24"/>
          <w:szCs w:val="24"/>
        </w:rPr>
        <w:t>供    应    商  （公  章）：</w:t>
      </w:r>
      <w:r>
        <w:rPr>
          <w:rFonts w:hint="eastAsia" w:ascii="宋体" w:hAnsi="宋体" w:cs="宋体"/>
          <w:sz w:val="24"/>
          <w:szCs w:val="24"/>
          <w:u w:val="single"/>
        </w:rPr>
        <w:t xml:space="preserve">                           </w:t>
      </w:r>
    </w:p>
    <w:p w14:paraId="448A7363">
      <w:pPr>
        <w:ind w:right="-161" w:firstLine="2640" w:firstLineChars="1100"/>
        <w:rPr>
          <w:rFonts w:ascii="宋体" w:hAnsi="宋体" w:cs="宋体"/>
          <w:sz w:val="24"/>
          <w:szCs w:val="24"/>
          <w:u w:val="single"/>
        </w:rPr>
      </w:pPr>
    </w:p>
    <w:p w14:paraId="30F529AE">
      <w:pPr>
        <w:ind w:right="-161" w:firstLine="2640" w:firstLineChars="1100"/>
        <w:rPr>
          <w:rFonts w:ascii="宋体" w:hAnsi="宋体" w:cs="宋体"/>
          <w:sz w:val="24"/>
          <w:szCs w:val="24"/>
        </w:rPr>
      </w:pPr>
      <w:r>
        <w:rPr>
          <w:rFonts w:hint="eastAsia" w:ascii="宋体" w:hAnsi="宋体" w:cs="宋体"/>
          <w:sz w:val="24"/>
          <w:szCs w:val="24"/>
        </w:rPr>
        <w:t>日                     期 ：</w:t>
      </w:r>
      <w:r>
        <w:rPr>
          <w:rFonts w:hint="eastAsia" w:ascii="宋体" w:hAnsi="宋体" w:cs="宋体"/>
          <w:sz w:val="24"/>
          <w:szCs w:val="24"/>
          <w:u w:val="single"/>
        </w:rPr>
        <w:t xml:space="preserve">                           </w:t>
      </w:r>
    </w:p>
    <w:p w14:paraId="5E452A32">
      <w:pPr>
        <w:spacing w:line="480" w:lineRule="auto"/>
        <w:ind w:right="-161"/>
        <w:jc w:val="center"/>
        <w:outlineLvl w:val="0"/>
        <w:rPr>
          <w:b/>
          <w:bCs/>
          <w:sz w:val="36"/>
          <w:szCs w:val="16"/>
        </w:rPr>
        <w:sectPr>
          <w:pgSz w:w="11906" w:h="16838"/>
          <w:pgMar w:top="1440" w:right="1531" w:bottom="1440" w:left="1531" w:header="720" w:footer="720" w:gutter="0"/>
          <w:cols w:space="720" w:num="1"/>
          <w:docGrid w:type="lines" w:linePitch="312" w:charSpace="0"/>
        </w:sectPr>
      </w:pPr>
      <w:bookmarkStart w:id="521" w:name="_Toc2930"/>
      <w:bookmarkStart w:id="522" w:name="_Toc9543"/>
      <w:bookmarkStart w:id="523" w:name="_Toc3481"/>
      <w:bookmarkStart w:id="524" w:name="_Toc24950"/>
      <w:bookmarkStart w:id="525" w:name="_Toc6714"/>
      <w:bookmarkStart w:id="526" w:name="_Toc31910"/>
      <w:bookmarkStart w:id="527" w:name="_Toc465958133"/>
      <w:bookmarkStart w:id="528" w:name="_Toc7129"/>
      <w:bookmarkStart w:id="529" w:name="_Toc30297"/>
      <w:bookmarkStart w:id="530" w:name="_Toc31054"/>
      <w:bookmarkStart w:id="531" w:name="_Toc26959"/>
      <w:bookmarkStart w:id="532" w:name="_Toc25449"/>
      <w:bookmarkStart w:id="533" w:name="_Toc14320"/>
    </w:p>
    <w:p w14:paraId="0B902047">
      <w:pPr>
        <w:spacing w:line="480" w:lineRule="auto"/>
        <w:ind w:right="-161"/>
        <w:jc w:val="center"/>
        <w:outlineLvl w:val="0"/>
        <w:rPr>
          <w:rFonts w:ascii="宋体" w:hAnsi="宋体" w:cs="宋体"/>
          <w:b/>
          <w:bCs/>
          <w:sz w:val="24"/>
          <w:szCs w:val="24"/>
          <w:u w:val="single"/>
        </w:rPr>
      </w:pPr>
      <w:bookmarkStart w:id="534" w:name="_Toc25133"/>
      <w:r>
        <w:rPr>
          <w:rFonts w:hint="eastAsia"/>
          <w:b/>
          <w:bCs/>
          <w:sz w:val="36"/>
          <w:szCs w:val="16"/>
        </w:rPr>
        <w:t>三、资格证明文件</w:t>
      </w:r>
      <w:bookmarkEnd w:id="521"/>
      <w:bookmarkEnd w:id="522"/>
      <w:bookmarkEnd w:id="523"/>
      <w:bookmarkEnd w:id="524"/>
      <w:bookmarkEnd w:id="525"/>
      <w:bookmarkEnd w:id="526"/>
      <w:bookmarkEnd w:id="534"/>
    </w:p>
    <w:p w14:paraId="77634D38">
      <w:pPr>
        <w:spacing w:line="360" w:lineRule="auto"/>
        <w:ind w:firstLine="482" w:firstLineChars="200"/>
        <w:rPr>
          <w:rFonts w:ascii="宋体" w:hAnsi="宋体" w:cs="宋体"/>
          <w:b/>
          <w:bCs/>
          <w:sz w:val="24"/>
          <w:szCs w:val="24"/>
        </w:rPr>
      </w:pPr>
      <w:r>
        <w:rPr>
          <w:rFonts w:hint="eastAsia" w:ascii="宋体" w:hAnsi="宋体" w:cs="宋体"/>
          <w:b/>
          <w:bCs/>
          <w:sz w:val="24"/>
          <w:szCs w:val="24"/>
        </w:rPr>
        <w:t>谈判响应文件中附以下资质证明文件加盖公章。</w:t>
      </w:r>
    </w:p>
    <w:p w14:paraId="22A7910A">
      <w:pPr>
        <w:rPr>
          <w:b/>
          <w:bCs/>
        </w:rPr>
      </w:pPr>
    </w:p>
    <w:p w14:paraId="295275AA">
      <w:pPr>
        <w:spacing w:line="360" w:lineRule="auto"/>
        <w:ind w:firstLine="720" w:firstLineChars="300"/>
        <w:rPr>
          <w:rFonts w:ascii="宋体" w:hAnsi="宋体" w:cs="仿宋_GB2312"/>
          <w:bCs/>
          <w:kern w:val="0"/>
          <w:sz w:val="24"/>
          <w:szCs w:val="24"/>
        </w:rPr>
      </w:pPr>
      <w:r>
        <w:rPr>
          <w:rFonts w:hint="eastAsia" w:ascii="宋体" w:hAnsi="宋体" w:cs="宋体"/>
          <w:kern w:val="0"/>
          <w:sz w:val="24"/>
          <w:szCs w:val="24"/>
        </w:rPr>
        <w:t>1、供应商为本项目提供的资格证明要求见供应商须知前附表；</w:t>
      </w:r>
    </w:p>
    <w:p w14:paraId="7DBC9040">
      <w:pPr>
        <w:spacing w:line="360" w:lineRule="auto"/>
        <w:ind w:firstLine="720" w:firstLineChars="300"/>
        <w:rPr>
          <w:rFonts w:ascii="宋体" w:hAnsi="宋体" w:cs="仿宋_GB2312"/>
          <w:bCs/>
          <w:kern w:val="0"/>
          <w:sz w:val="24"/>
          <w:szCs w:val="24"/>
        </w:rPr>
      </w:pPr>
      <w:r>
        <w:rPr>
          <w:rFonts w:hint="eastAsia" w:ascii="宋体" w:hAnsi="宋体" w:cs="仿宋_GB2312"/>
          <w:bCs/>
          <w:kern w:val="0"/>
          <w:sz w:val="24"/>
          <w:szCs w:val="24"/>
        </w:rPr>
        <w:t>2、供应商按照谈判文件要求提供本项目所需要的其他资质证明材料。</w:t>
      </w:r>
    </w:p>
    <w:p w14:paraId="617015FD">
      <w:pPr>
        <w:spacing w:line="360" w:lineRule="auto"/>
        <w:ind w:firstLine="720" w:firstLineChars="300"/>
      </w:pPr>
      <w:r>
        <w:rPr>
          <w:rFonts w:hint="eastAsia" w:ascii="宋体" w:hAnsi="宋体" w:cs="仿宋_GB2312"/>
          <w:bCs/>
          <w:kern w:val="0"/>
          <w:sz w:val="24"/>
          <w:szCs w:val="24"/>
        </w:rPr>
        <w:t>3、其他可以证明供应商实力的文件。</w:t>
      </w:r>
    </w:p>
    <w:p w14:paraId="392EB5E0">
      <w:pPr>
        <w:pStyle w:val="2"/>
        <w:spacing w:line="360" w:lineRule="exact"/>
        <w:jc w:val="center"/>
        <w:rPr>
          <w:sz w:val="32"/>
          <w:szCs w:val="15"/>
        </w:rPr>
        <w:sectPr>
          <w:pgSz w:w="11906" w:h="16838"/>
          <w:pgMar w:top="1440" w:right="1531" w:bottom="1440" w:left="1531" w:header="720" w:footer="720" w:gutter="0"/>
          <w:cols w:space="720" w:num="1"/>
          <w:docGrid w:type="lines" w:linePitch="312" w:charSpace="0"/>
        </w:sectPr>
      </w:pPr>
      <w:bookmarkStart w:id="535" w:name="_Toc13534"/>
      <w:bookmarkStart w:id="536" w:name="_Toc3536"/>
    </w:p>
    <w:p w14:paraId="3B9228F9">
      <w:pPr>
        <w:pStyle w:val="2"/>
        <w:spacing w:line="360" w:lineRule="exact"/>
        <w:jc w:val="center"/>
        <w:rPr>
          <w:sz w:val="32"/>
          <w:szCs w:val="15"/>
        </w:rPr>
      </w:pPr>
      <w:bookmarkStart w:id="537" w:name="_Toc29098"/>
      <w:bookmarkStart w:id="538" w:name="_Toc22405"/>
      <w:bookmarkStart w:id="539" w:name="_Toc2781"/>
      <w:bookmarkStart w:id="540" w:name="_Toc21583"/>
      <w:r>
        <w:rPr>
          <w:rFonts w:hint="eastAsia"/>
          <w:sz w:val="32"/>
          <w:szCs w:val="15"/>
        </w:rPr>
        <w:t>四、供应商参加政府采购活动承诺书</w:t>
      </w:r>
      <w:bookmarkEnd w:id="535"/>
      <w:bookmarkEnd w:id="536"/>
      <w:bookmarkEnd w:id="537"/>
      <w:bookmarkEnd w:id="538"/>
      <w:bookmarkEnd w:id="539"/>
      <w:bookmarkEnd w:id="540"/>
    </w:p>
    <w:p w14:paraId="1971B00C">
      <w:pPr>
        <w:pStyle w:val="2"/>
        <w:spacing w:line="360" w:lineRule="exact"/>
        <w:jc w:val="center"/>
        <w:rPr>
          <w:rFonts w:ascii="宋体" w:hAnsi="宋体" w:cs="宋体"/>
          <w:bCs/>
          <w:color w:val="333333"/>
          <w:sz w:val="22"/>
          <w:szCs w:val="22"/>
        </w:rPr>
      </w:pPr>
      <w:bookmarkStart w:id="541" w:name="_Toc6061"/>
      <w:bookmarkStart w:id="542" w:name="_Toc25110"/>
      <w:bookmarkStart w:id="543" w:name="_Toc4013"/>
      <w:bookmarkStart w:id="544" w:name="_Toc27234"/>
      <w:bookmarkStart w:id="545" w:name="_Toc7527"/>
      <w:bookmarkStart w:id="546" w:name="_Toc8447"/>
      <w:r>
        <w:rPr>
          <w:rFonts w:hint="eastAsia" w:ascii="宋体" w:hAnsi="宋体" w:cs="宋体"/>
          <w:bCs/>
          <w:color w:val="333333"/>
          <w:sz w:val="32"/>
          <w:szCs w:val="32"/>
          <w:shd w:val="clear" w:color="auto" w:fill="FFFFFF"/>
        </w:rPr>
        <w:t>4.1榆林市政府采购</w:t>
      </w:r>
      <w:r>
        <w:rPr>
          <w:rFonts w:hint="eastAsia" w:ascii="宋体" w:hAnsi="宋体" w:cs="宋体"/>
          <w:bCs/>
          <w:color w:val="333333"/>
          <w:sz w:val="32"/>
          <w:szCs w:val="32"/>
          <w:shd w:val="clear" w:color="auto" w:fill="FFFFFF"/>
          <w:lang w:val="en-US" w:eastAsia="zh-CN"/>
        </w:rPr>
        <w:t>货物</w:t>
      </w:r>
      <w:r>
        <w:rPr>
          <w:rFonts w:hint="eastAsia" w:ascii="宋体" w:hAnsi="宋体" w:cs="宋体"/>
          <w:bCs/>
          <w:color w:val="333333"/>
          <w:sz w:val="32"/>
          <w:szCs w:val="32"/>
          <w:shd w:val="clear" w:color="auto" w:fill="FFFFFF"/>
        </w:rPr>
        <w:t>类项目供应商信用承诺书</w:t>
      </w:r>
      <w:bookmarkEnd w:id="541"/>
      <w:bookmarkEnd w:id="542"/>
      <w:bookmarkEnd w:id="543"/>
      <w:bookmarkEnd w:id="544"/>
      <w:bookmarkEnd w:id="545"/>
      <w:bookmarkEnd w:id="546"/>
    </w:p>
    <w:p w14:paraId="6AF3D011">
      <w:pPr>
        <w:pStyle w:val="14"/>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2"/>
          <w:szCs w:val="22"/>
        </w:rPr>
      </w:pPr>
      <w:r>
        <w:rPr>
          <w:rFonts w:hint="eastAsia" w:ascii="宋体" w:hAnsi="宋体" w:cs="宋体"/>
          <w:color w:val="333333"/>
          <w:sz w:val="28"/>
          <w:szCs w:val="28"/>
          <w:shd w:val="clear" w:color="auto" w:fill="FFFFFF"/>
        </w:rPr>
        <w:t>市场主体名称：</w:t>
      </w:r>
    </w:p>
    <w:p w14:paraId="040F0E63">
      <w:pPr>
        <w:pStyle w:val="14"/>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2"/>
          <w:szCs w:val="22"/>
        </w:rPr>
      </w:pPr>
      <w:r>
        <w:rPr>
          <w:rFonts w:hint="eastAsia" w:ascii="宋体" w:hAnsi="宋体" w:cs="宋体"/>
          <w:color w:val="333333"/>
          <w:sz w:val="28"/>
          <w:szCs w:val="28"/>
          <w:shd w:val="clear" w:color="auto" w:fill="FFFFFF"/>
        </w:rPr>
        <w:t>证件类型：统一社会信用代码</w:t>
      </w:r>
    </w:p>
    <w:p w14:paraId="4F0A34BF">
      <w:pPr>
        <w:pStyle w:val="14"/>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证件号码：</w:t>
      </w:r>
    </w:p>
    <w:p w14:paraId="33B4CC39">
      <w:pPr>
        <w:pStyle w:val="14"/>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法人代表：</w:t>
      </w:r>
    </w:p>
    <w:p w14:paraId="5B2F22FC">
      <w:pPr>
        <w:pStyle w:val="14"/>
        <w:widowControl/>
        <w:shd w:val="clear" w:color="auto" w:fill="FFFFFF"/>
        <w:adjustRightInd w:val="0"/>
        <w:snapToGrid w:val="0"/>
        <w:spacing w:before="0" w:beforeAutospacing="0" w:after="150" w:afterAutospacing="0" w:line="560" w:lineRule="exact"/>
        <w:ind w:firstLine="480"/>
        <w:jc w:val="both"/>
        <w:rPr>
          <w:rFonts w:hint="eastAsia" w:ascii="宋体" w:hAnsi="宋体" w:eastAsia="宋体" w:cs="宋体"/>
          <w:color w:val="333333"/>
          <w:sz w:val="28"/>
          <w:szCs w:val="28"/>
          <w:shd w:val="clear" w:color="auto" w:fill="FFFFFF"/>
          <w:lang w:eastAsia="zh-CN"/>
        </w:rPr>
      </w:pPr>
      <w:r>
        <w:rPr>
          <w:rFonts w:hint="eastAsia" w:ascii="宋体" w:hAnsi="宋体" w:cs="宋体"/>
          <w:color w:val="333333"/>
          <w:sz w:val="28"/>
          <w:szCs w:val="28"/>
          <w:shd w:val="clear" w:color="auto" w:fill="FFFFFF"/>
        </w:rPr>
        <w:t>承诺有效期限：   年    月    日—    年    月     日</w:t>
      </w:r>
      <w:r>
        <w:rPr>
          <w:rFonts w:hint="eastAsia" w:ascii="宋体" w:hAnsi="宋体" w:cs="宋体"/>
          <w:color w:val="333333"/>
          <w:sz w:val="28"/>
          <w:szCs w:val="28"/>
          <w:shd w:val="clear" w:color="auto" w:fill="FFFFFF"/>
          <w:lang w:eastAsia="zh-CN"/>
        </w:rPr>
        <w:t>（</w:t>
      </w:r>
      <w:r>
        <w:rPr>
          <w:rFonts w:hint="eastAsia" w:ascii="宋体" w:hAnsi="宋体" w:cs="宋体"/>
          <w:color w:val="333333"/>
          <w:sz w:val="28"/>
          <w:szCs w:val="28"/>
          <w:shd w:val="clear" w:color="auto" w:fill="FFFFFF"/>
          <w:lang w:val="en-US" w:eastAsia="zh-CN"/>
        </w:rPr>
        <w:t>承诺期限为一年</w:t>
      </w:r>
      <w:r>
        <w:rPr>
          <w:rFonts w:hint="eastAsia" w:ascii="宋体" w:hAnsi="宋体" w:cs="宋体"/>
          <w:color w:val="333333"/>
          <w:sz w:val="28"/>
          <w:szCs w:val="28"/>
          <w:shd w:val="clear" w:color="auto" w:fill="FFFFFF"/>
          <w:lang w:eastAsia="zh-CN"/>
        </w:rPr>
        <w:t>）</w:t>
      </w:r>
    </w:p>
    <w:p w14:paraId="0196170B">
      <w:pPr>
        <w:pStyle w:val="14"/>
        <w:widowControl/>
        <w:shd w:val="clear" w:color="auto" w:fill="FFFFFF"/>
        <w:adjustRightInd w:val="0"/>
        <w:snapToGrid w:val="0"/>
        <w:spacing w:before="0" w:beforeAutospacing="0" w:after="150" w:afterAutospacing="0" w:line="560" w:lineRule="exact"/>
        <w:ind w:firstLine="480"/>
        <w:jc w:val="both"/>
        <w:rPr>
          <w:rFonts w:ascii="宋体" w:hAnsi="宋体" w:cs="宋体"/>
          <w:color w:val="333333"/>
          <w:sz w:val="22"/>
          <w:szCs w:val="22"/>
        </w:rPr>
      </w:pPr>
      <w:r>
        <w:rPr>
          <w:rFonts w:hint="eastAsia" w:ascii="宋体" w:hAnsi="宋体" w:cs="宋体"/>
          <w:color w:val="333333"/>
          <w:sz w:val="28"/>
          <w:szCs w:val="28"/>
          <w:shd w:val="clear" w:color="auto" w:fill="FFFFFF"/>
        </w:rPr>
        <w:t>承诺内容：</w:t>
      </w:r>
    </w:p>
    <w:p w14:paraId="32F6B856">
      <w:pPr>
        <w:pStyle w:val="14"/>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为维护公开、公平、公正的政府采购市场秩序，树立诚实守信的政府采购供应商形象，本单位自愿做出以下承诺：</w:t>
      </w:r>
    </w:p>
    <w:p w14:paraId="0EEED3B9">
      <w:pPr>
        <w:pStyle w:val="14"/>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一、承诺本单位严格遵守国家法律、法规和规章，全面履行应尽的责任和义务，全面做到履约守信，具备《政府采购法》第二十二条第一款规定的条件;</w:t>
      </w:r>
    </w:p>
    <w:p w14:paraId="45455714">
      <w:pPr>
        <w:pStyle w:val="14"/>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449050BB">
      <w:pPr>
        <w:pStyle w:val="14"/>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三、承诺本单位严格依法开展生产经营活动，主动接受行业监管，自愿接受依法开展的日常检查；违法失信经营后将自愿接受约束和惩戒，并依法承担相应责任；</w:t>
      </w:r>
    </w:p>
    <w:p w14:paraId="149910A3">
      <w:pPr>
        <w:pStyle w:val="14"/>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四、承诺本单位自觉接受行政管理部门、行业组织、社会公众、新闻舆论的监督；</w:t>
      </w:r>
    </w:p>
    <w:p w14:paraId="5820CDA6">
      <w:pPr>
        <w:pStyle w:val="14"/>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五、承诺本单位自我约束、自我管理，重合同、守信用，不制假售假、商标侵权、虚假宣传、违约毁约、恶意逃债、偷税漏税、价格欺诈、垄断和不正当竞争，维护经营者、消费者的合法权益；</w:t>
      </w:r>
    </w:p>
    <w:p w14:paraId="33138A1D">
      <w:pPr>
        <w:pStyle w:val="14"/>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六、承诺本单位提出政府采购质疑和投诉坚持依法依规、诚实信用原则，在全国范围12个月内没有三次以上查无实据的政府采购投诉；</w:t>
      </w:r>
    </w:p>
    <w:p w14:paraId="6E3F49A1">
      <w:pPr>
        <w:pStyle w:val="14"/>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七、根据政府采购相关法律法规的规定需要作出的其他承诺：</w:t>
      </w:r>
      <w:r>
        <w:rPr>
          <w:rFonts w:hint="eastAsia" w:ascii="宋体" w:hAnsi="宋体" w:cs="宋体"/>
          <w:color w:val="333333"/>
          <w:sz w:val="28"/>
          <w:szCs w:val="28"/>
          <w:u w:val="single"/>
          <w:shd w:val="clear" w:color="auto" w:fill="FFFFFF"/>
        </w:rPr>
        <w:t xml:space="preserve">                                                                                               </w:t>
      </w:r>
    </w:p>
    <w:p w14:paraId="15963CB4">
      <w:pPr>
        <w:pStyle w:val="14"/>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3849DDDA">
      <w:pPr>
        <w:pStyle w:val="14"/>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         </w:t>
      </w:r>
    </w:p>
    <w:p w14:paraId="0F5A45E4">
      <w:pPr>
        <w:pStyle w:val="14"/>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 xml:space="preserve">              承诺单位（盖章）：</w:t>
      </w:r>
    </w:p>
    <w:p w14:paraId="19543EEC">
      <w:pPr>
        <w:pStyle w:val="14"/>
        <w:widowControl/>
        <w:shd w:val="clear" w:color="auto" w:fill="FFFFFF"/>
        <w:adjustRightInd w:val="0"/>
        <w:snapToGrid w:val="0"/>
        <w:spacing w:before="0" w:beforeAutospacing="0" w:after="150" w:afterAutospacing="0" w:line="560" w:lineRule="exact"/>
        <w:ind w:firstLine="2248" w:firstLineChars="803"/>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法定代表人（负责人）：            （签字或盖章）</w:t>
      </w:r>
    </w:p>
    <w:p w14:paraId="600080F9">
      <w:pPr>
        <w:pStyle w:val="14"/>
        <w:widowControl/>
        <w:shd w:val="clear" w:color="auto" w:fill="FFFFFF"/>
        <w:adjustRightInd w:val="0"/>
        <w:snapToGrid w:val="0"/>
        <w:spacing w:before="0" w:beforeAutospacing="0" w:after="150" w:afterAutospacing="0" w:line="560" w:lineRule="exact"/>
        <w:ind w:firstLine="2240" w:firstLineChars="80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法定代表人（负责人）身份证号：</w:t>
      </w:r>
    </w:p>
    <w:p w14:paraId="58247FBA">
      <w:pPr>
        <w:pStyle w:val="14"/>
        <w:widowControl/>
        <w:shd w:val="clear" w:color="auto" w:fill="FFFFFF"/>
        <w:adjustRightInd w:val="0"/>
        <w:snapToGrid w:val="0"/>
        <w:spacing w:before="0" w:beforeAutospacing="0" w:after="150" w:afterAutospacing="0" w:line="560" w:lineRule="exact"/>
        <w:ind w:firstLine="640"/>
        <w:jc w:val="both"/>
        <w:rPr>
          <w:rFonts w:ascii="宋体" w:hAnsi="宋体" w:cs="宋体"/>
          <w:color w:val="333333"/>
          <w:sz w:val="22"/>
          <w:szCs w:val="22"/>
        </w:rPr>
      </w:pPr>
      <w:r>
        <w:rPr>
          <w:rFonts w:hint="eastAsia" w:ascii="宋体" w:hAnsi="宋体" w:cs="宋体"/>
          <w:color w:val="333333"/>
          <w:sz w:val="28"/>
          <w:szCs w:val="28"/>
          <w:shd w:val="clear" w:color="auto" w:fill="FFFFFF"/>
        </w:rPr>
        <w:t>          承诺日期：</w:t>
      </w:r>
    </w:p>
    <w:p w14:paraId="4C0BDF92">
      <w:pPr>
        <w:pStyle w:val="14"/>
        <w:widowControl/>
        <w:shd w:val="clear" w:color="auto" w:fill="FFFFFF"/>
        <w:adjustRightInd w:val="0"/>
        <w:snapToGrid w:val="0"/>
        <w:spacing w:before="0" w:beforeAutospacing="0" w:after="150" w:afterAutospacing="0" w:line="560" w:lineRule="exact"/>
        <w:jc w:val="both"/>
        <w:rPr>
          <w:rFonts w:ascii="宋体" w:hAnsi="宋体" w:cs="宋体"/>
          <w:color w:val="333333"/>
          <w:sz w:val="28"/>
          <w:szCs w:val="28"/>
          <w:shd w:val="clear" w:color="auto" w:fill="FFFFFF"/>
        </w:rPr>
        <w:sectPr>
          <w:pgSz w:w="11906" w:h="16838"/>
          <w:pgMar w:top="1440" w:right="1531" w:bottom="1440" w:left="1531" w:header="720" w:footer="720" w:gutter="0"/>
          <w:cols w:space="720" w:num="1"/>
          <w:docGrid w:type="lines" w:linePitch="312" w:charSpace="0"/>
        </w:sectPr>
      </w:pPr>
      <w:r>
        <w:rPr>
          <w:rFonts w:hint="eastAsia" w:ascii="宋体" w:hAnsi="宋体" w:cs="宋体"/>
          <w:color w:val="333333"/>
          <w:sz w:val="28"/>
          <w:szCs w:val="28"/>
          <w:shd w:val="clear" w:color="auto" w:fill="FFFFFF"/>
        </w:rPr>
        <w:t>注：法定代表人或负责人、主体名称发生变更的应当重新做出承诺；承诺书标题按照工程类、货物类、服务类确定。</w:t>
      </w:r>
    </w:p>
    <w:p w14:paraId="3207399A">
      <w:pPr>
        <w:pStyle w:val="10"/>
      </w:pPr>
    </w:p>
    <w:p w14:paraId="0C66C895">
      <w:pPr>
        <w:spacing w:line="360" w:lineRule="atLeast"/>
        <w:jc w:val="center"/>
        <w:rPr>
          <w:rFonts w:ascii="宋体" w:hAnsi="宋体" w:cs="宋体"/>
          <w:b/>
          <w:sz w:val="32"/>
          <w:szCs w:val="32"/>
        </w:rPr>
      </w:pPr>
      <w:r>
        <w:rPr>
          <w:rFonts w:hint="eastAsia" w:ascii="宋体" w:hAnsi="宋体" w:cs="宋体"/>
          <w:b/>
          <w:sz w:val="32"/>
          <w:szCs w:val="32"/>
        </w:rPr>
        <w:t>4.2 投标单位承诺书</w:t>
      </w:r>
    </w:p>
    <w:p w14:paraId="7B4AB1A2">
      <w:pPr>
        <w:pStyle w:val="8"/>
        <w:jc w:val="center"/>
        <w:rPr>
          <w:rFonts w:hint="default" w:hAnsi="宋体" w:cs="宋体"/>
          <w:b/>
          <w:sz w:val="32"/>
        </w:rPr>
      </w:pPr>
      <w:r>
        <w:rPr>
          <w:rFonts w:hAnsi="宋体" w:cs="宋体"/>
          <w:b/>
          <w:sz w:val="32"/>
        </w:rPr>
        <w:t>陕西省政府采购供应商拒绝政府采购领域商业贿赂承诺书</w:t>
      </w:r>
      <w:r>
        <w:rPr>
          <w:rFonts w:hAnsi="宋体" w:cs="宋体"/>
          <w:b/>
          <w:sz w:val="32"/>
          <w:szCs w:val="32"/>
        </w:rPr>
        <w:t>Ⅰ</w:t>
      </w:r>
    </w:p>
    <w:p w14:paraId="189AE0AD">
      <w:pPr>
        <w:rPr>
          <w:rFonts w:ascii="宋体" w:hAnsi="宋体" w:cs="宋体"/>
        </w:rPr>
      </w:pPr>
    </w:p>
    <w:p w14:paraId="57224DB8">
      <w:pPr>
        <w:spacing w:line="360" w:lineRule="auto"/>
        <w:ind w:firstLine="360" w:firstLineChars="150"/>
        <w:rPr>
          <w:rFonts w:ascii="宋体" w:hAnsi="宋体" w:cs="宋体"/>
          <w:sz w:val="24"/>
          <w:szCs w:val="28"/>
        </w:rPr>
      </w:pPr>
      <w:r>
        <w:rPr>
          <w:rFonts w:hint="eastAsia" w:ascii="宋体" w:hAnsi="宋体" w:cs="宋体"/>
          <w:sz w:val="24"/>
          <w:szCs w:val="28"/>
        </w:rPr>
        <w:t xml:space="preserve"> 为响应党中央、国务院关于治理政府采购领域商业贿赂行为的号召，我公司在此庄严承诺：</w:t>
      </w:r>
    </w:p>
    <w:p w14:paraId="374E0CFC">
      <w:pPr>
        <w:spacing w:line="360" w:lineRule="auto"/>
        <w:ind w:firstLine="480" w:firstLineChars="200"/>
        <w:rPr>
          <w:rFonts w:ascii="宋体" w:hAnsi="宋体" w:cs="宋体"/>
          <w:sz w:val="24"/>
          <w:szCs w:val="28"/>
        </w:rPr>
      </w:pPr>
      <w:r>
        <w:rPr>
          <w:rFonts w:hint="eastAsia" w:ascii="宋体" w:hAnsi="宋体" w:cs="宋体"/>
          <w:sz w:val="24"/>
          <w:szCs w:val="28"/>
        </w:rPr>
        <w:t>1、在参与政府采购活动中遵纪守法、诚信经营、公平竞标。</w:t>
      </w:r>
    </w:p>
    <w:p w14:paraId="7C078D55">
      <w:pPr>
        <w:spacing w:line="360" w:lineRule="auto"/>
        <w:ind w:firstLine="480" w:firstLineChars="200"/>
        <w:rPr>
          <w:rFonts w:ascii="宋体" w:hAnsi="宋体" w:cs="宋体"/>
          <w:sz w:val="24"/>
          <w:szCs w:val="28"/>
        </w:rPr>
      </w:pPr>
      <w:r>
        <w:rPr>
          <w:rFonts w:hint="eastAsia" w:ascii="宋体" w:hAnsi="宋体" w:cs="宋体"/>
          <w:sz w:val="24"/>
          <w:szCs w:val="28"/>
        </w:rPr>
        <w:t>2、不向政府采购单位、采购代理机构和政府采购评审专家进行任何形式的商业贿赂以谋取交易机会。</w:t>
      </w:r>
    </w:p>
    <w:p w14:paraId="5C8B78E4">
      <w:pPr>
        <w:spacing w:line="360" w:lineRule="auto"/>
        <w:ind w:firstLine="480" w:firstLineChars="200"/>
        <w:rPr>
          <w:rFonts w:ascii="宋体" w:hAnsi="宋体" w:cs="宋体"/>
          <w:sz w:val="24"/>
          <w:szCs w:val="28"/>
        </w:rPr>
      </w:pPr>
      <w:r>
        <w:rPr>
          <w:rFonts w:hint="eastAsia" w:ascii="宋体" w:hAnsi="宋体" w:cs="宋体"/>
          <w:sz w:val="24"/>
          <w:szCs w:val="28"/>
        </w:rPr>
        <w:t>3、不向政府采购代理机构和采购单位提供虚假资质文件或采用虚假应标方式参与政府采购市场竞争并谋取中标。</w:t>
      </w:r>
    </w:p>
    <w:p w14:paraId="499928F1">
      <w:pPr>
        <w:spacing w:line="360" w:lineRule="auto"/>
        <w:ind w:firstLine="480" w:firstLineChars="200"/>
        <w:rPr>
          <w:rFonts w:ascii="宋体" w:hAnsi="宋体" w:cs="宋体"/>
          <w:sz w:val="24"/>
          <w:szCs w:val="28"/>
        </w:rPr>
      </w:pPr>
      <w:r>
        <w:rPr>
          <w:rFonts w:hint="eastAsia" w:ascii="宋体" w:hAnsi="宋体" w:cs="宋体"/>
          <w:sz w:val="24"/>
          <w:szCs w:val="28"/>
        </w:rPr>
        <w:t>4、不采取“围标、陪标”等商业欺诈手段获得政府采购订单。</w:t>
      </w:r>
    </w:p>
    <w:p w14:paraId="3185B4B1">
      <w:pPr>
        <w:spacing w:line="360" w:lineRule="auto"/>
        <w:ind w:firstLine="480" w:firstLineChars="200"/>
        <w:rPr>
          <w:rFonts w:ascii="宋体" w:hAnsi="宋体" w:cs="宋体"/>
          <w:sz w:val="24"/>
          <w:szCs w:val="28"/>
        </w:rPr>
      </w:pPr>
      <w:r>
        <w:rPr>
          <w:rFonts w:hint="eastAsia" w:ascii="宋体" w:hAnsi="宋体" w:cs="宋体"/>
          <w:sz w:val="24"/>
          <w:szCs w:val="28"/>
        </w:rPr>
        <w:t>5、不采取不正当手段诋毁、排挤其他投标单位。</w:t>
      </w:r>
    </w:p>
    <w:p w14:paraId="032F07CA">
      <w:pPr>
        <w:spacing w:line="360" w:lineRule="auto"/>
        <w:ind w:firstLine="480" w:firstLineChars="200"/>
        <w:rPr>
          <w:rFonts w:ascii="宋体" w:hAnsi="宋体" w:cs="宋体"/>
          <w:sz w:val="24"/>
          <w:szCs w:val="28"/>
        </w:rPr>
      </w:pPr>
      <w:r>
        <w:rPr>
          <w:rFonts w:hint="eastAsia" w:ascii="宋体" w:hAnsi="宋体" w:cs="宋体"/>
          <w:sz w:val="24"/>
          <w:szCs w:val="28"/>
        </w:rPr>
        <w:t>6、不在提供商品和服务时“偷梁换柱、以次充好”损害采购单位的合法权益。</w:t>
      </w:r>
    </w:p>
    <w:p w14:paraId="05E00F45">
      <w:pPr>
        <w:spacing w:line="360" w:lineRule="auto"/>
        <w:ind w:firstLine="480" w:firstLineChars="200"/>
        <w:rPr>
          <w:rFonts w:ascii="宋体" w:hAnsi="宋体" w:cs="宋体"/>
          <w:sz w:val="24"/>
          <w:szCs w:val="28"/>
        </w:rPr>
      </w:pPr>
      <w:r>
        <w:rPr>
          <w:rFonts w:hint="eastAsia" w:ascii="宋体" w:hAnsi="宋体" w:cs="宋体"/>
          <w:sz w:val="24"/>
          <w:szCs w:val="28"/>
        </w:rPr>
        <w:t>7、不与采购单位、采购代理机构政府采购评审专家或其它投标单位恶意串通，进行质疑和投诉，维护政府采购市场秩序。</w:t>
      </w:r>
    </w:p>
    <w:p w14:paraId="338E86D8">
      <w:pPr>
        <w:spacing w:line="360" w:lineRule="auto"/>
        <w:ind w:firstLine="480" w:firstLineChars="200"/>
        <w:rPr>
          <w:rFonts w:ascii="宋体" w:hAnsi="宋体" w:cs="宋体"/>
          <w:sz w:val="24"/>
          <w:szCs w:val="28"/>
        </w:rPr>
      </w:pPr>
      <w:r>
        <w:rPr>
          <w:rFonts w:hint="eastAsia" w:ascii="宋体" w:hAnsi="宋体" w:cs="宋体"/>
          <w:sz w:val="24"/>
          <w:szCs w:val="28"/>
        </w:rPr>
        <w:t>8、尊重和接受政府采购监督管理部门的监督和政府采购代理机构招标采购要求，承担因违约行为给采购单位造成的损失。</w:t>
      </w:r>
    </w:p>
    <w:p w14:paraId="0DE29095">
      <w:pPr>
        <w:spacing w:line="360" w:lineRule="auto"/>
        <w:ind w:firstLine="480" w:firstLineChars="200"/>
        <w:rPr>
          <w:rFonts w:ascii="宋体" w:hAnsi="宋体" w:cs="宋体"/>
          <w:sz w:val="24"/>
          <w:szCs w:val="28"/>
        </w:rPr>
      </w:pPr>
      <w:r>
        <w:rPr>
          <w:rFonts w:hint="eastAsia" w:ascii="宋体" w:hAnsi="宋体" w:cs="宋体"/>
          <w:sz w:val="24"/>
          <w:szCs w:val="28"/>
        </w:rPr>
        <w:t>9、不发生其他有悖于政府采购公开、公平、公正和诚信原则的行为。</w:t>
      </w:r>
    </w:p>
    <w:p w14:paraId="70A79BF7">
      <w:pPr>
        <w:pStyle w:val="6"/>
      </w:pPr>
    </w:p>
    <w:p w14:paraId="716138BB">
      <w:pPr>
        <w:spacing w:line="360" w:lineRule="auto"/>
        <w:ind w:firstLine="480" w:firstLineChars="200"/>
        <w:rPr>
          <w:rFonts w:ascii="宋体" w:hAnsi="宋体" w:cs="宋体"/>
          <w:sz w:val="24"/>
          <w:szCs w:val="28"/>
        </w:rPr>
      </w:pPr>
      <w:r>
        <w:rPr>
          <w:rFonts w:hint="eastAsia" w:ascii="宋体" w:hAnsi="宋体" w:cs="宋体"/>
          <w:sz w:val="24"/>
          <w:szCs w:val="28"/>
        </w:rPr>
        <w:t>承诺单位：（盖章）</w:t>
      </w:r>
    </w:p>
    <w:p w14:paraId="69B522F2">
      <w:pPr>
        <w:spacing w:line="360" w:lineRule="auto"/>
        <w:ind w:firstLine="360" w:firstLineChars="150"/>
        <w:rPr>
          <w:rFonts w:ascii="宋体" w:hAnsi="宋体" w:cs="宋体"/>
          <w:sz w:val="24"/>
          <w:szCs w:val="28"/>
        </w:rPr>
      </w:pPr>
    </w:p>
    <w:p w14:paraId="348EAE35">
      <w:pPr>
        <w:spacing w:line="360" w:lineRule="auto"/>
        <w:ind w:firstLine="480" w:firstLineChars="200"/>
        <w:rPr>
          <w:rFonts w:ascii="宋体" w:hAnsi="宋体" w:cs="宋体"/>
          <w:sz w:val="24"/>
          <w:szCs w:val="28"/>
        </w:rPr>
      </w:pPr>
      <w:r>
        <w:rPr>
          <w:rFonts w:hint="eastAsia" w:ascii="宋体" w:hAnsi="宋体" w:cs="宋体"/>
          <w:sz w:val="24"/>
          <w:szCs w:val="28"/>
        </w:rPr>
        <w:t>全权代表：</w:t>
      </w:r>
      <w:r>
        <w:rPr>
          <w:rFonts w:hint="eastAsia" w:ascii="宋体" w:hAnsi="宋体" w:cs="宋体"/>
          <w:sz w:val="24"/>
          <w:szCs w:val="24"/>
        </w:rPr>
        <w:t>（签字或盖章）</w:t>
      </w:r>
    </w:p>
    <w:p w14:paraId="183A7694">
      <w:pPr>
        <w:spacing w:line="360" w:lineRule="auto"/>
        <w:ind w:firstLine="360" w:firstLineChars="150"/>
        <w:rPr>
          <w:rFonts w:ascii="宋体" w:hAnsi="宋体" w:cs="宋体"/>
          <w:sz w:val="24"/>
          <w:szCs w:val="28"/>
        </w:rPr>
      </w:pPr>
    </w:p>
    <w:p w14:paraId="7BDABE0C">
      <w:pPr>
        <w:spacing w:line="360" w:lineRule="auto"/>
        <w:ind w:firstLine="480" w:firstLineChars="200"/>
        <w:rPr>
          <w:rFonts w:ascii="宋体" w:hAnsi="宋体" w:cs="宋体"/>
          <w:sz w:val="24"/>
          <w:szCs w:val="28"/>
        </w:rPr>
      </w:pPr>
      <w:r>
        <w:rPr>
          <w:rFonts w:hint="eastAsia" w:ascii="宋体" w:hAnsi="宋体" w:cs="宋体"/>
          <w:sz w:val="24"/>
          <w:szCs w:val="28"/>
        </w:rPr>
        <w:t>地址：                              邮编：</w:t>
      </w:r>
    </w:p>
    <w:p w14:paraId="09B72BE6">
      <w:pPr>
        <w:spacing w:line="360" w:lineRule="auto"/>
        <w:ind w:firstLine="480" w:firstLineChars="200"/>
        <w:rPr>
          <w:rFonts w:ascii="宋体" w:hAnsi="宋体" w:cs="宋体"/>
          <w:sz w:val="24"/>
          <w:szCs w:val="28"/>
        </w:rPr>
      </w:pPr>
    </w:p>
    <w:p w14:paraId="7416D512">
      <w:pPr>
        <w:spacing w:line="360" w:lineRule="auto"/>
        <w:ind w:firstLine="480" w:firstLineChars="200"/>
        <w:rPr>
          <w:rFonts w:ascii="宋体" w:hAnsi="宋体" w:cs="宋体"/>
          <w:sz w:val="24"/>
          <w:szCs w:val="28"/>
        </w:rPr>
      </w:pPr>
      <w:r>
        <w:rPr>
          <w:rFonts w:hint="eastAsia" w:ascii="宋体" w:hAnsi="宋体" w:cs="宋体"/>
          <w:sz w:val="24"/>
          <w:szCs w:val="28"/>
        </w:rPr>
        <w:t>电话：</w:t>
      </w:r>
    </w:p>
    <w:p w14:paraId="0F596D8A">
      <w:pPr>
        <w:spacing w:line="360" w:lineRule="auto"/>
        <w:ind w:firstLine="360" w:firstLineChars="150"/>
        <w:rPr>
          <w:rFonts w:ascii="宋体" w:hAnsi="宋体" w:cs="宋体"/>
          <w:sz w:val="24"/>
          <w:szCs w:val="28"/>
        </w:rPr>
      </w:pPr>
    </w:p>
    <w:p w14:paraId="1927316C">
      <w:pPr>
        <w:spacing w:line="360" w:lineRule="auto"/>
        <w:ind w:right="480" w:firstLine="360" w:firstLineChars="150"/>
        <w:jc w:val="center"/>
        <w:rPr>
          <w:rFonts w:ascii="宋体" w:hAnsi="宋体" w:cs="宋体"/>
          <w:b/>
          <w:sz w:val="32"/>
          <w:szCs w:val="32"/>
        </w:rPr>
      </w:pPr>
      <w:r>
        <w:rPr>
          <w:rFonts w:hint="eastAsia" w:ascii="宋体" w:hAnsi="宋体" w:cs="宋体"/>
          <w:sz w:val="24"/>
          <w:szCs w:val="28"/>
        </w:rPr>
        <w:t xml:space="preserve">                                                 年  月  日</w:t>
      </w:r>
    </w:p>
    <w:p w14:paraId="6C496C94">
      <w:pPr>
        <w:spacing w:line="360" w:lineRule="atLeast"/>
        <w:jc w:val="center"/>
        <w:rPr>
          <w:rFonts w:ascii="宋体" w:hAnsi="宋体" w:cs="宋体"/>
          <w:b/>
          <w:sz w:val="32"/>
          <w:szCs w:val="32"/>
        </w:rPr>
      </w:pPr>
      <w:r>
        <w:rPr>
          <w:rFonts w:hint="eastAsia" w:ascii="宋体" w:hAnsi="宋体" w:cs="宋体"/>
          <w:b/>
          <w:sz w:val="32"/>
          <w:szCs w:val="32"/>
        </w:rPr>
        <w:t>承诺书Ⅱ</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46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3DAABE37">
            <w:pPr>
              <w:spacing w:line="360" w:lineRule="atLeast"/>
              <w:rPr>
                <w:rFonts w:ascii="宋体" w:hAnsi="宋体" w:cs="宋体"/>
                <w:sz w:val="24"/>
              </w:rPr>
            </w:pPr>
            <w:r>
              <w:rPr>
                <w:rFonts w:hint="eastAsia" w:ascii="宋体" w:hAnsi="宋体" w:cs="宋体"/>
                <w:sz w:val="24"/>
              </w:rPr>
              <w:t>致：陕西三秦大地招标有限责任公司</w:t>
            </w:r>
          </w:p>
        </w:tc>
      </w:tr>
      <w:tr w14:paraId="7E91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6CFF17F2">
            <w:pPr>
              <w:spacing w:line="360" w:lineRule="atLeast"/>
              <w:ind w:firstLine="480" w:firstLineChars="200"/>
              <w:rPr>
                <w:rFonts w:ascii="宋体" w:hAnsi="宋体" w:cs="宋体"/>
                <w:sz w:val="24"/>
              </w:rPr>
            </w:pPr>
            <w:r>
              <w:rPr>
                <w:rFonts w:hint="eastAsia" w:ascii="宋体" w:hAnsi="宋体" w:cs="宋体"/>
                <w:sz w:val="24"/>
              </w:rPr>
              <w:t>作为参加贵公司组织的招标采购项目的投标单位，本公司承诺：在参加本项目招标之前不存在被依法禁止经营行为、财产被接管或冻结的情况，如有隐瞒实情，愿承担一切责任及后果。</w:t>
            </w:r>
          </w:p>
        </w:tc>
      </w:tr>
      <w:tr w14:paraId="2E5F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36E17DD4">
            <w:pPr>
              <w:spacing w:line="360" w:lineRule="atLeast"/>
              <w:jc w:val="center"/>
              <w:rPr>
                <w:rFonts w:ascii="宋体" w:hAnsi="宋体" w:cs="宋体"/>
                <w:sz w:val="24"/>
              </w:rPr>
            </w:pPr>
            <w:r>
              <w:rPr>
                <w:rFonts w:hint="eastAsia" w:ascii="宋体" w:hAnsi="宋体" w:cs="宋体"/>
                <w:sz w:val="24"/>
              </w:rPr>
              <w:t>投标单位</w:t>
            </w:r>
          </w:p>
        </w:tc>
        <w:tc>
          <w:tcPr>
            <w:tcW w:w="3420" w:type="dxa"/>
            <w:noWrap w:val="0"/>
            <w:vAlign w:val="center"/>
          </w:tcPr>
          <w:p w14:paraId="4F612CFA">
            <w:pPr>
              <w:spacing w:line="360" w:lineRule="atLeast"/>
              <w:jc w:val="center"/>
              <w:rPr>
                <w:rFonts w:ascii="宋体" w:hAnsi="宋体" w:cs="宋体"/>
                <w:sz w:val="24"/>
              </w:rPr>
            </w:pPr>
            <w:r>
              <w:rPr>
                <w:rFonts w:hint="eastAsia" w:ascii="宋体" w:hAnsi="宋体" w:cs="宋体"/>
                <w:sz w:val="24"/>
              </w:rPr>
              <w:t>法定代表人</w:t>
            </w:r>
          </w:p>
        </w:tc>
        <w:tc>
          <w:tcPr>
            <w:tcW w:w="2340" w:type="dxa"/>
            <w:noWrap w:val="0"/>
            <w:vAlign w:val="center"/>
          </w:tcPr>
          <w:p w14:paraId="712AB696">
            <w:pPr>
              <w:spacing w:line="360" w:lineRule="atLeast"/>
              <w:jc w:val="center"/>
              <w:rPr>
                <w:rFonts w:ascii="宋体" w:hAnsi="宋体" w:cs="宋体"/>
                <w:sz w:val="24"/>
              </w:rPr>
            </w:pPr>
            <w:r>
              <w:rPr>
                <w:rFonts w:hint="eastAsia" w:ascii="宋体" w:hAnsi="宋体" w:cs="宋体"/>
                <w:sz w:val="24"/>
              </w:rPr>
              <w:t>日  期</w:t>
            </w:r>
          </w:p>
        </w:tc>
      </w:tr>
      <w:tr w14:paraId="7D8C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0E368061">
            <w:pPr>
              <w:spacing w:line="360" w:lineRule="atLeast"/>
              <w:jc w:val="center"/>
              <w:rPr>
                <w:rFonts w:ascii="宋体" w:hAnsi="宋体" w:cs="宋体"/>
                <w:sz w:val="24"/>
              </w:rPr>
            </w:pPr>
            <w:r>
              <w:rPr>
                <w:rFonts w:hint="eastAsia" w:ascii="宋体" w:hAnsi="宋体" w:cs="宋体"/>
                <w:sz w:val="24"/>
              </w:rPr>
              <w:t>（公章）</w:t>
            </w:r>
          </w:p>
        </w:tc>
        <w:tc>
          <w:tcPr>
            <w:tcW w:w="3420" w:type="dxa"/>
            <w:noWrap w:val="0"/>
            <w:vAlign w:val="center"/>
          </w:tcPr>
          <w:p w14:paraId="7DD5DE03">
            <w:pPr>
              <w:spacing w:line="360" w:lineRule="atLeast"/>
              <w:jc w:val="center"/>
              <w:rPr>
                <w:rFonts w:ascii="宋体" w:hAnsi="宋体" w:cs="宋体"/>
                <w:sz w:val="24"/>
              </w:rPr>
            </w:pPr>
            <w:r>
              <w:rPr>
                <w:rFonts w:hint="eastAsia" w:ascii="宋体" w:hAnsi="宋体" w:cs="宋体"/>
                <w:sz w:val="24"/>
              </w:rPr>
              <w:t>（签字或盖章）</w:t>
            </w:r>
          </w:p>
        </w:tc>
        <w:tc>
          <w:tcPr>
            <w:tcW w:w="2340" w:type="dxa"/>
            <w:noWrap w:val="0"/>
            <w:vAlign w:val="center"/>
          </w:tcPr>
          <w:p w14:paraId="43A4B25B">
            <w:pPr>
              <w:spacing w:line="360" w:lineRule="atLeast"/>
              <w:ind w:firstLine="240" w:firstLineChars="100"/>
              <w:jc w:val="center"/>
              <w:rPr>
                <w:rFonts w:ascii="宋体" w:hAnsi="宋体" w:cs="宋体"/>
                <w:sz w:val="24"/>
              </w:rPr>
            </w:pPr>
            <w:r>
              <w:rPr>
                <w:rFonts w:hint="eastAsia" w:ascii="宋体" w:hAnsi="宋体" w:cs="宋体"/>
                <w:sz w:val="24"/>
              </w:rPr>
              <w:t>年  月  日</w:t>
            </w:r>
          </w:p>
        </w:tc>
      </w:tr>
    </w:tbl>
    <w:p w14:paraId="3C40D1AB">
      <w:pPr>
        <w:spacing w:line="360" w:lineRule="atLeast"/>
        <w:rPr>
          <w:rFonts w:ascii="宋体" w:hAnsi="宋体" w:cs="宋体"/>
          <w:b/>
          <w:sz w:val="42"/>
          <w:szCs w:val="42"/>
        </w:rPr>
      </w:pPr>
    </w:p>
    <w:p w14:paraId="51750C2D">
      <w:pPr>
        <w:rPr>
          <w:rFonts w:ascii="宋体" w:hAnsi="宋体" w:cs="宋体"/>
          <w:b/>
          <w:sz w:val="42"/>
          <w:szCs w:val="42"/>
        </w:rPr>
      </w:pPr>
    </w:p>
    <w:p w14:paraId="6E31D631">
      <w:pPr>
        <w:spacing w:line="360" w:lineRule="atLeast"/>
        <w:jc w:val="center"/>
        <w:rPr>
          <w:rFonts w:ascii="宋体" w:hAnsi="宋体" w:cs="宋体"/>
          <w:b/>
          <w:sz w:val="32"/>
          <w:szCs w:val="32"/>
        </w:rPr>
      </w:pPr>
      <w:r>
        <w:rPr>
          <w:rFonts w:hint="eastAsia" w:ascii="宋体" w:hAnsi="宋体" w:cs="宋体"/>
          <w:b/>
          <w:sz w:val="32"/>
          <w:szCs w:val="32"/>
        </w:rPr>
        <w:t>承诺书Ⅲ</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7F5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15F5FEF6">
            <w:pPr>
              <w:spacing w:line="360" w:lineRule="atLeast"/>
              <w:rPr>
                <w:rFonts w:ascii="宋体" w:hAnsi="宋体" w:cs="宋体"/>
                <w:sz w:val="24"/>
              </w:rPr>
            </w:pPr>
            <w:r>
              <w:rPr>
                <w:rFonts w:hint="eastAsia" w:ascii="宋体" w:hAnsi="宋体" w:cs="宋体"/>
                <w:sz w:val="24"/>
              </w:rPr>
              <w:t>致：陕西三秦大地招标有限责任公司</w:t>
            </w:r>
          </w:p>
        </w:tc>
      </w:tr>
      <w:tr w14:paraId="2BCF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C36FC6B">
            <w:pPr>
              <w:spacing w:line="360" w:lineRule="atLeast"/>
              <w:ind w:firstLine="480" w:firstLineChars="200"/>
              <w:rPr>
                <w:rFonts w:ascii="宋体" w:hAnsi="宋体" w:cs="宋体"/>
                <w:sz w:val="24"/>
              </w:rPr>
            </w:pPr>
            <w:r>
              <w:rPr>
                <w:rFonts w:hint="eastAsia" w:ascii="宋体" w:hAnsi="宋体" w:cs="宋体"/>
                <w:sz w:val="24"/>
              </w:rPr>
              <w:t>作为参加贵公司组织的招标采购项目的投标单位，本公司郑重申告并承诺：近三年受到有关行政主管部门的行政处理、不良行为记录为</w:t>
            </w:r>
            <w:r>
              <w:rPr>
                <w:rFonts w:hint="eastAsia" w:ascii="宋体" w:hAnsi="宋体" w:cs="宋体"/>
                <w:sz w:val="24"/>
                <w:u w:val="single"/>
              </w:rPr>
              <w:t xml:space="preserve">    </w:t>
            </w:r>
            <w:r>
              <w:rPr>
                <w:rFonts w:hint="eastAsia" w:ascii="宋体" w:hAnsi="宋体" w:cs="宋体"/>
                <w:sz w:val="24"/>
              </w:rPr>
              <w:t>次（没有填零），如有隐瞒实情，愿承担一切责任及后果。</w:t>
            </w:r>
          </w:p>
        </w:tc>
      </w:tr>
      <w:tr w14:paraId="67C7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3C0EBB3F">
            <w:pPr>
              <w:spacing w:line="360" w:lineRule="atLeast"/>
              <w:jc w:val="center"/>
              <w:rPr>
                <w:rFonts w:ascii="宋体" w:hAnsi="宋体" w:cs="宋体"/>
                <w:sz w:val="24"/>
              </w:rPr>
            </w:pPr>
            <w:r>
              <w:rPr>
                <w:rFonts w:hint="eastAsia" w:ascii="宋体" w:hAnsi="宋体" w:cs="宋体"/>
                <w:sz w:val="24"/>
              </w:rPr>
              <w:t>投标单位</w:t>
            </w:r>
          </w:p>
        </w:tc>
        <w:tc>
          <w:tcPr>
            <w:tcW w:w="3420" w:type="dxa"/>
            <w:noWrap w:val="0"/>
            <w:vAlign w:val="center"/>
          </w:tcPr>
          <w:p w14:paraId="29EE7E34">
            <w:pPr>
              <w:spacing w:line="360" w:lineRule="atLeast"/>
              <w:jc w:val="center"/>
              <w:rPr>
                <w:rFonts w:ascii="宋体" w:hAnsi="宋体" w:cs="宋体"/>
                <w:sz w:val="24"/>
              </w:rPr>
            </w:pPr>
            <w:r>
              <w:rPr>
                <w:rFonts w:hint="eastAsia" w:ascii="宋体" w:hAnsi="宋体" w:cs="宋体"/>
                <w:sz w:val="24"/>
              </w:rPr>
              <w:t>法定代表人</w:t>
            </w:r>
          </w:p>
        </w:tc>
        <w:tc>
          <w:tcPr>
            <w:tcW w:w="2340" w:type="dxa"/>
            <w:noWrap w:val="0"/>
            <w:vAlign w:val="center"/>
          </w:tcPr>
          <w:p w14:paraId="0345121D">
            <w:pPr>
              <w:spacing w:line="360" w:lineRule="atLeast"/>
              <w:jc w:val="center"/>
              <w:rPr>
                <w:rFonts w:ascii="宋体" w:hAnsi="宋体" w:cs="宋体"/>
                <w:sz w:val="24"/>
              </w:rPr>
            </w:pPr>
            <w:r>
              <w:rPr>
                <w:rFonts w:hint="eastAsia" w:ascii="宋体" w:hAnsi="宋体" w:cs="宋体"/>
                <w:sz w:val="24"/>
              </w:rPr>
              <w:t>日  期</w:t>
            </w:r>
          </w:p>
        </w:tc>
      </w:tr>
      <w:tr w14:paraId="75E8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71D436D4">
            <w:pPr>
              <w:spacing w:line="360" w:lineRule="atLeast"/>
              <w:jc w:val="center"/>
              <w:rPr>
                <w:rFonts w:ascii="宋体" w:hAnsi="宋体" w:cs="宋体"/>
                <w:sz w:val="24"/>
              </w:rPr>
            </w:pPr>
            <w:r>
              <w:rPr>
                <w:rFonts w:hint="eastAsia" w:ascii="宋体" w:hAnsi="宋体" w:cs="宋体"/>
                <w:sz w:val="24"/>
              </w:rPr>
              <w:t>（公章）</w:t>
            </w:r>
          </w:p>
        </w:tc>
        <w:tc>
          <w:tcPr>
            <w:tcW w:w="3420" w:type="dxa"/>
            <w:noWrap w:val="0"/>
            <w:vAlign w:val="center"/>
          </w:tcPr>
          <w:p w14:paraId="6CA4F3E5">
            <w:pPr>
              <w:spacing w:line="360" w:lineRule="atLeast"/>
              <w:jc w:val="center"/>
              <w:rPr>
                <w:rFonts w:ascii="宋体" w:hAnsi="宋体" w:cs="宋体"/>
                <w:sz w:val="24"/>
              </w:rPr>
            </w:pPr>
            <w:r>
              <w:rPr>
                <w:rFonts w:hint="eastAsia" w:ascii="宋体" w:hAnsi="宋体" w:cs="宋体"/>
                <w:sz w:val="24"/>
              </w:rPr>
              <w:t>（签字或盖章）</w:t>
            </w:r>
          </w:p>
        </w:tc>
        <w:tc>
          <w:tcPr>
            <w:tcW w:w="2340" w:type="dxa"/>
            <w:noWrap w:val="0"/>
            <w:vAlign w:val="center"/>
          </w:tcPr>
          <w:p w14:paraId="719F2AE3">
            <w:pPr>
              <w:spacing w:line="360" w:lineRule="atLeast"/>
              <w:ind w:firstLine="240" w:firstLineChars="100"/>
              <w:jc w:val="center"/>
              <w:rPr>
                <w:rFonts w:ascii="宋体" w:hAnsi="宋体" w:cs="宋体"/>
                <w:sz w:val="24"/>
              </w:rPr>
            </w:pPr>
            <w:r>
              <w:rPr>
                <w:rFonts w:hint="eastAsia" w:ascii="宋体" w:hAnsi="宋体" w:cs="宋体"/>
                <w:sz w:val="24"/>
              </w:rPr>
              <w:t>年  月  日</w:t>
            </w:r>
          </w:p>
        </w:tc>
      </w:tr>
    </w:tbl>
    <w:p w14:paraId="32BCAE5C">
      <w:pPr>
        <w:spacing w:line="360" w:lineRule="atLeast"/>
        <w:rPr>
          <w:rFonts w:ascii="宋体" w:hAnsi="宋体" w:cs="宋体"/>
          <w:b/>
          <w:sz w:val="32"/>
          <w:szCs w:val="32"/>
        </w:rPr>
      </w:pPr>
    </w:p>
    <w:p w14:paraId="6896A05C">
      <w:pPr>
        <w:pStyle w:val="6"/>
      </w:pPr>
    </w:p>
    <w:p w14:paraId="0B3FC6AB">
      <w:pPr>
        <w:spacing w:line="360" w:lineRule="atLeast"/>
        <w:jc w:val="center"/>
        <w:rPr>
          <w:rFonts w:ascii="宋体" w:hAnsi="宋体" w:cs="宋体"/>
          <w:b/>
          <w:sz w:val="32"/>
          <w:szCs w:val="32"/>
        </w:rPr>
      </w:pPr>
      <w:r>
        <w:rPr>
          <w:rFonts w:hint="eastAsia" w:ascii="宋体" w:hAnsi="宋体" w:cs="宋体"/>
          <w:b/>
          <w:sz w:val="32"/>
          <w:szCs w:val="32"/>
        </w:rPr>
        <w:t>承诺书Ⅳ</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2A1B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64E18E41">
            <w:pPr>
              <w:spacing w:line="360" w:lineRule="atLeast"/>
              <w:rPr>
                <w:rFonts w:ascii="宋体" w:hAnsi="宋体" w:cs="宋体"/>
                <w:sz w:val="24"/>
              </w:rPr>
            </w:pPr>
            <w:r>
              <w:rPr>
                <w:rFonts w:hint="eastAsia" w:ascii="宋体" w:hAnsi="宋体" w:cs="宋体"/>
                <w:sz w:val="24"/>
              </w:rPr>
              <w:t>致：陕西三秦大地招标有限责任公司</w:t>
            </w:r>
          </w:p>
        </w:tc>
      </w:tr>
      <w:tr w14:paraId="3721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60630943">
            <w:pPr>
              <w:spacing w:line="360" w:lineRule="atLeast"/>
              <w:ind w:firstLine="480" w:firstLineChars="200"/>
              <w:rPr>
                <w:rFonts w:ascii="宋体" w:hAnsi="宋体" w:cs="宋体"/>
                <w:sz w:val="24"/>
              </w:rPr>
            </w:pPr>
            <w:r>
              <w:rPr>
                <w:rFonts w:hint="eastAsia" w:ascii="宋体" w:hAnsi="宋体" w:cs="宋体"/>
                <w:sz w:val="24"/>
              </w:rPr>
              <w:t>作为参加贵公司组织的招标采购项目的投标单位，本公司郑重申告：近三年因项目质量问题的不法行为记录为</w:t>
            </w:r>
            <w:r>
              <w:rPr>
                <w:rFonts w:hint="eastAsia" w:ascii="宋体" w:hAnsi="宋体" w:cs="宋体"/>
                <w:sz w:val="24"/>
                <w:u w:val="single"/>
              </w:rPr>
              <w:t xml:space="preserve">   </w:t>
            </w:r>
            <w:r>
              <w:rPr>
                <w:rFonts w:hint="eastAsia" w:ascii="宋体" w:hAnsi="宋体" w:cs="宋体"/>
                <w:sz w:val="24"/>
              </w:rPr>
              <w:t>次（没有填零），如有隐瞒实情，愿承担一切责任及后果。</w:t>
            </w:r>
          </w:p>
        </w:tc>
      </w:tr>
      <w:tr w14:paraId="4610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76DA545B">
            <w:pPr>
              <w:spacing w:line="360" w:lineRule="atLeast"/>
              <w:jc w:val="center"/>
              <w:rPr>
                <w:rFonts w:ascii="宋体" w:hAnsi="宋体" w:cs="宋体"/>
                <w:sz w:val="24"/>
              </w:rPr>
            </w:pPr>
            <w:r>
              <w:rPr>
                <w:rFonts w:hint="eastAsia" w:ascii="宋体" w:hAnsi="宋体" w:cs="宋体"/>
                <w:sz w:val="24"/>
              </w:rPr>
              <w:t>投标单位</w:t>
            </w:r>
          </w:p>
        </w:tc>
        <w:tc>
          <w:tcPr>
            <w:tcW w:w="3420" w:type="dxa"/>
            <w:noWrap w:val="0"/>
            <w:vAlign w:val="center"/>
          </w:tcPr>
          <w:p w14:paraId="08C0EC04">
            <w:pPr>
              <w:spacing w:line="360" w:lineRule="atLeast"/>
              <w:jc w:val="center"/>
              <w:rPr>
                <w:rFonts w:ascii="宋体" w:hAnsi="宋体" w:cs="宋体"/>
                <w:sz w:val="24"/>
              </w:rPr>
            </w:pPr>
            <w:r>
              <w:rPr>
                <w:rFonts w:hint="eastAsia" w:ascii="宋体" w:hAnsi="宋体" w:cs="宋体"/>
                <w:sz w:val="24"/>
              </w:rPr>
              <w:t>法定代表人</w:t>
            </w:r>
          </w:p>
        </w:tc>
        <w:tc>
          <w:tcPr>
            <w:tcW w:w="2340" w:type="dxa"/>
            <w:noWrap w:val="0"/>
            <w:vAlign w:val="center"/>
          </w:tcPr>
          <w:p w14:paraId="364F2CBC">
            <w:pPr>
              <w:spacing w:line="360" w:lineRule="atLeast"/>
              <w:jc w:val="center"/>
              <w:rPr>
                <w:rFonts w:ascii="宋体" w:hAnsi="宋体" w:cs="宋体"/>
                <w:sz w:val="24"/>
              </w:rPr>
            </w:pPr>
            <w:r>
              <w:rPr>
                <w:rFonts w:hint="eastAsia" w:ascii="宋体" w:hAnsi="宋体" w:cs="宋体"/>
                <w:sz w:val="24"/>
              </w:rPr>
              <w:t>日   期</w:t>
            </w:r>
          </w:p>
        </w:tc>
      </w:tr>
      <w:tr w14:paraId="3CBC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04DD3C7E">
            <w:pPr>
              <w:spacing w:line="360" w:lineRule="atLeast"/>
              <w:jc w:val="center"/>
              <w:rPr>
                <w:rFonts w:ascii="宋体" w:hAnsi="宋体" w:cs="宋体"/>
                <w:sz w:val="24"/>
              </w:rPr>
            </w:pPr>
            <w:r>
              <w:rPr>
                <w:rFonts w:hint="eastAsia" w:ascii="宋体" w:hAnsi="宋体" w:cs="宋体"/>
                <w:sz w:val="24"/>
              </w:rPr>
              <w:t>（公章）</w:t>
            </w:r>
          </w:p>
        </w:tc>
        <w:tc>
          <w:tcPr>
            <w:tcW w:w="3420" w:type="dxa"/>
            <w:noWrap w:val="0"/>
            <w:vAlign w:val="center"/>
          </w:tcPr>
          <w:p w14:paraId="56655F12">
            <w:pPr>
              <w:spacing w:line="360" w:lineRule="atLeast"/>
              <w:jc w:val="center"/>
              <w:rPr>
                <w:rFonts w:ascii="宋体" w:hAnsi="宋体" w:cs="宋体"/>
                <w:sz w:val="24"/>
              </w:rPr>
            </w:pPr>
            <w:r>
              <w:rPr>
                <w:rFonts w:hint="eastAsia" w:ascii="宋体" w:hAnsi="宋体" w:cs="宋体"/>
                <w:sz w:val="24"/>
              </w:rPr>
              <w:t>（签字或盖章）</w:t>
            </w:r>
          </w:p>
        </w:tc>
        <w:tc>
          <w:tcPr>
            <w:tcW w:w="2340" w:type="dxa"/>
            <w:noWrap w:val="0"/>
            <w:vAlign w:val="center"/>
          </w:tcPr>
          <w:p w14:paraId="5C4B8571">
            <w:pPr>
              <w:spacing w:line="360" w:lineRule="atLeast"/>
              <w:ind w:firstLine="240" w:firstLineChars="100"/>
              <w:jc w:val="center"/>
              <w:rPr>
                <w:rFonts w:ascii="宋体" w:hAnsi="宋体" w:cs="宋体"/>
                <w:sz w:val="24"/>
              </w:rPr>
            </w:pPr>
            <w:r>
              <w:rPr>
                <w:rFonts w:hint="eastAsia" w:ascii="宋体" w:hAnsi="宋体" w:cs="宋体"/>
                <w:sz w:val="24"/>
              </w:rPr>
              <w:t>年  月  日</w:t>
            </w:r>
          </w:p>
        </w:tc>
      </w:tr>
    </w:tbl>
    <w:p w14:paraId="49924CE1">
      <w:pPr>
        <w:spacing w:line="360" w:lineRule="auto"/>
        <w:ind w:right="480"/>
        <w:rPr>
          <w:rFonts w:ascii="宋体" w:hAnsi="宋体" w:cs="宋体"/>
          <w:sz w:val="24"/>
          <w:szCs w:val="28"/>
        </w:rPr>
      </w:pPr>
    </w:p>
    <w:p w14:paraId="7D86AA58">
      <w:pPr>
        <w:spacing w:line="360" w:lineRule="atLeast"/>
        <w:jc w:val="center"/>
        <w:rPr>
          <w:rFonts w:ascii="宋体" w:hAnsi="宋体" w:cs="宋体"/>
          <w:b/>
          <w:sz w:val="32"/>
          <w:szCs w:val="32"/>
        </w:rPr>
      </w:pPr>
      <w:r>
        <w:rPr>
          <w:rFonts w:hint="eastAsia" w:ascii="宋体" w:hAnsi="宋体" w:cs="宋体"/>
          <w:b/>
          <w:sz w:val="32"/>
          <w:szCs w:val="32"/>
        </w:rPr>
        <w:t>承诺书</w:t>
      </w:r>
      <w:r>
        <w:rPr>
          <w:rFonts w:hint="eastAsia" w:ascii="宋体" w:hAnsi="宋体" w:cs="宋体"/>
          <w:b/>
          <w:sz w:val="36"/>
          <w:szCs w:val="36"/>
        </w:rPr>
        <w:fldChar w:fldCharType="begin"/>
      </w:r>
      <w:r>
        <w:rPr>
          <w:rFonts w:hint="eastAsia" w:ascii="宋体" w:hAnsi="宋体" w:cs="宋体"/>
          <w:b/>
          <w:sz w:val="36"/>
          <w:szCs w:val="36"/>
        </w:rPr>
        <w:instrText xml:space="preserve"> = 5 \* ROMAN </w:instrText>
      </w:r>
      <w:r>
        <w:rPr>
          <w:rFonts w:hint="eastAsia" w:ascii="宋体" w:hAnsi="宋体" w:cs="宋体"/>
          <w:b/>
          <w:sz w:val="36"/>
          <w:szCs w:val="36"/>
        </w:rPr>
        <w:fldChar w:fldCharType="separate"/>
      </w:r>
      <w:r>
        <w:rPr>
          <w:rFonts w:hint="eastAsia" w:ascii="宋体" w:hAnsi="宋体" w:cs="宋体"/>
          <w:b/>
          <w:sz w:val="36"/>
          <w:szCs w:val="36"/>
        </w:rPr>
        <w:t>V</w:t>
      </w:r>
      <w:r>
        <w:rPr>
          <w:rFonts w:hint="eastAsia" w:ascii="宋体" w:hAnsi="宋体" w:cs="宋体"/>
          <w:b/>
          <w:sz w:val="36"/>
          <w:szCs w:val="36"/>
        </w:rPr>
        <w:fldChar w:fldCharType="end"/>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0E7A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6F87A7CF">
            <w:pPr>
              <w:spacing w:line="360" w:lineRule="atLeast"/>
              <w:rPr>
                <w:rFonts w:ascii="宋体" w:hAnsi="宋体" w:cs="宋体"/>
                <w:sz w:val="24"/>
              </w:rPr>
            </w:pPr>
            <w:r>
              <w:rPr>
                <w:rFonts w:hint="eastAsia" w:ascii="宋体" w:hAnsi="宋体" w:cs="宋体"/>
                <w:sz w:val="24"/>
              </w:rPr>
              <w:t>致：陕西三秦大地招标有限责任公司</w:t>
            </w:r>
          </w:p>
        </w:tc>
      </w:tr>
      <w:tr w14:paraId="58B9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331D563">
            <w:pPr>
              <w:spacing w:line="360" w:lineRule="atLeast"/>
              <w:ind w:firstLine="480" w:firstLineChars="200"/>
              <w:rPr>
                <w:rFonts w:ascii="宋体" w:hAnsi="宋体" w:cs="宋体"/>
                <w:sz w:val="24"/>
              </w:rPr>
            </w:pPr>
            <w:r>
              <w:rPr>
                <w:rFonts w:hint="eastAsia" w:ascii="宋体" w:hAnsi="宋体" w:cs="宋体"/>
                <w:sz w:val="24"/>
              </w:rPr>
              <w:t>作为参加贵公司组织的招标采购项目的投标单位，本公司承诺：参加本次投标提交的所有资质证明文件及业绩证明是真实的、有效的，如有隐瞒实情，愿承担一切责任及后果。</w:t>
            </w:r>
          </w:p>
        </w:tc>
      </w:tr>
      <w:tr w14:paraId="4CCE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1167F57">
            <w:pPr>
              <w:spacing w:line="360" w:lineRule="atLeast"/>
              <w:jc w:val="center"/>
              <w:rPr>
                <w:rFonts w:ascii="宋体" w:hAnsi="宋体" w:cs="宋体"/>
                <w:sz w:val="24"/>
              </w:rPr>
            </w:pPr>
            <w:r>
              <w:rPr>
                <w:rFonts w:hint="eastAsia" w:ascii="宋体" w:hAnsi="宋体" w:cs="宋体"/>
                <w:sz w:val="24"/>
              </w:rPr>
              <w:t>投标单位</w:t>
            </w:r>
          </w:p>
        </w:tc>
        <w:tc>
          <w:tcPr>
            <w:tcW w:w="3420" w:type="dxa"/>
            <w:noWrap w:val="0"/>
            <w:vAlign w:val="center"/>
          </w:tcPr>
          <w:p w14:paraId="5569D3E4">
            <w:pPr>
              <w:spacing w:line="360" w:lineRule="atLeast"/>
              <w:jc w:val="center"/>
              <w:rPr>
                <w:rFonts w:ascii="宋体" w:hAnsi="宋体" w:cs="宋体"/>
                <w:sz w:val="24"/>
              </w:rPr>
            </w:pPr>
            <w:r>
              <w:rPr>
                <w:rFonts w:hint="eastAsia" w:ascii="宋体" w:hAnsi="宋体" w:cs="宋体"/>
                <w:sz w:val="24"/>
              </w:rPr>
              <w:t>法定代表人</w:t>
            </w:r>
          </w:p>
        </w:tc>
        <w:tc>
          <w:tcPr>
            <w:tcW w:w="2340" w:type="dxa"/>
            <w:noWrap w:val="0"/>
            <w:vAlign w:val="center"/>
          </w:tcPr>
          <w:p w14:paraId="729A3A7F">
            <w:pPr>
              <w:spacing w:line="360" w:lineRule="atLeast"/>
              <w:jc w:val="center"/>
              <w:rPr>
                <w:rFonts w:ascii="宋体" w:hAnsi="宋体" w:cs="宋体"/>
                <w:sz w:val="24"/>
              </w:rPr>
            </w:pPr>
            <w:r>
              <w:rPr>
                <w:rFonts w:hint="eastAsia" w:ascii="宋体" w:hAnsi="宋体" w:cs="宋体"/>
                <w:sz w:val="24"/>
              </w:rPr>
              <w:t>日   期</w:t>
            </w:r>
          </w:p>
        </w:tc>
      </w:tr>
      <w:tr w14:paraId="4567A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0B03C55">
            <w:pPr>
              <w:spacing w:line="360" w:lineRule="atLeast"/>
              <w:jc w:val="center"/>
              <w:rPr>
                <w:rFonts w:ascii="宋体" w:hAnsi="宋体" w:cs="宋体"/>
                <w:sz w:val="24"/>
              </w:rPr>
            </w:pPr>
            <w:r>
              <w:rPr>
                <w:rFonts w:hint="eastAsia" w:ascii="宋体" w:hAnsi="宋体" w:cs="宋体"/>
                <w:sz w:val="24"/>
              </w:rPr>
              <w:t>（公章）</w:t>
            </w:r>
          </w:p>
        </w:tc>
        <w:tc>
          <w:tcPr>
            <w:tcW w:w="3420" w:type="dxa"/>
            <w:noWrap w:val="0"/>
            <w:vAlign w:val="center"/>
          </w:tcPr>
          <w:p w14:paraId="056C2F34">
            <w:pPr>
              <w:spacing w:line="360" w:lineRule="atLeast"/>
              <w:jc w:val="center"/>
              <w:rPr>
                <w:rFonts w:ascii="宋体" w:hAnsi="宋体" w:cs="宋体"/>
                <w:sz w:val="24"/>
              </w:rPr>
            </w:pPr>
            <w:r>
              <w:rPr>
                <w:rFonts w:hint="eastAsia" w:ascii="宋体" w:hAnsi="宋体" w:cs="宋体"/>
                <w:sz w:val="24"/>
              </w:rPr>
              <w:t>（签字或盖章）</w:t>
            </w:r>
          </w:p>
        </w:tc>
        <w:tc>
          <w:tcPr>
            <w:tcW w:w="2340" w:type="dxa"/>
            <w:noWrap w:val="0"/>
            <w:vAlign w:val="center"/>
          </w:tcPr>
          <w:p w14:paraId="211BE03C">
            <w:pPr>
              <w:spacing w:line="360" w:lineRule="atLeast"/>
              <w:ind w:firstLine="240" w:firstLineChars="100"/>
              <w:jc w:val="center"/>
              <w:rPr>
                <w:rFonts w:ascii="宋体" w:hAnsi="宋体" w:cs="宋体"/>
                <w:sz w:val="24"/>
              </w:rPr>
            </w:pPr>
            <w:r>
              <w:rPr>
                <w:rFonts w:hint="eastAsia" w:ascii="宋体" w:hAnsi="宋体" w:cs="宋体"/>
                <w:sz w:val="24"/>
              </w:rPr>
              <w:t>年  月  日</w:t>
            </w:r>
          </w:p>
        </w:tc>
      </w:tr>
    </w:tbl>
    <w:p w14:paraId="51E91616">
      <w:pPr>
        <w:spacing w:line="360" w:lineRule="auto"/>
        <w:jc w:val="center"/>
        <w:rPr>
          <w:rFonts w:ascii="宋体" w:hAnsi="宋体" w:cs="宋体"/>
          <w:b/>
          <w:sz w:val="32"/>
          <w:szCs w:val="32"/>
        </w:rPr>
      </w:pPr>
    </w:p>
    <w:p w14:paraId="4ED743C6">
      <w:pPr>
        <w:spacing w:line="360" w:lineRule="auto"/>
        <w:jc w:val="center"/>
        <w:rPr>
          <w:rFonts w:ascii="宋体" w:hAnsi="宋体" w:cs="宋体"/>
          <w:b/>
          <w:sz w:val="32"/>
          <w:szCs w:val="32"/>
        </w:rPr>
      </w:pPr>
    </w:p>
    <w:p w14:paraId="0BF50CE4">
      <w:pPr>
        <w:pStyle w:val="6"/>
      </w:pPr>
    </w:p>
    <w:p w14:paraId="4EE4B3AF">
      <w:pPr>
        <w:spacing w:line="560" w:lineRule="exact"/>
        <w:ind w:right="-2"/>
        <w:jc w:val="center"/>
        <w:rPr>
          <w:rFonts w:hint="eastAsia" w:ascii="宋体" w:hAnsi="宋体" w:cs="宋体"/>
          <w:b/>
          <w:sz w:val="32"/>
          <w:szCs w:val="22"/>
          <w:lang w:val="en-US" w:eastAsia="zh-CN"/>
        </w:rPr>
      </w:pPr>
      <w:r>
        <w:rPr>
          <w:rFonts w:hint="eastAsia" w:ascii="宋体" w:hAnsi="宋体" w:cs="宋体"/>
          <w:b/>
          <w:sz w:val="32"/>
          <w:szCs w:val="22"/>
          <w:lang w:val="en-US" w:eastAsia="zh-CN"/>
        </w:rPr>
        <w:t>4.3信用承诺书</w:t>
      </w:r>
    </w:p>
    <w:p w14:paraId="558B7364">
      <w:pPr>
        <w:spacing w:line="560" w:lineRule="exact"/>
        <w:ind w:right="-2"/>
        <w:jc w:val="center"/>
        <w:rPr>
          <w:rFonts w:ascii="宋体" w:hAnsi="宋体" w:cs="宋体"/>
          <w:b/>
          <w:bCs/>
          <w:sz w:val="32"/>
          <w:szCs w:val="32"/>
        </w:rPr>
      </w:pPr>
      <w:r>
        <w:rPr>
          <w:rFonts w:hint="eastAsia" w:ascii="宋体" w:hAnsi="宋体" w:cs="宋体"/>
          <w:b/>
          <w:bCs/>
          <w:sz w:val="32"/>
          <w:szCs w:val="32"/>
          <w:lang w:val="en-US" w:eastAsia="zh-CN"/>
        </w:rPr>
        <w:t>1、</w:t>
      </w:r>
      <w:r>
        <w:rPr>
          <w:rFonts w:hint="eastAsia" w:ascii="宋体" w:hAnsi="宋体" w:cs="宋体"/>
          <w:b/>
          <w:bCs/>
          <w:sz w:val="32"/>
          <w:szCs w:val="32"/>
        </w:rPr>
        <w:t>投标人信用承诺书</w:t>
      </w:r>
    </w:p>
    <w:p w14:paraId="0B767D88">
      <w:pPr>
        <w:widowControl/>
        <w:adjustRightInd w:val="0"/>
        <w:snapToGrid w:val="0"/>
        <w:spacing w:line="400" w:lineRule="exact"/>
        <w:jc w:val="left"/>
        <w:rPr>
          <w:rFonts w:ascii="宋体" w:hAnsi="宋体" w:cs="宋体"/>
          <w:kern w:val="0"/>
          <w:sz w:val="24"/>
          <w:u w:val="single"/>
        </w:rPr>
      </w:pPr>
      <w:r>
        <w:rPr>
          <w:rFonts w:hint="eastAsia" w:ascii="宋体" w:hAnsi="宋体" w:cs="宋体"/>
          <w:kern w:val="0"/>
          <w:sz w:val="24"/>
        </w:rPr>
        <w:t>投标人：</w:t>
      </w:r>
      <w:r>
        <w:rPr>
          <w:rFonts w:hint="eastAsia" w:ascii="宋体" w:hAnsi="宋体" w:cs="宋体"/>
          <w:kern w:val="0"/>
          <w:sz w:val="24"/>
          <w:u w:val="single"/>
        </w:rPr>
        <w:t xml:space="preserve">                                                                   </w:t>
      </w:r>
    </w:p>
    <w:p w14:paraId="5F26C9A8">
      <w:pPr>
        <w:widowControl/>
        <w:adjustRightInd w:val="0"/>
        <w:snapToGrid w:val="0"/>
        <w:spacing w:line="400" w:lineRule="exact"/>
        <w:jc w:val="left"/>
        <w:rPr>
          <w:rFonts w:ascii="宋体" w:hAnsi="宋体" w:cs="宋体"/>
          <w:kern w:val="0"/>
          <w:sz w:val="24"/>
          <w:u w:val="single"/>
        </w:rPr>
      </w:pPr>
      <w:r>
        <w:rPr>
          <w:rFonts w:hint="eastAsia" w:ascii="宋体" w:hAnsi="宋体" w:cs="宋体"/>
          <w:kern w:val="0"/>
          <w:sz w:val="24"/>
        </w:rPr>
        <w:t>统一社会信用代码：</w:t>
      </w:r>
      <w:r>
        <w:rPr>
          <w:rFonts w:hint="eastAsia" w:ascii="宋体" w:hAnsi="宋体" w:cs="宋体"/>
          <w:kern w:val="0"/>
          <w:sz w:val="24"/>
          <w:u w:val="single"/>
        </w:rPr>
        <w:t xml:space="preserve">                             </w:t>
      </w:r>
      <w:r>
        <w:rPr>
          <w:rFonts w:hint="eastAsia" w:ascii="宋体" w:hAnsi="宋体" w:cs="宋体"/>
          <w:kern w:val="0"/>
          <w:sz w:val="24"/>
        </w:rPr>
        <w:t>法人代表：</w:t>
      </w:r>
      <w:r>
        <w:rPr>
          <w:rFonts w:hint="eastAsia" w:ascii="宋体" w:hAnsi="宋体" w:cs="宋体"/>
          <w:kern w:val="0"/>
          <w:sz w:val="24"/>
          <w:u w:val="single"/>
        </w:rPr>
        <w:t xml:space="preserve">                  </w:t>
      </w:r>
    </w:p>
    <w:p w14:paraId="2467DBF9">
      <w:pPr>
        <w:widowControl/>
        <w:adjustRightInd w:val="0"/>
        <w:snapToGrid w:val="0"/>
        <w:spacing w:line="400" w:lineRule="exact"/>
        <w:jc w:val="left"/>
        <w:rPr>
          <w:rFonts w:ascii="宋体" w:hAnsi="宋体" w:cs="宋体"/>
          <w:kern w:val="0"/>
          <w:sz w:val="24"/>
          <w:u w:val="single"/>
        </w:rPr>
      </w:pPr>
      <w:r>
        <w:rPr>
          <w:rFonts w:hint="eastAsia" w:ascii="宋体" w:hAnsi="宋体" w:cs="宋体"/>
          <w:kern w:val="0"/>
          <w:sz w:val="24"/>
        </w:rPr>
        <w:t>承诺有效期限：</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14:paraId="0FB8ECB1">
      <w:pPr>
        <w:widowControl/>
        <w:adjustRightInd w:val="0"/>
        <w:snapToGrid w:val="0"/>
        <w:spacing w:line="400" w:lineRule="exact"/>
        <w:ind w:firstLine="480" w:firstLineChars="200"/>
        <w:jc w:val="left"/>
        <w:rPr>
          <w:rFonts w:ascii="宋体" w:hAnsi="宋体" w:cs="宋体"/>
          <w:kern w:val="0"/>
          <w:sz w:val="24"/>
        </w:rPr>
      </w:pPr>
      <w:r>
        <w:rPr>
          <w:rFonts w:hint="eastAsia" w:ascii="宋体" w:hAnsi="宋体" w:cs="宋体"/>
          <w:kern w:val="0"/>
          <w:sz w:val="24"/>
        </w:rPr>
        <w:t>在</w:t>
      </w:r>
      <w:r>
        <w:rPr>
          <w:rFonts w:hint="eastAsia" w:ascii="宋体" w:hAnsi="宋体" w:cs="宋体"/>
          <w:kern w:val="0"/>
          <w:sz w:val="24"/>
          <w:u w:val="single"/>
        </w:rPr>
        <w:t xml:space="preserve">                                   </w:t>
      </w:r>
      <w:r>
        <w:rPr>
          <w:rFonts w:hint="eastAsia" w:ascii="宋体" w:hAnsi="宋体" w:cs="宋体"/>
          <w:kern w:val="0"/>
          <w:sz w:val="24"/>
        </w:rPr>
        <w:t>项目招投标活动中，我公司（单位）郑重作出以下信用承诺：</w:t>
      </w:r>
    </w:p>
    <w:p w14:paraId="685E3B27">
      <w:pPr>
        <w:widowControl/>
        <w:adjustRightInd w:val="0"/>
        <w:snapToGrid w:val="0"/>
        <w:spacing w:line="400" w:lineRule="exact"/>
        <w:ind w:firstLine="480"/>
        <w:jc w:val="left"/>
        <w:rPr>
          <w:rFonts w:ascii="宋体" w:hAnsi="宋体" w:cs="宋体"/>
          <w:kern w:val="0"/>
          <w:sz w:val="24"/>
        </w:rPr>
      </w:pPr>
      <w:r>
        <w:rPr>
          <w:rFonts w:hint="eastAsia" w:ascii="宋体" w:hAnsi="宋体" w:cs="宋体"/>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的良好记录；无法律法规规定禁止开展从业活动情形。所递交文件资料合法、真实、准确、完整、有效。</w:t>
      </w:r>
    </w:p>
    <w:p w14:paraId="4B0D4C89">
      <w:pPr>
        <w:widowControl/>
        <w:adjustRightInd w:val="0"/>
        <w:snapToGrid w:val="0"/>
        <w:spacing w:line="400" w:lineRule="exact"/>
        <w:ind w:firstLine="480"/>
        <w:jc w:val="left"/>
        <w:rPr>
          <w:rFonts w:ascii="宋体" w:hAnsi="宋体" w:cs="宋体"/>
          <w:kern w:val="0"/>
          <w:sz w:val="24"/>
        </w:rPr>
      </w:pPr>
      <w:r>
        <w:rPr>
          <w:rFonts w:hint="eastAsia" w:ascii="宋体" w:hAnsi="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D9C7022">
      <w:pPr>
        <w:widowControl/>
        <w:adjustRightInd w:val="0"/>
        <w:snapToGrid w:val="0"/>
        <w:spacing w:line="400" w:lineRule="exact"/>
        <w:ind w:firstLine="480"/>
        <w:jc w:val="left"/>
        <w:rPr>
          <w:rFonts w:ascii="宋体" w:hAnsi="宋体" w:cs="宋体"/>
          <w:kern w:val="0"/>
          <w:sz w:val="24"/>
        </w:rPr>
      </w:pPr>
      <w:r>
        <w:rPr>
          <w:rFonts w:hint="eastAsia" w:ascii="宋体" w:hAnsi="宋体" w:cs="宋体"/>
          <w:kern w:val="0"/>
          <w:sz w:val="24"/>
        </w:rPr>
        <w:t>（三）自愿接受招投标监督部门和有关行政监督部门的依法检查。</w:t>
      </w:r>
    </w:p>
    <w:p w14:paraId="784BECCA">
      <w:pPr>
        <w:widowControl/>
        <w:adjustRightInd w:val="0"/>
        <w:snapToGrid w:val="0"/>
        <w:spacing w:line="400" w:lineRule="exact"/>
        <w:ind w:firstLine="480"/>
        <w:jc w:val="left"/>
        <w:rPr>
          <w:rFonts w:ascii="宋体" w:hAnsi="宋体" w:cs="宋体"/>
          <w:kern w:val="0"/>
          <w:sz w:val="24"/>
        </w:rPr>
      </w:pPr>
      <w:r>
        <w:rPr>
          <w:rFonts w:hint="eastAsia" w:ascii="宋体" w:hAnsi="宋体" w:cs="宋体"/>
          <w:kern w:val="0"/>
          <w:sz w:val="24"/>
        </w:rPr>
        <w:t>（四）同意将此信用承诺纳入陕西省公共信用信息平台和榆林市公共信用信息共享平台，并上网公示，接受社会监督。</w:t>
      </w:r>
    </w:p>
    <w:p w14:paraId="16997514">
      <w:pPr>
        <w:widowControl/>
        <w:adjustRightInd w:val="0"/>
        <w:snapToGrid w:val="0"/>
        <w:spacing w:line="400" w:lineRule="exact"/>
        <w:ind w:firstLine="480"/>
        <w:jc w:val="left"/>
        <w:rPr>
          <w:rFonts w:ascii="宋体" w:hAnsi="宋体" w:cs="宋体"/>
          <w:kern w:val="0"/>
          <w:sz w:val="24"/>
        </w:rPr>
      </w:pPr>
      <w:r>
        <w:rPr>
          <w:rFonts w:hint="eastAsia" w:ascii="宋体" w:hAnsi="宋体" w:cs="宋体"/>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6EFD2CB4">
      <w:pPr>
        <w:widowControl/>
        <w:tabs>
          <w:tab w:val="left" w:pos="4395"/>
        </w:tabs>
        <w:adjustRightInd w:val="0"/>
        <w:snapToGrid w:val="0"/>
        <w:spacing w:line="500" w:lineRule="exact"/>
        <w:jc w:val="left"/>
        <w:rPr>
          <w:rFonts w:ascii="宋体" w:hAnsi="宋体" w:cs="宋体"/>
          <w:kern w:val="0"/>
          <w:sz w:val="24"/>
        </w:rPr>
      </w:pPr>
      <w:r>
        <w:rPr>
          <w:rFonts w:hint="eastAsia" w:ascii="宋体" w:hAnsi="宋体" w:cs="宋体"/>
          <w:kern w:val="0"/>
          <w:sz w:val="24"/>
        </w:rPr>
        <w:t>法定代表人（签</w:t>
      </w:r>
      <w:r>
        <w:rPr>
          <w:rFonts w:hint="eastAsia" w:ascii="宋体" w:hAnsi="宋体" w:cs="宋体"/>
          <w:kern w:val="0"/>
          <w:sz w:val="24"/>
          <w:lang w:val="en-US" w:eastAsia="zh-CN"/>
        </w:rPr>
        <w:t>字或盖章</w:t>
      </w:r>
      <w:r>
        <w:rPr>
          <w:rFonts w:hint="eastAsia" w:ascii="宋体" w:hAnsi="宋体" w:cs="宋体"/>
          <w:kern w:val="0"/>
          <w:sz w:val="24"/>
        </w:rPr>
        <w:t>）：               投标人（盖章）：</w:t>
      </w:r>
    </w:p>
    <w:p w14:paraId="31E995DE">
      <w:pPr>
        <w:adjustRightInd w:val="0"/>
        <w:snapToGrid w:val="0"/>
        <w:spacing w:line="500" w:lineRule="exact"/>
        <w:jc w:val="center"/>
        <w:rPr>
          <w:rFonts w:hint="eastAsia" w:ascii="宋体" w:hAnsi="宋体" w:cs="宋体"/>
          <w:kern w:val="0"/>
          <w:sz w:val="24"/>
        </w:rPr>
        <w:sectPr>
          <w:pgSz w:w="11906" w:h="16838"/>
          <w:pgMar w:top="1440" w:right="1531" w:bottom="1440" w:left="1531" w:header="720" w:footer="720" w:gutter="0"/>
          <w:cols w:space="720" w:num="1"/>
          <w:docGrid w:type="lines" w:linePitch="312" w:charSpace="0"/>
        </w:sectPr>
      </w:pPr>
      <w:r>
        <w:rPr>
          <w:rFonts w:hint="eastAsia" w:ascii="宋体" w:hAnsi="宋体" w:cs="宋体"/>
          <w:kern w:val="0"/>
          <w:sz w:val="24"/>
        </w:rPr>
        <w:t xml:space="preserve">                             承诺时间：</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14:paraId="030A9A5C">
      <w:pPr>
        <w:spacing w:line="560" w:lineRule="exact"/>
        <w:ind w:right="-2"/>
        <w:jc w:val="center"/>
        <w:rPr>
          <w:rFonts w:ascii="宋体" w:hAnsi="宋体" w:cs="宋体"/>
          <w:sz w:val="30"/>
          <w:szCs w:val="30"/>
        </w:rPr>
      </w:pPr>
      <w:r>
        <w:rPr>
          <w:rFonts w:hint="eastAsia" w:ascii="宋体" w:hAnsi="宋体" w:cs="宋体"/>
          <w:b/>
          <w:bCs/>
          <w:sz w:val="40"/>
          <w:szCs w:val="40"/>
        </w:rPr>
        <w:t>2</w:t>
      </w:r>
      <w:r>
        <w:rPr>
          <w:rFonts w:hint="eastAsia" w:ascii="宋体" w:hAnsi="宋体" w:cs="宋体"/>
          <w:b/>
          <w:bCs/>
          <w:sz w:val="40"/>
          <w:szCs w:val="40"/>
          <w:lang w:eastAsia="zh-CN"/>
        </w:rPr>
        <w:t>、</w:t>
      </w:r>
      <w:r>
        <w:rPr>
          <w:rFonts w:hint="eastAsia" w:ascii="宋体" w:hAnsi="宋体" w:cs="宋体"/>
          <w:b/>
          <w:bCs/>
          <w:sz w:val="40"/>
          <w:szCs w:val="40"/>
        </w:rPr>
        <w:t>投标人委托代理人员信用承诺书</w:t>
      </w:r>
    </w:p>
    <w:p w14:paraId="3FC4BE65">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在</w:t>
      </w:r>
      <w:r>
        <w:rPr>
          <w:rFonts w:hint="eastAsia" w:ascii="宋体" w:hAnsi="宋体" w:cs="宋体"/>
          <w:kern w:val="0"/>
          <w:sz w:val="24"/>
          <w:u w:val="single"/>
        </w:rPr>
        <w:t xml:space="preserve">                                   </w:t>
      </w:r>
      <w:r>
        <w:rPr>
          <w:rFonts w:hint="eastAsia" w:ascii="宋体" w:hAnsi="宋体" w:cs="宋体"/>
          <w:kern w:val="0"/>
          <w:sz w:val="24"/>
        </w:rPr>
        <w:t>项目招投标活动中，我个人郑重作出以下信用承诺：</w:t>
      </w:r>
    </w:p>
    <w:p w14:paraId="6BD3BED1">
      <w:pPr>
        <w:widowControl/>
        <w:adjustRightInd w:val="0"/>
        <w:snapToGrid w:val="0"/>
        <w:spacing w:line="540" w:lineRule="exact"/>
        <w:ind w:firstLine="480"/>
        <w:jc w:val="left"/>
        <w:rPr>
          <w:rFonts w:ascii="宋体" w:hAnsi="宋体" w:cs="宋体"/>
          <w:kern w:val="0"/>
          <w:sz w:val="24"/>
        </w:rPr>
      </w:pPr>
      <w:r>
        <w:rPr>
          <w:rFonts w:hint="eastAsia" w:ascii="宋体" w:hAnsi="宋体" w:cs="宋体"/>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219AA797">
      <w:pPr>
        <w:widowControl/>
        <w:adjustRightInd w:val="0"/>
        <w:snapToGrid w:val="0"/>
        <w:spacing w:line="540" w:lineRule="exact"/>
        <w:ind w:firstLine="480"/>
        <w:jc w:val="left"/>
        <w:rPr>
          <w:rFonts w:ascii="宋体" w:hAnsi="宋体" w:cs="宋体"/>
          <w:kern w:val="0"/>
          <w:sz w:val="24"/>
        </w:rPr>
      </w:pPr>
      <w:r>
        <w:rPr>
          <w:rFonts w:hint="eastAsia" w:ascii="宋体" w:hAnsi="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0A6114B">
      <w:pPr>
        <w:widowControl/>
        <w:adjustRightInd w:val="0"/>
        <w:snapToGrid w:val="0"/>
        <w:spacing w:line="540" w:lineRule="exact"/>
        <w:ind w:firstLine="480"/>
        <w:jc w:val="left"/>
        <w:rPr>
          <w:rFonts w:ascii="宋体" w:hAnsi="宋体" w:cs="宋体"/>
          <w:kern w:val="0"/>
          <w:sz w:val="24"/>
        </w:rPr>
      </w:pPr>
      <w:r>
        <w:rPr>
          <w:rFonts w:hint="eastAsia" w:ascii="宋体" w:hAnsi="宋体" w:cs="宋体"/>
          <w:kern w:val="0"/>
          <w:sz w:val="24"/>
        </w:rPr>
        <w:t>（三）自愿接受招投标监督部门和有关行政监督部门的依法检查。</w:t>
      </w:r>
    </w:p>
    <w:p w14:paraId="6F73EBF8">
      <w:pPr>
        <w:widowControl/>
        <w:adjustRightInd w:val="0"/>
        <w:snapToGrid w:val="0"/>
        <w:spacing w:line="540" w:lineRule="exact"/>
        <w:ind w:firstLine="480"/>
        <w:jc w:val="left"/>
        <w:rPr>
          <w:rFonts w:ascii="宋体" w:hAnsi="宋体" w:cs="宋体"/>
          <w:kern w:val="0"/>
          <w:sz w:val="24"/>
        </w:rPr>
      </w:pPr>
      <w:r>
        <w:rPr>
          <w:rFonts w:hint="eastAsia" w:ascii="宋体" w:hAnsi="宋体" w:cs="宋体"/>
          <w:kern w:val="0"/>
          <w:sz w:val="24"/>
        </w:rPr>
        <w:t>（四）同意将此信用承诺纳入陕西省公共信用信息平台和榆林市公共信用信息共享平台，并接受社会监督。</w:t>
      </w:r>
    </w:p>
    <w:p w14:paraId="7C5501F8">
      <w:pPr>
        <w:widowControl/>
        <w:adjustRightInd w:val="0"/>
        <w:snapToGrid w:val="0"/>
        <w:spacing w:line="540" w:lineRule="exact"/>
        <w:ind w:firstLine="480"/>
        <w:jc w:val="left"/>
        <w:rPr>
          <w:rFonts w:ascii="宋体" w:hAnsi="宋体" w:cs="宋体"/>
          <w:kern w:val="0"/>
          <w:sz w:val="24"/>
        </w:rPr>
      </w:pPr>
      <w:r>
        <w:rPr>
          <w:rFonts w:hint="eastAsia" w:ascii="宋体" w:hAnsi="宋体" w:cs="宋体"/>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6D54FF76">
      <w:pPr>
        <w:widowControl/>
        <w:spacing w:line="320" w:lineRule="exact"/>
        <w:ind w:firstLine="482"/>
        <w:jc w:val="left"/>
        <w:rPr>
          <w:rFonts w:ascii="宋体" w:hAnsi="宋体" w:cs="宋体"/>
          <w:kern w:val="0"/>
          <w:sz w:val="24"/>
        </w:rPr>
      </w:pPr>
    </w:p>
    <w:p w14:paraId="398A3C95">
      <w:pPr>
        <w:widowControl/>
        <w:spacing w:line="320" w:lineRule="exact"/>
        <w:ind w:firstLine="482"/>
        <w:jc w:val="left"/>
        <w:rPr>
          <w:rFonts w:ascii="宋体" w:hAnsi="宋体" w:cs="宋体"/>
          <w:kern w:val="0"/>
          <w:sz w:val="24"/>
          <w:u w:val="single"/>
        </w:rPr>
      </w:pPr>
      <w:r>
        <w:rPr>
          <w:rFonts w:hint="eastAsia" w:ascii="宋体" w:hAnsi="宋体" w:cs="宋体"/>
          <w:kern w:val="0"/>
          <w:sz w:val="24"/>
        </w:rPr>
        <w:t>承诺有效期限：</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14:paraId="19E89EC3">
      <w:pPr>
        <w:widowControl/>
        <w:spacing w:line="320" w:lineRule="exact"/>
        <w:ind w:firstLine="482"/>
        <w:jc w:val="left"/>
        <w:rPr>
          <w:rFonts w:ascii="宋体" w:hAnsi="宋体" w:cs="宋体"/>
          <w:kern w:val="0"/>
          <w:sz w:val="24"/>
        </w:rPr>
      </w:pPr>
    </w:p>
    <w:p w14:paraId="0C4D72B3">
      <w:pPr>
        <w:widowControl/>
        <w:spacing w:line="320" w:lineRule="exact"/>
        <w:ind w:firstLine="482"/>
        <w:jc w:val="left"/>
        <w:rPr>
          <w:rFonts w:ascii="宋体" w:hAnsi="宋体" w:cs="宋体"/>
          <w:kern w:val="0"/>
          <w:sz w:val="24"/>
          <w:u w:val="single"/>
        </w:rPr>
      </w:pPr>
      <w:r>
        <w:rPr>
          <w:rFonts w:hint="eastAsia" w:ascii="宋体" w:hAnsi="宋体" w:cs="宋体"/>
          <w:kern w:val="0"/>
          <w:sz w:val="24"/>
        </w:rPr>
        <w:t>投标人：</w:t>
      </w:r>
      <w:r>
        <w:rPr>
          <w:rFonts w:hint="eastAsia" w:ascii="宋体" w:hAnsi="宋体" w:cs="宋体"/>
          <w:kern w:val="0"/>
          <w:sz w:val="24"/>
          <w:u w:val="single"/>
        </w:rPr>
        <w:t xml:space="preserve">                                                        </w:t>
      </w:r>
    </w:p>
    <w:p w14:paraId="53C24B5D">
      <w:pPr>
        <w:widowControl/>
        <w:spacing w:line="320" w:lineRule="exact"/>
        <w:ind w:firstLine="482"/>
        <w:jc w:val="left"/>
        <w:rPr>
          <w:rFonts w:ascii="宋体" w:hAnsi="宋体" w:cs="宋体"/>
          <w:kern w:val="0"/>
          <w:sz w:val="24"/>
        </w:rPr>
      </w:pPr>
    </w:p>
    <w:p w14:paraId="299DA1B2">
      <w:pPr>
        <w:widowControl/>
        <w:spacing w:line="320" w:lineRule="exact"/>
        <w:ind w:firstLine="482"/>
        <w:jc w:val="left"/>
        <w:rPr>
          <w:rFonts w:ascii="宋体" w:hAnsi="宋体" w:cs="宋体"/>
          <w:kern w:val="0"/>
          <w:sz w:val="24"/>
          <w:u w:val="single"/>
        </w:rPr>
      </w:pPr>
      <w:r>
        <w:rPr>
          <w:rFonts w:hint="eastAsia" w:ascii="宋体" w:hAnsi="宋体" w:cs="宋体"/>
          <w:kern w:val="0"/>
          <w:sz w:val="24"/>
        </w:rPr>
        <w:t>承诺人（</w:t>
      </w:r>
      <w:r>
        <w:rPr>
          <w:rFonts w:hint="eastAsia" w:ascii="宋体" w:hAnsi="宋体" w:cs="宋体"/>
          <w:sz w:val="24"/>
          <w:szCs w:val="24"/>
        </w:rPr>
        <w:t>签字或盖章</w:t>
      </w:r>
      <w:r>
        <w:rPr>
          <w:rFonts w:hint="eastAsia" w:ascii="宋体" w:hAnsi="宋体" w:cs="宋体"/>
          <w:kern w:val="0"/>
          <w:sz w:val="24"/>
        </w:rPr>
        <w:t>）：</w:t>
      </w:r>
      <w:r>
        <w:rPr>
          <w:rFonts w:hint="eastAsia" w:ascii="宋体" w:hAnsi="宋体" w:cs="宋体"/>
          <w:kern w:val="0"/>
          <w:sz w:val="24"/>
          <w:u w:val="single"/>
        </w:rPr>
        <w:t xml:space="preserve">                 </w:t>
      </w:r>
    </w:p>
    <w:p w14:paraId="599462A2">
      <w:pPr>
        <w:widowControl/>
        <w:spacing w:line="320" w:lineRule="exact"/>
        <w:ind w:firstLine="482"/>
        <w:jc w:val="left"/>
        <w:rPr>
          <w:rFonts w:ascii="宋体" w:hAnsi="宋体" w:cs="宋体"/>
          <w:color w:val="FF0000"/>
          <w:kern w:val="0"/>
          <w:sz w:val="24"/>
          <w:u w:val="single"/>
        </w:rPr>
      </w:pPr>
    </w:p>
    <w:p w14:paraId="44836635">
      <w:pPr>
        <w:widowControl/>
        <w:spacing w:line="320" w:lineRule="exact"/>
        <w:ind w:firstLine="482"/>
        <w:jc w:val="left"/>
        <w:rPr>
          <w:rFonts w:ascii="宋体" w:hAnsi="宋体" w:cs="宋体"/>
          <w:kern w:val="0"/>
          <w:sz w:val="24"/>
        </w:rPr>
      </w:pPr>
      <w:r>
        <w:rPr>
          <w:rFonts w:hint="eastAsia" w:ascii="宋体" w:hAnsi="宋体" w:cs="宋体"/>
          <w:kern w:val="0"/>
          <w:sz w:val="24"/>
        </w:rPr>
        <w:t>承诺时间：</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14:paraId="54B7D973">
      <w:pPr>
        <w:spacing w:line="560" w:lineRule="exact"/>
        <w:ind w:right="-2"/>
        <w:jc w:val="center"/>
        <w:rPr>
          <w:rFonts w:hint="eastAsia" w:ascii="宋体" w:hAnsi="宋体" w:cs="宋体"/>
          <w:b/>
          <w:bCs/>
          <w:sz w:val="40"/>
          <w:szCs w:val="40"/>
        </w:rPr>
        <w:sectPr>
          <w:pgSz w:w="11906" w:h="16838"/>
          <w:pgMar w:top="1440" w:right="1531" w:bottom="1440" w:left="1531" w:header="720" w:footer="720" w:gutter="0"/>
          <w:cols w:space="720" w:num="1"/>
          <w:docGrid w:type="lines" w:linePitch="312" w:charSpace="0"/>
        </w:sectPr>
      </w:pPr>
    </w:p>
    <w:p w14:paraId="6D16DE13">
      <w:pPr>
        <w:spacing w:line="560" w:lineRule="exact"/>
        <w:ind w:right="-2"/>
        <w:jc w:val="center"/>
        <w:rPr>
          <w:rFonts w:ascii="宋体" w:hAnsi="宋体" w:cs="宋体"/>
          <w:kern w:val="0"/>
          <w:sz w:val="24"/>
        </w:rPr>
      </w:pPr>
      <w:r>
        <w:rPr>
          <w:rFonts w:hint="eastAsia" w:ascii="宋体" w:hAnsi="宋体" w:cs="宋体"/>
          <w:b/>
          <w:bCs/>
          <w:sz w:val="40"/>
          <w:szCs w:val="40"/>
        </w:rPr>
        <w:t>3</w:t>
      </w:r>
      <w:r>
        <w:rPr>
          <w:rFonts w:hint="eastAsia" w:ascii="宋体" w:hAnsi="宋体" w:cs="宋体"/>
          <w:b/>
          <w:bCs/>
          <w:sz w:val="40"/>
          <w:szCs w:val="40"/>
          <w:lang w:eastAsia="zh-CN"/>
        </w:rPr>
        <w:t>、</w:t>
      </w:r>
      <w:r>
        <w:rPr>
          <w:rFonts w:hint="eastAsia" w:ascii="宋体" w:hAnsi="宋体" w:cs="宋体"/>
          <w:b/>
          <w:bCs/>
          <w:sz w:val="40"/>
          <w:szCs w:val="40"/>
        </w:rPr>
        <w:t>投标信用承诺书</w:t>
      </w:r>
    </w:p>
    <w:p w14:paraId="7CB7B6F0">
      <w:pPr>
        <w:widowControl/>
        <w:spacing w:line="540" w:lineRule="exact"/>
        <w:jc w:val="left"/>
        <w:rPr>
          <w:rFonts w:ascii="宋体" w:hAnsi="宋体" w:cs="宋体"/>
          <w:kern w:val="0"/>
          <w:sz w:val="24"/>
          <w:u w:val="single"/>
        </w:rPr>
      </w:pPr>
      <w:r>
        <w:rPr>
          <w:rFonts w:hint="eastAsia" w:ascii="宋体" w:hAnsi="宋体" w:cs="宋体"/>
          <w:kern w:val="0"/>
          <w:sz w:val="24"/>
        </w:rPr>
        <w:t>项目标段：</w:t>
      </w:r>
      <w:r>
        <w:rPr>
          <w:rFonts w:hint="eastAsia" w:ascii="宋体" w:hAnsi="宋体" w:cs="宋体"/>
          <w:kern w:val="0"/>
          <w:sz w:val="24"/>
          <w:u w:val="single"/>
        </w:rPr>
        <w:t xml:space="preserve">                                                                  </w:t>
      </w:r>
    </w:p>
    <w:p w14:paraId="33A2C12C">
      <w:pPr>
        <w:widowControl/>
        <w:spacing w:line="540" w:lineRule="exact"/>
        <w:jc w:val="left"/>
        <w:rPr>
          <w:rFonts w:ascii="宋体" w:hAnsi="宋体" w:cs="宋体"/>
          <w:kern w:val="0"/>
          <w:sz w:val="24"/>
          <w:u w:val="single"/>
        </w:rPr>
      </w:pPr>
      <w:r>
        <w:rPr>
          <w:rFonts w:hint="eastAsia" w:ascii="宋体" w:hAnsi="宋体" w:cs="宋体"/>
          <w:kern w:val="0"/>
          <w:sz w:val="24"/>
        </w:rPr>
        <w:t>投标人：</w:t>
      </w:r>
      <w:r>
        <w:rPr>
          <w:rFonts w:hint="eastAsia" w:ascii="宋体" w:hAnsi="宋体" w:cs="宋体"/>
          <w:kern w:val="0"/>
          <w:sz w:val="24"/>
          <w:u w:val="single"/>
        </w:rPr>
        <w:t xml:space="preserve">                                                                    </w:t>
      </w:r>
    </w:p>
    <w:p w14:paraId="792F9BE9">
      <w:pPr>
        <w:widowControl/>
        <w:spacing w:line="540" w:lineRule="exact"/>
        <w:jc w:val="left"/>
        <w:rPr>
          <w:rFonts w:ascii="宋体" w:hAnsi="宋体" w:cs="宋体"/>
          <w:kern w:val="0"/>
          <w:sz w:val="24"/>
          <w:u w:val="single"/>
        </w:rPr>
      </w:pPr>
      <w:r>
        <w:rPr>
          <w:rFonts w:hint="eastAsia" w:ascii="宋体" w:hAnsi="宋体" w:cs="宋体"/>
          <w:kern w:val="0"/>
          <w:sz w:val="24"/>
        </w:rPr>
        <w:t>统一社会信用代码：</w:t>
      </w:r>
      <w:r>
        <w:rPr>
          <w:rFonts w:hint="eastAsia" w:ascii="宋体" w:hAnsi="宋体" w:cs="宋体"/>
          <w:kern w:val="0"/>
          <w:sz w:val="24"/>
          <w:u w:val="single"/>
        </w:rPr>
        <w:t xml:space="preserve">                               </w:t>
      </w:r>
      <w:r>
        <w:rPr>
          <w:rFonts w:hint="eastAsia" w:ascii="宋体" w:hAnsi="宋体" w:cs="宋体"/>
          <w:kern w:val="0"/>
          <w:sz w:val="24"/>
        </w:rPr>
        <w:t>法人代表：</w:t>
      </w:r>
      <w:r>
        <w:rPr>
          <w:rFonts w:hint="eastAsia" w:ascii="宋体" w:hAnsi="宋体" w:cs="宋体"/>
          <w:kern w:val="0"/>
          <w:sz w:val="24"/>
          <w:u w:val="single"/>
        </w:rPr>
        <w:t xml:space="preserve">                 </w:t>
      </w:r>
    </w:p>
    <w:p w14:paraId="58034219">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在本项目标段招投标活动中，我公司（单位）自愿作出以下投标信用承诺：</w:t>
      </w:r>
    </w:p>
    <w:p w14:paraId="0C3113BC">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（一）能严格遵守法律法规、职业道德和行业规范。</w:t>
      </w:r>
    </w:p>
    <w:p w14:paraId="5066535D">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0B716760">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C286C16">
      <w:pPr>
        <w:widowControl/>
        <w:adjustRightInd w:val="0"/>
        <w:snapToGrid w:val="0"/>
        <w:spacing w:line="540" w:lineRule="exact"/>
        <w:ind w:firstLine="480" w:firstLineChars="200"/>
        <w:jc w:val="left"/>
        <w:rPr>
          <w:rFonts w:ascii="宋体" w:hAnsi="宋体" w:cs="宋体"/>
          <w:kern w:val="0"/>
          <w:sz w:val="24"/>
        </w:rPr>
      </w:pPr>
    </w:p>
    <w:p w14:paraId="133B22C4">
      <w:pPr>
        <w:widowControl/>
        <w:tabs>
          <w:tab w:val="left" w:pos="4395"/>
        </w:tabs>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法定代表人（</w:t>
      </w:r>
      <w:r>
        <w:rPr>
          <w:rFonts w:hint="eastAsia" w:ascii="宋体" w:hAnsi="宋体" w:cs="宋体"/>
          <w:kern w:val="0"/>
          <w:sz w:val="24"/>
          <w:lang w:val="en-US" w:eastAsia="zh-CN"/>
        </w:rPr>
        <w:t>签字或盖</w:t>
      </w:r>
      <w:r>
        <w:rPr>
          <w:rFonts w:hint="eastAsia" w:ascii="宋体" w:hAnsi="宋体" w:cs="宋体"/>
          <w:kern w:val="0"/>
          <w:sz w:val="24"/>
        </w:rPr>
        <w:t>章）：             投标人（盖章）：</w:t>
      </w:r>
    </w:p>
    <w:p w14:paraId="6207B3C5">
      <w:pPr>
        <w:adjustRightInd w:val="0"/>
        <w:snapToGrid w:val="0"/>
        <w:spacing w:line="500" w:lineRule="exact"/>
        <w:rPr>
          <w:rFonts w:ascii="宋体" w:hAnsi="宋体" w:cs="宋体"/>
          <w:b/>
          <w:kern w:val="0"/>
          <w:sz w:val="24"/>
        </w:rPr>
      </w:pPr>
    </w:p>
    <w:p w14:paraId="16909F2C">
      <w:pPr>
        <w:ind w:firstLine="4560" w:firstLineChars="1900"/>
        <w:rPr>
          <w:rFonts w:ascii="宋体" w:hAnsi="宋体" w:cs="宋体"/>
          <w:b/>
          <w:sz w:val="24"/>
          <w:szCs w:val="24"/>
          <w:u w:val="single"/>
        </w:rPr>
      </w:pPr>
      <w:r>
        <w:rPr>
          <w:rFonts w:hint="eastAsia" w:ascii="宋体" w:hAnsi="宋体" w:cs="宋体"/>
          <w:kern w:val="0"/>
          <w:sz w:val="24"/>
        </w:rPr>
        <w:t>承诺时间：</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14:paraId="1FC1F5C5">
      <w:pPr>
        <w:pStyle w:val="6"/>
        <w:rPr>
          <w:rFonts w:ascii="宋体" w:hAnsi="宋体" w:cs="宋体"/>
          <w:sz w:val="24"/>
          <w:szCs w:val="24"/>
          <w:u w:val="single"/>
        </w:rPr>
      </w:pPr>
    </w:p>
    <w:p w14:paraId="345CA0F2">
      <w:pPr>
        <w:rPr>
          <w:rFonts w:ascii="宋体" w:hAnsi="宋体" w:cs="宋体"/>
          <w:b/>
          <w:sz w:val="24"/>
          <w:szCs w:val="24"/>
          <w:u w:val="single"/>
        </w:rPr>
      </w:pPr>
      <w:r>
        <w:rPr>
          <w:rFonts w:hint="eastAsia" w:ascii="宋体" w:hAnsi="宋体" w:cs="宋体"/>
          <w:b/>
          <w:kern w:val="0"/>
          <w:sz w:val="24"/>
        </w:rPr>
        <w:t>说明：本承诺书效力和作用等同投标保证金，其有效期与投标有效期一致。</w:t>
      </w:r>
    </w:p>
    <w:p w14:paraId="2DBF1813">
      <w:pPr>
        <w:pStyle w:val="9"/>
        <w:jc w:val="center"/>
        <w:rPr>
          <w:rFonts w:hint="eastAsia" w:ascii="宋体" w:hAnsi="宋体" w:cs="宋体"/>
          <w:b/>
          <w:sz w:val="32"/>
          <w:szCs w:val="22"/>
          <w:lang w:val="en-US" w:eastAsia="zh-CN"/>
        </w:rPr>
        <w:sectPr>
          <w:pgSz w:w="11906" w:h="16838"/>
          <w:pgMar w:top="1440" w:right="1531" w:bottom="1440" w:left="1531" w:header="720" w:footer="720" w:gutter="0"/>
          <w:cols w:space="720" w:num="1"/>
          <w:docGrid w:type="lines" w:linePitch="312" w:charSpace="0"/>
        </w:sectPr>
      </w:pPr>
    </w:p>
    <w:p w14:paraId="71992E75">
      <w:pPr>
        <w:pStyle w:val="9"/>
        <w:jc w:val="center"/>
        <w:rPr>
          <w:rFonts w:hint="eastAsia"/>
        </w:rPr>
      </w:pPr>
      <w:r>
        <w:rPr>
          <w:rFonts w:hint="eastAsia" w:ascii="宋体" w:hAnsi="宋体" w:cs="宋体"/>
          <w:b/>
          <w:sz w:val="32"/>
          <w:szCs w:val="22"/>
        </w:rPr>
        <w:t>五、响应方案</w:t>
      </w:r>
    </w:p>
    <w:p w14:paraId="1DC26843">
      <w:pPr>
        <w:jc w:val="center"/>
        <w:rPr>
          <w:rFonts w:hint="eastAsia"/>
        </w:rPr>
        <w:sectPr>
          <w:pgSz w:w="11906" w:h="16838"/>
          <w:pgMar w:top="1440" w:right="1531" w:bottom="1440" w:left="1531" w:header="720" w:footer="720" w:gutter="0"/>
          <w:cols w:space="720" w:num="1"/>
          <w:docGrid w:type="lines" w:linePitch="312" w:charSpace="0"/>
        </w:sectPr>
      </w:pPr>
    </w:p>
    <w:p w14:paraId="09D4F6DE">
      <w:pPr>
        <w:widowControl/>
        <w:spacing w:line="360" w:lineRule="auto"/>
        <w:ind w:firstLine="643" w:firstLineChars="200"/>
        <w:jc w:val="center"/>
        <w:rPr>
          <w:rFonts w:ascii="宋体" w:hAnsi="宋体" w:cs="宋体"/>
          <w:b/>
          <w:sz w:val="32"/>
          <w:szCs w:val="32"/>
        </w:rPr>
        <w:sectPr>
          <w:pgSz w:w="11906" w:h="16838"/>
          <w:pgMar w:top="1440" w:right="1531" w:bottom="1440" w:left="1531" w:header="720" w:footer="720" w:gutter="0"/>
          <w:cols w:space="720" w:num="1"/>
          <w:docGrid w:type="lines" w:linePitch="312" w:charSpace="0"/>
        </w:sectPr>
      </w:pPr>
      <w:r>
        <w:rPr>
          <w:rFonts w:hint="eastAsia" w:ascii="宋体" w:hAnsi="宋体" w:cs="宋体"/>
          <w:b/>
          <w:sz w:val="32"/>
          <w:szCs w:val="32"/>
        </w:rPr>
        <w:t>六、谈判文件要求的其他材料</w:t>
      </w:r>
    </w:p>
    <w:p w14:paraId="516F6B31">
      <w:pPr>
        <w:spacing w:line="480" w:lineRule="exact"/>
        <w:ind w:firstLine="315" w:firstLineChars="98"/>
        <w:jc w:val="center"/>
        <w:rPr>
          <w:rFonts w:ascii="宋体" w:hAnsi="宋体" w:cs="宋体"/>
          <w:b/>
          <w:sz w:val="32"/>
          <w:szCs w:val="22"/>
        </w:rPr>
      </w:pPr>
      <w:r>
        <w:rPr>
          <w:rFonts w:hint="eastAsia" w:ascii="宋体" w:hAnsi="宋体" w:cs="宋体"/>
          <w:b/>
          <w:sz w:val="32"/>
          <w:szCs w:val="32"/>
        </w:rPr>
        <w:t>七、</w:t>
      </w:r>
      <w:r>
        <w:rPr>
          <w:rFonts w:hint="eastAsia" w:ascii="宋体" w:hAnsi="宋体" w:cs="宋体"/>
          <w:b/>
          <w:sz w:val="32"/>
          <w:szCs w:val="22"/>
        </w:rPr>
        <w:t>服务方案承诺书</w:t>
      </w:r>
    </w:p>
    <w:p w14:paraId="37F142E8">
      <w:pPr>
        <w:spacing w:line="480" w:lineRule="exact"/>
        <w:ind w:firstLine="315" w:firstLineChars="98"/>
        <w:jc w:val="center"/>
        <w:rPr>
          <w:rFonts w:ascii="宋体" w:hAnsi="宋体" w:cs="宋体"/>
          <w:b/>
          <w:sz w:val="32"/>
          <w:szCs w:val="22"/>
        </w:rPr>
      </w:pPr>
    </w:p>
    <w:p w14:paraId="2AD1D5DE">
      <w:pPr>
        <w:spacing w:line="480" w:lineRule="auto"/>
        <w:rPr>
          <w:rFonts w:ascii="宋体" w:hAnsi="宋体" w:cs="宋体"/>
        </w:rPr>
      </w:pPr>
      <w:r>
        <w:rPr>
          <w:rFonts w:hint="eastAsia" w:ascii="宋体" w:hAnsi="宋体" w:cs="宋体"/>
          <w:sz w:val="24"/>
          <w:lang w:eastAsia="zh-CN"/>
        </w:rPr>
        <w:t>榆林市国防动员办公室</w:t>
      </w:r>
      <w:r>
        <w:rPr>
          <w:rFonts w:hint="eastAsia" w:ascii="宋体" w:hAnsi="宋体" w:cs="宋体"/>
          <w:sz w:val="24"/>
        </w:rPr>
        <w:t>：</w:t>
      </w:r>
    </w:p>
    <w:p w14:paraId="4B0E5D99">
      <w:pPr>
        <w:spacing w:line="360" w:lineRule="auto"/>
        <w:ind w:firstLine="480" w:firstLineChars="200"/>
        <w:jc w:val="left"/>
        <w:rPr>
          <w:rFonts w:ascii="宋体" w:hAnsi="宋体" w:cs="宋体"/>
          <w:sz w:val="24"/>
        </w:rPr>
      </w:pPr>
      <w:r>
        <w:rPr>
          <w:rFonts w:hint="eastAsia" w:ascii="宋体" w:hAnsi="宋体" w:cs="宋体"/>
          <w:sz w:val="24"/>
        </w:rPr>
        <w:t>我公司对参加此次</w:t>
      </w:r>
      <w:r>
        <w:rPr>
          <w:rFonts w:hint="eastAsia" w:ascii="宋体" w:hAnsi="宋体" w:eastAsia="宋体" w:cs="宋体"/>
          <w:sz w:val="24"/>
        </w:rPr>
        <w:t>“</w:t>
      </w:r>
      <w:r>
        <w:rPr>
          <w:rFonts w:hint="eastAsia" w:ascii="宋体" w:hAnsi="宋体" w:cs="宋体"/>
          <w:sz w:val="24"/>
          <w:lang w:eastAsia="zh-CN"/>
        </w:rPr>
        <w:t>榆林市国防动员办公室榆林高新区第二小学人防工程施工用电电气设备货物采购（三次）</w:t>
      </w:r>
      <w:r>
        <w:rPr>
          <w:rFonts w:hint="eastAsia" w:ascii="宋体" w:hAnsi="宋体" w:cs="宋体"/>
          <w:sz w:val="24"/>
        </w:rPr>
        <w:t>”所提供的服务做如下承诺：</w:t>
      </w:r>
    </w:p>
    <w:p w14:paraId="4EC747FC">
      <w:pPr>
        <w:spacing w:line="480" w:lineRule="auto"/>
        <w:rPr>
          <w:rFonts w:ascii="宋体" w:hAnsi="宋体" w:cs="宋体"/>
          <w:sz w:val="24"/>
        </w:rPr>
      </w:pPr>
    </w:p>
    <w:p w14:paraId="17A1C7E5">
      <w:pPr>
        <w:spacing w:line="360" w:lineRule="auto"/>
        <w:ind w:firstLine="240" w:firstLineChars="100"/>
        <w:rPr>
          <w:rFonts w:ascii="宋体" w:hAnsi="宋体" w:cs="宋体"/>
        </w:rPr>
      </w:pPr>
      <w:r>
        <w:rPr>
          <w:rFonts w:hint="eastAsia" w:ascii="宋体" w:hAnsi="宋体" w:cs="宋体"/>
          <w:sz w:val="24"/>
        </w:rPr>
        <w:t>（承诺内容）</w:t>
      </w:r>
    </w:p>
    <w:p w14:paraId="0EA362A7">
      <w:pPr>
        <w:spacing w:line="360" w:lineRule="auto"/>
        <w:rPr>
          <w:rFonts w:ascii="宋体" w:hAnsi="宋体" w:cs="宋体"/>
        </w:rPr>
      </w:pPr>
    </w:p>
    <w:p w14:paraId="65CAE715">
      <w:pPr>
        <w:spacing w:line="360" w:lineRule="auto"/>
        <w:rPr>
          <w:rFonts w:ascii="宋体" w:hAnsi="宋体" w:cs="宋体"/>
        </w:rPr>
      </w:pPr>
    </w:p>
    <w:p w14:paraId="1362695B">
      <w:pPr>
        <w:spacing w:line="360" w:lineRule="auto"/>
        <w:rPr>
          <w:rFonts w:ascii="宋体" w:hAnsi="宋体" w:cs="宋体"/>
        </w:rPr>
      </w:pPr>
    </w:p>
    <w:p w14:paraId="5BCC5409">
      <w:pPr>
        <w:spacing w:line="360" w:lineRule="auto"/>
        <w:rPr>
          <w:rFonts w:ascii="宋体" w:hAnsi="宋体" w:cs="宋体"/>
        </w:rPr>
      </w:pPr>
    </w:p>
    <w:p w14:paraId="66552334">
      <w:pPr>
        <w:spacing w:line="360" w:lineRule="auto"/>
        <w:rPr>
          <w:rFonts w:ascii="宋体" w:hAnsi="宋体" w:cs="宋体"/>
        </w:rPr>
      </w:pPr>
    </w:p>
    <w:p w14:paraId="570C2F6B">
      <w:pPr>
        <w:spacing w:line="360" w:lineRule="auto"/>
        <w:rPr>
          <w:rFonts w:ascii="宋体" w:hAnsi="宋体" w:cs="宋体"/>
        </w:rPr>
      </w:pPr>
    </w:p>
    <w:p w14:paraId="73FB32C2">
      <w:pPr>
        <w:spacing w:line="360" w:lineRule="auto"/>
        <w:ind w:right="-161" w:firstLine="2640" w:firstLineChars="1100"/>
        <w:rPr>
          <w:rFonts w:ascii="宋体" w:hAnsi="宋体" w:cs="宋体"/>
          <w:sz w:val="24"/>
          <w:szCs w:val="24"/>
          <w:u w:val="single"/>
        </w:rPr>
      </w:pPr>
      <w:r>
        <w:rPr>
          <w:rFonts w:hint="eastAsia" w:ascii="宋体" w:hAnsi="宋体" w:cs="宋体"/>
          <w:sz w:val="24"/>
          <w:szCs w:val="24"/>
        </w:rPr>
        <w:t>法定代表人或被授权代表（签字或盖章）：</w:t>
      </w:r>
      <w:r>
        <w:rPr>
          <w:rFonts w:hint="eastAsia" w:ascii="宋体" w:hAnsi="宋体" w:cs="宋体"/>
          <w:sz w:val="24"/>
          <w:szCs w:val="24"/>
          <w:u w:val="single"/>
        </w:rPr>
        <w:t xml:space="preserve">                          </w:t>
      </w:r>
    </w:p>
    <w:p w14:paraId="18817FEB">
      <w:pPr>
        <w:spacing w:line="360" w:lineRule="auto"/>
        <w:ind w:right="-161" w:firstLine="2640" w:firstLineChars="1100"/>
        <w:rPr>
          <w:rFonts w:ascii="宋体" w:hAnsi="宋体" w:cs="宋体"/>
          <w:sz w:val="24"/>
          <w:szCs w:val="24"/>
        </w:rPr>
      </w:pPr>
      <w:r>
        <w:rPr>
          <w:rFonts w:hint="eastAsia" w:ascii="宋体" w:hAnsi="宋体" w:cs="宋体"/>
          <w:sz w:val="24"/>
          <w:szCs w:val="24"/>
        </w:rPr>
        <w:t>供    应    商 （公   章）：</w:t>
      </w:r>
      <w:r>
        <w:rPr>
          <w:rFonts w:hint="eastAsia" w:ascii="宋体" w:hAnsi="宋体" w:cs="宋体"/>
          <w:sz w:val="24"/>
          <w:szCs w:val="24"/>
          <w:u w:val="single"/>
        </w:rPr>
        <w:t xml:space="preserve">                          </w:t>
      </w:r>
      <w:r>
        <w:rPr>
          <w:rFonts w:hint="eastAsia" w:ascii="宋体" w:hAnsi="宋体" w:cs="宋体"/>
          <w:sz w:val="24"/>
          <w:szCs w:val="24"/>
        </w:rPr>
        <w:t xml:space="preserve">                                        </w:t>
      </w:r>
    </w:p>
    <w:p w14:paraId="2263C8BC">
      <w:pPr>
        <w:spacing w:line="360" w:lineRule="auto"/>
        <w:ind w:right="-161" w:firstLine="2640" w:firstLineChars="1100"/>
        <w:rPr>
          <w:rFonts w:ascii="宋体" w:hAnsi="宋体" w:cs="宋体"/>
          <w:sz w:val="24"/>
          <w:szCs w:val="24"/>
        </w:rPr>
        <w:sectPr>
          <w:pgSz w:w="11906" w:h="16838"/>
          <w:pgMar w:top="1440" w:right="1531" w:bottom="1440" w:left="1531" w:header="720" w:footer="720" w:gutter="0"/>
          <w:cols w:space="720" w:num="1"/>
          <w:docGrid w:type="lines" w:linePitch="312" w:charSpace="0"/>
        </w:sectPr>
      </w:pPr>
      <w:r>
        <w:rPr>
          <w:rFonts w:hint="eastAsia" w:ascii="宋体" w:hAnsi="宋体" w:cs="宋体"/>
          <w:sz w:val="24"/>
          <w:szCs w:val="24"/>
        </w:rPr>
        <w:t xml:space="preserve">日                      期： </w:t>
      </w:r>
      <w:r>
        <w:rPr>
          <w:rFonts w:hint="eastAsia" w:ascii="宋体" w:hAnsi="宋体" w:cs="宋体"/>
          <w:sz w:val="24"/>
          <w:szCs w:val="24"/>
          <w:u w:val="single"/>
        </w:rPr>
        <w:t xml:space="preserve">                           </w:t>
      </w:r>
      <w:r>
        <w:rPr>
          <w:rFonts w:hint="eastAsia" w:ascii="宋体" w:hAnsi="宋体" w:cs="宋体"/>
          <w:sz w:val="24"/>
          <w:szCs w:val="24"/>
        </w:rPr>
        <w:t xml:space="preserve">                          </w:t>
      </w:r>
    </w:p>
    <w:p w14:paraId="2C9F307A">
      <w:pPr>
        <w:numPr>
          <w:ilvl w:val="0"/>
          <w:numId w:val="12"/>
        </w:numPr>
        <w:spacing w:line="480" w:lineRule="exact"/>
        <w:ind w:firstLine="315" w:firstLineChars="98"/>
        <w:jc w:val="center"/>
        <w:rPr>
          <w:rFonts w:hint="eastAsia" w:ascii="宋体" w:hAnsi="宋体" w:cs="宋体"/>
          <w:b/>
          <w:sz w:val="32"/>
          <w:szCs w:val="22"/>
          <w:highlight w:val="none"/>
        </w:rPr>
      </w:pPr>
      <w:r>
        <w:rPr>
          <w:rFonts w:hint="eastAsia" w:ascii="宋体" w:hAnsi="宋体" w:cs="宋体"/>
          <w:b/>
          <w:sz w:val="32"/>
          <w:szCs w:val="22"/>
          <w:highlight w:val="none"/>
        </w:rPr>
        <w:t>分项报价表</w:t>
      </w:r>
    </w:p>
    <w:p w14:paraId="398B6E9C">
      <w:pPr>
        <w:spacing w:line="360" w:lineRule="auto"/>
        <w:rPr>
          <w:rFonts w:ascii="宋体" w:hAnsi="宋体" w:cs="仿宋_GB2312"/>
          <w:sz w:val="24"/>
          <w:szCs w:val="24"/>
        </w:rPr>
      </w:pPr>
      <w:r>
        <w:rPr>
          <w:rFonts w:hint="eastAsia" w:ascii="宋体" w:hAnsi="宋体" w:cs="仿宋_GB2312"/>
          <w:sz w:val="24"/>
          <w:szCs w:val="24"/>
        </w:rPr>
        <w:t xml:space="preserve">供应商名称：                                       采购项目编号：                      </w:t>
      </w:r>
    </w:p>
    <w:tbl>
      <w:tblPr>
        <w:tblStyle w:val="18"/>
        <w:tblW w:w="9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440"/>
        <w:gridCol w:w="1189"/>
        <w:gridCol w:w="1626"/>
        <w:gridCol w:w="1170"/>
        <w:gridCol w:w="1170"/>
        <w:gridCol w:w="1170"/>
        <w:gridCol w:w="1170"/>
      </w:tblGrid>
      <w:tr w14:paraId="6EA3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791" w:type="dxa"/>
            <w:noWrap w:val="0"/>
            <w:vAlign w:val="center"/>
          </w:tcPr>
          <w:p w14:paraId="35FCFFAC">
            <w:pPr>
              <w:numPr>
                <w:ilvl w:val="0"/>
                <w:numId w:val="0"/>
              </w:numPr>
              <w:jc w:val="center"/>
              <w:rPr>
                <w:rFonts w:hint="default"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序号</w:t>
            </w:r>
          </w:p>
        </w:tc>
        <w:tc>
          <w:tcPr>
            <w:tcW w:w="1440" w:type="dxa"/>
            <w:noWrap w:val="0"/>
            <w:vAlign w:val="center"/>
          </w:tcPr>
          <w:p w14:paraId="1FEA9E09">
            <w:pPr>
              <w:numPr>
                <w:ilvl w:val="0"/>
                <w:numId w:val="0"/>
              </w:numPr>
              <w:jc w:val="center"/>
              <w:rPr>
                <w:rFonts w:hint="default"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货物名称</w:t>
            </w:r>
          </w:p>
        </w:tc>
        <w:tc>
          <w:tcPr>
            <w:tcW w:w="1189" w:type="dxa"/>
            <w:noWrap w:val="0"/>
            <w:vAlign w:val="center"/>
          </w:tcPr>
          <w:p w14:paraId="64E94A27">
            <w:pPr>
              <w:numPr>
                <w:ilvl w:val="0"/>
                <w:numId w:val="0"/>
              </w:numPr>
              <w:jc w:val="center"/>
              <w:rPr>
                <w:rFonts w:hint="default"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品牌</w:t>
            </w:r>
          </w:p>
        </w:tc>
        <w:tc>
          <w:tcPr>
            <w:tcW w:w="1626" w:type="dxa"/>
            <w:noWrap w:val="0"/>
            <w:vAlign w:val="center"/>
          </w:tcPr>
          <w:p w14:paraId="06073D13">
            <w:pPr>
              <w:numPr>
                <w:ilvl w:val="0"/>
                <w:numId w:val="0"/>
              </w:numPr>
              <w:jc w:val="center"/>
              <w:rPr>
                <w:rFonts w:hint="default"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规格型号或主要技术指标</w:t>
            </w:r>
          </w:p>
        </w:tc>
        <w:tc>
          <w:tcPr>
            <w:tcW w:w="1170" w:type="dxa"/>
            <w:noWrap w:val="0"/>
            <w:vAlign w:val="center"/>
          </w:tcPr>
          <w:p w14:paraId="190F4469">
            <w:pPr>
              <w:numPr>
                <w:ilvl w:val="0"/>
                <w:numId w:val="0"/>
              </w:numPr>
              <w:jc w:val="center"/>
              <w:rPr>
                <w:rFonts w:hint="default"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生产厂家</w:t>
            </w:r>
          </w:p>
        </w:tc>
        <w:tc>
          <w:tcPr>
            <w:tcW w:w="1170" w:type="dxa"/>
            <w:noWrap w:val="0"/>
            <w:vAlign w:val="center"/>
          </w:tcPr>
          <w:p w14:paraId="16F45ADC">
            <w:pPr>
              <w:numPr>
                <w:ilvl w:val="0"/>
                <w:numId w:val="0"/>
              </w:numPr>
              <w:jc w:val="center"/>
              <w:rPr>
                <w:rFonts w:hint="default"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单价（元）</w:t>
            </w:r>
          </w:p>
        </w:tc>
        <w:tc>
          <w:tcPr>
            <w:tcW w:w="1170" w:type="dxa"/>
            <w:noWrap w:val="0"/>
            <w:vAlign w:val="center"/>
          </w:tcPr>
          <w:p w14:paraId="5A60AD27">
            <w:pPr>
              <w:numPr>
                <w:ilvl w:val="0"/>
                <w:numId w:val="0"/>
              </w:numPr>
              <w:jc w:val="center"/>
              <w:rPr>
                <w:rFonts w:hint="default"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数量</w:t>
            </w:r>
          </w:p>
        </w:tc>
        <w:tc>
          <w:tcPr>
            <w:tcW w:w="1170" w:type="dxa"/>
            <w:noWrap w:val="0"/>
            <w:vAlign w:val="center"/>
          </w:tcPr>
          <w:p w14:paraId="772C145E">
            <w:pPr>
              <w:numPr>
                <w:ilvl w:val="0"/>
                <w:numId w:val="0"/>
              </w:numPr>
              <w:jc w:val="center"/>
              <w:rPr>
                <w:rFonts w:hint="default"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总价（元）</w:t>
            </w:r>
          </w:p>
        </w:tc>
      </w:tr>
      <w:tr w14:paraId="377CA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791" w:type="dxa"/>
            <w:noWrap w:val="0"/>
            <w:vAlign w:val="center"/>
          </w:tcPr>
          <w:p w14:paraId="0F6D8F80">
            <w:pPr>
              <w:numPr>
                <w:ilvl w:val="0"/>
                <w:numId w:val="0"/>
              </w:numPr>
              <w:jc w:val="center"/>
              <w:rPr>
                <w:rFonts w:hint="default"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1</w:t>
            </w:r>
          </w:p>
        </w:tc>
        <w:tc>
          <w:tcPr>
            <w:tcW w:w="1440" w:type="dxa"/>
            <w:noWrap w:val="0"/>
            <w:vAlign w:val="center"/>
          </w:tcPr>
          <w:p w14:paraId="70A80A84">
            <w:pPr>
              <w:numPr>
                <w:ilvl w:val="0"/>
                <w:numId w:val="0"/>
              </w:numPr>
              <w:jc w:val="center"/>
              <w:rPr>
                <w:rFonts w:hint="eastAsia" w:ascii="宋体" w:hAnsi="宋体" w:eastAsia="宋体" w:cs="宋体"/>
                <w:sz w:val="24"/>
                <w:szCs w:val="22"/>
                <w:vertAlign w:val="baseline"/>
                <w:lang w:val="en-US" w:eastAsia="zh-CN"/>
              </w:rPr>
            </w:pPr>
          </w:p>
        </w:tc>
        <w:tc>
          <w:tcPr>
            <w:tcW w:w="1189" w:type="dxa"/>
            <w:noWrap w:val="0"/>
            <w:vAlign w:val="center"/>
          </w:tcPr>
          <w:p w14:paraId="7142D8CE">
            <w:pPr>
              <w:numPr>
                <w:ilvl w:val="0"/>
                <w:numId w:val="0"/>
              </w:numPr>
              <w:jc w:val="center"/>
              <w:rPr>
                <w:rFonts w:hint="eastAsia" w:ascii="宋体" w:hAnsi="宋体" w:eastAsia="宋体" w:cs="宋体"/>
                <w:sz w:val="24"/>
                <w:szCs w:val="22"/>
                <w:vertAlign w:val="baseline"/>
                <w:lang w:val="en-US" w:eastAsia="zh-CN"/>
              </w:rPr>
            </w:pPr>
          </w:p>
        </w:tc>
        <w:tc>
          <w:tcPr>
            <w:tcW w:w="1626" w:type="dxa"/>
            <w:noWrap w:val="0"/>
            <w:vAlign w:val="center"/>
          </w:tcPr>
          <w:p w14:paraId="35E903C0">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3507B8AB">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43B50E31">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03838C41">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24D51F12">
            <w:pPr>
              <w:numPr>
                <w:ilvl w:val="0"/>
                <w:numId w:val="0"/>
              </w:numPr>
              <w:jc w:val="center"/>
              <w:rPr>
                <w:rFonts w:hint="eastAsia" w:ascii="宋体" w:hAnsi="宋体" w:eastAsia="宋体" w:cs="宋体"/>
                <w:sz w:val="24"/>
                <w:szCs w:val="22"/>
                <w:vertAlign w:val="baseline"/>
                <w:lang w:val="en-US" w:eastAsia="zh-CN"/>
              </w:rPr>
            </w:pPr>
          </w:p>
        </w:tc>
      </w:tr>
      <w:tr w14:paraId="2B69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791" w:type="dxa"/>
            <w:noWrap w:val="0"/>
            <w:vAlign w:val="center"/>
          </w:tcPr>
          <w:p w14:paraId="0600893C">
            <w:pPr>
              <w:numPr>
                <w:ilvl w:val="0"/>
                <w:numId w:val="0"/>
              </w:numPr>
              <w:jc w:val="center"/>
              <w:rPr>
                <w:rFonts w:hint="default"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2</w:t>
            </w:r>
          </w:p>
        </w:tc>
        <w:tc>
          <w:tcPr>
            <w:tcW w:w="1440" w:type="dxa"/>
            <w:noWrap w:val="0"/>
            <w:vAlign w:val="center"/>
          </w:tcPr>
          <w:p w14:paraId="77E59113">
            <w:pPr>
              <w:numPr>
                <w:ilvl w:val="0"/>
                <w:numId w:val="0"/>
              </w:numPr>
              <w:jc w:val="center"/>
              <w:rPr>
                <w:rFonts w:hint="eastAsia" w:ascii="宋体" w:hAnsi="宋体" w:eastAsia="宋体" w:cs="宋体"/>
                <w:sz w:val="24"/>
                <w:szCs w:val="22"/>
                <w:vertAlign w:val="baseline"/>
                <w:lang w:val="en-US" w:eastAsia="zh-CN"/>
              </w:rPr>
            </w:pPr>
          </w:p>
        </w:tc>
        <w:tc>
          <w:tcPr>
            <w:tcW w:w="1189" w:type="dxa"/>
            <w:noWrap w:val="0"/>
            <w:vAlign w:val="center"/>
          </w:tcPr>
          <w:p w14:paraId="2D59C857">
            <w:pPr>
              <w:numPr>
                <w:ilvl w:val="0"/>
                <w:numId w:val="0"/>
              </w:numPr>
              <w:jc w:val="center"/>
              <w:rPr>
                <w:rFonts w:hint="eastAsia" w:ascii="宋体" w:hAnsi="宋体" w:eastAsia="宋体" w:cs="宋体"/>
                <w:sz w:val="24"/>
                <w:szCs w:val="22"/>
                <w:vertAlign w:val="baseline"/>
                <w:lang w:val="en-US" w:eastAsia="zh-CN"/>
              </w:rPr>
            </w:pPr>
          </w:p>
        </w:tc>
        <w:tc>
          <w:tcPr>
            <w:tcW w:w="1626" w:type="dxa"/>
            <w:noWrap w:val="0"/>
            <w:vAlign w:val="center"/>
          </w:tcPr>
          <w:p w14:paraId="5448BAD4">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25108C1F">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391B5BEA">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59652A03">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18DF7495">
            <w:pPr>
              <w:numPr>
                <w:ilvl w:val="0"/>
                <w:numId w:val="0"/>
              </w:numPr>
              <w:jc w:val="center"/>
              <w:rPr>
                <w:rFonts w:hint="eastAsia" w:ascii="宋体" w:hAnsi="宋体" w:eastAsia="宋体" w:cs="宋体"/>
                <w:sz w:val="24"/>
                <w:szCs w:val="22"/>
                <w:vertAlign w:val="baseline"/>
                <w:lang w:val="en-US" w:eastAsia="zh-CN"/>
              </w:rPr>
            </w:pPr>
          </w:p>
        </w:tc>
      </w:tr>
      <w:tr w14:paraId="2951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91" w:type="dxa"/>
            <w:noWrap w:val="0"/>
            <w:vAlign w:val="center"/>
          </w:tcPr>
          <w:p w14:paraId="532A684E">
            <w:pPr>
              <w:numPr>
                <w:ilvl w:val="0"/>
                <w:numId w:val="0"/>
              </w:numPr>
              <w:jc w:val="center"/>
              <w:rPr>
                <w:rFonts w:hint="default"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3</w:t>
            </w:r>
          </w:p>
        </w:tc>
        <w:tc>
          <w:tcPr>
            <w:tcW w:w="1440" w:type="dxa"/>
            <w:noWrap w:val="0"/>
            <w:vAlign w:val="center"/>
          </w:tcPr>
          <w:p w14:paraId="5BCB2765">
            <w:pPr>
              <w:numPr>
                <w:ilvl w:val="0"/>
                <w:numId w:val="0"/>
              </w:numPr>
              <w:jc w:val="center"/>
              <w:rPr>
                <w:rFonts w:hint="eastAsia" w:ascii="宋体" w:hAnsi="宋体" w:eastAsia="宋体" w:cs="宋体"/>
                <w:sz w:val="24"/>
                <w:szCs w:val="22"/>
                <w:vertAlign w:val="baseline"/>
                <w:lang w:val="en-US" w:eastAsia="zh-CN"/>
              </w:rPr>
            </w:pPr>
          </w:p>
        </w:tc>
        <w:tc>
          <w:tcPr>
            <w:tcW w:w="1189" w:type="dxa"/>
            <w:noWrap w:val="0"/>
            <w:vAlign w:val="center"/>
          </w:tcPr>
          <w:p w14:paraId="3AEBF730">
            <w:pPr>
              <w:numPr>
                <w:ilvl w:val="0"/>
                <w:numId w:val="0"/>
              </w:numPr>
              <w:jc w:val="center"/>
              <w:rPr>
                <w:rFonts w:hint="eastAsia" w:ascii="宋体" w:hAnsi="宋体" w:eastAsia="宋体" w:cs="宋体"/>
                <w:sz w:val="24"/>
                <w:szCs w:val="22"/>
                <w:vertAlign w:val="baseline"/>
                <w:lang w:val="en-US" w:eastAsia="zh-CN"/>
              </w:rPr>
            </w:pPr>
          </w:p>
        </w:tc>
        <w:tc>
          <w:tcPr>
            <w:tcW w:w="1626" w:type="dxa"/>
            <w:noWrap w:val="0"/>
            <w:vAlign w:val="center"/>
          </w:tcPr>
          <w:p w14:paraId="2C778AD0">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2AF04963">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70C7CB5E">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270612E4">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76BE9B8F">
            <w:pPr>
              <w:numPr>
                <w:ilvl w:val="0"/>
                <w:numId w:val="0"/>
              </w:numPr>
              <w:jc w:val="center"/>
              <w:rPr>
                <w:rFonts w:hint="eastAsia" w:ascii="宋体" w:hAnsi="宋体" w:eastAsia="宋体" w:cs="宋体"/>
                <w:sz w:val="24"/>
                <w:szCs w:val="22"/>
                <w:vertAlign w:val="baseline"/>
                <w:lang w:val="en-US" w:eastAsia="zh-CN"/>
              </w:rPr>
            </w:pPr>
          </w:p>
        </w:tc>
      </w:tr>
      <w:tr w14:paraId="75FF9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791" w:type="dxa"/>
            <w:noWrap w:val="0"/>
            <w:vAlign w:val="center"/>
          </w:tcPr>
          <w:p w14:paraId="08C523DE">
            <w:pPr>
              <w:numPr>
                <w:ilvl w:val="0"/>
                <w:numId w:val="0"/>
              </w:numPr>
              <w:jc w:val="center"/>
              <w:rPr>
                <w:rFonts w:hint="default" w:ascii="宋体" w:hAnsi="宋体" w:eastAsia="宋体" w:cs="宋体"/>
                <w:sz w:val="24"/>
                <w:szCs w:val="22"/>
                <w:vertAlign w:val="baseline"/>
                <w:lang w:val="en-US" w:eastAsia="zh-CN"/>
              </w:rPr>
            </w:pPr>
            <w:r>
              <w:rPr>
                <w:rFonts w:hint="eastAsia" w:ascii="宋体" w:hAnsi="宋体" w:eastAsia="宋体" w:cs="宋体"/>
                <w:sz w:val="24"/>
                <w:szCs w:val="22"/>
                <w:vertAlign w:val="baseline"/>
                <w:lang w:val="en-US" w:eastAsia="zh-CN"/>
              </w:rPr>
              <w:t>……</w:t>
            </w:r>
          </w:p>
        </w:tc>
        <w:tc>
          <w:tcPr>
            <w:tcW w:w="1440" w:type="dxa"/>
            <w:noWrap w:val="0"/>
            <w:vAlign w:val="center"/>
          </w:tcPr>
          <w:p w14:paraId="482D8C37">
            <w:pPr>
              <w:numPr>
                <w:ilvl w:val="0"/>
                <w:numId w:val="0"/>
              </w:numPr>
              <w:jc w:val="center"/>
              <w:rPr>
                <w:rFonts w:hint="eastAsia" w:ascii="宋体" w:hAnsi="宋体" w:eastAsia="宋体" w:cs="宋体"/>
                <w:sz w:val="24"/>
                <w:szCs w:val="22"/>
                <w:vertAlign w:val="baseline"/>
                <w:lang w:val="en-US" w:eastAsia="zh-CN"/>
              </w:rPr>
            </w:pPr>
          </w:p>
        </w:tc>
        <w:tc>
          <w:tcPr>
            <w:tcW w:w="1189" w:type="dxa"/>
            <w:noWrap w:val="0"/>
            <w:vAlign w:val="center"/>
          </w:tcPr>
          <w:p w14:paraId="41A52DD6">
            <w:pPr>
              <w:numPr>
                <w:ilvl w:val="0"/>
                <w:numId w:val="0"/>
              </w:numPr>
              <w:jc w:val="center"/>
              <w:rPr>
                <w:rFonts w:hint="eastAsia" w:ascii="宋体" w:hAnsi="宋体" w:eastAsia="宋体" w:cs="宋体"/>
                <w:sz w:val="24"/>
                <w:szCs w:val="22"/>
                <w:vertAlign w:val="baseline"/>
                <w:lang w:val="en-US" w:eastAsia="zh-CN"/>
              </w:rPr>
            </w:pPr>
          </w:p>
        </w:tc>
        <w:tc>
          <w:tcPr>
            <w:tcW w:w="1626" w:type="dxa"/>
            <w:noWrap w:val="0"/>
            <w:vAlign w:val="center"/>
          </w:tcPr>
          <w:p w14:paraId="47CD7EF6">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3F36D854">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4D1CDDAB">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380C7003">
            <w:pPr>
              <w:numPr>
                <w:ilvl w:val="0"/>
                <w:numId w:val="0"/>
              </w:numPr>
              <w:jc w:val="center"/>
              <w:rPr>
                <w:rFonts w:hint="eastAsia" w:ascii="宋体" w:hAnsi="宋体" w:eastAsia="宋体" w:cs="宋体"/>
                <w:sz w:val="24"/>
                <w:szCs w:val="22"/>
                <w:vertAlign w:val="baseline"/>
                <w:lang w:val="en-US" w:eastAsia="zh-CN"/>
              </w:rPr>
            </w:pPr>
          </w:p>
        </w:tc>
        <w:tc>
          <w:tcPr>
            <w:tcW w:w="1170" w:type="dxa"/>
            <w:noWrap w:val="0"/>
            <w:vAlign w:val="center"/>
          </w:tcPr>
          <w:p w14:paraId="51859D1C">
            <w:pPr>
              <w:numPr>
                <w:ilvl w:val="0"/>
                <w:numId w:val="0"/>
              </w:numPr>
              <w:jc w:val="center"/>
              <w:rPr>
                <w:rFonts w:hint="eastAsia" w:ascii="宋体" w:hAnsi="宋体" w:eastAsia="宋体" w:cs="宋体"/>
                <w:sz w:val="24"/>
                <w:szCs w:val="22"/>
                <w:vertAlign w:val="baseline"/>
                <w:lang w:val="en-US" w:eastAsia="zh-CN"/>
              </w:rPr>
            </w:pPr>
          </w:p>
        </w:tc>
      </w:tr>
      <w:tr w14:paraId="6B2D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9726" w:type="dxa"/>
            <w:gridSpan w:val="8"/>
            <w:noWrap w:val="0"/>
            <w:vAlign w:val="center"/>
          </w:tcPr>
          <w:p w14:paraId="13EF149D">
            <w:pPr>
              <w:numPr>
                <w:ilvl w:val="0"/>
                <w:numId w:val="0"/>
              </w:numPr>
              <w:jc w:val="left"/>
              <w:rPr>
                <w:rFonts w:hint="default" w:ascii="宋体" w:hAnsi="宋体" w:eastAsia="宋体" w:cs="宋体"/>
                <w:sz w:val="24"/>
                <w:szCs w:val="22"/>
                <w:u w:val="single"/>
                <w:vertAlign w:val="baseline"/>
                <w:lang w:val="en-US" w:eastAsia="zh-CN"/>
              </w:rPr>
            </w:pPr>
            <w:r>
              <w:rPr>
                <w:rFonts w:hint="eastAsia" w:ascii="宋体" w:hAnsi="宋体" w:eastAsia="宋体" w:cs="宋体"/>
                <w:sz w:val="24"/>
                <w:szCs w:val="22"/>
                <w:vertAlign w:val="baseline"/>
                <w:lang w:val="en-US" w:eastAsia="zh-CN"/>
              </w:rPr>
              <w:t>合计：小写</w:t>
            </w:r>
            <w:r>
              <w:rPr>
                <w:rFonts w:hint="eastAsia" w:ascii="宋体" w:hAnsi="宋体" w:eastAsia="宋体" w:cs="宋体"/>
                <w:sz w:val="24"/>
                <w:szCs w:val="22"/>
                <w:u w:val="single"/>
                <w:vertAlign w:val="baseline"/>
                <w:lang w:val="en-US" w:eastAsia="zh-CN"/>
              </w:rPr>
              <w:t xml:space="preserve">          </w:t>
            </w:r>
            <w:r>
              <w:rPr>
                <w:rFonts w:hint="eastAsia" w:ascii="宋体" w:hAnsi="宋体" w:eastAsia="宋体" w:cs="宋体"/>
                <w:sz w:val="24"/>
                <w:szCs w:val="22"/>
                <w:vertAlign w:val="baseline"/>
                <w:lang w:val="en-US" w:eastAsia="zh-CN"/>
              </w:rPr>
              <w:t>，大写</w:t>
            </w:r>
            <w:r>
              <w:rPr>
                <w:rFonts w:hint="eastAsia" w:ascii="宋体" w:hAnsi="宋体" w:eastAsia="宋体" w:cs="宋体"/>
                <w:sz w:val="24"/>
                <w:szCs w:val="22"/>
                <w:u w:val="single"/>
                <w:vertAlign w:val="baseline"/>
                <w:lang w:val="en-US" w:eastAsia="zh-CN"/>
              </w:rPr>
              <w:t xml:space="preserve">         </w:t>
            </w:r>
            <w:r>
              <w:rPr>
                <w:rFonts w:hint="eastAsia" w:ascii="宋体" w:hAnsi="宋体" w:eastAsia="宋体" w:cs="宋体"/>
                <w:sz w:val="24"/>
                <w:szCs w:val="22"/>
                <w:u w:val="none"/>
                <w:vertAlign w:val="baseline"/>
                <w:lang w:val="en-US" w:eastAsia="zh-CN"/>
              </w:rPr>
              <w:t>。</w:t>
            </w:r>
          </w:p>
        </w:tc>
      </w:tr>
    </w:tbl>
    <w:p w14:paraId="28AD78E1">
      <w:pPr>
        <w:adjustRightInd w:val="0"/>
        <w:snapToGrid w:val="0"/>
        <w:spacing w:line="360" w:lineRule="auto"/>
        <w:rPr>
          <w:rFonts w:ascii="宋体" w:hAnsi="宋体" w:cs="仿宋_GB2312"/>
          <w:sz w:val="24"/>
          <w:szCs w:val="24"/>
        </w:rPr>
      </w:pPr>
      <w:r>
        <w:rPr>
          <w:rFonts w:hint="eastAsia" w:ascii="宋体" w:hAnsi="宋体" w:cs="仿宋_GB2312"/>
          <w:sz w:val="24"/>
          <w:szCs w:val="24"/>
        </w:rPr>
        <w:t>注：1. 供应商须按照谈判文件“采购内容及要求”中涉及的清单进行报价。</w:t>
      </w:r>
    </w:p>
    <w:p w14:paraId="3C0D8B70">
      <w:pPr>
        <w:numPr>
          <w:ilvl w:val="0"/>
          <w:numId w:val="13"/>
        </w:numPr>
        <w:adjustRightInd w:val="0"/>
        <w:snapToGrid w:val="0"/>
        <w:spacing w:line="360" w:lineRule="auto"/>
        <w:ind w:left="792" w:leftChars="225" w:hanging="319" w:hangingChars="133"/>
        <w:rPr>
          <w:rFonts w:hint="eastAsia" w:ascii="宋体" w:hAnsi="宋体" w:cs="仿宋_GB2312"/>
          <w:sz w:val="24"/>
          <w:szCs w:val="24"/>
        </w:rPr>
      </w:pPr>
      <w:r>
        <w:rPr>
          <w:rFonts w:hint="eastAsia" w:ascii="宋体" w:hAnsi="宋体" w:cs="仿宋_GB2312"/>
          <w:sz w:val="24"/>
          <w:szCs w:val="24"/>
        </w:rPr>
        <w:t>上述投标总报价包含了供应商为此项目所支付的的一切费用，在整个合同期内不做调整。</w:t>
      </w:r>
    </w:p>
    <w:p w14:paraId="636DB495">
      <w:pPr>
        <w:numPr>
          <w:ilvl w:val="0"/>
          <w:numId w:val="13"/>
        </w:numPr>
        <w:adjustRightInd w:val="0"/>
        <w:snapToGrid w:val="0"/>
        <w:spacing w:line="360" w:lineRule="auto"/>
        <w:ind w:left="792" w:leftChars="225" w:hanging="319" w:hangingChars="133"/>
        <w:rPr>
          <w:rFonts w:hint="eastAsia" w:ascii="宋体" w:hAnsi="宋体" w:eastAsia="宋体" w:cs="仿宋_GB2312"/>
          <w:sz w:val="24"/>
          <w:szCs w:val="24"/>
        </w:rPr>
      </w:pPr>
      <w:r>
        <w:rPr>
          <w:rFonts w:hint="eastAsia" w:ascii="宋体" w:hAnsi="宋体" w:eastAsia="宋体" w:cs="仿宋_GB2312"/>
          <w:sz w:val="24"/>
          <w:szCs w:val="24"/>
          <w:lang w:val="en-US" w:eastAsia="zh-CN"/>
        </w:rPr>
        <w:t>投标人可根据自身需求调整本表，但不得</w:t>
      </w:r>
      <w:r>
        <w:rPr>
          <w:rFonts w:hint="eastAsia" w:ascii="宋体" w:hAnsi="宋体" w:eastAsia="宋体" w:cs="仿宋_GB2312"/>
          <w:sz w:val="24"/>
          <w:szCs w:val="24"/>
        </w:rPr>
        <w:t>减少信息内容</w:t>
      </w:r>
      <w:r>
        <w:rPr>
          <w:rFonts w:hint="eastAsia" w:ascii="宋体" w:hAnsi="宋体" w:eastAsia="宋体" w:cs="仿宋_GB2312"/>
          <w:sz w:val="24"/>
          <w:szCs w:val="24"/>
          <w:lang w:val="en-US" w:eastAsia="zh-CN"/>
        </w:rPr>
        <w:t>。</w:t>
      </w:r>
    </w:p>
    <w:p w14:paraId="7A90B847">
      <w:pPr>
        <w:pStyle w:val="6"/>
        <w:jc w:val="center"/>
        <w:rPr>
          <w:rFonts w:ascii="宋体" w:hAnsi="宋体" w:cs="宋体"/>
          <w:b/>
          <w:sz w:val="32"/>
          <w:szCs w:val="32"/>
        </w:rPr>
      </w:pPr>
    </w:p>
    <w:p w14:paraId="5365ACD6">
      <w:pPr>
        <w:spacing w:line="480" w:lineRule="auto"/>
        <w:ind w:right="-161" w:firstLine="3120" w:firstLineChars="1300"/>
        <w:rPr>
          <w:rFonts w:ascii="宋体" w:hAnsi="宋体" w:cs="仿宋_GB2312"/>
          <w:color w:val="000000"/>
          <w:sz w:val="24"/>
          <w:szCs w:val="24"/>
          <w:u w:val="single"/>
        </w:rPr>
      </w:pPr>
      <w:r>
        <w:rPr>
          <w:rFonts w:hint="eastAsia" w:ascii="宋体" w:hAnsi="宋体" w:cs="仿宋_GB2312"/>
          <w:color w:val="000000"/>
          <w:sz w:val="24"/>
          <w:szCs w:val="24"/>
        </w:rPr>
        <w:t>法定代表人或被授权代表</w:t>
      </w:r>
      <w:r>
        <w:rPr>
          <w:rFonts w:hint="eastAsia" w:ascii="宋体" w:hAnsi="宋体" w:cs="宋体"/>
          <w:sz w:val="24"/>
          <w:szCs w:val="24"/>
        </w:rPr>
        <w:t>（签字或盖章）</w:t>
      </w:r>
      <w:r>
        <w:rPr>
          <w:rFonts w:hint="eastAsia" w:ascii="宋体" w:hAnsi="宋体" w:cs="仿宋_GB2312"/>
          <w:color w:val="000000"/>
          <w:sz w:val="24"/>
          <w:szCs w:val="24"/>
        </w:rPr>
        <w:t>：</w:t>
      </w:r>
      <w:r>
        <w:rPr>
          <w:rFonts w:hint="eastAsia" w:ascii="宋体" w:hAnsi="宋体" w:cs="仿宋_GB2312"/>
          <w:color w:val="000000"/>
          <w:sz w:val="24"/>
          <w:szCs w:val="24"/>
          <w:u w:val="single"/>
        </w:rPr>
        <w:t xml:space="preserve">                       </w:t>
      </w:r>
    </w:p>
    <w:p w14:paraId="199017C5">
      <w:pPr>
        <w:spacing w:line="480" w:lineRule="auto"/>
        <w:ind w:right="-161" w:firstLine="3120" w:firstLineChars="1300"/>
        <w:rPr>
          <w:rFonts w:ascii="宋体" w:hAnsi="宋体" w:cs="仿宋_GB2312"/>
          <w:color w:val="000000"/>
          <w:sz w:val="24"/>
          <w:szCs w:val="24"/>
          <w:u w:val="single"/>
        </w:rPr>
      </w:pPr>
      <w:r>
        <w:rPr>
          <w:rFonts w:hint="eastAsia" w:ascii="宋体" w:hAnsi="宋体" w:cs="仿宋_GB2312"/>
          <w:color w:val="000000"/>
          <w:sz w:val="24"/>
          <w:szCs w:val="24"/>
        </w:rPr>
        <w:t>投   标   单  位  公  章：</w:t>
      </w:r>
      <w:r>
        <w:rPr>
          <w:rFonts w:hint="eastAsia" w:ascii="宋体" w:hAnsi="宋体" w:cs="仿宋_GB2312"/>
          <w:color w:val="000000"/>
          <w:sz w:val="24"/>
          <w:szCs w:val="24"/>
          <w:u w:val="single"/>
        </w:rPr>
        <w:t xml:space="preserve">                       </w:t>
      </w:r>
    </w:p>
    <w:p w14:paraId="6AA49CCF">
      <w:pPr>
        <w:spacing w:line="480" w:lineRule="auto"/>
        <w:ind w:firstLine="3120" w:firstLineChars="1300"/>
        <w:jc w:val="left"/>
        <w:rPr>
          <w:rFonts w:ascii="宋体" w:hAnsi="宋体" w:cs="仿宋_GB2312"/>
          <w:color w:val="000000"/>
          <w:sz w:val="24"/>
          <w:szCs w:val="24"/>
          <w:u w:val="single"/>
        </w:rPr>
      </w:pPr>
      <w:r>
        <w:rPr>
          <w:rFonts w:hint="eastAsia" w:ascii="宋体" w:hAnsi="宋体" w:cs="仿宋_GB2312"/>
          <w:color w:val="000000"/>
          <w:sz w:val="24"/>
          <w:szCs w:val="24"/>
        </w:rPr>
        <w:t>日                    期：</w:t>
      </w:r>
      <w:r>
        <w:rPr>
          <w:rFonts w:hint="eastAsia" w:ascii="宋体" w:hAnsi="宋体" w:cs="仿宋_GB2312"/>
          <w:color w:val="000000"/>
          <w:sz w:val="24"/>
          <w:szCs w:val="24"/>
          <w:u w:val="single"/>
        </w:rPr>
        <w:t xml:space="preserve">                       </w:t>
      </w:r>
    </w:p>
    <w:p w14:paraId="51228AE1">
      <w:pPr>
        <w:pStyle w:val="6"/>
      </w:pPr>
    </w:p>
    <w:p w14:paraId="1C990795">
      <w:pPr>
        <w:spacing w:line="360" w:lineRule="auto"/>
        <w:ind w:right="-161" w:firstLine="2640" w:firstLineChars="1100"/>
        <w:rPr>
          <w:rFonts w:ascii="宋体" w:hAnsi="宋体" w:cs="宋体"/>
          <w:sz w:val="24"/>
          <w:szCs w:val="24"/>
        </w:rPr>
        <w:sectPr>
          <w:pgSz w:w="11906" w:h="16838"/>
          <w:pgMar w:top="1440" w:right="1531" w:bottom="1440" w:left="1531" w:header="720" w:footer="720" w:gutter="0"/>
          <w:cols w:space="720" w:num="1"/>
          <w:docGrid w:type="lines" w:linePitch="312" w:charSpace="0"/>
        </w:sectPr>
      </w:pPr>
    </w:p>
    <w:p w14:paraId="65285ACC">
      <w:pPr>
        <w:numPr>
          <w:ilvl w:val="0"/>
          <w:numId w:val="12"/>
        </w:numPr>
        <w:spacing w:line="360" w:lineRule="atLeast"/>
        <w:ind w:firstLine="295" w:firstLineChars="98"/>
        <w:jc w:val="center"/>
        <w:rPr>
          <w:rFonts w:ascii="宋体" w:hAnsi="宋体"/>
          <w:b/>
          <w:sz w:val="30"/>
          <w:szCs w:val="30"/>
        </w:rPr>
      </w:pPr>
      <w:r>
        <w:rPr>
          <w:rFonts w:hint="eastAsia" w:ascii="宋体" w:hAnsi="宋体"/>
          <w:b/>
          <w:sz w:val="30"/>
          <w:szCs w:val="30"/>
        </w:rPr>
        <w:t>偏离表</w:t>
      </w:r>
    </w:p>
    <w:p w14:paraId="6F6CDA32">
      <w:pPr>
        <w:numPr>
          <w:ilvl w:val="0"/>
          <w:numId w:val="0"/>
        </w:numPr>
        <w:spacing w:line="360" w:lineRule="atLeast"/>
        <w:jc w:val="center"/>
        <w:rPr>
          <w:rFonts w:ascii="宋体" w:hAnsi="宋体"/>
          <w:b/>
          <w:sz w:val="30"/>
          <w:szCs w:val="30"/>
        </w:rPr>
      </w:pPr>
      <w:r>
        <w:rPr>
          <w:rFonts w:hint="eastAsia" w:ascii="宋体" w:hAnsi="宋体"/>
          <w:b/>
          <w:sz w:val="30"/>
          <w:szCs w:val="30"/>
          <w:lang w:val="en-US" w:eastAsia="zh-CN"/>
        </w:rPr>
        <w:t>9.1</w:t>
      </w:r>
      <w:r>
        <w:rPr>
          <w:rFonts w:hint="eastAsia" w:ascii="宋体" w:hAnsi="宋体"/>
          <w:b/>
          <w:sz w:val="30"/>
          <w:szCs w:val="30"/>
        </w:rPr>
        <w:t>商务偏离表</w:t>
      </w:r>
    </w:p>
    <w:p w14:paraId="2749D0CD">
      <w:pPr>
        <w:spacing w:line="360" w:lineRule="auto"/>
        <w:rPr>
          <w:rFonts w:ascii="宋体" w:hAnsi="宋体" w:cs="宋体"/>
          <w:sz w:val="24"/>
          <w:u w:val="single"/>
        </w:rPr>
      </w:pPr>
      <w:r>
        <w:rPr>
          <w:rFonts w:hint="eastAsia" w:ascii="宋体" w:hAnsi="宋体" w:cs="宋体"/>
          <w:sz w:val="24"/>
        </w:rPr>
        <w:t>供应商名称：</w:t>
      </w:r>
      <w:r>
        <w:rPr>
          <w:rFonts w:hint="eastAsia" w:ascii="宋体" w:hAnsi="宋体" w:cs="宋体"/>
          <w:sz w:val="24"/>
          <w:u w:val="single"/>
        </w:rPr>
        <w:t xml:space="preserve">                        </w:t>
      </w:r>
      <w:r>
        <w:rPr>
          <w:rFonts w:hint="eastAsia" w:ascii="宋体" w:hAnsi="宋体" w:cs="宋体"/>
          <w:sz w:val="24"/>
        </w:rPr>
        <w:t xml:space="preserve">    采购项目编号：</w:t>
      </w:r>
      <w:r>
        <w:rPr>
          <w:rFonts w:hint="eastAsia" w:ascii="宋体" w:hAnsi="宋体" w:cs="宋体"/>
          <w:sz w:val="24"/>
          <w:u w:val="single"/>
        </w:rPr>
        <w:t xml:space="preserve">                    </w:t>
      </w:r>
    </w:p>
    <w:tbl>
      <w:tblPr>
        <w:tblStyle w:val="17"/>
        <w:tblW w:w="985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836"/>
        <w:gridCol w:w="3266"/>
        <w:gridCol w:w="3599"/>
        <w:gridCol w:w="1062"/>
        <w:gridCol w:w="1087"/>
      </w:tblGrid>
      <w:tr w14:paraId="4C58E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37" w:hRule="atLeast"/>
          <w:jc w:val="center"/>
        </w:trPr>
        <w:tc>
          <w:tcPr>
            <w:tcW w:w="836" w:type="dxa"/>
            <w:noWrap w:val="0"/>
            <w:vAlign w:val="top"/>
          </w:tcPr>
          <w:p w14:paraId="15893544">
            <w:pPr>
              <w:spacing w:line="360" w:lineRule="auto"/>
              <w:jc w:val="center"/>
              <w:rPr>
                <w:rFonts w:ascii="宋体" w:hAnsi="宋体" w:cs="宋体"/>
                <w:b/>
                <w:sz w:val="24"/>
              </w:rPr>
            </w:pPr>
            <w:r>
              <w:rPr>
                <w:rFonts w:hint="eastAsia" w:ascii="宋体" w:hAnsi="宋体" w:cs="宋体"/>
                <w:b/>
                <w:sz w:val="24"/>
              </w:rPr>
              <w:t>序号</w:t>
            </w:r>
          </w:p>
        </w:tc>
        <w:tc>
          <w:tcPr>
            <w:tcW w:w="3266" w:type="dxa"/>
            <w:noWrap w:val="0"/>
            <w:vAlign w:val="top"/>
          </w:tcPr>
          <w:p w14:paraId="005C6DC0">
            <w:pPr>
              <w:spacing w:line="360" w:lineRule="auto"/>
              <w:jc w:val="center"/>
              <w:rPr>
                <w:rFonts w:ascii="宋体" w:hAnsi="宋体" w:cs="宋体"/>
                <w:b/>
                <w:sz w:val="24"/>
              </w:rPr>
            </w:pPr>
            <w:r>
              <w:rPr>
                <w:rFonts w:hint="eastAsia" w:ascii="宋体" w:hAnsi="宋体" w:cs="宋体"/>
                <w:b/>
                <w:sz w:val="24"/>
              </w:rPr>
              <w:t>竞争性谈判文件商务要求</w:t>
            </w:r>
          </w:p>
        </w:tc>
        <w:tc>
          <w:tcPr>
            <w:tcW w:w="3599" w:type="dxa"/>
            <w:noWrap w:val="0"/>
            <w:vAlign w:val="top"/>
          </w:tcPr>
          <w:p w14:paraId="320D6E58">
            <w:pPr>
              <w:spacing w:line="360" w:lineRule="auto"/>
              <w:jc w:val="center"/>
              <w:rPr>
                <w:rFonts w:ascii="宋体" w:hAnsi="宋体" w:cs="宋体"/>
                <w:b/>
                <w:sz w:val="24"/>
              </w:rPr>
            </w:pPr>
            <w:r>
              <w:rPr>
                <w:rFonts w:hint="eastAsia" w:ascii="宋体" w:hAnsi="宋体" w:cs="宋体"/>
                <w:b/>
                <w:sz w:val="24"/>
              </w:rPr>
              <w:t>竞争性谈判响应文件商务响应</w:t>
            </w:r>
          </w:p>
        </w:tc>
        <w:tc>
          <w:tcPr>
            <w:tcW w:w="1062" w:type="dxa"/>
            <w:noWrap w:val="0"/>
            <w:vAlign w:val="top"/>
          </w:tcPr>
          <w:p w14:paraId="5CCC9F28">
            <w:pPr>
              <w:spacing w:line="360" w:lineRule="auto"/>
              <w:jc w:val="center"/>
              <w:rPr>
                <w:rFonts w:ascii="宋体" w:hAnsi="宋体" w:cs="宋体"/>
                <w:b/>
                <w:sz w:val="24"/>
              </w:rPr>
            </w:pPr>
            <w:r>
              <w:rPr>
                <w:rFonts w:hint="eastAsia" w:ascii="宋体" w:hAnsi="宋体" w:cs="宋体"/>
                <w:b/>
                <w:sz w:val="24"/>
              </w:rPr>
              <w:t>偏离情况</w:t>
            </w:r>
          </w:p>
        </w:tc>
        <w:tc>
          <w:tcPr>
            <w:tcW w:w="1087" w:type="dxa"/>
            <w:noWrap w:val="0"/>
            <w:vAlign w:val="top"/>
          </w:tcPr>
          <w:p w14:paraId="453DAC21">
            <w:pPr>
              <w:spacing w:line="360" w:lineRule="auto"/>
              <w:jc w:val="center"/>
              <w:rPr>
                <w:rFonts w:ascii="宋体" w:hAnsi="宋体" w:cs="宋体"/>
                <w:b/>
                <w:sz w:val="24"/>
              </w:rPr>
            </w:pPr>
            <w:r>
              <w:rPr>
                <w:rFonts w:hint="eastAsia" w:ascii="宋体" w:hAnsi="宋体" w:cs="宋体"/>
                <w:b/>
                <w:sz w:val="24"/>
              </w:rPr>
              <w:t>响应说明</w:t>
            </w:r>
          </w:p>
        </w:tc>
      </w:tr>
      <w:tr w14:paraId="5C1C5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2D178317">
            <w:pPr>
              <w:spacing w:line="360" w:lineRule="auto"/>
              <w:jc w:val="center"/>
              <w:rPr>
                <w:rFonts w:ascii="宋体" w:hAnsi="宋体" w:cs="宋体"/>
                <w:sz w:val="24"/>
              </w:rPr>
            </w:pPr>
          </w:p>
        </w:tc>
        <w:tc>
          <w:tcPr>
            <w:tcW w:w="3266" w:type="dxa"/>
            <w:noWrap w:val="0"/>
            <w:vAlign w:val="top"/>
          </w:tcPr>
          <w:p w14:paraId="5AEDD177">
            <w:pPr>
              <w:spacing w:line="360" w:lineRule="auto"/>
              <w:jc w:val="center"/>
              <w:rPr>
                <w:rFonts w:ascii="宋体" w:hAnsi="宋体" w:cs="宋体"/>
                <w:sz w:val="24"/>
              </w:rPr>
            </w:pPr>
          </w:p>
        </w:tc>
        <w:tc>
          <w:tcPr>
            <w:tcW w:w="3599" w:type="dxa"/>
            <w:noWrap w:val="0"/>
            <w:vAlign w:val="top"/>
          </w:tcPr>
          <w:p w14:paraId="7E8B0A17">
            <w:pPr>
              <w:spacing w:line="360" w:lineRule="auto"/>
              <w:jc w:val="center"/>
              <w:rPr>
                <w:rFonts w:ascii="宋体" w:hAnsi="宋体" w:cs="宋体"/>
                <w:sz w:val="24"/>
              </w:rPr>
            </w:pPr>
          </w:p>
        </w:tc>
        <w:tc>
          <w:tcPr>
            <w:tcW w:w="1062" w:type="dxa"/>
            <w:noWrap w:val="0"/>
            <w:vAlign w:val="top"/>
          </w:tcPr>
          <w:p w14:paraId="3768EE2B">
            <w:pPr>
              <w:spacing w:line="360" w:lineRule="auto"/>
              <w:jc w:val="center"/>
              <w:rPr>
                <w:rFonts w:ascii="宋体" w:hAnsi="宋体" w:cs="宋体"/>
                <w:sz w:val="24"/>
              </w:rPr>
            </w:pPr>
          </w:p>
        </w:tc>
        <w:tc>
          <w:tcPr>
            <w:tcW w:w="1087" w:type="dxa"/>
            <w:noWrap w:val="0"/>
            <w:vAlign w:val="top"/>
          </w:tcPr>
          <w:p w14:paraId="40157F08">
            <w:pPr>
              <w:spacing w:line="360" w:lineRule="auto"/>
              <w:jc w:val="center"/>
              <w:rPr>
                <w:rFonts w:ascii="宋体" w:hAnsi="宋体" w:cs="宋体"/>
                <w:sz w:val="24"/>
              </w:rPr>
            </w:pPr>
          </w:p>
        </w:tc>
      </w:tr>
      <w:tr w14:paraId="1CAE6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171FF29B">
            <w:pPr>
              <w:spacing w:line="360" w:lineRule="auto"/>
              <w:jc w:val="center"/>
              <w:rPr>
                <w:rFonts w:ascii="宋体" w:hAnsi="宋体" w:cs="宋体"/>
                <w:sz w:val="24"/>
              </w:rPr>
            </w:pPr>
          </w:p>
        </w:tc>
        <w:tc>
          <w:tcPr>
            <w:tcW w:w="3266" w:type="dxa"/>
            <w:noWrap w:val="0"/>
            <w:vAlign w:val="top"/>
          </w:tcPr>
          <w:p w14:paraId="3AEDDF8E">
            <w:pPr>
              <w:spacing w:line="360" w:lineRule="auto"/>
              <w:jc w:val="center"/>
              <w:rPr>
                <w:rFonts w:ascii="宋体" w:hAnsi="宋体" w:cs="宋体"/>
                <w:sz w:val="24"/>
              </w:rPr>
            </w:pPr>
          </w:p>
        </w:tc>
        <w:tc>
          <w:tcPr>
            <w:tcW w:w="3599" w:type="dxa"/>
            <w:noWrap w:val="0"/>
            <w:vAlign w:val="top"/>
          </w:tcPr>
          <w:p w14:paraId="253D3C4E">
            <w:pPr>
              <w:spacing w:line="360" w:lineRule="auto"/>
              <w:jc w:val="center"/>
              <w:rPr>
                <w:rFonts w:ascii="宋体" w:hAnsi="宋体" w:cs="宋体"/>
                <w:sz w:val="24"/>
              </w:rPr>
            </w:pPr>
          </w:p>
        </w:tc>
        <w:tc>
          <w:tcPr>
            <w:tcW w:w="1062" w:type="dxa"/>
            <w:noWrap w:val="0"/>
            <w:vAlign w:val="top"/>
          </w:tcPr>
          <w:p w14:paraId="0FAE3418">
            <w:pPr>
              <w:spacing w:line="360" w:lineRule="auto"/>
              <w:jc w:val="center"/>
              <w:rPr>
                <w:rFonts w:ascii="宋体" w:hAnsi="宋体" w:cs="宋体"/>
                <w:sz w:val="24"/>
              </w:rPr>
            </w:pPr>
          </w:p>
        </w:tc>
        <w:tc>
          <w:tcPr>
            <w:tcW w:w="1087" w:type="dxa"/>
            <w:noWrap w:val="0"/>
            <w:vAlign w:val="top"/>
          </w:tcPr>
          <w:p w14:paraId="761BDCCF">
            <w:pPr>
              <w:spacing w:line="360" w:lineRule="auto"/>
              <w:jc w:val="center"/>
              <w:rPr>
                <w:rFonts w:ascii="宋体" w:hAnsi="宋体" w:cs="宋体"/>
                <w:sz w:val="24"/>
              </w:rPr>
            </w:pPr>
          </w:p>
        </w:tc>
      </w:tr>
      <w:tr w14:paraId="4B980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25C7F64D">
            <w:pPr>
              <w:spacing w:line="360" w:lineRule="auto"/>
              <w:jc w:val="center"/>
              <w:rPr>
                <w:rFonts w:ascii="宋体" w:hAnsi="宋体" w:cs="宋体"/>
                <w:sz w:val="24"/>
              </w:rPr>
            </w:pPr>
          </w:p>
        </w:tc>
        <w:tc>
          <w:tcPr>
            <w:tcW w:w="3266" w:type="dxa"/>
            <w:noWrap w:val="0"/>
            <w:vAlign w:val="top"/>
          </w:tcPr>
          <w:p w14:paraId="10F3566A">
            <w:pPr>
              <w:spacing w:line="360" w:lineRule="auto"/>
              <w:jc w:val="center"/>
              <w:rPr>
                <w:rFonts w:ascii="宋体" w:hAnsi="宋体" w:cs="宋体"/>
                <w:sz w:val="24"/>
              </w:rPr>
            </w:pPr>
          </w:p>
        </w:tc>
        <w:tc>
          <w:tcPr>
            <w:tcW w:w="3599" w:type="dxa"/>
            <w:noWrap w:val="0"/>
            <w:vAlign w:val="top"/>
          </w:tcPr>
          <w:p w14:paraId="3007DB3F">
            <w:pPr>
              <w:spacing w:line="360" w:lineRule="auto"/>
              <w:jc w:val="center"/>
              <w:rPr>
                <w:rFonts w:ascii="宋体" w:hAnsi="宋体" w:cs="宋体"/>
                <w:sz w:val="24"/>
              </w:rPr>
            </w:pPr>
          </w:p>
        </w:tc>
        <w:tc>
          <w:tcPr>
            <w:tcW w:w="1062" w:type="dxa"/>
            <w:noWrap w:val="0"/>
            <w:vAlign w:val="top"/>
          </w:tcPr>
          <w:p w14:paraId="50E81C93">
            <w:pPr>
              <w:spacing w:line="360" w:lineRule="auto"/>
              <w:jc w:val="center"/>
              <w:rPr>
                <w:rFonts w:ascii="宋体" w:hAnsi="宋体" w:cs="宋体"/>
                <w:sz w:val="24"/>
              </w:rPr>
            </w:pPr>
          </w:p>
        </w:tc>
        <w:tc>
          <w:tcPr>
            <w:tcW w:w="1087" w:type="dxa"/>
            <w:noWrap w:val="0"/>
            <w:vAlign w:val="top"/>
          </w:tcPr>
          <w:p w14:paraId="57CFF658">
            <w:pPr>
              <w:spacing w:line="360" w:lineRule="auto"/>
              <w:jc w:val="center"/>
              <w:rPr>
                <w:rFonts w:ascii="宋体" w:hAnsi="宋体" w:cs="宋体"/>
                <w:sz w:val="24"/>
              </w:rPr>
            </w:pPr>
          </w:p>
        </w:tc>
      </w:tr>
      <w:tr w14:paraId="40F07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145426C8">
            <w:pPr>
              <w:spacing w:line="360" w:lineRule="auto"/>
              <w:jc w:val="center"/>
              <w:rPr>
                <w:rFonts w:ascii="宋体" w:hAnsi="宋体" w:cs="宋体"/>
                <w:sz w:val="24"/>
              </w:rPr>
            </w:pPr>
          </w:p>
        </w:tc>
        <w:tc>
          <w:tcPr>
            <w:tcW w:w="3266" w:type="dxa"/>
            <w:noWrap w:val="0"/>
            <w:vAlign w:val="top"/>
          </w:tcPr>
          <w:p w14:paraId="055FA5A3">
            <w:pPr>
              <w:spacing w:line="360" w:lineRule="auto"/>
              <w:jc w:val="center"/>
              <w:rPr>
                <w:rFonts w:ascii="宋体" w:hAnsi="宋体" w:cs="宋体"/>
                <w:sz w:val="24"/>
              </w:rPr>
            </w:pPr>
          </w:p>
        </w:tc>
        <w:tc>
          <w:tcPr>
            <w:tcW w:w="3599" w:type="dxa"/>
            <w:noWrap w:val="0"/>
            <w:vAlign w:val="top"/>
          </w:tcPr>
          <w:p w14:paraId="3883672F">
            <w:pPr>
              <w:spacing w:line="360" w:lineRule="auto"/>
              <w:jc w:val="center"/>
              <w:rPr>
                <w:rFonts w:ascii="宋体" w:hAnsi="宋体" w:cs="宋体"/>
                <w:sz w:val="24"/>
              </w:rPr>
            </w:pPr>
          </w:p>
        </w:tc>
        <w:tc>
          <w:tcPr>
            <w:tcW w:w="1062" w:type="dxa"/>
            <w:noWrap w:val="0"/>
            <w:vAlign w:val="top"/>
          </w:tcPr>
          <w:p w14:paraId="779C28C0">
            <w:pPr>
              <w:spacing w:line="360" w:lineRule="auto"/>
              <w:jc w:val="center"/>
              <w:rPr>
                <w:rFonts w:ascii="宋体" w:hAnsi="宋体" w:cs="宋体"/>
                <w:sz w:val="24"/>
              </w:rPr>
            </w:pPr>
          </w:p>
        </w:tc>
        <w:tc>
          <w:tcPr>
            <w:tcW w:w="1087" w:type="dxa"/>
            <w:noWrap w:val="0"/>
            <w:vAlign w:val="top"/>
          </w:tcPr>
          <w:p w14:paraId="2CDEC66B">
            <w:pPr>
              <w:spacing w:line="360" w:lineRule="auto"/>
              <w:jc w:val="center"/>
              <w:rPr>
                <w:rFonts w:ascii="宋体" w:hAnsi="宋体" w:cs="宋体"/>
                <w:sz w:val="24"/>
              </w:rPr>
            </w:pPr>
          </w:p>
        </w:tc>
      </w:tr>
      <w:tr w14:paraId="21EF8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760E2068">
            <w:pPr>
              <w:spacing w:line="360" w:lineRule="auto"/>
              <w:jc w:val="center"/>
              <w:rPr>
                <w:rFonts w:ascii="宋体" w:hAnsi="宋体" w:cs="宋体"/>
                <w:sz w:val="24"/>
              </w:rPr>
            </w:pPr>
          </w:p>
        </w:tc>
        <w:tc>
          <w:tcPr>
            <w:tcW w:w="3266" w:type="dxa"/>
            <w:noWrap w:val="0"/>
            <w:vAlign w:val="top"/>
          </w:tcPr>
          <w:p w14:paraId="392E088F">
            <w:pPr>
              <w:spacing w:line="360" w:lineRule="auto"/>
              <w:jc w:val="center"/>
              <w:rPr>
                <w:rFonts w:ascii="宋体" w:hAnsi="宋体" w:cs="宋体"/>
                <w:sz w:val="24"/>
              </w:rPr>
            </w:pPr>
          </w:p>
        </w:tc>
        <w:tc>
          <w:tcPr>
            <w:tcW w:w="3599" w:type="dxa"/>
            <w:noWrap w:val="0"/>
            <w:vAlign w:val="top"/>
          </w:tcPr>
          <w:p w14:paraId="3FF8E8D5">
            <w:pPr>
              <w:spacing w:line="360" w:lineRule="auto"/>
              <w:jc w:val="center"/>
              <w:rPr>
                <w:rFonts w:ascii="宋体" w:hAnsi="宋体" w:cs="宋体"/>
                <w:sz w:val="24"/>
              </w:rPr>
            </w:pPr>
          </w:p>
        </w:tc>
        <w:tc>
          <w:tcPr>
            <w:tcW w:w="1062" w:type="dxa"/>
            <w:noWrap w:val="0"/>
            <w:vAlign w:val="top"/>
          </w:tcPr>
          <w:p w14:paraId="3A70AF0B">
            <w:pPr>
              <w:spacing w:line="360" w:lineRule="auto"/>
              <w:jc w:val="center"/>
              <w:rPr>
                <w:rFonts w:ascii="宋体" w:hAnsi="宋体" w:cs="宋体"/>
                <w:sz w:val="24"/>
              </w:rPr>
            </w:pPr>
          </w:p>
        </w:tc>
        <w:tc>
          <w:tcPr>
            <w:tcW w:w="1087" w:type="dxa"/>
            <w:noWrap w:val="0"/>
            <w:vAlign w:val="top"/>
          </w:tcPr>
          <w:p w14:paraId="4F5BEFA5">
            <w:pPr>
              <w:spacing w:line="360" w:lineRule="auto"/>
              <w:jc w:val="center"/>
              <w:rPr>
                <w:rFonts w:ascii="宋体" w:hAnsi="宋体" w:cs="宋体"/>
                <w:sz w:val="24"/>
              </w:rPr>
            </w:pPr>
          </w:p>
        </w:tc>
      </w:tr>
      <w:tr w14:paraId="2C31D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333143B4">
            <w:pPr>
              <w:spacing w:line="360" w:lineRule="auto"/>
              <w:jc w:val="center"/>
              <w:rPr>
                <w:rFonts w:ascii="宋体" w:hAnsi="宋体" w:cs="宋体"/>
                <w:sz w:val="24"/>
              </w:rPr>
            </w:pPr>
          </w:p>
        </w:tc>
        <w:tc>
          <w:tcPr>
            <w:tcW w:w="3266" w:type="dxa"/>
            <w:noWrap w:val="0"/>
            <w:vAlign w:val="top"/>
          </w:tcPr>
          <w:p w14:paraId="50BF65F4">
            <w:pPr>
              <w:spacing w:line="360" w:lineRule="auto"/>
              <w:jc w:val="center"/>
              <w:rPr>
                <w:rFonts w:ascii="宋体" w:hAnsi="宋体" w:cs="宋体"/>
                <w:sz w:val="24"/>
              </w:rPr>
            </w:pPr>
          </w:p>
        </w:tc>
        <w:tc>
          <w:tcPr>
            <w:tcW w:w="3599" w:type="dxa"/>
            <w:noWrap w:val="0"/>
            <w:vAlign w:val="top"/>
          </w:tcPr>
          <w:p w14:paraId="788BAD1E">
            <w:pPr>
              <w:spacing w:line="360" w:lineRule="auto"/>
              <w:jc w:val="center"/>
              <w:rPr>
                <w:rFonts w:ascii="宋体" w:hAnsi="宋体" w:cs="宋体"/>
                <w:sz w:val="24"/>
              </w:rPr>
            </w:pPr>
          </w:p>
        </w:tc>
        <w:tc>
          <w:tcPr>
            <w:tcW w:w="1062" w:type="dxa"/>
            <w:noWrap w:val="0"/>
            <w:vAlign w:val="top"/>
          </w:tcPr>
          <w:p w14:paraId="469AC037">
            <w:pPr>
              <w:spacing w:line="360" w:lineRule="auto"/>
              <w:jc w:val="center"/>
              <w:rPr>
                <w:rFonts w:ascii="宋体" w:hAnsi="宋体" w:cs="宋体"/>
                <w:sz w:val="24"/>
              </w:rPr>
            </w:pPr>
          </w:p>
        </w:tc>
        <w:tc>
          <w:tcPr>
            <w:tcW w:w="1087" w:type="dxa"/>
            <w:noWrap w:val="0"/>
            <w:vAlign w:val="top"/>
          </w:tcPr>
          <w:p w14:paraId="334B7987">
            <w:pPr>
              <w:spacing w:line="360" w:lineRule="auto"/>
              <w:jc w:val="center"/>
              <w:rPr>
                <w:rFonts w:ascii="宋体" w:hAnsi="宋体" w:cs="宋体"/>
                <w:sz w:val="24"/>
              </w:rPr>
            </w:pPr>
          </w:p>
        </w:tc>
      </w:tr>
      <w:tr w14:paraId="09CBA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6884ED8F">
            <w:pPr>
              <w:spacing w:line="360" w:lineRule="auto"/>
              <w:jc w:val="center"/>
              <w:rPr>
                <w:rFonts w:ascii="宋体" w:hAnsi="宋体" w:cs="宋体"/>
                <w:sz w:val="24"/>
              </w:rPr>
            </w:pPr>
          </w:p>
        </w:tc>
        <w:tc>
          <w:tcPr>
            <w:tcW w:w="3266" w:type="dxa"/>
            <w:noWrap w:val="0"/>
            <w:vAlign w:val="top"/>
          </w:tcPr>
          <w:p w14:paraId="7744BE7B">
            <w:pPr>
              <w:spacing w:line="360" w:lineRule="auto"/>
              <w:jc w:val="center"/>
              <w:rPr>
                <w:rFonts w:ascii="宋体" w:hAnsi="宋体" w:cs="宋体"/>
                <w:sz w:val="24"/>
              </w:rPr>
            </w:pPr>
          </w:p>
        </w:tc>
        <w:tc>
          <w:tcPr>
            <w:tcW w:w="3599" w:type="dxa"/>
            <w:noWrap w:val="0"/>
            <w:vAlign w:val="top"/>
          </w:tcPr>
          <w:p w14:paraId="2EBA3178">
            <w:pPr>
              <w:spacing w:line="360" w:lineRule="auto"/>
              <w:jc w:val="center"/>
              <w:rPr>
                <w:rFonts w:ascii="宋体" w:hAnsi="宋体" w:cs="宋体"/>
                <w:sz w:val="24"/>
              </w:rPr>
            </w:pPr>
          </w:p>
        </w:tc>
        <w:tc>
          <w:tcPr>
            <w:tcW w:w="1062" w:type="dxa"/>
            <w:noWrap w:val="0"/>
            <w:vAlign w:val="top"/>
          </w:tcPr>
          <w:p w14:paraId="060B68BF">
            <w:pPr>
              <w:spacing w:line="360" w:lineRule="auto"/>
              <w:jc w:val="center"/>
              <w:rPr>
                <w:rFonts w:ascii="宋体" w:hAnsi="宋体" w:cs="宋体"/>
                <w:sz w:val="24"/>
              </w:rPr>
            </w:pPr>
          </w:p>
        </w:tc>
        <w:tc>
          <w:tcPr>
            <w:tcW w:w="1087" w:type="dxa"/>
            <w:noWrap w:val="0"/>
            <w:vAlign w:val="top"/>
          </w:tcPr>
          <w:p w14:paraId="342F0923">
            <w:pPr>
              <w:spacing w:line="360" w:lineRule="auto"/>
              <w:jc w:val="center"/>
              <w:rPr>
                <w:rFonts w:ascii="宋体" w:hAnsi="宋体" w:cs="宋体"/>
                <w:sz w:val="24"/>
              </w:rPr>
            </w:pPr>
          </w:p>
        </w:tc>
      </w:tr>
      <w:tr w14:paraId="0A1AA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3B403616">
            <w:pPr>
              <w:spacing w:line="360" w:lineRule="auto"/>
              <w:jc w:val="center"/>
              <w:rPr>
                <w:rFonts w:ascii="宋体" w:hAnsi="宋体" w:cs="宋体"/>
                <w:sz w:val="24"/>
              </w:rPr>
            </w:pPr>
          </w:p>
        </w:tc>
        <w:tc>
          <w:tcPr>
            <w:tcW w:w="3266" w:type="dxa"/>
            <w:noWrap w:val="0"/>
            <w:vAlign w:val="top"/>
          </w:tcPr>
          <w:p w14:paraId="459D7B08">
            <w:pPr>
              <w:spacing w:line="360" w:lineRule="auto"/>
              <w:jc w:val="center"/>
              <w:rPr>
                <w:rFonts w:ascii="宋体" w:hAnsi="宋体" w:cs="宋体"/>
                <w:sz w:val="24"/>
              </w:rPr>
            </w:pPr>
          </w:p>
        </w:tc>
        <w:tc>
          <w:tcPr>
            <w:tcW w:w="3599" w:type="dxa"/>
            <w:noWrap w:val="0"/>
            <w:vAlign w:val="top"/>
          </w:tcPr>
          <w:p w14:paraId="249621DC">
            <w:pPr>
              <w:spacing w:line="360" w:lineRule="auto"/>
              <w:jc w:val="center"/>
              <w:rPr>
                <w:rFonts w:ascii="宋体" w:hAnsi="宋体" w:cs="宋体"/>
                <w:sz w:val="24"/>
              </w:rPr>
            </w:pPr>
          </w:p>
        </w:tc>
        <w:tc>
          <w:tcPr>
            <w:tcW w:w="1062" w:type="dxa"/>
            <w:noWrap w:val="0"/>
            <w:vAlign w:val="top"/>
          </w:tcPr>
          <w:p w14:paraId="62BA64C6">
            <w:pPr>
              <w:spacing w:line="360" w:lineRule="auto"/>
              <w:jc w:val="center"/>
              <w:rPr>
                <w:rFonts w:ascii="宋体" w:hAnsi="宋体" w:cs="宋体"/>
                <w:sz w:val="24"/>
              </w:rPr>
            </w:pPr>
          </w:p>
        </w:tc>
        <w:tc>
          <w:tcPr>
            <w:tcW w:w="1087" w:type="dxa"/>
            <w:noWrap w:val="0"/>
            <w:vAlign w:val="top"/>
          </w:tcPr>
          <w:p w14:paraId="36ADB69E">
            <w:pPr>
              <w:spacing w:line="360" w:lineRule="auto"/>
              <w:jc w:val="center"/>
              <w:rPr>
                <w:rFonts w:ascii="宋体" w:hAnsi="宋体" w:cs="宋体"/>
                <w:sz w:val="24"/>
              </w:rPr>
            </w:pPr>
          </w:p>
        </w:tc>
      </w:tr>
      <w:tr w14:paraId="6D6C0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04FC7DC5">
            <w:pPr>
              <w:spacing w:line="360" w:lineRule="auto"/>
              <w:jc w:val="center"/>
              <w:rPr>
                <w:rFonts w:ascii="宋体" w:hAnsi="宋体" w:cs="宋体"/>
                <w:sz w:val="24"/>
              </w:rPr>
            </w:pPr>
          </w:p>
        </w:tc>
        <w:tc>
          <w:tcPr>
            <w:tcW w:w="3266" w:type="dxa"/>
            <w:noWrap w:val="0"/>
            <w:vAlign w:val="top"/>
          </w:tcPr>
          <w:p w14:paraId="5099C184">
            <w:pPr>
              <w:spacing w:line="360" w:lineRule="auto"/>
              <w:jc w:val="center"/>
              <w:rPr>
                <w:rFonts w:ascii="宋体" w:hAnsi="宋体" w:cs="宋体"/>
                <w:sz w:val="24"/>
              </w:rPr>
            </w:pPr>
          </w:p>
        </w:tc>
        <w:tc>
          <w:tcPr>
            <w:tcW w:w="3599" w:type="dxa"/>
            <w:noWrap w:val="0"/>
            <w:vAlign w:val="top"/>
          </w:tcPr>
          <w:p w14:paraId="2489EDF8">
            <w:pPr>
              <w:spacing w:line="360" w:lineRule="auto"/>
              <w:jc w:val="center"/>
              <w:rPr>
                <w:rFonts w:ascii="宋体" w:hAnsi="宋体" w:cs="宋体"/>
                <w:sz w:val="24"/>
              </w:rPr>
            </w:pPr>
          </w:p>
        </w:tc>
        <w:tc>
          <w:tcPr>
            <w:tcW w:w="1062" w:type="dxa"/>
            <w:noWrap w:val="0"/>
            <w:vAlign w:val="top"/>
          </w:tcPr>
          <w:p w14:paraId="69B21807">
            <w:pPr>
              <w:spacing w:line="360" w:lineRule="auto"/>
              <w:jc w:val="center"/>
              <w:rPr>
                <w:rFonts w:ascii="宋体" w:hAnsi="宋体" w:cs="宋体"/>
                <w:sz w:val="24"/>
              </w:rPr>
            </w:pPr>
          </w:p>
        </w:tc>
        <w:tc>
          <w:tcPr>
            <w:tcW w:w="1087" w:type="dxa"/>
            <w:noWrap w:val="0"/>
            <w:vAlign w:val="top"/>
          </w:tcPr>
          <w:p w14:paraId="6EEEEE50">
            <w:pPr>
              <w:spacing w:line="360" w:lineRule="auto"/>
              <w:jc w:val="center"/>
              <w:rPr>
                <w:rFonts w:ascii="宋体" w:hAnsi="宋体" w:cs="宋体"/>
                <w:sz w:val="24"/>
              </w:rPr>
            </w:pPr>
          </w:p>
        </w:tc>
      </w:tr>
      <w:tr w14:paraId="05DB2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556C8DF8">
            <w:pPr>
              <w:spacing w:line="360" w:lineRule="auto"/>
              <w:jc w:val="center"/>
              <w:rPr>
                <w:rFonts w:ascii="宋体" w:hAnsi="宋体" w:cs="宋体"/>
                <w:sz w:val="24"/>
              </w:rPr>
            </w:pPr>
          </w:p>
        </w:tc>
        <w:tc>
          <w:tcPr>
            <w:tcW w:w="3266" w:type="dxa"/>
            <w:noWrap w:val="0"/>
            <w:vAlign w:val="top"/>
          </w:tcPr>
          <w:p w14:paraId="2C4CCAE2">
            <w:pPr>
              <w:spacing w:line="360" w:lineRule="auto"/>
              <w:jc w:val="center"/>
              <w:rPr>
                <w:rFonts w:ascii="宋体" w:hAnsi="宋体" w:cs="宋体"/>
                <w:sz w:val="24"/>
              </w:rPr>
            </w:pPr>
          </w:p>
        </w:tc>
        <w:tc>
          <w:tcPr>
            <w:tcW w:w="3599" w:type="dxa"/>
            <w:noWrap w:val="0"/>
            <w:vAlign w:val="top"/>
          </w:tcPr>
          <w:p w14:paraId="234FD4F4">
            <w:pPr>
              <w:spacing w:line="360" w:lineRule="auto"/>
              <w:jc w:val="center"/>
              <w:rPr>
                <w:rFonts w:ascii="宋体" w:hAnsi="宋体" w:cs="宋体"/>
                <w:sz w:val="24"/>
              </w:rPr>
            </w:pPr>
          </w:p>
        </w:tc>
        <w:tc>
          <w:tcPr>
            <w:tcW w:w="1062" w:type="dxa"/>
            <w:noWrap w:val="0"/>
            <w:vAlign w:val="top"/>
          </w:tcPr>
          <w:p w14:paraId="260D4295">
            <w:pPr>
              <w:spacing w:line="360" w:lineRule="auto"/>
              <w:jc w:val="center"/>
              <w:rPr>
                <w:rFonts w:ascii="宋体" w:hAnsi="宋体" w:cs="宋体"/>
                <w:sz w:val="24"/>
              </w:rPr>
            </w:pPr>
          </w:p>
        </w:tc>
        <w:tc>
          <w:tcPr>
            <w:tcW w:w="1087" w:type="dxa"/>
            <w:noWrap w:val="0"/>
            <w:vAlign w:val="top"/>
          </w:tcPr>
          <w:p w14:paraId="698D40A1">
            <w:pPr>
              <w:spacing w:line="360" w:lineRule="auto"/>
              <w:jc w:val="center"/>
              <w:rPr>
                <w:rFonts w:ascii="宋体" w:hAnsi="宋体" w:cs="宋体"/>
                <w:sz w:val="24"/>
              </w:rPr>
            </w:pPr>
          </w:p>
        </w:tc>
      </w:tr>
      <w:tr w14:paraId="5EB21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37" w:hRule="atLeast"/>
          <w:jc w:val="center"/>
        </w:trPr>
        <w:tc>
          <w:tcPr>
            <w:tcW w:w="836" w:type="dxa"/>
            <w:noWrap w:val="0"/>
            <w:vAlign w:val="top"/>
          </w:tcPr>
          <w:p w14:paraId="1A249F25">
            <w:pPr>
              <w:spacing w:line="360" w:lineRule="auto"/>
              <w:jc w:val="center"/>
              <w:rPr>
                <w:rFonts w:ascii="宋体" w:hAnsi="宋体" w:cs="宋体"/>
                <w:sz w:val="24"/>
              </w:rPr>
            </w:pPr>
          </w:p>
        </w:tc>
        <w:tc>
          <w:tcPr>
            <w:tcW w:w="3266" w:type="dxa"/>
            <w:noWrap w:val="0"/>
            <w:vAlign w:val="top"/>
          </w:tcPr>
          <w:p w14:paraId="4B453240">
            <w:pPr>
              <w:spacing w:line="360" w:lineRule="auto"/>
              <w:jc w:val="center"/>
              <w:rPr>
                <w:rFonts w:ascii="宋体" w:hAnsi="宋体" w:cs="宋体"/>
                <w:sz w:val="24"/>
              </w:rPr>
            </w:pPr>
          </w:p>
        </w:tc>
        <w:tc>
          <w:tcPr>
            <w:tcW w:w="3599" w:type="dxa"/>
            <w:noWrap w:val="0"/>
            <w:vAlign w:val="top"/>
          </w:tcPr>
          <w:p w14:paraId="0BB534AD">
            <w:pPr>
              <w:spacing w:line="360" w:lineRule="auto"/>
              <w:jc w:val="center"/>
              <w:rPr>
                <w:rFonts w:ascii="宋体" w:hAnsi="宋体" w:cs="宋体"/>
                <w:sz w:val="24"/>
              </w:rPr>
            </w:pPr>
          </w:p>
        </w:tc>
        <w:tc>
          <w:tcPr>
            <w:tcW w:w="1062" w:type="dxa"/>
            <w:noWrap w:val="0"/>
            <w:vAlign w:val="top"/>
          </w:tcPr>
          <w:p w14:paraId="65F57988">
            <w:pPr>
              <w:spacing w:line="360" w:lineRule="auto"/>
              <w:jc w:val="center"/>
              <w:rPr>
                <w:rFonts w:ascii="宋体" w:hAnsi="宋体" w:cs="宋体"/>
                <w:sz w:val="24"/>
              </w:rPr>
            </w:pPr>
          </w:p>
        </w:tc>
        <w:tc>
          <w:tcPr>
            <w:tcW w:w="1087" w:type="dxa"/>
            <w:noWrap w:val="0"/>
            <w:vAlign w:val="top"/>
          </w:tcPr>
          <w:p w14:paraId="3D1A73D2">
            <w:pPr>
              <w:spacing w:line="360" w:lineRule="auto"/>
              <w:jc w:val="center"/>
              <w:rPr>
                <w:rFonts w:ascii="宋体" w:hAnsi="宋体" w:cs="宋体"/>
                <w:sz w:val="24"/>
              </w:rPr>
            </w:pPr>
          </w:p>
        </w:tc>
      </w:tr>
    </w:tbl>
    <w:p w14:paraId="2B80EAB9">
      <w:pPr>
        <w:adjustRightInd w:val="0"/>
        <w:snapToGrid w:val="0"/>
        <w:spacing w:line="360" w:lineRule="auto"/>
        <w:rPr>
          <w:rFonts w:ascii="宋体" w:hAnsi="宋体" w:cs="宋体"/>
          <w:sz w:val="24"/>
        </w:rPr>
      </w:pPr>
      <w:r>
        <w:rPr>
          <w:rFonts w:hint="eastAsia" w:ascii="宋体" w:hAnsi="宋体" w:cs="宋体"/>
          <w:sz w:val="24"/>
        </w:rPr>
        <w:t xml:space="preserve"> </w:t>
      </w:r>
      <w:r>
        <w:rPr>
          <w:rFonts w:hint="eastAsia" w:ascii="宋体" w:hAnsi="宋体" w:cs="宋体"/>
          <w:sz w:val="24"/>
          <w:szCs w:val="24"/>
        </w:rPr>
        <w:t>说明：</w:t>
      </w:r>
      <w:r>
        <w:rPr>
          <w:rFonts w:hint="eastAsia" w:ascii="宋体" w:hAnsi="宋体" w:cs="宋体"/>
          <w:sz w:val="24"/>
        </w:rPr>
        <w:t>投标文件根据竞争性谈判文件商务要求须如实填写。</w:t>
      </w:r>
    </w:p>
    <w:p w14:paraId="2A1D074B">
      <w:pPr>
        <w:pStyle w:val="6"/>
        <w:ind w:left="630" w:leftChars="300"/>
      </w:pPr>
    </w:p>
    <w:p w14:paraId="17548069">
      <w:pPr>
        <w:spacing w:line="360" w:lineRule="auto"/>
        <w:ind w:right="-161" w:firstLine="2640" w:firstLineChars="1100"/>
        <w:rPr>
          <w:rFonts w:ascii="宋体" w:hAnsi="宋体" w:cs="宋体"/>
          <w:sz w:val="24"/>
          <w:szCs w:val="24"/>
          <w:u w:val="single"/>
        </w:rPr>
      </w:pPr>
      <w:r>
        <w:rPr>
          <w:rFonts w:hint="eastAsia" w:ascii="宋体" w:hAnsi="宋体" w:cs="宋体"/>
          <w:sz w:val="24"/>
          <w:szCs w:val="24"/>
        </w:rPr>
        <w:t>法定代表人或被授权代表（签字或盖章）：</w:t>
      </w:r>
      <w:r>
        <w:rPr>
          <w:rFonts w:hint="eastAsia" w:ascii="宋体" w:hAnsi="宋体" w:cs="宋体"/>
          <w:sz w:val="24"/>
          <w:szCs w:val="24"/>
          <w:u w:val="single"/>
        </w:rPr>
        <w:t xml:space="preserve">                          </w:t>
      </w:r>
    </w:p>
    <w:p w14:paraId="3A74B8CB">
      <w:pPr>
        <w:spacing w:line="360" w:lineRule="auto"/>
        <w:ind w:right="-161" w:firstLine="2640" w:firstLineChars="1100"/>
        <w:rPr>
          <w:rFonts w:ascii="宋体" w:hAnsi="宋体" w:cs="宋体"/>
          <w:sz w:val="24"/>
          <w:szCs w:val="24"/>
        </w:rPr>
      </w:pPr>
      <w:r>
        <w:rPr>
          <w:rFonts w:hint="eastAsia" w:ascii="宋体" w:hAnsi="宋体" w:cs="宋体"/>
          <w:sz w:val="24"/>
          <w:szCs w:val="24"/>
        </w:rPr>
        <w:t>供    应    商 （公   章）：</w:t>
      </w:r>
      <w:r>
        <w:rPr>
          <w:rFonts w:hint="eastAsia" w:ascii="宋体" w:hAnsi="宋体" w:cs="宋体"/>
          <w:sz w:val="24"/>
          <w:szCs w:val="24"/>
          <w:u w:val="single"/>
        </w:rPr>
        <w:t xml:space="preserve">                          </w:t>
      </w:r>
      <w:r>
        <w:rPr>
          <w:rFonts w:hint="eastAsia" w:ascii="宋体" w:hAnsi="宋体" w:cs="宋体"/>
          <w:sz w:val="24"/>
          <w:szCs w:val="24"/>
        </w:rPr>
        <w:t xml:space="preserve">              </w:t>
      </w:r>
    </w:p>
    <w:p w14:paraId="083E9134">
      <w:pPr>
        <w:spacing w:line="360" w:lineRule="auto"/>
        <w:ind w:right="-161" w:firstLine="2640" w:firstLineChars="1100"/>
        <w:rPr>
          <w:rFonts w:ascii="宋体" w:hAnsi="宋体" w:cs="仿宋_GB2312"/>
          <w:b/>
          <w:szCs w:val="32"/>
        </w:rPr>
      </w:pPr>
      <w:r>
        <w:rPr>
          <w:rFonts w:hint="eastAsia" w:ascii="宋体" w:hAnsi="宋体" w:cs="宋体"/>
          <w:sz w:val="24"/>
          <w:szCs w:val="24"/>
        </w:rPr>
        <w:t>日                      期：</w:t>
      </w:r>
      <w:r>
        <w:rPr>
          <w:rFonts w:hint="eastAsia" w:ascii="宋体" w:hAnsi="宋体" w:cs="宋体"/>
          <w:sz w:val="24"/>
          <w:szCs w:val="24"/>
          <w:u w:val="single"/>
        </w:rPr>
        <w:t xml:space="preserve">                          </w:t>
      </w:r>
      <w:r>
        <w:rPr>
          <w:rFonts w:hint="eastAsia" w:ascii="宋体" w:hAnsi="宋体" w:cs="宋体"/>
          <w:sz w:val="24"/>
          <w:szCs w:val="24"/>
        </w:rPr>
        <w:t xml:space="preserve"> </w:t>
      </w:r>
      <w:bookmarkStart w:id="547" w:name="_Toc311415661"/>
      <w:bookmarkStart w:id="548" w:name="_Toc347478750"/>
      <w:bookmarkStart w:id="549" w:name="_Toc312789407"/>
      <w:bookmarkStart w:id="550" w:name="_Toc283240500"/>
      <w:bookmarkStart w:id="551" w:name="_Toc334522295"/>
      <w:bookmarkStart w:id="552" w:name="_Toc462325845"/>
      <w:bookmarkStart w:id="553" w:name="_Toc27600"/>
    </w:p>
    <w:bookmarkEnd w:id="547"/>
    <w:bookmarkEnd w:id="548"/>
    <w:bookmarkEnd w:id="549"/>
    <w:bookmarkEnd w:id="550"/>
    <w:bookmarkEnd w:id="551"/>
    <w:bookmarkEnd w:id="552"/>
    <w:bookmarkEnd w:id="553"/>
    <w:p w14:paraId="1F0181C1">
      <w:pPr>
        <w:jc w:val="center"/>
        <w:rPr>
          <w:rFonts w:ascii="宋体" w:hAnsi="宋体" w:cs="宋体"/>
          <w:b/>
          <w:sz w:val="32"/>
          <w:szCs w:val="32"/>
        </w:rPr>
        <w:sectPr>
          <w:pgSz w:w="11906" w:h="16838"/>
          <w:pgMar w:top="1121" w:right="1418" w:bottom="417" w:left="1418" w:header="720" w:footer="720" w:gutter="0"/>
          <w:cols w:space="720" w:num="1"/>
          <w:titlePg/>
          <w:docGrid w:type="lines" w:linePitch="312" w:charSpace="0"/>
        </w:sectPr>
      </w:pPr>
      <w:bookmarkStart w:id="554" w:name="_Toc10068"/>
      <w:bookmarkStart w:id="555" w:name="_Toc6233"/>
      <w:bookmarkStart w:id="556" w:name="_Toc14667"/>
      <w:bookmarkStart w:id="557" w:name="_Toc312789405"/>
      <w:bookmarkStart w:id="558" w:name="_Toc462325843"/>
      <w:bookmarkStart w:id="559" w:name="_Toc334522293"/>
      <w:bookmarkStart w:id="560" w:name="_Toc347478748"/>
      <w:bookmarkStart w:id="561" w:name="_Toc311415659"/>
      <w:bookmarkStart w:id="562" w:name="_Toc283240498"/>
      <w:bookmarkStart w:id="563" w:name="_Toc16127"/>
    </w:p>
    <w:p w14:paraId="0DE352CC">
      <w:pPr>
        <w:pStyle w:val="3"/>
        <w:spacing w:line="240" w:lineRule="auto"/>
        <w:jc w:val="center"/>
        <w:rPr>
          <w:rFonts w:hint="eastAsia" w:ascii="宋体" w:hAnsi="宋体" w:eastAsia="宋体" w:cs="宋体"/>
          <w:color w:val="auto"/>
        </w:rPr>
      </w:pPr>
      <w:bookmarkStart w:id="564" w:name="_Toc18036"/>
      <w:bookmarkStart w:id="565" w:name="_Toc26096"/>
      <w:r>
        <w:rPr>
          <w:rFonts w:hint="eastAsia" w:ascii="宋体" w:hAnsi="宋体" w:eastAsia="宋体" w:cs="宋体"/>
          <w:color w:val="auto"/>
          <w:lang w:val="en-US" w:eastAsia="zh-CN"/>
        </w:rPr>
        <w:t>9</w:t>
      </w:r>
      <w:r>
        <w:rPr>
          <w:rFonts w:hint="eastAsia" w:ascii="宋体" w:hAnsi="宋体" w:eastAsia="宋体" w:cs="宋体"/>
          <w:color w:val="auto"/>
        </w:rPr>
        <w:t>.2规格技术参数偏离表</w:t>
      </w:r>
    </w:p>
    <w:p w14:paraId="571FA8CD">
      <w:pPr>
        <w:spacing w:line="360" w:lineRule="auto"/>
        <w:rPr>
          <w:rFonts w:hint="eastAsia" w:ascii="宋体" w:hAnsi="宋体" w:cs="宋体"/>
          <w:color w:val="auto"/>
          <w:sz w:val="24"/>
          <w:szCs w:val="24"/>
        </w:rPr>
      </w:pPr>
      <w:r>
        <w:rPr>
          <w:rFonts w:hint="eastAsia" w:ascii="宋体" w:hAnsi="宋体" w:cs="宋体"/>
          <w:color w:val="auto"/>
          <w:sz w:val="24"/>
          <w:szCs w:val="24"/>
        </w:rPr>
        <w:t>供应商名称：</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采购项目编号：</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w:t>
      </w:r>
    </w:p>
    <w:tbl>
      <w:tblPr>
        <w:tblStyle w:val="17"/>
        <w:tblW w:w="88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3553"/>
        <w:gridCol w:w="1862"/>
        <w:gridCol w:w="1550"/>
        <w:gridCol w:w="1900"/>
      </w:tblGrid>
      <w:tr w14:paraId="43946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3553" w:type="dxa"/>
            <w:noWrap w:val="0"/>
            <w:vAlign w:val="center"/>
          </w:tcPr>
          <w:p w14:paraId="14D48722">
            <w:pPr>
              <w:spacing w:line="360" w:lineRule="auto"/>
              <w:jc w:val="center"/>
              <w:rPr>
                <w:rFonts w:hint="eastAsia" w:ascii="宋体" w:hAnsi="宋体" w:cs="宋体"/>
                <w:b/>
                <w:bCs/>
                <w:color w:val="auto"/>
                <w:sz w:val="24"/>
                <w:szCs w:val="24"/>
              </w:rPr>
            </w:pPr>
            <w:r>
              <w:rPr>
                <w:rFonts w:hint="eastAsia" w:ascii="宋体" w:hAnsi="宋体" w:cs="宋体"/>
                <w:b/>
                <w:bCs/>
                <w:color w:val="auto"/>
                <w:sz w:val="24"/>
                <w:szCs w:val="24"/>
              </w:rPr>
              <w:t>采购需求</w:t>
            </w:r>
          </w:p>
        </w:tc>
        <w:tc>
          <w:tcPr>
            <w:tcW w:w="1862" w:type="dxa"/>
            <w:noWrap w:val="0"/>
            <w:vAlign w:val="center"/>
          </w:tcPr>
          <w:p w14:paraId="1339F6DC">
            <w:pPr>
              <w:spacing w:line="360" w:lineRule="auto"/>
              <w:jc w:val="center"/>
              <w:rPr>
                <w:rFonts w:hint="eastAsia" w:ascii="宋体" w:hAnsi="宋体" w:cs="宋体"/>
                <w:b/>
                <w:bCs/>
                <w:color w:val="auto"/>
                <w:sz w:val="24"/>
                <w:szCs w:val="24"/>
              </w:rPr>
            </w:pPr>
            <w:r>
              <w:rPr>
                <w:rFonts w:hint="eastAsia" w:ascii="宋体" w:hAnsi="宋体" w:cs="宋体"/>
                <w:b/>
                <w:bCs/>
                <w:color w:val="auto"/>
                <w:sz w:val="24"/>
                <w:szCs w:val="24"/>
              </w:rPr>
              <w:t>投标响应</w:t>
            </w:r>
          </w:p>
        </w:tc>
        <w:tc>
          <w:tcPr>
            <w:tcW w:w="1550" w:type="dxa"/>
            <w:noWrap w:val="0"/>
            <w:vAlign w:val="center"/>
          </w:tcPr>
          <w:p w14:paraId="0F339A13">
            <w:pPr>
              <w:spacing w:line="360" w:lineRule="auto"/>
              <w:jc w:val="center"/>
              <w:rPr>
                <w:rFonts w:hint="eastAsia" w:ascii="宋体" w:hAnsi="宋体" w:cs="宋体"/>
                <w:b/>
                <w:bCs/>
                <w:color w:val="auto"/>
                <w:sz w:val="24"/>
                <w:szCs w:val="24"/>
              </w:rPr>
            </w:pPr>
            <w:r>
              <w:rPr>
                <w:rFonts w:hint="eastAsia" w:ascii="宋体" w:hAnsi="宋体" w:cs="宋体"/>
                <w:b/>
                <w:bCs/>
                <w:color w:val="auto"/>
                <w:sz w:val="24"/>
                <w:szCs w:val="24"/>
              </w:rPr>
              <w:t>偏离情况</w:t>
            </w:r>
          </w:p>
        </w:tc>
        <w:tc>
          <w:tcPr>
            <w:tcW w:w="1900" w:type="dxa"/>
            <w:noWrap w:val="0"/>
            <w:vAlign w:val="center"/>
          </w:tcPr>
          <w:p w14:paraId="7740B4C3">
            <w:pPr>
              <w:spacing w:line="360" w:lineRule="auto"/>
              <w:jc w:val="center"/>
              <w:rPr>
                <w:rFonts w:hint="eastAsia" w:ascii="宋体" w:hAnsi="宋体" w:cs="宋体"/>
                <w:b/>
                <w:bCs/>
                <w:color w:val="auto"/>
                <w:sz w:val="24"/>
                <w:szCs w:val="24"/>
              </w:rPr>
            </w:pPr>
            <w:r>
              <w:rPr>
                <w:rFonts w:hint="eastAsia" w:ascii="宋体" w:hAnsi="宋体" w:cs="宋体"/>
                <w:b/>
                <w:bCs/>
                <w:color w:val="auto"/>
                <w:sz w:val="24"/>
                <w:szCs w:val="24"/>
              </w:rPr>
              <w:t>偏离说明</w:t>
            </w:r>
          </w:p>
        </w:tc>
      </w:tr>
      <w:tr w14:paraId="1E8BC5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3553" w:type="dxa"/>
            <w:noWrap w:val="0"/>
            <w:vAlign w:val="center"/>
          </w:tcPr>
          <w:p w14:paraId="119AE321">
            <w:pPr>
              <w:spacing w:line="360" w:lineRule="auto"/>
              <w:jc w:val="center"/>
              <w:rPr>
                <w:rFonts w:hint="eastAsia" w:ascii="宋体" w:hAnsi="宋体" w:cs="宋体"/>
                <w:color w:val="auto"/>
                <w:sz w:val="24"/>
                <w:szCs w:val="24"/>
              </w:rPr>
            </w:pPr>
          </w:p>
        </w:tc>
        <w:tc>
          <w:tcPr>
            <w:tcW w:w="1862" w:type="dxa"/>
            <w:noWrap w:val="0"/>
            <w:vAlign w:val="center"/>
          </w:tcPr>
          <w:p w14:paraId="1EDAADE1">
            <w:pPr>
              <w:spacing w:line="360" w:lineRule="auto"/>
              <w:jc w:val="center"/>
              <w:rPr>
                <w:rFonts w:hint="eastAsia" w:ascii="宋体" w:hAnsi="宋体" w:cs="宋体"/>
                <w:color w:val="auto"/>
                <w:sz w:val="24"/>
                <w:szCs w:val="24"/>
              </w:rPr>
            </w:pPr>
          </w:p>
        </w:tc>
        <w:tc>
          <w:tcPr>
            <w:tcW w:w="1550" w:type="dxa"/>
            <w:noWrap w:val="0"/>
            <w:vAlign w:val="center"/>
          </w:tcPr>
          <w:p w14:paraId="39303077">
            <w:pPr>
              <w:spacing w:line="360" w:lineRule="auto"/>
              <w:jc w:val="center"/>
              <w:rPr>
                <w:rFonts w:hint="eastAsia" w:ascii="宋体" w:hAnsi="宋体" w:cs="宋体"/>
                <w:color w:val="auto"/>
                <w:sz w:val="24"/>
                <w:szCs w:val="24"/>
              </w:rPr>
            </w:pPr>
          </w:p>
        </w:tc>
        <w:tc>
          <w:tcPr>
            <w:tcW w:w="1900" w:type="dxa"/>
            <w:noWrap w:val="0"/>
            <w:vAlign w:val="center"/>
          </w:tcPr>
          <w:p w14:paraId="6EA0DF7D">
            <w:pPr>
              <w:spacing w:line="360" w:lineRule="auto"/>
              <w:jc w:val="center"/>
              <w:rPr>
                <w:rFonts w:hint="eastAsia" w:ascii="宋体" w:hAnsi="宋体" w:cs="宋体"/>
                <w:color w:val="auto"/>
                <w:sz w:val="24"/>
                <w:szCs w:val="24"/>
              </w:rPr>
            </w:pPr>
          </w:p>
        </w:tc>
      </w:tr>
      <w:tr w14:paraId="362BF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3553" w:type="dxa"/>
            <w:noWrap w:val="0"/>
            <w:vAlign w:val="center"/>
          </w:tcPr>
          <w:p w14:paraId="7059ADE1">
            <w:pPr>
              <w:spacing w:line="360" w:lineRule="auto"/>
              <w:jc w:val="center"/>
              <w:rPr>
                <w:rFonts w:hint="eastAsia" w:ascii="宋体" w:hAnsi="宋体" w:cs="宋体"/>
                <w:color w:val="auto"/>
                <w:sz w:val="24"/>
                <w:szCs w:val="24"/>
              </w:rPr>
            </w:pPr>
          </w:p>
        </w:tc>
        <w:tc>
          <w:tcPr>
            <w:tcW w:w="1862" w:type="dxa"/>
            <w:noWrap w:val="0"/>
            <w:vAlign w:val="center"/>
          </w:tcPr>
          <w:p w14:paraId="3E7957C7">
            <w:pPr>
              <w:spacing w:line="360" w:lineRule="auto"/>
              <w:jc w:val="center"/>
              <w:rPr>
                <w:rFonts w:hint="eastAsia" w:ascii="宋体" w:hAnsi="宋体" w:cs="宋体"/>
                <w:color w:val="auto"/>
                <w:sz w:val="24"/>
                <w:szCs w:val="24"/>
              </w:rPr>
            </w:pPr>
          </w:p>
        </w:tc>
        <w:tc>
          <w:tcPr>
            <w:tcW w:w="1550" w:type="dxa"/>
            <w:noWrap w:val="0"/>
            <w:vAlign w:val="center"/>
          </w:tcPr>
          <w:p w14:paraId="7FDA4A56">
            <w:pPr>
              <w:spacing w:line="360" w:lineRule="auto"/>
              <w:jc w:val="center"/>
              <w:rPr>
                <w:rFonts w:hint="eastAsia" w:ascii="宋体" w:hAnsi="宋体" w:cs="宋体"/>
                <w:color w:val="auto"/>
                <w:sz w:val="24"/>
                <w:szCs w:val="24"/>
              </w:rPr>
            </w:pPr>
          </w:p>
        </w:tc>
        <w:tc>
          <w:tcPr>
            <w:tcW w:w="1900" w:type="dxa"/>
            <w:noWrap w:val="0"/>
            <w:vAlign w:val="center"/>
          </w:tcPr>
          <w:p w14:paraId="06D9B920">
            <w:pPr>
              <w:spacing w:line="360" w:lineRule="auto"/>
              <w:jc w:val="center"/>
              <w:rPr>
                <w:rFonts w:hint="eastAsia" w:ascii="宋体" w:hAnsi="宋体" w:cs="宋体"/>
                <w:color w:val="auto"/>
                <w:sz w:val="24"/>
                <w:szCs w:val="24"/>
              </w:rPr>
            </w:pPr>
          </w:p>
        </w:tc>
      </w:tr>
      <w:tr w14:paraId="72903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3553" w:type="dxa"/>
            <w:noWrap w:val="0"/>
            <w:vAlign w:val="center"/>
          </w:tcPr>
          <w:p w14:paraId="21CFFA20">
            <w:pPr>
              <w:spacing w:line="360" w:lineRule="auto"/>
              <w:jc w:val="center"/>
              <w:rPr>
                <w:rFonts w:hint="eastAsia" w:ascii="宋体" w:hAnsi="宋体" w:cs="宋体"/>
                <w:color w:val="auto"/>
                <w:sz w:val="24"/>
                <w:szCs w:val="24"/>
              </w:rPr>
            </w:pPr>
          </w:p>
        </w:tc>
        <w:tc>
          <w:tcPr>
            <w:tcW w:w="1862" w:type="dxa"/>
            <w:noWrap w:val="0"/>
            <w:vAlign w:val="center"/>
          </w:tcPr>
          <w:p w14:paraId="21330292">
            <w:pPr>
              <w:spacing w:line="360" w:lineRule="auto"/>
              <w:jc w:val="center"/>
              <w:rPr>
                <w:rFonts w:hint="eastAsia" w:ascii="宋体" w:hAnsi="宋体" w:cs="宋体"/>
                <w:color w:val="auto"/>
                <w:sz w:val="24"/>
                <w:szCs w:val="24"/>
              </w:rPr>
            </w:pPr>
          </w:p>
        </w:tc>
        <w:tc>
          <w:tcPr>
            <w:tcW w:w="1550" w:type="dxa"/>
            <w:noWrap w:val="0"/>
            <w:vAlign w:val="center"/>
          </w:tcPr>
          <w:p w14:paraId="2F44EA56">
            <w:pPr>
              <w:spacing w:line="360" w:lineRule="auto"/>
              <w:jc w:val="center"/>
              <w:rPr>
                <w:rFonts w:hint="eastAsia" w:ascii="宋体" w:hAnsi="宋体" w:cs="宋体"/>
                <w:color w:val="auto"/>
                <w:sz w:val="24"/>
                <w:szCs w:val="24"/>
              </w:rPr>
            </w:pPr>
          </w:p>
        </w:tc>
        <w:tc>
          <w:tcPr>
            <w:tcW w:w="1900" w:type="dxa"/>
            <w:noWrap w:val="0"/>
            <w:vAlign w:val="center"/>
          </w:tcPr>
          <w:p w14:paraId="06A3A092">
            <w:pPr>
              <w:spacing w:line="360" w:lineRule="auto"/>
              <w:jc w:val="center"/>
              <w:rPr>
                <w:rFonts w:hint="eastAsia" w:ascii="宋体" w:hAnsi="宋体" w:cs="宋体"/>
                <w:color w:val="auto"/>
                <w:sz w:val="24"/>
                <w:szCs w:val="24"/>
              </w:rPr>
            </w:pPr>
          </w:p>
        </w:tc>
      </w:tr>
      <w:tr w14:paraId="53332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3553" w:type="dxa"/>
            <w:noWrap w:val="0"/>
            <w:vAlign w:val="center"/>
          </w:tcPr>
          <w:p w14:paraId="08B5E84B">
            <w:pPr>
              <w:spacing w:line="360" w:lineRule="auto"/>
              <w:jc w:val="center"/>
              <w:rPr>
                <w:rFonts w:hint="eastAsia" w:ascii="宋体" w:hAnsi="宋体" w:cs="宋体"/>
                <w:color w:val="auto"/>
                <w:sz w:val="24"/>
                <w:szCs w:val="24"/>
              </w:rPr>
            </w:pPr>
          </w:p>
        </w:tc>
        <w:tc>
          <w:tcPr>
            <w:tcW w:w="1862" w:type="dxa"/>
            <w:noWrap w:val="0"/>
            <w:vAlign w:val="center"/>
          </w:tcPr>
          <w:p w14:paraId="29594201">
            <w:pPr>
              <w:spacing w:line="360" w:lineRule="auto"/>
              <w:jc w:val="center"/>
              <w:rPr>
                <w:rFonts w:hint="eastAsia" w:ascii="宋体" w:hAnsi="宋体" w:cs="宋体"/>
                <w:color w:val="auto"/>
                <w:sz w:val="24"/>
                <w:szCs w:val="24"/>
              </w:rPr>
            </w:pPr>
          </w:p>
        </w:tc>
        <w:tc>
          <w:tcPr>
            <w:tcW w:w="1550" w:type="dxa"/>
            <w:noWrap w:val="0"/>
            <w:vAlign w:val="center"/>
          </w:tcPr>
          <w:p w14:paraId="12E32A7A">
            <w:pPr>
              <w:spacing w:line="360" w:lineRule="auto"/>
              <w:jc w:val="center"/>
              <w:rPr>
                <w:rFonts w:hint="eastAsia" w:ascii="宋体" w:hAnsi="宋体" w:cs="宋体"/>
                <w:color w:val="auto"/>
                <w:sz w:val="24"/>
                <w:szCs w:val="24"/>
              </w:rPr>
            </w:pPr>
          </w:p>
        </w:tc>
        <w:tc>
          <w:tcPr>
            <w:tcW w:w="1900" w:type="dxa"/>
            <w:noWrap w:val="0"/>
            <w:vAlign w:val="center"/>
          </w:tcPr>
          <w:p w14:paraId="6E38A3D5">
            <w:pPr>
              <w:spacing w:line="360" w:lineRule="auto"/>
              <w:jc w:val="center"/>
              <w:rPr>
                <w:rFonts w:hint="eastAsia" w:ascii="宋体" w:hAnsi="宋体" w:cs="宋体"/>
                <w:color w:val="auto"/>
                <w:sz w:val="24"/>
                <w:szCs w:val="24"/>
              </w:rPr>
            </w:pPr>
          </w:p>
        </w:tc>
      </w:tr>
      <w:tr w14:paraId="0CDC3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3553" w:type="dxa"/>
            <w:noWrap w:val="0"/>
            <w:vAlign w:val="center"/>
          </w:tcPr>
          <w:p w14:paraId="60273FC0">
            <w:pPr>
              <w:spacing w:line="360" w:lineRule="auto"/>
              <w:jc w:val="center"/>
              <w:rPr>
                <w:rFonts w:hint="eastAsia" w:ascii="宋体" w:hAnsi="宋体" w:cs="宋体"/>
                <w:color w:val="auto"/>
                <w:sz w:val="24"/>
                <w:szCs w:val="24"/>
              </w:rPr>
            </w:pPr>
          </w:p>
        </w:tc>
        <w:tc>
          <w:tcPr>
            <w:tcW w:w="1862" w:type="dxa"/>
            <w:noWrap w:val="0"/>
            <w:vAlign w:val="center"/>
          </w:tcPr>
          <w:p w14:paraId="30947FC4">
            <w:pPr>
              <w:spacing w:line="360" w:lineRule="auto"/>
              <w:jc w:val="center"/>
              <w:rPr>
                <w:rFonts w:hint="eastAsia" w:ascii="宋体" w:hAnsi="宋体" w:cs="宋体"/>
                <w:color w:val="auto"/>
                <w:sz w:val="24"/>
                <w:szCs w:val="24"/>
              </w:rPr>
            </w:pPr>
          </w:p>
        </w:tc>
        <w:tc>
          <w:tcPr>
            <w:tcW w:w="1550" w:type="dxa"/>
            <w:noWrap w:val="0"/>
            <w:vAlign w:val="center"/>
          </w:tcPr>
          <w:p w14:paraId="681299C4">
            <w:pPr>
              <w:spacing w:line="360" w:lineRule="auto"/>
              <w:jc w:val="center"/>
              <w:rPr>
                <w:rFonts w:hint="eastAsia" w:ascii="宋体" w:hAnsi="宋体" w:cs="宋体"/>
                <w:color w:val="auto"/>
                <w:sz w:val="24"/>
                <w:szCs w:val="24"/>
              </w:rPr>
            </w:pPr>
          </w:p>
        </w:tc>
        <w:tc>
          <w:tcPr>
            <w:tcW w:w="1900" w:type="dxa"/>
            <w:noWrap w:val="0"/>
            <w:vAlign w:val="center"/>
          </w:tcPr>
          <w:p w14:paraId="57F6C7D0">
            <w:pPr>
              <w:spacing w:line="360" w:lineRule="auto"/>
              <w:jc w:val="center"/>
              <w:rPr>
                <w:rFonts w:hint="eastAsia" w:ascii="宋体" w:hAnsi="宋体" w:cs="宋体"/>
                <w:color w:val="auto"/>
                <w:sz w:val="24"/>
                <w:szCs w:val="24"/>
              </w:rPr>
            </w:pPr>
          </w:p>
        </w:tc>
      </w:tr>
      <w:tr w14:paraId="454B2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3553" w:type="dxa"/>
            <w:noWrap w:val="0"/>
            <w:vAlign w:val="center"/>
          </w:tcPr>
          <w:p w14:paraId="1BF1CFCE">
            <w:pPr>
              <w:spacing w:line="360" w:lineRule="auto"/>
              <w:jc w:val="center"/>
              <w:rPr>
                <w:rFonts w:hint="eastAsia" w:ascii="宋体" w:hAnsi="宋体" w:cs="宋体"/>
                <w:color w:val="auto"/>
                <w:sz w:val="24"/>
                <w:szCs w:val="24"/>
              </w:rPr>
            </w:pPr>
          </w:p>
        </w:tc>
        <w:tc>
          <w:tcPr>
            <w:tcW w:w="1862" w:type="dxa"/>
            <w:noWrap w:val="0"/>
            <w:vAlign w:val="center"/>
          </w:tcPr>
          <w:p w14:paraId="1543BC21">
            <w:pPr>
              <w:spacing w:line="360" w:lineRule="auto"/>
              <w:jc w:val="center"/>
              <w:rPr>
                <w:rFonts w:hint="eastAsia" w:ascii="宋体" w:hAnsi="宋体" w:cs="宋体"/>
                <w:color w:val="auto"/>
                <w:sz w:val="24"/>
                <w:szCs w:val="24"/>
              </w:rPr>
            </w:pPr>
          </w:p>
        </w:tc>
        <w:tc>
          <w:tcPr>
            <w:tcW w:w="1550" w:type="dxa"/>
            <w:noWrap w:val="0"/>
            <w:vAlign w:val="center"/>
          </w:tcPr>
          <w:p w14:paraId="278EADA5">
            <w:pPr>
              <w:spacing w:line="360" w:lineRule="auto"/>
              <w:jc w:val="center"/>
              <w:rPr>
                <w:rFonts w:hint="eastAsia" w:ascii="宋体" w:hAnsi="宋体" w:cs="宋体"/>
                <w:color w:val="auto"/>
                <w:sz w:val="24"/>
                <w:szCs w:val="24"/>
              </w:rPr>
            </w:pPr>
          </w:p>
        </w:tc>
        <w:tc>
          <w:tcPr>
            <w:tcW w:w="1900" w:type="dxa"/>
            <w:noWrap w:val="0"/>
            <w:vAlign w:val="center"/>
          </w:tcPr>
          <w:p w14:paraId="21AF0FF3">
            <w:pPr>
              <w:spacing w:line="360" w:lineRule="auto"/>
              <w:jc w:val="center"/>
              <w:rPr>
                <w:rFonts w:hint="eastAsia" w:ascii="宋体" w:hAnsi="宋体" w:cs="宋体"/>
                <w:color w:val="auto"/>
                <w:sz w:val="24"/>
                <w:szCs w:val="24"/>
              </w:rPr>
            </w:pPr>
          </w:p>
        </w:tc>
      </w:tr>
      <w:tr w14:paraId="00ACD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3553" w:type="dxa"/>
            <w:noWrap w:val="0"/>
            <w:vAlign w:val="center"/>
          </w:tcPr>
          <w:p w14:paraId="4F7A4F7B">
            <w:pPr>
              <w:spacing w:line="360" w:lineRule="auto"/>
              <w:jc w:val="center"/>
              <w:rPr>
                <w:rFonts w:hint="eastAsia" w:ascii="宋体" w:hAnsi="宋体" w:cs="宋体"/>
                <w:color w:val="auto"/>
                <w:sz w:val="24"/>
                <w:szCs w:val="24"/>
              </w:rPr>
            </w:pPr>
          </w:p>
        </w:tc>
        <w:tc>
          <w:tcPr>
            <w:tcW w:w="1862" w:type="dxa"/>
            <w:noWrap w:val="0"/>
            <w:vAlign w:val="center"/>
          </w:tcPr>
          <w:p w14:paraId="4B05B9F4">
            <w:pPr>
              <w:spacing w:line="360" w:lineRule="auto"/>
              <w:jc w:val="center"/>
              <w:rPr>
                <w:rFonts w:hint="eastAsia" w:ascii="宋体" w:hAnsi="宋体" w:cs="宋体"/>
                <w:color w:val="auto"/>
                <w:sz w:val="24"/>
                <w:szCs w:val="24"/>
              </w:rPr>
            </w:pPr>
          </w:p>
        </w:tc>
        <w:tc>
          <w:tcPr>
            <w:tcW w:w="1550" w:type="dxa"/>
            <w:noWrap w:val="0"/>
            <w:vAlign w:val="center"/>
          </w:tcPr>
          <w:p w14:paraId="2F74DFE5">
            <w:pPr>
              <w:spacing w:line="360" w:lineRule="auto"/>
              <w:jc w:val="center"/>
              <w:rPr>
                <w:rFonts w:hint="eastAsia" w:ascii="宋体" w:hAnsi="宋体" w:cs="宋体"/>
                <w:color w:val="auto"/>
                <w:sz w:val="24"/>
                <w:szCs w:val="24"/>
              </w:rPr>
            </w:pPr>
          </w:p>
        </w:tc>
        <w:tc>
          <w:tcPr>
            <w:tcW w:w="1900" w:type="dxa"/>
            <w:noWrap w:val="0"/>
            <w:vAlign w:val="center"/>
          </w:tcPr>
          <w:p w14:paraId="696FBB87">
            <w:pPr>
              <w:spacing w:line="360" w:lineRule="auto"/>
              <w:jc w:val="center"/>
              <w:rPr>
                <w:rFonts w:hint="eastAsia" w:ascii="宋体" w:hAnsi="宋体" w:cs="宋体"/>
                <w:color w:val="auto"/>
                <w:sz w:val="24"/>
                <w:szCs w:val="24"/>
              </w:rPr>
            </w:pPr>
          </w:p>
        </w:tc>
      </w:tr>
      <w:tr w14:paraId="14EA2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3553" w:type="dxa"/>
            <w:noWrap w:val="0"/>
            <w:vAlign w:val="center"/>
          </w:tcPr>
          <w:p w14:paraId="47A9658C">
            <w:pPr>
              <w:spacing w:line="360" w:lineRule="auto"/>
              <w:jc w:val="center"/>
              <w:rPr>
                <w:rFonts w:hint="eastAsia" w:ascii="宋体" w:hAnsi="宋体" w:cs="宋体"/>
                <w:color w:val="auto"/>
                <w:sz w:val="24"/>
                <w:szCs w:val="24"/>
              </w:rPr>
            </w:pPr>
          </w:p>
        </w:tc>
        <w:tc>
          <w:tcPr>
            <w:tcW w:w="1862" w:type="dxa"/>
            <w:noWrap w:val="0"/>
            <w:vAlign w:val="center"/>
          </w:tcPr>
          <w:p w14:paraId="79FE4452">
            <w:pPr>
              <w:spacing w:line="360" w:lineRule="auto"/>
              <w:jc w:val="center"/>
              <w:rPr>
                <w:rFonts w:hint="eastAsia" w:ascii="宋体" w:hAnsi="宋体" w:cs="宋体"/>
                <w:color w:val="auto"/>
                <w:sz w:val="24"/>
                <w:szCs w:val="24"/>
              </w:rPr>
            </w:pPr>
          </w:p>
        </w:tc>
        <w:tc>
          <w:tcPr>
            <w:tcW w:w="1550" w:type="dxa"/>
            <w:noWrap w:val="0"/>
            <w:vAlign w:val="center"/>
          </w:tcPr>
          <w:p w14:paraId="6A244F97">
            <w:pPr>
              <w:spacing w:line="360" w:lineRule="auto"/>
              <w:jc w:val="center"/>
              <w:rPr>
                <w:rFonts w:hint="eastAsia" w:ascii="宋体" w:hAnsi="宋体" w:cs="宋体"/>
                <w:color w:val="auto"/>
                <w:sz w:val="24"/>
                <w:szCs w:val="24"/>
              </w:rPr>
            </w:pPr>
          </w:p>
        </w:tc>
        <w:tc>
          <w:tcPr>
            <w:tcW w:w="1900" w:type="dxa"/>
            <w:noWrap w:val="0"/>
            <w:vAlign w:val="center"/>
          </w:tcPr>
          <w:p w14:paraId="1FC7C843">
            <w:pPr>
              <w:spacing w:line="360" w:lineRule="auto"/>
              <w:jc w:val="center"/>
              <w:rPr>
                <w:rFonts w:hint="eastAsia" w:ascii="宋体" w:hAnsi="宋体" w:cs="宋体"/>
                <w:color w:val="auto"/>
                <w:sz w:val="24"/>
                <w:szCs w:val="24"/>
              </w:rPr>
            </w:pPr>
          </w:p>
        </w:tc>
      </w:tr>
      <w:tr w14:paraId="6D988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3553" w:type="dxa"/>
            <w:noWrap w:val="0"/>
            <w:vAlign w:val="center"/>
          </w:tcPr>
          <w:p w14:paraId="5F8392EA">
            <w:pPr>
              <w:spacing w:line="360" w:lineRule="auto"/>
              <w:jc w:val="center"/>
              <w:rPr>
                <w:rFonts w:hint="eastAsia" w:ascii="宋体" w:hAnsi="宋体" w:cs="宋体"/>
                <w:color w:val="auto"/>
                <w:sz w:val="24"/>
                <w:szCs w:val="24"/>
              </w:rPr>
            </w:pPr>
          </w:p>
        </w:tc>
        <w:tc>
          <w:tcPr>
            <w:tcW w:w="1862" w:type="dxa"/>
            <w:noWrap w:val="0"/>
            <w:vAlign w:val="center"/>
          </w:tcPr>
          <w:p w14:paraId="1D1D1334">
            <w:pPr>
              <w:spacing w:line="360" w:lineRule="auto"/>
              <w:jc w:val="center"/>
              <w:rPr>
                <w:rFonts w:hint="eastAsia" w:ascii="宋体" w:hAnsi="宋体" w:cs="宋体"/>
                <w:color w:val="auto"/>
                <w:sz w:val="24"/>
                <w:szCs w:val="24"/>
              </w:rPr>
            </w:pPr>
          </w:p>
        </w:tc>
        <w:tc>
          <w:tcPr>
            <w:tcW w:w="1550" w:type="dxa"/>
            <w:noWrap w:val="0"/>
            <w:vAlign w:val="center"/>
          </w:tcPr>
          <w:p w14:paraId="12BB134D">
            <w:pPr>
              <w:spacing w:line="360" w:lineRule="auto"/>
              <w:jc w:val="center"/>
              <w:rPr>
                <w:rFonts w:hint="eastAsia" w:ascii="宋体" w:hAnsi="宋体" w:cs="宋体"/>
                <w:color w:val="auto"/>
                <w:sz w:val="24"/>
                <w:szCs w:val="24"/>
              </w:rPr>
            </w:pPr>
          </w:p>
        </w:tc>
        <w:tc>
          <w:tcPr>
            <w:tcW w:w="1900" w:type="dxa"/>
            <w:noWrap w:val="0"/>
            <w:vAlign w:val="center"/>
          </w:tcPr>
          <w:p w14:paraId="35EC3635">
            <w:pPr>
              <w:spacing w:line="360" w:lineRule="auto"/>
              <w:jc w:val="center"/>
              <w:rPr>
                <w:rFonts w:hint="eastAsia" w:ascii="宋体" w:hAnsi="宋体" w:cs="宋体"/>
                <w:color w:val="auto"/>
                <w:sz w:val="24"/>
                <w:szCs w:val="24"/>
              </w:rPr>
            </w:pPr>
          </w:p>
        </w:tc>
      </w:tr>
      <w:tr w14:paraId="2927A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3553" w:type="dxa"/>
            <w:noWrap w:val="0"/>
            <w:vAlign w:val="center"/>
          </w:tcPr>
          <w:p w14:paraId="4AA637F3">
            <w:pPr>
              <w:spacing w:line="360" w:lineRule="auto"/>
              <w:jc w:val="center"/>
              <w:rPr>
                <w:rFonts w:hint="eastAsia" w:ascii="宋体" w:hAnsi="宋体" w:cs="宋体"/>
                <w:color w:val="auto"/>
                <w:sz w:val="24"/>
                <w:szCs w:val="24"/>
              </w:rPr>
            </w:pPr>
          </w:p>
        </w:tc>
        <w:tc>
          <w:tcPr>
            <w:tcW w:w="1862" w:type="dxa"/>
            <w:noWrap w:val="0"/>
            <w:vAlign w:val="center"/>
          </w:tcPr>
          <w:p w14:paraId="1351FBFB">
            <w:pPr>
              <w:spacing w:line="360" w:lineRule="auto"/>
              <w:jc w:val="center"/>
              <w:rPr>
                <w:rFonts w:hint="eastAsia" w:ascii="宋体" w:hAnsi="宋体" w:cs="宋体"/>
                <w:color w:val="auto"/>
                <w:sz w:val="24"/>
                <w:szCs w:val="24"/>
              </w:rPr>
            </w:pPr>
          </w:p>
        </w:tc>
        <w:tc>
          <w:tcPr>
            <w:tcW w:w="1550" w:type="dxa"/>
            <w:noWrap w:val="0"/>
            <w:vAlign w:val="center"/>
          </w:tcPr>
          <w:p w14:paraId="4E885627">
            <w:pPr>
              <w:spacing w:line="360" w:lineRule="auto"/>
              <w:jc w:val="center"/>
              <w:rPr>
                <w:rFonts w:hint="eastAsia" w:ascii="宋体" w:hAnsi="宋体" w:cs="宋体"/>
                <w:color w:val="auto"/>
                <w:sz w:val="24"/>
                <w:szCs w:val="24"/>
              </w:rPr>
            </w:pPr>
          </w:p>
        </w:tc>
        <w:tc>
          <w:tcPr>
            <w:tcW w:w="1900" w:type="dxa"/>
            <w:noWrap w:val="0"/>
            <w:vAlign w:val="center"/>
          </w:tcPr>
          <w:p w14:paraId="5CAA3D32">
            <w:pPr>
              <w:spacing w:line="360" w:lineRule="auto"/>
              <w:jc w:val="center"/>
              <w:rPr>
                <w:rFonts w:hint="eastAsia" w:ascii="宋体" w:hAnsi="宋体" w:cs="宋体"/>
                <w:color w:val="auto"/>
                <w:sz w:val="24"/>
                <w:szCs w:val="24"/>
              </w:rPr>
            </w:pPr>
          </w:p>
        </w:tc>
      </w:tr>
      <w:tr w14:paraId="2F35E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8" w:hRule="exact"/>
          <w:jc w:val="center"/>
        </w:trPr>
        <w:tc>
          <w:tcPr>
            <w:tcW w:w="3553" w:type="dxa"/>
            <w:noWrap w:val="0"/>
            <w:vAlign w:val="center"/>
          </w:tcPr>
          <w:p w14:paraId="5C32406D">
            <w:pPr>
              <w:spacing w:line="360" w:lineRule="auto"/>
              <w:jc w:val="center"/>
              <w:rPr>
                <w:rFonts w:hint="eastAsia" w:ascii="宋体" w:hAnsi="宋体" w:cs="宋体"/>
                <w:color w:val="auto"/>
                <w:sz w:val="24"/>
                <w:szCs w:val="24"/>
              </w:rPr>
            </w:pPr>
          </w:p>
        </w:tc>
        <w:tc>
          <w:tcPr>
            <w:tcW w:w="1862" w:type="dxa"/>
            <w:noWrap w:val="0"/>
            <w:vAlign w:val="center"/>
          </w:tcPr>
          <w:p w14:paraId="25E0F43B">
            <w:pPr>
              <w:spacing w:line="360" w:lineRule="auto"/>
              <w:jc w:val="center"/>
              <w:rPr>
                <w:rFonts w:hint="eastAsia" w:ascii="宋体" w:hAnsi="宋体" w:cs="宋体"/>
                <w:color w:val="auto"/>
                <w:sz w:val="24"/>
                <w:szCs w:val="24"/>
              </w:rPr>
            </w:pPr>
          </w:p>
        </w:tc>
        <w:tc>
          <w:tcPr>
            <w:tcW w:w="1550" w:type="dxa"/>
            <w:noWrap w:val="0"/>
            <w:vAlign w:val="center"/>
          </w:tcPr>
          <w:p w14:paraId="3A0FD713">
            <w:pPr>
              <w:spacing w:line="360" w:lineRule="auto"/>
              <w:jc w:val="center"/>
              <w:rPr>
                <w:rFonts w:hint="eastAsia" w:ascii="宋体" w:hAnsi="宋体" w:cs="宋体"/>
                <w:color w:val="auto"/>
                <w:sz w:val="24"/>
                <w:szCs w:val="24"/>
              </w:rPr>
            </w:pPr>
          </w:p>
        </w:tc>
        <w:tc>
          <w:tcPr>
            <w:tcW w:w="1900" w:type="dxa"/>
            <w:noWrap w:val="0"/>
            <w:vAlign w:val="center"/>
          </w:tcPr>
          <w:p w14:paraId="5C30941E">
            <w:pPr>
              <w:spacing w:line="360" w:lineRule="auto"/>
              <w:jc w:val="center"/>
              <w:rPr>
                <w:rFonts w:hint="eastAsia" w:ascii="宋体" w:hAnsi="宋体" w:cs="宋体"/>
                <w:color w:val="auto"/>
                <w:sz w:val="24"/>
                <w:szCs w:val="24"/>
              </w:rPr>
            </w:pPr>
          </w:p>
        </w:tc>
      </w:tr>
    </w:tbl>
    <w:p w14:paraId="568C30F3">
      <w:pPr>
        <w:pStyle w:val="8"/>
        <w:spacing w:line="360" w:lineRule="auto"/>
        <w:rPr>
          <w:rFonts w:hint="eastAsia" w:hAnsi="宋体" w:cs="宋体"/>
          <w:color w:val="auto"/>
        </w:rPr>
      </w:pPr>
      <w:r>
        <w:rPr>
          <w:rFonts w:hint="eastAsia" w:hAnsi="宋体" w:cs="宋体"/>
          <w:color w:val="auto"/>
        </w:rPr>
        <w:t>说明：</w:t>
      </w:r>
    </w:p>
    <w:p w14:paraId="326598BD">
      <w:pPr>
        <w:autoSpaceDE w:val="0"/>
        <w:autoSpaceDN w:val="0"/>
        <w:adjustRightInd w:val="0"/>
        <w:spacing w:line="360" w:lineRule="auto"/>
        <w:ind w:firstLine="480" w:firstLineChars="200"/>
        <w:rPr>
          <w:rFonts w:hint="eastAsia" w:ascii="宋体" w:hAnsi="宋体" w:cs="宋体"/>
          <w:color w:val="auto"/>
          <w:sz w:val="24"/>
        </w:rPr>
      </w:pPr>
      <w:r>
        <w:rPr>
          <w:rFonts w:hint="eastAsia" w:ascii="宋体" w:hAnsi="宋体" w:cs="宋体"/>
          <w:color w:val="auto"/>
          <w:sz w:val="24"/>
        </w:rPr>
        <w:t>1、逐条对应招标文件的“采购内容及要求”，认真填写本表。偏离情况填写：优于、等于或低于，偏离说明对偏离情况做出详细说明。</w:t>
      </w:r>
    </w:p>
    <w:p w14:paraId="028F1589">
      <w:pPr>
        <w:autoSpaceDE w:val="0"/>
        <w:autoSpaceDN w:val="0"/>
        <w:adjustRightInd w:val="0"/>
        <w:spacing w:line="360" w:lineRule="auto"/>
        <w:ind w:firstLine="480" w:firstLineChars="200"/>
        <w:rPr>
          <w:rFonts w:hint="eastAsia" w:ascii="宋体" w:hAnsi="宋体" w:cs="宋体"/>
          <w:color w:val="auto"/>
          <w:sz w:val="24"/>
        </w:rPr>
      </w:pPr>
      <w:r>
        <w:rPr>
          <w:rFonts w:hint="eastAsia" w:ascii="宋体" w:hAnsi="宋体" w:cs="宋体"/>
          <w:color w:val="auto"/>
          <w:sz w:val="24"/>
        </w:rPr>
        <w:t>2、投标人应按实际情况填写。</w:t>
      </w:r>
    </w:p>
    <w:p w14:paraId="1D5CE05D">
      <w:pPr>
        <w:spacing w:line="480" w:lineRule="auto"/>
        <w:ind w:right="-161" w:firstLine="2640" w:firstLineChars="1100"/>
        <w:rPr>
          <w:rFonts w:hint="eastAsia" w:ascii="宋体" w:hAnsi="宋体" w:cs="宋体"/>
          <w:color w:val="auto"/>
          <w:sz w:val="24"/>
        </w:rPr>
      </w:pPr>
    </w:p>
    <w:p w14:paraId="01EC07A1">
      <w:pPr>
        <w:spacing w:line="480" w:lineRule="auto"/>
        <w:ind w:right="-161" w:firstLine="2640" w:firstLineChars="1100"/>
        <w:rPr>
          <w:rFonts w:hint="eastAsia" w:ascii="宋体" w:hAnsi="宋体" w:cs="宋体"/>
          <w:color w:val="auto"/>
          <w:sz w:val="24"/>
          <w:u w:val="single"/>
        </w:rPr>
      </w:pPr>
      <w:r>
        <w:rPr>
          <w:rFonts w:hint="eastAsia" w:ascii="宋体" w:hAnsi="宋体" w:cs="宋体"/>
          <w:color w:val="auto"/>
          <w:sz w:val="24"/>
        </w:rPr>
        <w:t>法人代表或被授权代表签字</w:t>
      </w:r>
      <w:r>
        <w:rPr>
          <w:rFonts w:hint="eastAsia" w:ascii="宋体" w:hAnsi="宋体" w:cs="宋体"/>
          <w:color w:val="auto"/>
          <w:sz w:val="24"/>
          <w:lang w:val="en-US" w:eastAsia="zh-CN"/>
        </w:rPr>
        <w:t>或盖章</w:t>
      </w:r>
      <w:r>
        <w:rPr>
          <w:rFonts w:hint="eastAsia" w:ascii="宋体" w:hAnsi="宋体" w:cs="宋体"/>
          <w:color w:val="auto"/>
          <w:sz w:val="24"/>
        </w:rPr>
        <w:t>：</w:t>
      </w:r>
      <w:r>
        <w:rPr>
          <w:rFonts w:hint="eastAsia" w:ascii="宋体" w:hAnsi="宋体" w:cs="宋体"/>
          <w:color w:val="auto"/>
          <w:sz w:val="24"/>
          <w:u w:val="single"/>
        </w:rPr>
        <w:t xml:space="preserve">                      </w:t>
      </w:r>
    </w:p>
    <w:p w14:paraId="37B9476D">
      <w:pPr>
        <w:spacing w:line="480" w:lineRule="auto"/>
        <w:ind w:right="-161" w:firstLine="2640" w:firstLineChars="1100"/>
        <w:rPr>
          <w:rFonts w:hint="eastAsia" w:ascii="宋体" w:hAnsi="宋体" w:cs="宋体"/>
          <w:color w:val="auto"/>
          <w:sz w:val="24"/>
        </w:rPr>
      </w:pPr>
      <w:r>
        <w:rPr>
          <w:rFonts w:hint="eastAsia" w:ascii="宋体" w:hAnsi="宋体" w:cs="宋体"/>
          <w:color w:val="auto"/>
          <w:sz w:val="24"/>
        </w:rPr>
        <w:t>投   标   人  公  章：</w:t>
      </w:r>
      <w:r>
        <w:rPr>
          <w:rFonts w:hint="eastAsia" w:ascii="宋体" w:hAnsi="宋体" w:cs="宋体"/>
          <w:color w:val="auto"/>
          <w:sz w:val="24"/>
          <w:u w:val="single"/>
        </w:rPr>
        <w:t xml:space="preserve">                      </w:t>
      </w:r>
    </w:p>
    <w:p w14:paraId="6589B54C">
      <w:pPr>
        <w:spacing w:line="480" w:lineRule="auto"/>
        <w:ind w:right="480" w:firstLine="2640" w:firstLineChars="1100"/>
        <w:rPr>
          <w:rFonts w:hint="eastAsia"/>
          <w:color w:val="auto"/>
          <w:sz w:val="36"/>
          <w:szCs w:val="16"/>
        </w:rPr>
      </w:pPr>
      <w:r>
        <w:rPr>
          <w:rFonts w:hint="eastAsia" w:ascii="宋体" w:hAnsi="宋体" w:cs="宋体"/>
          <w:color w:val="auto"/>
          <w:sz w:val="24"/>
        </w:rPr>
        <w:t>日                    期：</w:t>
      </w:r>
      <w:r>
        <w:rPr>
          <w:rFonts w:hint="eastAsia" w:ascii="宋体" w:hAnsi="宋体" w:cs="宋体"/>
          <w:color w:val="auto"/>
          <w:u w:val="single"/>
        </w:rPr>
        <w:t xml:space="preserve">                      </w:t>
      </w:r>
    </w:p>
    <w:p w14:paraId="6BE89DAB">
      <w:pPr>
        <w:pStyle w:val="2"/>
        <w:jc w:val="center"/>
        <w:outlineLvl w:val="9"/>
        <w:rPr>
          <w:color w:val="auto"/>
          <w:sz w:val="36"/>
          <w:szCs w:val="16"/>
        </w:rPr>
        <w:sectPr>
          <w:footnotePr>
            <w:pos w:val="beneathText"/>
          </w:footnotePr>
          <w:pgSz w:w="11906" w:h="16838"/>
          <w:pgMar w:top="1219" w:right="1803" w:bottom="1219" w:left="1803" w:header="850" w:footer="992" w:gutter="0"/>
          <w:pgNumType w:fmt="decimal"/>
          <w:cols w:space="720" w:num="1"/>
          <w:rtlGutter w:val="0"/>
          <w:docGrid w:type="lines" w:linePitch="313" w:charSpace="0"/>
        </w:sectPr>
      </w:pPr>
    </w:p>
    <w:p w14:paraId="2F53F38A">
      <w:pPr>
        <w:pStyle w:val="3"/>
        <w:adjustRightInd w:val="0"/>
        <w:spacing w:line="360" w:lineRule="exact"/>
        <w:jc w:val="center"/>
        <w:textAlignment w:val="baseline"/>
        <w:rPr>
          <w:rFonts w:ascii="宋体" w:hAnsi="宋体" w:eastAsia="宋体" w:cs="宋体"/>
          <w:szCs w:val="22"/>
        </w:rPr>
      </w:pPr>
      <w:r>
        <w:rPr>
          <w:rFonts w:hint="eastAsia" w:ascii="宋体" w:hAnsi="宋体" w:eastAsia="宋体" w:cs="宋体"/>
          <w:szCs w:val="22"/>
        </w:rPr>
        <w:t>十、法定代表人证明书及法定代表人授权委托书</w:t>
      </w:r>
      <w:bookmarkEnd w:id="564"/>
      <w:bookmarkEnd w:id="565"/>
    </w:p>
    <w:p w14:paraId="7B7F4C67">
      <w:pPr>
        <w:pStyle w:val="3"/>
        <w:adjustRightInd w:val="0"/>
        <w:spacing w:line="360" w:lineRule="exact"/>
        <w:jc w:val="center"/>
        <w:textAlignment w:val="baseline"/>
        <w:rPr>
          <w:rFonts w:ascii="宋体" w:hAnsi="宋体" w:eastAsia="宋体" w:cs="宋体"/>
          <w:color w:val="000000"/>
          <w:szCs w:val="22"/>
        </w:rPr>
      </w:pPr>
      <w:bookmarkStart w:id="566" w:name="_Toc10100"/>
      <w:bookmarkStart w:id="567" w:name="_Toc31829"/>
      <w:r>
        <w:rPr>
          <w:rFonts w:hint="eastAsia" w:ascii="宋体" w:hAnsi="宋体" w:eastAsia="宋体" w:cs="宋体"/>
          <w:color w:val="000000"/>
          <w:szCs w:val="22"/>
        </w:rPr>
        <w:t>1</w:t>
      </w:r>
      <w:r>
        <w:rPr>
          <w:rFonts w:hint="eastAsia" w:ascii="宋体" w:hAnsi="宋体" w:eastAsia="宋体" w:cs="宋体"/>
          <w:color w:val="000000"/>
          <w:szCs w:val="22"/>
          <w:lang w:val="en-US" w:eastAsia="zh-CN"/>
        </w:rPr>
        <w:t>0</w:t>
      </w:r>
      <w:r>
        <w:rPr>
          <w:rFonts w:hint="eastAsia" w:ascii="宋体" w:hAnsi="宋体" w:eastAsia="宋体" w:cs="宋体"/>
          <w:color w:val="000000"/>
          <w:szCs w:val="22"/>
        </w:rPr>
        <w:t>.1法定代表人证明书</w:t>
      </w:r>
      <w:bookmarkEnd w:id="566"/>
      <w:bookmarkEnd w:id="567"/>
    </w:p>
    <w:tbl>
      <w:tblPr>
        <w:tblStyle w:val="17"/>
        <w:tblW w:w="9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2234"/>
        <w:gridCol w:w="2234"/>
        <w:gridCol w:w="187"/>
        <w:gridCol w:w="2230"/>
        <w:gridCol w:w="2190"/>
      </w:tblGrid>
      <w:tr w14:paraId="1FE4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660" w:type="dxa"/>
            <w:gridSpan w:val="6"/>
            <w:noWrap w:val="0"/>
            <w:vAlign w:val="center"/>
          </w:tcPr>
          <w:p w14:paraId="10A2F170">
            <w:pPr>
              <w:tabs>
                <w:tab w:val="left" w:pos="210"/>
              </w:tabs>
              <w:spacing w:line="320" w:lineRule="exact"/>
              <w:rPr>
                <w:rFonts w:ascii="宋体" w:hAnsi="宋体" w:cs="Arial"/>
                <w:color w:val="000000"/>
                <w:kern w:val="0"/>
                <w:sz w:val="24"/>
              </w:rPr>
            </w:pPr>
            <w:r>
              <w:rPr>
                <w:rFonts w:hint="eastAsia" w:ascii="宋体" w:hAnsi="宋体" w:cs="Arial"/>
                <w:color w:val="000000"/>
                <w:kern w:val="0"/>
                <w:sz w:val="24"/>
              </w:rPr>
              <w:t>致：陕西三秦大地招标有限责任公司</w:t>
            </w:r>
          </w:p>
        </w:tc>
      </w:tr>
      <w:tr w14:paraId="5097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585" w:type="dxa"/>
            <w:vMerge w:val="restart"/>
            <w:noWrap w:val="0"/>
            <w:vAlign w:val="center"/>
          </w:tcPr>
          <w:p w14:paraId="23B6C2AD">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w:t>
            </w:r>
          </w:p>
          <w:p w14:paraId="07CB97B1">
            <w:pPr>
              <w:tabs>
                <w:tab w:val="left" w:pos="210"/>
              </w:tabs>
              <w:spacing w:line="320" w:lineRule="exact"/>
              <w:jc w:val="center"/>
              <w:rPr>
                <w:rFonts w:ascii="宋体" w:hAnsi="宋体" w:cs="Arial"/>
                <w:color w:val="000000"/>
                <w:kern w:val="0"/>
                <w:sz w:val="24"/>
              </w:rPr>
            </w:pPr>
          </w:p>
          <w:p w14:paraId="215F9B25">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业</w:t>
            </w:r>
          </w:p>
          <w:p w14:paraId="4A0FFE88">
            <w:pPr>
              <w:tabs>
                <w:tab w:val="left" w:pos="210"/>
              </w:tabs>
              <w:spacing w:line="320" w:lineRule="exact"/>
              <w:jc w:val="center"/>
              <w:rPr>
                <w:rFonts w:ascii="宋体" w:hAnsi="宋体" w:cs="Arial"/>
                <w:color w:val="000000"/>
                <w:kern w:val="0"/>
                <w:sz w:val="24"/>
              </w:rPr>
            </w:pPr>
          </w:p>
          <w:p w14:paraId="703841B8">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w:t>
            </w:r>
          </w:p>
          <w:p w14:paraId="2F206D96">
            <w:pPr>
              <w:tabs>
                <w:tab w:val="left" w:pos="210"/>
              </w:tabs>
              <w:spacing w:line="320" w:lineRule="exact"/>
              <w:jc w:val="center"/>
              <w:rPr>
                <w:rFonts w:ascii="宋体" w:hAnsi="宋体" w:cs="Arial"/>
                <w:color w:val="000000"/>
                <w:kern w:val="0"/>
                <w:sz w:val="24"/>
              </w:rPr>
            </w:pPr>
          </w:p>
          <w:p w14:paraId="4E7C4F30">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人</w:t>
            </w:r>
          </w:p>
        </w:tc>
        <w:tc>
          <w:tcPr>
            <w:tcW w:w="2234" w:type="dxa"/>
            <w:noWrap w:val="0"/>
            <w:vAlign w:val="center"/>
          </w:tcPr>
          <w:p w14:paraId="40339EBE">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企业名称</w:t>
            </w:r>
          </w:p>
        </w:tc>
        <w:tc>
          <w:tcPr>
            <w:tcW w:w="6841" w:type="dxa"/>
            <w:gridSpan w:val="4"/>
            <w:noWrap w:val="0"/>
            <w:vAlign w:val="center"/>
          </w:tcPr>
          <w:p w14:paraId="302FFB8A">
            <w:pPr>
              <w:tabs>
                <w:tab w:val="left" w:pos="210"/>
              </w:tabs>
              <w:spacing w:line="320" w:lineRule="exact"/>
              <w:jc w:val="center"/>
              <w:rPr>
                <w:rFonts w:ascii="宋体" w:hAnsi="宋体" w:cs="Arial"/>
                <w:color w:val="000000"/>
                <w:kern w:val="0"/>
                <w:sz w:val="24"/>
              </w:rPr>
            </w:pPr>
          </w:p>
        </w:tc>
      </w:tr>
      <w:tr w14:paraId="66D3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585" w:type="dxa"/>
            <w:vMerge w:val="continue"/>
            <w:noWrap w:val="0"/>
            <w:vAlign w:val="center"/>
          </w:tcPr>
          <w:p w14:paraId="0FE3E076">
            <w:pPr>
              <w:tabs>
                <w:tab w:val="left" w:pos="210"/>
              </w:tabs>
              <w:spacing w:line="320" w:lineRule="exact"/>
              <w:jc w:val="center"/>
              <w:rPr>
                <w:rFonts w:ascii="宋体" w:hAnsi="宋体" w:cs="Arial"/>
                <w:color w:val="000000"/>
                <w:kern w:val="0"/>
                <w:sz w:val="24"/>
              </w:rPr>
            </w:pPr>
          </w:p>
        </w:tc>
        <w:tc>
          <w:tcPr>
            <w:tcW w:w="2234" w:type="dxa"/>
            <w:noWrap w:val="0"/>
            <w:vAlign w:val="center"/>
          </w:tcPr>
          <w:p w14:paraId="53149520">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法定地址</w:t>
            </w:r>
          </w:p>
        </w:tc>
        <w:tc>
          <w:tcPr>
            <w:tcW w:w="6841" w:type="dxa"/>
            <w:gridSpan w:val="4"/>
            <w:noWrap w:val="0"/>
            <w:vAlign w:val="center"/>
          </w:tcPr>
          <w:p w14:paraId="18598FD9">
            <w:pPr>
              <w:tabs>
                <w:tab w:val="left" w:pos="210"/>
              </w:tabs>
              <w:spacing w:line="320" w:lineRule="exact"/>
              <w:jc w:val="center"/>
              <w:rPr>
                <w:rFonts w:ascii="宋体" w:hAnsi="宋体" w:cs="Arial"/>
                <w:color w:val="000000"/>
                <w:kern w:val="0"/>
                <w:sz w:val="24"/>
              </w:rPr>
            </w:pPr>
          </w:p>
        </w:tc>
      </w:tr>
      <w:tr w14:paraId="1833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585" w:type="dxa"/>
            <w:vMerge w:val="continue"/>
            <w:noWrap w:val="0"/>
            <w:vAlign w:val="center"/>
          </w:tcPr>
          <w:p w14:paraId="0AF306D3">
            <w:pPr>
              <w:tabs>
                <w:tab w:val="left" w:pos="210"/>
              </w:tabs>
              <w:spacing w:line="320" w:lineRule="exact"/>
              <w:jc w:val="center"/>
              <w:rPr>
                <w:rFonts w:ascii="宋体" w:hAnsi="宋体" w:cs="Arial"/>
                <w:color w:val="000000"/>
                <w:kern w:val="0"/>
                <w:sz w:val="24"/>
              </w:rPr>
            </w:pPr>
          </w:p>
        </w:tc>
        <w:tc>
          <w:tcPr>
            <w:tcW w:w="2234" w:type="dxa"/>
            <w:noWrap w:val="0"/>
            <w:vAlign w:val="center"/>
          </w:tcPr>
          <w:p w14:paraId="17F64DD6">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邮政编码</w:t>
            </w:r>
          </w:p>
        </w:tc>
        <w:tc>
          <w:tcPr>
            <w:tcW w:w="6841" w:type="dxa"/>
            <w:gridSpan w:val="4"/>
            <w:noWrap w:val="0"/>
            <w:vAlign w:val="center"/>
          </w:tcPr>
          <w:p w14:paraId="0F02BD1D">
            <w:pPr>
              <w:tabs>
                <w:tab w:val="left" w:pos="210"/>
              </w:tabs>
              <w:spacing w:line="320" w:lineRule="exact"/>
              <w:jc w:val="center"/>
              <w:rPr>
                <w:rFonts w:ascii="宋体" w:hAnsi="宋体" w:cs="Arial"/>
                <w:color w:val="000000"/>
                <w:kern w:val="0"/>
                <w:sz w:val="24"/>
              </w:rPr>
            </w:pPr>
          </w:p>
        </w:tc>
      </w:tr>
      <w:tr w14:paraId="1BE4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85" w:type="dxa"/>
            <w:vMerge w:val="continue"/>
            <w:noWrap w:val="0"/>
            <w:vAlign w:val="center"/>
          </w:tcPr>
          <w:p w14:paraId="532FFCB5">
            <w:pPr>
              <w:tabs>
                <w:tab w:val="left" w:pos="210"/>
              </w:tabs>
              <w:spacing w:line="320" w:lineRule="exact"/>
              <w:jc w:val="center"/>
              <w:rPr>
                <w:rFonts w:ascii="宋体" w:hAnsi="宋体" w:cs="Arial"/>
                <w:color w:val="000000"/>
                <w:kern w:val="0"/>
                <w:sz w:val="24"/>
              </w:rPr>
            </w:pPr>
          </w:p>
        </w:tc>
        <w:tc>
          <w:tcPr>
            <w:tcW w:w="2234" w:type="dxa"/>
            <w:noWrap w:val="0"/>
            <w:vAlign w:val="center"/>
          </w:tcPr>
          <w:p w14:paraId="30540163">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工商登记机关</w:t>
            </w:r>
          </w:p>
        </w:tc>
        <w:tc>
          <w:tcPr>
            <w:tcW w:w="6841" w:type="dxa"/>
            <w:gridSpan w:val="4"/>
            <w:noWrap w:val="0"/>
            <w:vAlign w:val="center"/>
          </w:tcPr>
          <w:p w14:paraId="120CECA1">
            <w:pPr>
              <w:tabs>
                <w:tab w:val="left" w:pos="210"/>
              </w:tabs>
              <w:spacing w:line="320" w:lineRule="exact"/>
              <w:jc w:val="center"/>
              <w:rPr>
                <w:rFonts w:ascii="宋体" w:hAnsi="宋体" w:cs="Arial"/>
                <w:color w:val="000000"/>
                <w:kern w:val="0"/>
                <w:sz w:val="24"/>
              </w:rPr>
            </w:pPr>
          </w:p>
        </w:tc>
      </w:tr>
      <w:tr w14:paraId="0417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85" w:type="dxa"/>
            <w:vMerge w:val="continue"/>
            <w:noWrap w:val="0"/>
            <w:vAlign w:val="center"/>
          </w:tcPr>
          <w:p w14:paraId="57789FAA">
            <w:pPr>
              <w:tabs>
                <w:tab w:val="left" w:pos="210"/>
              </w:tabs>
              <w:spacing w:line="320" w:lineRule="exact"/>
              <w:jc w:val="center"/>
              <w:rPr>
                <w:rFonts w:ascii="宋体" w:hAnsi="宋体" w:cs="Arial"/>
                <w:color w:val="000000"/>
                <w:kern w:val="0"/>
                <w:sz w:val="24"/>
              </w:rPr>
            </w:pPr>
          </w:p>
        </w:tc>
        <w:tc>
          <w:tcPr>
            <w:tcW w:w="2234" w:type="dxa"/>
            <w:noWrap w:val="0"/>
            <w:vAlign w:val="center"/>
          </w:tcPr>
          <w:p w14:paraId="69FB62C6">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税务登记机关</w:t>
            </w:r>
          </w:p>
        </w:tc>
        <w:tc>
          <w:tcPr>
            <w:tcW w:w="6841" w:type="dxa"/>
            <w:gridSpan w:val="4"/>
            <w:noWrap w:val="0"/>
            <w:vAlign w:val="center"/>
          </w:tcPr>
          <w:p w14:paraId="276EB13E">
            <w:pPr>
              <w:tabs>
                <w:tab w:val="left" w:pos="210"/>
              </w:tabs>
              <w:spacing w:line="320" w:lineRule="exact"/>
              <w:jc w:val="center"/>
              <w:rPr>
                <w:rFonts w:ascii="宋体" w:hAnsi="宋体" w:cs="Arial"/>
                <w:color w:val="000000"/>
                <w:kern w:val="0"/>
                <w:sz w:val="24"/>
              </w:rPr>
            </w:pPr>
          </w:p>
        </w:tc>
      </w:tr>
      <w:tr w14:paraId="4FE9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85" w:type="dxa"/>
            <w:vMerge w:val="continue"/>
            <w:noWrap w:val="0"/>
            <w:vAlign w:val="center"/>
          </w:tcPr>
          <w:p w14:paraId="00779E40">
            <w:pPr>
              <w:tabs>
                <w:tab w:val="left" w:pos="210"/>
              </w:tabs>
              <w:spacing w:line="320" w:lineRule="exact"/>
              <w:jc w:val="center"/>
              <w:rPr>
                <w:rFonts w:ascii="宋体" w:hAnsi="宋体" w:cs="Arial"/>
                <w:color w:val="000000"/>
                <w:kern w:val="0"/>
                <w:sz w:val="24"/>
              </w:rPr>
            </w:pPr>
          </w:p>
        </w:tc>
        <w:tc>
          <w:tcPr>
            <w:tcW w:w="2234" w:type="dxa"/>
            <w:noWrap w:val="0"/>
            <w:vAlign w:val="center"/>
          </w:tcPr>
          <w:p w14:paraId="227F937B">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机构代码证号</w:t>
            </w:r>
          </w:p>
        </w:tc>
        <w:tc>
          <w:tcPr>
            <w:tcW w:w="6841" w:type="dxa"/>
            <w:gridSpan w:val="4"/>
            <w:noWrap w:val="0"/>
            <w:vAlign w:val="center"/>
          </w:tcPr>
          <w:p w14:paraId="157F108B">
            <w:pPr>
              <w:tabs>
                <w:tab w:val="left" w:pos="210"/>
              </w:tabs>
              <w:spacing w:line="320" w:lineRule="exact"/>
              <w:jc w:val="center"/>
              <w:rPr>
                <w:rFonts w:ascii="宋体" w:hAnsi="宋体" w:cs="Arial"/>
                <w:color w:val="000000"/>
                <w:kern w:val="0"/>
                <w:sz w:val="24"/>
              </w:rPr>
            </w:pPr>
          </w:p>
        </w:tc>
      </w:tr>
      <w:tr w14:paraId="48D4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585" w:type="dxa"/>
            <w:vMerge w:val="restart"/>
            <w:noWrap w:val="0"/>
            <w:vAlign w:val="center"/>
          </w:tcPr>
          <w:p w14:paraId="28646799">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w:t>
            </w:r>
          </w:p>
        </w:tc>
        <w:tc>
          <w:tcPr>
            <w:tcW w:w="2234" w:type="dxa"/>
            <w:noWrap w:val="0"/>
            <w:vAlign w:val="center"/>
          </w:tcPr>
          <w:p w14:paraId="7AA539D9">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姓名</w:t>
            </w:r>
          </w:p>
        </w:tc>
        <w:tc>
          <w:tcPr>
            <w:tcW w:w="2421" w:type="dxa"/>
            <w:gridSpan w:val="2"/>
            <w:noWrap w:val="0"/>
            <w:vAlign w:val="center"/>
          </w:tcPr>
          <w:p w14:paraId="0490D796">
            <w:pPr>
              <w:tabs>
                <w:tab w:val="left" w:pos="210"/>
              </w:tabs>
              <w:spacing w:line="320" w:lineRule="exact"/>
              <w:jc w:val="center"/>
              <w:rPr>
                <w:rFonts w:hint="eastAsia" w:ascii="宋体" w:hAnsi="宋体" w:eastAsia="宋体" w:cs="Arial"/>
                <w:color w:val="000000"/>
                <w:kern w:val="0"/>
                <w:sz w:val="24"/>
                <w:lang w:eastAsia="zh-CN"/>
              </w:rPr>
            </w:pPr>
          </w:p>
        </w:tc>
        <w:tc>
          <w:tcPr>
            <w:tcW w:w="2230" w:type="dxa"/>
            <w:noWrap w:val="0"/>
            <w:vAlign w:val="center"/>
          </w:tcPr>
          <w:p w14:paraId="227EC8A5">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性别</w:t>
            </w:r>
          </w:p>
        </w:tc>
        <w:tc>
          <w:tcPr>
            <w:tcW w:w="2190" w:type="dxa"/>
            <w:noWrap w:val="0"/>
            <w:vAlign w:val="center"/>
          </w:tcPr>
          <w:p w14:paraId="6FB78A0E">
            <w:pPr>
              <w:tabs>
                <w:tab w:val="left" w:pos="210"/>
              </w:tabs>
              <w:spacing w:line="320" w:lineRule="exact"/>
              <w:jc w:val="center"/>
              <w:rPr>
                <w:rFonts w:ascii="宋体" w:hAnsi="宋体" w:cs="Arial"/>
                <w:color w:val="000000"/>
                <w:kern w:val="0"/>
                <w:sz w:val="24"/>
              </w:rPr>
            </w:pPr>
          </w:p>
        </w:tc>
      </w:tr>
      <w:tr w14:paraId="1B3C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585" w:type="dxa"/>
            <w:vMerge w:val="continue"/>
            <w:noWrap w:val="0"/>
            <w:vAlign w:val="center"/>
          </w:tcPr>
          <w:p w14:paraId="7306D26B">
            <w:pPr>
              <w:tabs>
                <w:tab w:val="left" w:pos="210"/>
              </w:tabs>
              <w:spacing w:line="320" w:lineRule="exact"/>
              <w:jc w:val="center"/>
              <w:rPr>
                <w:rFonts w:ascii="宋体" w:hAnsi="宋体" w:cs="Arial"/>
                <w:color w:val="000000"/>
                <w:kern w:val="0"/>
                <w:sz w:val="24"/>
              </w:rPr>
            </w:pPr>
          </w:p>
        </w:tc>
        <w:tc>
          <w:tcPr>
            <w:tcW w:w="2234" w:type="dxa"/>
            <w:noWrap w:val="0"/>
            <w:vAlign w:val="center"/>
          </w:tcPr>
          <w:p w14:paraId="7508A2A1">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职务</w:t>
            </w:r>
          </w:p>
        </w:tc>
        <w:tc>
          <w:tcPr>
            <w:tcW w:w="2421" w:type="dxa"/>
            <w:gridSpan w:val="2"/>
            <w:noWrap w:val="0"/>
            <w:vAlign w:val="center"/>
          </w:tcPr>
          <w:p w14:paraId="07D5990C">
            <w:pPr>
              <w:tabs>
                <w:tab w:val="left" w:pos="210"/>
              </w:tabs>
              <w:spacing w:line="320" w:lineRule="exact"/>
              <w:jc w:val="center"/>
              <w:rPr>
                <w:rFonts w:ascii="宋体" w:hAnsi="宋体" w:cs="Arial"/>
                <w:color w:val="000000"/>
                <w:kern w:val="0"/>
                <w:sz w:val="24"/>
              </w:rPr>
            </w:pPr>
          </w:p>
        </w:tc>
        <w:tc>
          <w:tcPr>
            <w:tcW w:w="2230" w:type="dxa"/>
            <w:noWrap w:val="0"/>
            <w:vAlign w:val="center"/>
          </w:tcPr>
          <w:p w14:paraId="20C8FA68">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联系电话</w:t>
            </w:r>
          </w:p>
        </w:tc>
        <w:tc>
          <w:tcPr>
            <w:tcW w:w="2190" w:type="dxa"/>
            <w:noWrap w:val="0"/>
            <w:vAlign w:val="center"/>
          </w:tcPr>
          <w:p w14:paraId="36A31797">
            <w:pPr>
              <w:tabs>
                <w:tab w:val="left" w:pos="210"/>
              </w:tabs>
              <w:spacing w:line="320" w:lineRule="exact"/>
              <w:jc w:val="center"/>
              <w:rPr>
                <w:rFonts w:ascii="宋体" w:hAnsi="宋体" w:cs="Arial"/>
                <w:color w:val="000000"/>
                <w:kern w:val="0"/>
                <w:sz w:val="24"/>
              </w:rPr>
            </w:pPr>
          </w:p>
        </w:tc>
      </w:tr>
      <w:tr w14:paraId="78D1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85" w:type="dxa"/>
            <w:vMerge w:val="continue"/>
            <w:noWrap w:val="0"/>
            <w:vAlign w:val="center"/>
          </w:tcPr>
          <w:p w14:paraId="3EA259F0">
            <w:pPr>
              <w:tabs>
                <w:tab w:val="left" w:pos="210"/>
              </w:tabs>
              <w:spacing w:line="320" w:lineRule="exact"/>
              <w:jc w:val="center"/>
              <w:rPr>
                <w:rFonts w:ascii="宋体" w:hAnsi="宋体" w:cs="Arial"/>
                <w:color w:val="000000"/>
                <w:kern w:val="0"/>
                <w:sz w:val="24"/>
              </w:rPr>
            </w:pPr>
          </w:p>
        </w:tc>
        <w:tc>
          <w:tcPr>
            <w:tcW w:w="2234" w:type="dxa"/>
            <w:noWrap w:val="0"/>
            <w:vAlign w:val="center"/>
          </w:tcPr>
          <w:p w14:paraId="4C582294">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传真</w:t>
            </w:r>
          </w:p>
        </w:tc>
        <w:tc>
          <w:tcPr>
            <w:tcW w:w="6841" w:type="dxa"/>
            <w:gridSpan w:val="4"/>
            <w:noWrap w:val="0"/>
            <w:vAlign w:val="center"/>
          </w:tcPr>
          <w:p w14:paraId="2F7B52F5">
            <w:pPr>
              <w:tabs>
                <w:tab w:val="left" w:pos="210"/>
              </w:tabs>
              <w:spacing w:line="320" w:lineRule="exact"/>
              <w:jc w:val="center"/>
              <w:rPr>
                <w:rFonts w:ascii="宋体" w:hAnsi="宋体" w:cs="Arial"/>
                <w:color w:val="000000"/>
                <w:kern w:val="0"/>
                <w:sz w:val="24"/>
              </w:rPr>
            </w:pPr>
          </w:p>
        </w:tc>
      </w:tr>
      <w:tr w14:paraId="25B3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0" w:hRule="atLeast"/>
          <w:jc w:val="center"/>
        </w:trPr>
        <w:tc>
          <w:tcPr>
            <w:tcW w:w="5053" w:type="dxa"/>
            <w:gridSpan w:val="3"/>
            <w:vMerge w:val="restart"/>
            <w:noWrap w:val="0"/>
            <w:vAlign w:val="center"/>
          </w:tcPr>
          <w:p w14:paraId="07E47106">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法定代表人身份证（正反面）复印件</w:t>
            </w:r>
          </w:p>
        </w:tc>
        <w:tc>
          <w:tcPr>
            <w:tcW w:w="4607" w:type="dxa"/>
            <w:gridSpan w:val="3"/>
            <w:noWrap w:val="0"/>
            <w:vAlign w:val="center"/>
          </w:tcPr>
          <w:p w14:paraId="3F8DE94D">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法定代表人</w:t>
            </w:r>
            <w:r>
              <w:rPr>
                <w:rFonts w:hint="eastAsia" w:ascii="宋体" w:hAnsi="宋体" w:cs="宋体"/>
                <w:sz w:val="24"/>
                <w:szCs w:val="24"/>
              </w:rPr>
              <w:t>（签字或盖章）</w:t>
            </w:r>
          </w:p>
        </w:tc>
      </w:tr>
      <w:tr w14:paraId="3819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4" w:hRule="atLeast"/>
          <w:jc w:val="center"/>
        </w:trPr>
        <w:tc>
          <w:tcPr>
            <w:tcW w:w="5053" w:type="dxa"/>
            <w:gridSpan w:val="3"/>
            <w:vMerge w:val="continue"/>
            <w:tcBorders>
              <w:bottom w:val="single" w:color="auto" w:sz="4" w:space="0"/>
            </w:tcBorders>
            <w:noWrap w:val="0"/>
            <w:vAlign w:val="center"/>
          </w:tcPr>
          <w:p w14:paraId="2C6EE12C">
            <w:pPr>
              <w:tabs>
                <w:tab w:val="left" w:pos="210"/>
              </w:tabs>
              <w:spacing w:line="320" w:lineRule="exact"/>
              <w:jc w:val="center"/>
              <w:rPr>
                <w:rFonts w:ascii="宋体" w:hAnsi="宋体" w:cs="Arial"/>
                <w:color w:val="000000"/>
                <w:kern w:val="0"/>
                <w:sz w:val="24"/>
              </w:rPr>
            </w:pPr>
          </w:p>
        </w:tc>
        <w:tc>
          <w:tcPr>
            <w:tcW w:w="4607" w:type="dxa"/>
            <w:gridSpan w:val="3"/>
            <w:tcBorders>
              <w:bottom w:val="single" w:color="auto" w:sz="4" w:space="0"/>
            </w:tcBorders>
            <w:noWrap w:val="0"/>
            <w:vAlign w:val="bottom"/>
          </w:tcPr>
          <w:p w14:paraId="13AF5039">
            <w:pPr>
              <w:tabs>
                <w:tab w:val="left" w:pos="210"/>
              </w:tabs>
              <w:spacing w:line="320" w:lineRule="exact"/>
              <w:jc w:val="center"/>
              <w:rPr>
                <w:rFonts w:ascii="宋体" w:hAnsi="宋体" w:cs="Arial"/>
                <w:color w:val="000000"/>
                <w:kern w:val="0"/>
                <w:sz w:val="24"/>
              </w:rPr>
            </w:pPr>
            <w:r>
              <w:rPr>
                <w:rFonts w:hint="eastAsia" w:ascii="宋体" w:hAnsi="宋体" w:cs="Arial"/>
                <w:color w:val="000000"/>
                <w:kern w:val="0"/>
                <w:sz w:val="24"/>
              </w:rPr>
              <w:t>（公章）</w:t>
            </w:r>
          </w:p>
          <w:p w14:paraId="0FA950A4">
            <w:pPr>
              <w:tabs>
                <w:tab w:val="left" w:pos="210"/>
              </w:tabs>
              <w:spacing w:line="320" w:lineRule="exact"/>
              <w:jc w:val="center"/>
              <w:rPr>
                <w:rFonts w:ascii="宋体" w:hAnsi="宋体" w:cs="Arial"/>
                <w:color w:val="000000"/>
                <w:kern w:val="0"/>
                <w:sz w:val="24"/>
              </w:rPr>
            </w:pPr>
          </w:p>
          <w:p w14:paraId="7E550AB9">
            <w:pPr>
              <w:tabs>
                <w:tab w:val="left" w:pos="210"/>
              </w:tabs>
              <w:spacing w:line="320" w:lineRule="exact"/>
              <w:jc w:val="center"/>
              <w:rPr>
                <w:rFonts w:ascii="宋体" w:hAnsi="宋体" w:cs="Arial"/>
                <w:color w:val="000000"/>
                <w:kern w:val="0"/>
                <w:sz w:val="24"/>
              </w:rPr>
            </w:pPr>
          </w:p>
          <w:p w14:paraId="03641399">
            <w:pPr>
              <w:tabs>
                <w:tab w:val="left" w:pos="210"/>
              </w:tabs>
              <w:spacing w:line="320" w:lineRule="exact"/>
              <w:jc w:val="center"/>
              <w:rPr>
                <w:rFonts w:ascii="宋体" w:hAnsi="宋体" w:cs="Arial"/>
                <w:color w:val="000000"/>
                <w:kern w:val="0"/>
                <w:sz w:val="24"/>
              </w:rPr>
            </w:pPr>
          </w:p>
          <w:p w14:paraId="4D806741">
            <w:pPr>
              <w:tabs>
                <w:tab w:val="left" w:pos="210"/>
              </w:tabs>
              <w:spacing w:line="320" w:lineRule="exact"/>
              <w:jc w:val="right"/>
              <w:rPr>
                <w:rFonts w:ascii="宋体" w:hAnsi="宋体" w:cs="Arial"/>
                <w:color w:val="000000"/>
                <w:kern w:val="0"/>
                <w:sz w:val="24"/>
              </w:rPr>
            </w:pPr>
            <w:r>
              <w:rPr>
                <w:rFonts w:hint="eastAsia" w:ascii="宋体" w:hAnsi="宋体" w:cs="Arial"/>
                <w:color w:val="000000"/>
                <w:kern w:val="0"/>
                <w:sz w:val="24"/>
              </w:rPr>
              <w:t xml:space="preserve">年  月  日 </w:t>
            </w:r>
          </w:p>
        </w:tc>
      </w:tr>
      <w:tr w14:paraId="6855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660" w:type="dxa"/>
            <w:gridSpan w:val="6"/>
            <w:tcBorders>
              <w:top w:val="single" w:color="auto" w:sz="4" w:space="0"/>
              <w:left w:val="nil"/>
              <w:bottom w:val="nil"/>
              <w:right w:val="nil"/>
            </w:tcBorders>
            <w:noWrap w:val="0"/>
            <w:vAlign w:val="center"/>
          </w:tcPr>
          <w:p w14:paraId="33E83C6C">
            <w:pPr>
              <w:tabs>
                <w:tab w:val="left" w:pos="210"/>
              </w:tabs>
              <w:spacing w:line="320" w:lineRule="exact"/>
              <w:jc w:val="left"/>
              <w:rPr>
                <w:rFonts w:ascii="宋体" w:hAnsi="宋体" w:cs="Arial"/>
                <w:color w:val="000000"/>
                <w:kern w:val="0"/>
                <w:sz w:val="24"/>
              </w:rPr>
            </w:pPr>
          </w:p>
        </w:tc>
      </w:tr>
    </w:tbl>
    <w:p w14:paraId="3727A3B1">
      <w:pPr>
        <w:pStyle w:val="3"/>
        <w:adjustRightInd w:val="0"/>
        <w:spacing w:line="360" w:lineRule="auto"/>
        <w:jc w:val="center"/>
        <w:textAlignment w:val="baseline"/>
        <w:rPr>
          <w:rFonts w:ascii="宋体" w:hAnsi="宋体" w:eastAsia="宋体" w:cs="宋体"/>
          <w:color w:val="000000"/>
          <w:szCs w:val="22"/>
        </w:rPr>
        <w:sectPr>
          <w:pgSz w:w="11906" w:h="16838"/>
          <w:pgMar w:top="1121" w:right="1418" w:bottom="417" w:left="1418" w:header="720" w:footer="720" w:gutter="0"/>
          <w:cols w:space="720" w:num="1"/>
          <w:titlePg/>
          <w:docGrid w:type="lines" w:linePitch="312" w:charSpace="0"/>
        </w:sectPr>
      </w:pPr>
    </w:p>
    <w:p w14:paraId="3091DABC">
      <w:pPr>
        <w:pStyle w:val="3"/>
        <w:adjustRightInd w:val="0"/>
        <w:spacing w:line="360" w:lineRule="auto"/>
        <w:jc w:val="center"/>
        <w:textAlignment w:val="baseline"/>
        <w:rPr>
          <w:rFonts w:ascii="宋体" w:hAnsi="宋体" w:eastAsia="宋体" w:cs="宋体"/>
          <w:color w:val="000000"/>
          <w:sz w:val="24"/>
          <w:szCs w:val="24"/>
        </w:rPr>
      </w:pPr>
      <w:bookmarkStart w:id="568" w:name="_Toc26738"/>
      <w:bookmarkStart w:id="569" w:name="_Toc24782"/>
      <w:r>
        <w:rPr>
          <w:rFonts w:hint="eastAsia" w:ascii="宋体" w:hAnsi="宋体" w:eastAsia="宋体" w:cs="宋体"/>
          <w:color w:val="000000"/>
          <w:szCs w:val="22"/>
        </w:rPr>
        <w:t>1</w:t>
      </w:r>
      <w:r>
        <w:rPr>
          <w:rFonts w:hint="eastAsia" w:ascii="宋体" w:hAnsi="宋体" w:eastAsia="宋体" w:cs="宋体"/>
          <w:color w:val="000000"/>
          <w:szCs w:val="22"/>
          <w:lang w:val="en-US" w:eastAsia="zh-CN"/>
        </w:rPr>
        <w:t>0</w:t>
      </w:r>
      <w:r>
        <w:rPr>
          <w:rFonts w:hint="eastAsia" w:ascii="宋体" w:hAnsi="宋体" w:eastAsia="宋体" w:cs="宋体"/>
          <w:color w:val="000000"/>
          <w:szCs w:val="22"/>
        </w:rPr>
        <w:t>.2法定代表人授权委托书</w:t>
      </w:r>
      <w:bookmarkEnd w:id="568"/>
      <w:bookmarkEnd w:id="569"/>
    </w:p>
    <w:p w14:paraId="72647694">
      <w:pPr>
        <w:tabs>
          <w:tab w:val="left" w:pos="8820"/>
        </w:tabs>
        <w:spacing w:line="480" w:lineRule="auto"/>
        <w:ind w:firstLine="570"/>
        <w:rPr>
          <w:rFonts w:ascii="宋体" w:hAnsi="宋体" w:cs="宋体"/>
          <w:color w:val="000000"/>
          <w:sz w:val="24"/>
          <w:szCs w:val="24"/>
          <w:u w:val="single"/>
        </w:rPr>
      </w:pPr>
      <w:r>
        <w:rPr>
          <w:rFonts w:hint="eastAsia" w:ascii="宋体" w:hAnsi="宋体" w:cs="宋体"/>
          <w:color w:val="000000"/>
          <w:sz w:val="24"/>
          <w:szCs w:val="24"/>
        </w:rPr>
        <w:t>本授权委托书声明：我</w:t>
      </w:r>
      <w:r>
        <w:rPr>
          <w:rFonts w:hint="eastAsia" w:ascii="宋体" w:hAnsi="宋体" w:cs="宋体"/>
          <w:color w:val="000000"/>
          <w:sz w:val="24"/>
          <w:szCs w:val="24"/>
          <w:u w:val="single"/>
        </w:rPr>
        <w:t>（法定代表人姓名）</w:t>
      </w:r>
      <w:r>
        <w:rPr>
          <w:rFonts w:hint="eastAsia" w:ascii="宋体" w:hAnsi="宋体" w:cs="宋体"/>
          <w:color w:val="000000"/>
          <w:sz w:val="24"/>
          <w:szCs w:val="24"/>
        </w:rPr>
        <w:t>系注册于</w:t>
      </w:r>
      <w:r>
        <w:rPr>
          <w:rFonts w:hint="eastAsia" w:ascii="宋体" w:hAnsi="宋体" w:cs="宋体"/>
          <w:color w:val="000000"/>
          <w:sz w:val="24"/>
          <w:szCs w:val="24"/>
          <w:u w:val="single"/>
        </w:rPr>
        <w:t xml:space="preserve">  （供应商地址）           </w:t>
      </w:r>
      <w:r>
        <w:rPr>
          <w:rFonts w:hint="eastAsia" w:ascii="宋体" w:hAnsi="宋体" w:cs="宋体"/>
          <w:color w:val="000000"/>
          <w:sz w:val="24"/>
          <w:szCs w:val="24"/>
        </w:rPr>
        <w:t>的</w:t>
      </w:r>
      <w:r>
        <w:rPr>
          <w:rFonts w:hint="eastAsia" w:ascii="宋体" w:hAnsi="宋体" w:cs="宋体"/>
          <w:color w:val="000000"/>
          <w:sz w:val="24"/>
          <w:szCs w:val="24"/>
          <w:u w:val="single"/>
        </w:rPr>
        <w:t xml:space="preserve">（供应商名称）  </w:t>
      </w:r>
      <w:r>
        <w:rPr>
          <w:rFonts w:hint="eastAsia" w:ascii="宋体" w:hAnsi="宋体" w:cs="宋体"/>
          <w:color w:val="000000"/>
          <w:sz w:val="24"/>
          <w:szCs w:val="24"/>
        </w:rPr>
        <w:t>的法定代表人，现代表公司授权下面签字的</w:t>
      </w:r>
      <w:r>
        <w:rPr>
          <w:rFonts w:hint="eastAsia" w:ascii="宋体" w:hAnsi="宋体" w:cs="宋体"/>
          <w:color w:val="000000"/>
          <w:sz w:val="24"/>
          <w:szCs w:val="24"/>
          <w:u w:val="single"/>
        </w:rPr>
        <w:t>（被授权人的姓名、职务）</w:t>
      </w:r>
      <w:r>
        <w:rPr>
          <w:rFonts w:hint="eastAsia" w:ascii="宋体" w:hAnsi="宋体" w:cs="宋体"/>
          <w:color w:val="000000"/>
          <w:sz w:val="24"/>
          <w:szCs w:val="24"/>
        </w:rPr>
        <w:t>为我公司合法代理人，代表本公司参加</w:t>
      </w:r>
      <w:r>
        <w:rPr>
          <w:rFonts w:hint="eastAsia" w:ascii="宋体" w:hAnsi="宋体" w:cs="宋体"/>
          <w:color w:val="000000"/>
          <w:sz w:val="24"/>
          <w:szCs w:val="24"/>
          <w:u w:val="single"/>
        </w:rPr>
        <w:t xml:space="preserve">  （采购项目名称） (</w:t>
      </w:r>
      <w:r>
        <w:rPr>
          <w:rFonts w:hint="eastAsia" w:ascii="宋体" w:hAnsi="宋体" w:cs="宋体"/>
          <w:color w:val="000000"/>
          <w:sz w:val="24"/>
          <w:szCs w:val="24"/>
        </w:rPr>
        <w:t>采购项目编号)为</w:t>
      </w:r>
      <w:r>
        <w:rPr>
          <w:rFonts w:hint="eastAsia" w:ascii="宋体" w:hAnsi="宋体" w:cs="宋体"/>
          <w:color w:val="000000"/>
          <w:sz w:val="24"/>
          <w:szCs w:val="24"/>
          <w:u w:val="single"/>
        </w:rPr>
        <w:t xml:space="preserve">             </w:t>
      </w:r>
      <w:r>
        <w:rPr>
          <w:rFonts w:hint="eastAsia" w:ascii="宋体" w:hAnsi="宋体" w:cs="宋体"/>
          <w:color w:val="000000"/>
          <w:sz w:val="24"/>
          <w:szCs w:val="24"/>
        </w:rPr>
        <w:t xml:space="preserve"> 的谈判活动。代理人在本次谈判中所签署的一切文件和处理的一切有关事物，我公司均予承认。</w:t>
      </w:r>
    </w:p>
    <w:p w14:paraId="5543C31B">
      <w:pPr>
        <w:spacing w:line="48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本授权书于 </w:t>
      </w:r>
      <w:r>
        <w:rPr>
          <w:rFonts w:hint="eastAsia" w:ascii="宋体" w:hAnsi="宋体" w:cs="宋体"/>
          <w:color w:val="000000"/>
          <w:sz w:val="24"/>
          <w:szCs w:val="24"/>
          <w:u w:val="single"/>
        </w:rPr>
        <w:t xml:space="preserve">     </w:t>
      </w:r>
      <w:r>
        <w:rPr>
          <w:rFonts w:hint="eastAsia" w:ascii="宋体" w:hAnsi="宋体" w:cs="宋体"/>
          <w:color w:val="000000"/>
          <w:sz w:val="24"/>
          <w:szCs w:val="24"/>
        </w:rPr>
        <w:t>年</w:t>
      </w:r>
      <w:r>
        <w:rPr>
          <w:rFonts w:hint="eastAsia" w:ascii="宋体" w:hAnsi="宋体" w:cs="宋体"/>
          <w:color w:val="000000"/>
          <w:sz w:val="24"/>
          <w:szCs w:val="24"/>
          <w:u w:val="single"/>
        </w:rPr>
        <w:t xml:space="preserve">    </w:t>
      </w:r>
      <w:r>
        <w:rPr>
          <w:rFonts w:hint="eastAsia" w:ascii="宋体" w:hAnsi="宋体" w:cs="宋体"/>
          <w:color w:val="000000"/>
          <w:sz w:val="24"/>
          <w:szCs w:val="24"/>
        </w:rPr>
        <w:t>月</w:t>
      </w:r>
      <w:r>
        <w:rPr>
          <w:rFonts w:hint="eastAsia" w:ascii="宋体" w:hAnsi="宋体" w:cs="宋体"/>
          <w:color w:val="000000"/>
          <w:sz w:val="24"/>
          <w:szCs w:val="24"/>
          <w:u w:val="single"/>
        </w:rPr>
        <w:t xml:space="preserve">    </w:t>
      </w:r>
      <w:r>
        <w:rPr>
          <w:rFonts w:hint="eastAsia" w:ascii="宋体" w:hAnsi="宋体" w:cs="宋体"/>
          <w:color w:val="000000"/>
          <w:sz w:val="24"/>
          <w:szCs w:val="24"/>
        </w:rPr>
        <w:t>日签字（盖章）生效，有效期自谈判之日起</w:t>
      </w:r>
      <w:r>
        <w:rPr>
          <w:rFonts w:hint="eastAsia" w:ascii="宋体" w:hAnsi="宋体" w:cs="宋体"/>
          <w:color w:val="000000"/>
          <w:sz w:val="24"/>
          <w:szCs w:val="24"/>
          <w:u w:val="single"/>
        </w:rPr>
        <w:t xml:space="preserve">   </w:t>
      </w:r>
      <w:r>
        <w:rPr>
          <w:rFonts w:hint="eastAsia" w:ascii="宋体" w:hAnsi="宋体" w:cs="宋体"/>
          <w:color w:val="000000"/>
          <w:sz w:val="24"/>
          <w:szCs w:val="24"/>
        </w:rPr>
        <w:t>天，特此声明。</w:t>
      </w:r>
    </w:p>
    <w:p w14:paraId="26E0A7F2">
      <w:pPr>
        <w:spacing w:line="360" w:lineRule="auto"/>
        <w:outlineLvl w:val="0"/>
        <w:rPr>
          <w:rFonts w:ascii="宋体" w:hAnsi="宋体" w:cs="宋体"/>
          <w:color w:val="000000"/>
          <w:sz w:val="24"/>
          <w:szCs w:val="24"/>
        </w:rPr>
      </w:pPr>
      <w:r>
        <w:rPr>
          <w:rFonts w:hint="eastAsia" w:ascii="宋体" w:hAnsi="宋体" w:cs="宋体"/>
          <w:color w:val="000000"/>
          <w:sz w:val="24"/>
          <w:szCs w:val="24"/>
        </w:rPr>
        <w:t xml:space="preserve">    </w:t>
      </w:r>
      <w:bookmarkStart w:id="570" w:name="_Toc21891"/>
      <w:bookmarkStart w:id="571" w:name="_Toc17538"/>
      <w:bookmarkStart w:id="572" w:name="_Toc26927"/>
      <w:bookmarkStart w:id="573" w:name="_Toc12419"/>
      <w:bookmarkStart w:id="574" w:name="_Toc6793"/>
      <w:bookmarkStart w:id="575" w:name="_Toc12046"/>
      <w:bookmarkStart w:id="576" w:name="_Toc26509"/>
      <w:bookmarkStart w:id="577" w:name="_Toc1575"/>
      <w:bookmarkStart w:id="578" w:name="_Toc31931"/>
      <w:bookmarkStart w:id="579" w:name="_Toc497"/>
      <w:r>
        <w:rPr>
          <w:rFonts w:hint="eastAsia" w:ascii="宋体" w:hAnsi="宋体" w:cs="宋体"/>
          <w:color w:val="000000"/>
          <w:sz w:val="24"/>
          <w:szCs w:val="24"/>
        </w:rPr>
        <w:t>附：法定代表人、被授权人身份证复印件。（注：如使用二代身份证需复印正、反两面）</w:t>
      </w:r>
      <w:bookmarkEnd w:id="570"/>
      <w:bookmarkEnd w:id="571"/>
      <w:bookmarkEnd w:id="572"/>
      <w:bookmarkEnd w:id="573"/>
      <w:bookmarkEnd w:id="574"/>
      <w:bookmarkEnd w:id="575"/>
      <w:bookmarkEnd w:id="576"/>
      <w:bookmarkEnd w:id="577"/>
      <w:bookmarkEnd w:id="578"/>
      <w:bookmarkEnd w:id="579"/>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6"/>
        <w:gridCol w:w="4350"/>
      </w:tblGrid>
      <w:tr w14:paraId="39A4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6" w:hRule="atLeast"/>
          <w:jc w:val="center"/>
        </w:trPr>
        <w:tc>
          <w:tcPr>
            <w:tcW w:w="4276" w:type="dxa"/>
            <w:tcBorders>
              <w:top w:val="single" w:color="auto" w:sz="4" w:space="0"/>
              <w:left w:val="single" w:color="auto" w:sz="4" w:space="0"/>
              <w:bottom w:val="single" w:color="auto" w:sz="4" w:space="0"/>
              <w:right w:val="single" w:color="auto" w:sz="4" w:space="0"/>
            </w:tcBorders>
            <w:noWrap w:val="0"/>
            <w:vAlign w:val="center"/>
          </w:tcPr>
          <w:p w14:paraId="0FD880B9">
            <w:pPr>
              <w:spacing w:line="360" w:lineRule="auto"/>
              <w:jc w:val="center"/>
              <w:rPr>
                <w:rFonts w:ascii="宋体" w:hAnsi="宋体" w:cs="宋体"/>
                <w:color w:val="000000"/>
                <w:sz w:val="24"/>
                <w:szCs w:val="24"/>
              </w:rPr>
            </w:pPr>
          </w:p>
          <w:p w14:paraId="53027E7E">
            <w:pPr>
              <w:spacing w:line="360" w:lineRule="auto"/>
              <w:jc w:val="center"/>
              <w:outlineLvl w:val="0"/>
              <w:rPr>
                <w:rFonts w:ascii="宋体" w:hAnsi="宋体" w:cs="宋体"/>
                <w:color w:val="000000"/>
                <w:sz w:val="24"/>
                <w:szCs w:val="24"/>
              </w:rPr>
            </w:pPr>
            <w:bookmarkStart w:id="580" w:name="_Toc12927"/>
            <w:bookmarkStart w:id="581" w:name="_Toc1480"/>
            <w:bookmarkStart w:id="582" w:name="_Toc24018"/>
            <w:bookmarkStart w:id="583" w:name="_Toc19741"/>
            <w:bookmarkStart w:id="584" w:name="_Toc23468"/>
            <w:bookmarkStart w:id="585" w:name="_Toc8675"/>
            <w:bookmarkStart w:id="586" w:name="_Toc4820"/>
            <w:bookmarkStart w:id="587" w:name="_Toc5583"/>
            <w:bookmarkStart w:id="588" w:name="_Toc3175"/>
            <w:bookmarkStart w:id="589" w:name="_Toc30952"/>
            <w:r>
              <w:rPr>
                <w:rFonts w:hint="eastAsia" w:ascii="宋体" w:hAnsi="宋体" w:cs="宋体"/>
                <w:color w:val="000000"/>
                <w:sz w:val="24"/>
                <w:szCs w:val="24"/>
              </w:rPr>
              <w:t>法定代表人身份证复印件</w:t>
            </w:r>
            <w:bookmarkEnd w:id="580"/>
            <w:bookmarkEnd w:id="581"/>
            <w:bookmarkEnd w:id="582"/>
            <w:bookmarkEnd w:id="583"/>
            <w:bookmarkEnd w:id="584"/>
            <w:bookmarkEnd w:id="585"/>
            <w:bookmarkEnd w:id="586"/>
            <w:bookmarkEnd w:id="587"/>
            <w:bookmarkEnd w:id="588"/>
            <w:bookmarkEnd w:id="589"/>
          </w:p>
          <w:p w14:paraId="6AA3019B">
            <w:pPr>
              <w:spacing w:line="360" w:lineRule="auto"/>
              <w:jc w:val="center"/>
              <w:rPr>
                <w:rFonts w:ascii="宋体" w:hAnsi="宋体" w:cs="宋体"/>
                <w:color w:val="000000"/>
                <w:sz w:val="24"/>
                <w:szCs w:val="24"/>
              </w:rPr>
            </w:pPr>
          </w:p>
        </w:tc>
        <w:tc>
          <w:tcPr>
            <w:tcW w:w="4350" w:type="dxa"/>
            <w:tcBorders>
              <w:left w:val="single" w:color="auto" w:sz="4" w:space="0"/>
            </w:tcBorders>
            <w:noWrap w:val="0"/>
            <w:vAlign w:val="center"/>
          </w:tcPr>
          <w:p w14:paraId="5EEEE903">
            <w:pPr>
              <w:spacing w:line="360" w:lineRule="auto"/>
              <w:jc w:val="center"/>
              <w:outlineLvl w:val="0"/>
              <w:rPr>
                <w:rFonts w:ascii="宋体" w:hAnsi="宋体" w:cs="宋体"/>
                <w:color w:val="000000"/>
                <w:sz w:val="24"/>
                <w:szCs w:val="24"/>
              </w:rPr>
            </w:pPr>
            <w:bookmarkStart w:id="590" w:name="_Toc28825"/>
            <w:bookmarkStart w:id="591" w:name="_Toc19458"/>
            <w:bookmarkStart w:id="592" w:name="_Toc2151"/>
            <w:bookmarkStart w:id="593" w:name="_Toc31188"/>
            <w:bookmarkStart w:id="594" w:name="_Toc16070"/>
            <w:bookmarkStart w:id="595" w:name="_Toc29411"/>
            <w:bookmarkStart w:id="596" w:name="_Toc9178"/>
            <w:bookmarkStart w:id="597" w:name="_Toc6237"/>
            <w:bookmarkStart w:id="598" w:name="_Toc8042"/>
            <w:bookmarkStart w:id="599" w:name="_Toc14271"/>
            <w:r>
              <w:rPr>
                <w:rFonts w:hint="eastAsia" w:ascii="宋体" w:hAnsi="宋体" w:cs="宋体"/>
                <w:color w:val="000000"/>
                <w:sz w:val="24"/>
                <w:szCs w:val="24"/>
              </w:rPr>
              <w:t>被授权人身份证复印件</w:t>
            </w:r>
            <w:bookmarkEnd w:id="590"/>
            <w:bookmarkEnd w:id="591"/>
            <w:bookmarkEnd w:id="592"/>
            <w:bookmarkEnd w:id="593"/>
            <w:bookmarkEnd w:id="594"/>
            <w:bookmarkEnd w:id="595"/>
            <w:bookmarkEnd w:id="596"/>
            <w:bookmarkEnd w:id="597"/>
            <w:bookmarkEnd w:id="598"/>
            <w:bookmarkEnd w:id="599"/>
          </w:p>
        </w:tc>
      </w:tr>
      <w:tr w14:paraId="04DB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jc w:val="center"/>
        </w:trPr>
        <w:tc>
          <w:tcPr>
            <w:tcW w:w="4276" w:type="dxa"/>
            <w:tcBorders>
              <w:top w:val="single" w:color="auto" w:sz="4" w:space="0"/>
              <w:left w:val="single" w:color="auto" w:sz="4" w:space="0"/>
              <w:bottom w:val="single" w:color="auto" w:sz="4" w:space="0"/>
              <w:right w:val="single" w:color="auto" w:sz="4" w:space="0"/>
            </w:tcBorders>
            <w:noWrap w:val="0"/>
            <w:vAlign w:val="center"/>
          </w:tcPr>
          <w:p w14:paraId="45ABC4EB">
            <w:pPr>
              <w:spacing w:line="360" w:lineRule="auto"/>
              <w:jc w:val="center"/>
              <w:outlineLvl w:val="0"/>
              <w:rPr>
                <w:rFonts w:ascii="宋体" w:hAnsi="宋体" w:cs="宋体"/>
                <w:color w:val="000000"/>
                <w:sz w:val="24"/>
                <w:szCs w:val="24"/>
              </w:rPr>
            </w:pPr>
            <w:bookmarkStart w:id="600" w:name="_Toc6773"/>
            <w:bookmarkStart w:id="601" w:name="_Toc12266"/>
            <w:bookmarkStart w:id="602" w:name="_Toc28695"/>
            <w:bookmarkStart w:id="603" w:name="_Toc20403"/>
            <w:bookmarkStart w:id="604" w:name="_Toc16529"/>
            <w:bookmarkStart w:id="605" w:name="_Toc29053"/>
            <w:bookmarkStart w:id="606" w:name="_Toc15637"/>
            <w:bookmarkStart w:id="607" w:name="_Toc28549"/>
            <w:bookmarkStart w:id="608" w:name="_Toc30760"/>
            <w:bookmarkStart w:id="609" w:name="_Toc12477"/>
            <w:r>
              <w:rPr>
                <w:rFonts w:hint="eastAsia" w:ascii="宋体" w:hAnsi="宋体" w:cs="宋体"/>
                <w:color w:val="000000"/>
                <w:sz w:val="24"/>
                <w:szCs w:val="24"/>
              </w:rPr>
              <w:t>法定代表人身份证复印件</w:t>
            </w:r>
            <w:bookmarkEnd w:id="600"/>
            <w:bookmarkEnd w:id="601"/>
            <w:bookmarkEnd w:id="602"/>
            <w:bookmarkEnd w:id="603"/>
            <w:bookmarkEnd w:id="604"/>
            <w:bookmarkEnd w:id="605"/>
            <w:bookmarkEnd w:id="606"/>
            <w:bookmarkEnd w:id="607"/>
            <w:bookmarkEnd w:id="608"/>
            <w:bookmarkEnd w:id="609"/>
          </w:p>
          <w:p w14:paraId="70814C56">
            <w:pPr>
              <w:spacing w:line="360" w:lineRule="auto"/>
              <w:jc w:val="center"/>
              <w:outlineLvl w:val="0"/>
              <w:rPr>
                <w:rFonts w:ascii="宋体" w:hAnsi="宋体" w:cs="宋体"/>
                <w:color w:val="000000"/>
                <w:sz w:val="24"/>
                <w:szCs w:val="24"/>
              </w:rPr>
            </w:pPr>
          </w:p>
        </w:tc>
        <w:tc>
          <w:tcPr>
            <w:tcW w:w="4350" w:type="dxa"/>
            <w:tcBorders>
              <w:left w:val="single" w:color="auto" w:sz="4" w:space="0"/>
            </w:tcBorders>
            <w:noWrap w:val="0"/>
            <w:vAlign w:val="center"/>
          </w:tcPr>
          <w:p w14:paraId="358D91FA">
            <w:pPr>
              <w:spacing w:line="360" w:lineRule="auto"/>
              <w:jc w:val="center"/>
              <w:outlineLvl w:val="0"/>
              <w:rPr>
                <w:rFonts w:ascii="宋体" w:hAnsi="宋体" w:cs="宋体"/>
                <w:color w:val="000000"/>
                <w:sz w:val="24"/>
                <w:szCs w:val="24"/>
              </w:rPr>
            </w:pPr>
            <w:bookmarkStart w:id="610" w:name="_Toc30755"/>
            <w:bookmarkStart w:id="611" w:name="_Toc7697"/>
            <w:bookmarkStart w:id="612" w:name="_Toc17870"/>
            <w:bookmarkStart w:id="613" w:name="_Toc453"/>
            <w:bookmarkStart w:id="614" w:name="_Toc23486"/>
            <w:bookmarkStart w:id="615" w:name="_Toc28636"/>
            <w:bookmarkStart w:id="616" w:name="_Toc14348"/>
            <w:bookmarkStart w:id="617" w:name="_Toc24722"/>
            <w:bookmarkStart w:id="618" w:name="_Toc1528"/>
            <w:bookmarkStart w:id="619" w:name="_Toc17968"/>
            <w:r>
              <w:rPr>
                <w:rFonts w:hint="eastAsia" w:ascii="宋体" w:hAnsi="宋体" w:cs="宋体"/>
                <w:color w:val="000000"/>
                <w:sz w:val="24"/>
                <w:szCs w:val="24"/>
              </w:rPr>
              <w:t>被授权人身份证复印件</w:t>
            </w:r>
            <w:bookmarkEnd w:id="610"/>
            <w:bookmarkEnd w:id="611"/>
            <w:bookmarkEnd w:id="612"/>
            <w:bookmarkEnd w:id="613"/>
            <w:bookmarkEnd w:id="614"/>
            <w:bookmarkEnd w:id="615"/>
            <w:bookmarkEnd w:id="616"/>
            <w:bookmarkEnd w:id="617"/>
            <w:bookmarkEnd w:id="618"/>
            <w:bookmarkEnd w:id="619"/>
          </w:p>
          <w:p w14:paraId="0CE2907A">
            <w:pPr>
              <w:spacing w:line="360" w:lineRule="auto"/>
              <w:jc w:val="center"/>
              <w:outlineLvl w:val="0"/>
              <w:rPr>
                <w:rFonts w:ascii="宋体" w:hAnsi="宋体" w:cs="宋体"/>
                <w:color w:val="000000"/>
                <w:sz w:val="24"/>
                <w:szCs w:val="24"/>
              </w:rPr>
            </w:pPr>
          </w:p>
        </w:tc>
      </w:tr>
    </w:tbl>
    <w:p w14:paraId="3FD1D3BA">
      <w:pPr>
        <w:spacing w:line="360" w:lineRule="auto"/>
        <w:ind w:left="360" w:firstLine="482" w:firstLineChars="200"/>
        <w:jc w:val="left"/>
      </w:pPr>
      <w:r>
        <w:rPr>
          <w:rFonts w:hint="eastAsia" w:ascii="宋体" w:hAnsi="宋体" w:cs="宋体"/>
          <w:b/>
          <w:bCs/>
          <w:sz w:val="24"/>
          <w:szCs w:val="24"/>
        </w:rPr>
        <w:t>注：此授权书的有效期应与竞争性谈判响应文件有效期一致。</w:t>
      </w:r>
    </w:p>
    <w:p w14:paraId="3FC3D6FE">
      <w:pPr>
        <w:spacing w:line="480" w:lineRule="auto"/>
        <w:ind w:firstLine="3360" w:firstLineChars="1400"/>
        <w:rPr>
          <w:rFonts w:ascii="宋体" w:hAnsi="宋体" w:cs="宋体"/>
          <w:color w:val="000000"/>
          <w:sz w:val="24"/>
          <w:szCs w:val="24"/>
        </w:rPr>
      </w:pPr>
      <w:r>
        <w:rPr>
          <w:rFonts w:hint="eastAsia" w:ascii="宋体" w:hAnsi="宋体" w:cs="宋体"/>
          <w:color w:val="000000"/>
          <w:sz w:val="24"/>
          <w:szCs w:val="24"/>
        </w:rPr>
        <w:t>供应商：</w:t>
      </w:r>
      <w:r>
        <w:rPr>
          <w:rFonts w:hint="eastAsia" w:ascii="宋体" w:hAnsi="宋体" w:cs="宋体"/>
          <w:color w:val="000000"/>
          <w:sz w:val="24"/>
          <w:szCs w:val="24"/>
          <w:u w:val="single"/>
        </w:rPr>
        <w:t xml:space="preserve">                            </w:t>
      </w:r>
      <w:r>
        <w:rPr>
          <w:rFonts w:hint="eastAsia" w:ascii="宋体" w:hAnsi="宋体" w:cs="宋体"/>
          <w:color w:val="000000"/>
          <w:sz w:val="24"/>
          <w:szCs w:val="24"/>
        </w:rPr>
        <w:t>（公章）</w:t>
      </w:r>
    </w:p>
    <w:p w14:paraId="1D63D514">
      <w:pPr>
        <w:spacing w:line="480" w:lineRule="auto"/>
        <w:rPr>
          <w:rFonts w:ascii="宋体" w:hAnsi="宋体" w:cs="宋体"/>
          <w:color w:val="000000"/>
          <w:sz w:val="24"/>
          <w:szCs w:val="24"/>
          <w:u w:val="single"/>
        </w:rPr>
      </w:pPr>
      <w:r>
        <w:rPr>
          <w:rFonts w:hint="eastAsia" w:ascii="宋体" w:hAnsi="宋体" w:cs="宋体"/>
          <w:color w:val="000000"/>
          <w:sz w:val="24"/>
          <w:szCs w:val="24"/>
        </w:rPr>
        <w:t xml:space="preserve">                            法定代表人</w:t>
      </w:r>
      <w:r>
        <w:rPr>
          <w:rFonts w:hint="eastAsia" w:ascii="宋体" w:hAnsi="宋体" w:cs="宋体"/>
          <w:sz w:val="24"/>
          <w:szCs w:val="24"/>
        </w:rPr>
        <w:t>（签字</w:t>
      </w:r>
      <w:r>
        <w:rPr>
          <w:rFonts w:hint="eastAsia" w:ascii="宋体" w:hAnsi="宋体" w:cs="宋体"/>
          <w:sz w:val="24"/>
          <w:szCs w:val="24"/>
          <w:lang w:val="en-US" w:eastAsia="zh-CN"/>
        </w:rPr>
        <w:t>或</w:t>
      </w:r>
      <w:r>
        <w:rPr>
          <w:rFonts w:hint="eastAsia" w:ascii="宋体" w:hAnsi="宋体" w:cs="宋体"/>
          <w:sz w:val="24"/>
          <w:szCs w:val="24"/>
        </w:rPr>
        <w:t>盖章）</w:t>
      </w:r>
      <w:r>
        <w:rPr>
          <w:rFonts w:hint="eastAsia" w:ascii="宋体" w:hAnsi="宋体" w:cs="宋体"/>
          <w:color w:val="000000"/>
          <w:sz w:val="24"/>
          <w:szCs w:val="24"/>
        </w:rPr>
        <w:t>：</w:t>
      </w:r>
      <w:r>
        <w:rPr>
          <w:rFonts w:hint="eastAsia" w:ascii="宋体" w:hAnsi="宋体" w:cs="宋体"/>
          <w:color w:val="000000"/>
          <w:sz w:val="24"/>
          <w:szCs w:val="24"/>
          <w:u w:val="single"/>
        </w:rPr>
        <w:t xml:space="preserve">                  </w:t>
      </w:r>
    </w:p>
    <w:p w14:paraId="62BE62B8">
      <w:pPr>
        <w:spacing w:line="360" w:lineRule="auto"/>
        <w:rPr>
          <w:rFonts w:ascii="宋体" w:hAnsi="宋体" w:cs="宋体"/>
          <w:b/>
          <w:sz w:val="32"/>
        </w:rPr>
      </w:pPr>
    </w:p>
    <w:bookmarkEnd w:id="554"/>
    <w:bookmarkEnd w:id="555"/>
    <w:bookmarkEnd w:id="556"/>
    <w:bookmarkEnd w:id="557"/>
    <w:bookmarkEnd w:id="558"/>
    <w:bookmarkEnd w:id="559"/>
    <w:bookmarkEnd w:id="560"/>
    <w:bookmarkEnd w:id="561"/>
    <w:bookmarkEnd w:id="562"/>
    <w:bookmarkEnd w:id="563"/>
    <w:p w14:paraId="5023C61A">
      <w:pPr>
        <w:pStyle w:val="3"/>
        <w:jc w:val="center"/>
        <w:rPr>
          <w:rFonts w:hint="eastAsia" w:ascii="宋体" w:hAnsi="宋体" w:eastAsia="宋体" w:cs="宋体"/>
        </w:rPr>
        <w:sectPr>
          <w:pgSz w:w="11906" w:h="16838"/>
          <w:pgMar w:top="1121" w:right="1418" w:bottom="417" w:left="1418" w:header="720" w:footer="720" w:gutter="0"/>
          <w:cols w:space="720" w:num="1"/>
          <w:titlePg/>
          <w:docGrid w:type="lines" w:linePitch="312" w:charSpace="0"/>
        </w:sectPr>
      </w:pPr>
      <w:bookmarkStart w:id="620" w:name="_Toc14484"/>
    </w:p>
    <w:p w14:paraId="4C8C038B">
      <w:pPr>
        <w:spacing w:line="240" w:lineRule="auto"/>
        <w:jc w:val="center"/>
        <w:rPr>
          <w:rFonts w:hint="eastAsia" w:ascii="宋体" w:hAnsi="宋体" w:cs="宋体"/>
          <w:color w:val="auto"/>
        </w:rPr>
      </w:pPr>
      <w:bookmarkStart w:id="621" w:name="_Toc25497"/>
      <w:r>
        <w:rPr>
          <w:rFonts w:hint="eastAsia" w:ascii="宋体" w:hAnsi="宋体" w:cs="宋体"/>
          <w:b/>
          <w:color w:val="auto"/>
          <w:sz w:val="32"/>
          <w:szCs w:val="22"/>
          <w:lang w:val="en-US" w:eastAsia="zh-CN"/>
        </w:rPr>
        <w:t>十一、</w:t>
      </w:r>
      <w:r>
        <w:rPr>
          <w:rFonts w:hint="eastAsia" w:ascii="宋体" w:hAnsi="宋体" w:cs="宋体"/>
          <w:b/>
          <w:color w:val="auto"/>
          <w:sz w:val="32"/>
          <w:szCs w:val="22"/>
          <w:lang w:eastAsia="zh-CN"/>
        </w:rPr>
        <w:t>货物简要说明</w:t>
      </w:r>
      <w:r>
        <w:rPr>
          <w:rFonts w:hint="eastAsia" w:ascii="宋体" w:hAnsi="宋体" w:cs="宋体"/>
          <w:b/>
          <w:color w:val="auto"/>
          <w:sz w:val="32"/>
          <w:szCs w:val="22"/>
        </w:rPr>
        <w:t>一览表</w:t>
      </w:r>
    </w:p>
    <w:p w14:paraId="2C4B2031">
      <w:pPr>
        <w:rPr>
          <w:rFonts w:hint="eastAsia" w:ascii="宋体" w:hAnsi="宋体" w:cs="宋体"/>
          <w:color w:val="auto"/>
        </w:rPr>
      </w:pPr>
      <w:r>
        <w:rPr>
          <w:rFonts w:hint="eastAsia" w:ascii="宋体" w:hAnsi="宋体" w:cs="宋体"/>
          <w:color w:val="auto"/>
          <w:sz w:val="24"/>
          <w:szCs w:val="24"/>
        </w:rPr>
        <w:t xml:space="preserve">             </w:t>
      </w:r>
    </w:p>
    <w:tbl>
      <w:tblPr>
        <w:tblStyle w:val="17"/>
        <w:tblW w:w="1045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2200"/>
        <w:gridCol w:w="2456"/>
        <w:gridCol w:w="1440"/>
        <w:gridCol w:w="1440"/>
        <w:gridCol w:w="1980"/>
        <w:gridCol w:w="941"/>
      </w:tblGrid>
      <w:tr w14:paraId="0ACDF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00" w:hRule="atLeast"/>
          <w:jc w:val="center"/>
        </w:trPr>
        <w:tc>
          <w:tcPr>
            <w:tcW w:w="2200" w:type="dxa"/>
            <w:noWrap w:val="0"/>
            <w:vAlign w:val="center"/>
          </w:tcPr>
          <w:p w14:paraId="2102000C">
            <w:pPr>
              <w:spacing w:line="360" w:lineRule="auto"/>
              <w:jc w:val="center"/>
              <w:rPr>
                <w:rFonts w:hint="eastAsia" w:ascii="宋体" w:hAnsi="宋体" w:cs="仿宋_GB2312"/>
                <w:b/>
                <w:bCs/>
                <w:color w:val="auto"/>
                <w:sz w:val="24"/>
                <w:szCs w:val="24"/>
              </w:rPr>
            </w:pPr>
            <w:r>
              <w:rPr>
                <w:rFonts w:hint="eastAsia" w:ascii="宋体" w:hAnsi="宋体" w:cs="仿宋_GB2312"/>
                <w:b/>
                <w:bCs/>
                <w:color w:val="auto"/>
                <w:sz w:val="24"/>
                <w:szCs w:val="24"/>
              </w:rPr>
              <w:t>货物名称</w:t>
            </w:r>
          </w:p>
        </w:tc>
        <w:tc>
          <w:tcPr>
            <w:tcW w:w="2456" w:type="dxa"/>
            <w:noWrap w:val="0"/>
            <w:vAlign w:val="center"/>
          </w:tcPr>
          <w:p w14:paraId="5E4FFE3E">
            <w:pPr>
              <w:spacing w:line="360" w:lineRule="auto"/>
              <w:jc w:val="center"/>
              <w:rPr>
                <w:rFonts w:hint="eastAsia" w:ascii="宋体" w:hAnsi="宋体" w:cs="仿宋_GB2312"/>
                <w:b/>
                <w:bCs/>
                <w:color w:val="auto"/>
                <w:sz w:val="24"/>
                <w:szCs w:val="24"/>
              </w:rPr>
            </w:pPr>
            <w:r>
              <w:rPr>
                <w:rFonts w:hint="eastAsia" w:ascii="宋体" w:hAnsi="宋体" w:cs="仿宋_GB2312"/>
                <w:b/>
                <w:bCs/>
                <w:color w:val="auto"/>
                <w:sz w:val="24"/>
                <w:szCs w:val="24"/>
              </w:rPr>
              <w:t>型号规格或</w:t>
            </w:r>
          </w:p>
          <w:p w14:paraId="08980E66">
            <w:pPr>
              <w:spacing w:line="360" w:lineRule="auto"/>
              <w:jc w:val="center"/>
              <w:rPr>
                <w:rFonts w:hint="eastAsia" w:ascii="宋体" w:hAnsi="宋体" w:cs="仿宋_GB2312"/>
                <w:b/>
                <w:bCs/>
                <w:color w:val="auto"/>
                <w:sz w:val="24"/>
                <w:szCs w:val="24"/>
              </w:rPr>
            </w:pPr>
            <w:r>
              <w:rPr>
                <w:rFonts w:hint="eastAsia" w:ascii="宋体" w:hAnsi="宋体" w:cs="仿宋_GB2312"/>
                <w:b/>
                <w:bCs/>
                <w:color w:val="auto"/>
                <w:sz w:val="24"/>
                <w:szCs w:val="24"/>
              </w:rPr>
              <w:t>主要技术指标</w:t>
            </w:r>
          </w:p>
        </w:tc>
        <w:tc>
          <w:tcPr>
            <w:tcW w:w="1440" w:type="dxa"/>
            <w:noWrap w:val="0"/>
            <w:vAlign w:val="center"/>
          </w:tcPr>
          <w:p w14:paraId="44EB2586">
            <w:pPr>
              <w:spacing w:line="360" w:lineRule="auto"/>
              <w:jc w:val="center"/>
              <w:rPr>
                <w:rFonts w:hint="eastAsia" w:ascii="宋体" w:hAnsi="宋体" w:cs="仿宋_GB2312"/>
                <w:b/>
                <w:bCs/>
                <w:color w:val="auto"/>
                <w:sz w:val="24"/>
                <w:szCs w:val="24"/>
              </w:rPr>
            </w:pPr>
            <w:r>
              <w:rPr>
                <w:rFonts w:hint="eastAsia" w:ascii="宋体" w:hAnsi="宋体" w:eastAsia="宋体" w:cs="宋体"/>
                <w:b/>
                <w:bCs/>
                <w:color w:val="auto"/>
                <w:sz w:val="24"/>
                <w:szCs w:val="24"/>
              </w:rPr>
              <w:t>品牌</w:t>
            </w:r>
          </w:p>
        </w:tc>
        <w:tc>
          <w:tcPr>
            <w:tcW w:w="1440" w:type="dxa"/>
            <w:noWrap w:val="0"/>
            <w:vAlign w:val="center"/>
          </w:tcPr>
          <w:p w14:paraId="04BB83CE">
            <w:pPr>
              <w:spacing w:line="360" w:lineRule="auto"/>
              <w:jc w:val="center"/>
              <w:rPr>
                <w:rFonts w:hint="eastAsia" w:ascii="宋体" w:hAnsi="宋体" w:cs="仿宋_GB2312"/>
                <w:b/>
                <w:bCs/>
                <w:color w:val="auto"/>
                <w:sz w:val="24"/>
                <w:szCs w:val="24"/>
              </w:rPr>
            </w:pPr>
            <w:r>
              <w:rPr>
                <w:rFonts w:hint="eastAsia" w:ascii="宋体" w:hAnsi="宋体" w:cs="仿宋_GB2312"/>
                <w:b/>
                <w:bCs/>
                <w:color w:val="auto"/>
                <w:sz w:val="24"/>
                <w:szCs w:val="24"/>
              </w:rPr>
              <w:t>原产地</w:t>
            </w:r>
          </w:p>
        </w:tc>
        <w:tc>
          <w:tcPr>
            <w:tcW w:w="1980" w:type="dxa"/>
            <w:noWrap w:val="0"/>
            <w:vAlign w:val="center"/>
          </w:tcPr>
          <w:p w14:paraId="16B875F4">
            <w:pPr>
              <w:spacing w:line="360" w:lineRule="auto"/>
              <w:jc w:val="center"/>
              <w:rPr>
                <w:rFonts w:hint="eastAsia" w:ascii="宋体" w:hAnsi="宋体" w:cs="仿宋_GB2312"/>
                <w:b/>
                <w:bCs/>
                <w:color w:val="auto"/>
                <w:sz w:val="24"/>
                <w:szCs w:val="24"/>
              </w:rPr>
            </w:pPr>
            <w:r>
              <w:rPr>
                <w:rFonts w:hint="eastAsia" w:ascii="宋体" w:hAnsi="宋体" w:cs="仿宋_GB2312"/>
                <w:b/>
                <w:bCs/>
                <w:color w:val="auto"/>
                <w:sz w:val="24"/>
                <w:szCs w:val="24"/>
              </w:rPr>
              <w:t>生产商/开发商</w:t>
            </w:r>
          </w:p>
        </w:tc>
        <w:tc>
          <w:tcPr>
            <w:tcW w:w="941" w:type="dxa"/>
            <w:noWrap w:val="0"/>
            <w:vAlign w:val="center"/>
          </w:tcPr>
          <w:p w14:paraId="4E77DD21">
            <w:pPr>
              <w:spacing w:line="360" w:lineRule="auto"/>
              <w:jc w:val="center"/>
              <w:rPr>
                <w:rFonts w:hint="eastAsia" w:ascii="宋体" w:hAnsi="宋体" w:cs="仿宋_GB2312"/>
                <w:b/>
                <w:bCs/>
                <w:color w:val="auto"/>
                <w:sz w:val="24"/>
                <w:szCs w:val="24"/>
              </w:rPr>
            </w:pPr>
            <w:r>
              <w:rPr>
                <w:rFonts w:hint="eastAsia" w:ascii="宋体" w:hAnsi="宋体" w:cs="仿宋_GB2312"/>
                <w:b/>
                <w:bCs/>
                <w:color w:val="auto"/>
                <w:sz w:val="24"/>
                <w:szCs w:val="24"/>
              </w:rPr>
              <w:t>备注</w:t>
            </w:r>
          </w:p>
        </w:tc>
      </w:tr>
      <w:tr w14:paraId="30C4E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72EA2305">
            <w:pPr>
              <w:spacing w:line="360" w:lineRule="auto"/>
              <w:jc w:val="center"/>
              <w:rPr>
                <w:rFonts w:hint="eastAsia" w:ascii="宋体" w:hAnsi="宋体" w:cs="仿宋_GB2312"/>
                <w:color w:val="auto"/>
                <w:sz w:val="24"/>
                <w:szCs w:val="24"/>
              </w:rPr>
            </w:pPr>
          </w:p>
        </w:tc>
        <w:tc>
          <w:tcPr>
            <w:tcW w:w="2456" w:type="dxa"/>
            <w:noWrap w:val="0"/>
            <w:vAlign w:val="top"/>
          </w:tcPr>
          <w:p w14:paraId="7274FFF3">
            <w:pPr>
              <w:spacing w:line="360" w:lineRule="auto"/>
              <w:jc w:val="center"/>
              <w:rPr>
                <w:rFonts w:hint="eastAsia" w:ascii="宋体" w:hAnsi="宋体" w:cs="仿宋_GB2312"/>
                <w:color w:val="auto"/>
                <w:sz w:val="24"/>
                <w:szCs w:val="24"/>
              </w:rPr>
            </w:pPr>
          </w:p>
        </w:tc>
        <w:tc>
          <w:tcPr>
            <w:tcW w:w="1440" w:type="dxa"/>
            <w:noWrap w:val="0"/>
            <w:vAlign w:val="top"/>
          </w:tcPr>
          <w:p w14:paraId="0586EE25">
            <w:pPr>
              <w:spacing w:line="360" w:lineRule="auto"/>
              <w:jc w:val="center"/>
              <w:rPr>
                <w:rFonts w:hint="eastAsia" w:ascii="宋体" w:hAnsi="宋体" w:cs="仿宋_GB2312"/>
                <w:color w:val="auto"/>
                <w:sz w:val="24"/>
                <w:szCs w:val="24"/>
              </w:rPr>
            </w:pPr>
          </w:p>
        </w:tc>
        <w:tc>
          <w:tcPr>
            <w:tcW w:w="1440" w:type="dxa"/>
            <w:noWrap w:val="0"/>
            <w:vAlign w:val="top"/>
          </w:tcPr>
          <w:p w14:paraId="404BD9E5">
            <w:pPr>
              <w:spacing w:line="360" w:lineRule="auto"/>
              <w:jc w:val="center"/>
              <w:rPr>
                <w:rFonts w:hint="eastAsia" w:ascii="宋体" w:hAnsi="宋体" w:cs="仿宋_GB2312"/>
                <w:color w:val="auto"/>
                <w:sz w:val="24"/>
                <w:szCs w:val="24"/>
              </w:rPr>
            </w:pPr>
          </w:p>
        </w:tc>
        <w:tc>
          <w:tcPr>
            <w:tcW w:w="1980" w:type="dxa"/>
            <w:noWrap w:val="0"/>
            <w:vAlign w:val="top"/>
          </w:tcPr>
          <w:p w14:paraId="04C96335">
            <w:pPr>
              <w:spacing w:line="360" w:lineRule="auto"/>
              <w:jc w:val="center"/>
              <w:rPr>
                <w:rFonts w:hint="eastAsia" w:ascii="宋体" w:hAnsi="宋体" w:cs="仿宋_GB2312"/>
                <w:color w:val="auto"/>
                <w:sz w:val="24"/>
                <w:szCs w:val="24"/>
              </w:rPr>
            </w:pPr>
          </w:p>
        </w:tc>
        <w:tc>
          <w:tcPr>
            <w:tcW w:w="941" w:type="dxa"/>
            <w:noWrap w:val="0"/>
            <w:vAlign w:val="top"/>
          </w:tcPr>
          <w:p w14:paraId="39CB36F6">
            <w:pPr>
              <w:spacing w:line="360" w:lineRule="auto"/>
              <w:jc w:val="center"/>
              <w:rPr>
                <w:rFonts w:hint="eastAsia" w:ascii="宋体" w:hAnsi="宋体" w:cs="仿宋_GB2312"/>
                <w:color w:val="auto"/>
                <w:sz w:val="24"/>
                <w:szCs w:val="24"/>
              </w:rPr>
            </w:pPr>
          </w:p>
        </w:tc>
      </w:tr>
      <w:tr w14:paraId="48CBF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108EDBDA">
            <w:pPr>
              <w:spacing w:line="360" w:lineRule="auto"/>
              <w:jc w:val="center"/>
              <w:rPr>
                <w:rFonts w:hint="eastAsia" w:ascii="宋体" w:hAnsi="宋体" w:cs="仿宋_GB2312"/>
                <w:color w:val="auto"/>
                <w:sz w:val="24"/>
                <w:szCs w:val="24"/>
              </w:rPr>
            </w:pPr>
          </w:p>
        </w:tc>
        <w:tc>
          <w:tcPr>
            <w:tcW w:w="2456" w:type="dxa"/>
            <w:noWrap w:val="0"/>
            <w:vAlign w:val="top"/>
          </w:tcPr>
          <w:p w14:paraId="1F19D7EC">
            <w:pPr>
              <w:spacing w:line="360" w:lineRule="auto"/>
              <w:jc w:val="center"/>
              <w:rPr>
                <w:rFonts w:hint="eastAsia" w:ascii="宋体" w:hAnsi="宋体" w:cs="仿宋_GB2312"/>
                <w:color w:val="auto"/>
                <w:sz w:val="24"/>
                <w:szCs w:val="24"/>
              </w:rPr>
            </w:pPr>
          </w:p>
        </w:tc>
        <w:tc>
          <w:tcPr>
            <w:tcW w:w="1440" w:type="dxa"/>
            <w:noWrap w:val="0"/>
            <w:vAlign w:val="top"/>
          </w:tcPr>
          <w:p w14:paraId="75E03785">
            <w:pPr>
              <w:spacing w:line="360" w:lineRule="auto"/>
              <w:jc w:val="center"/>
              <w:rPr>
                <w:rFonts w:hint="eastAsia" w:ascii="宋体" w:hAnsi="宋体" w:cs="仿宋_GB2312"/>
                <w:color w:val="auto"/>
                <w:sz w:val="24"/>
                <w:szCs w:val="24"/>
              </w:rPr>
            </w:pPr>
          </w:p>
        </w:tc>
        <w:tc>
          <w:tcPr>
            <w:tcW w:w="1440" w:type="dxa"/>
            <w:noWrap w:val="0"/>
            <w:vAlign w:val="top"/>
          </w:tcPr>
          <w:p w14:paraId="7756591F">
            <w:pPr>
              <w:spacing w:line="360" w:lineRule="auto"/>
              <w:jc w:val="center"/>
              <w:rPr>
                <w:rFonts w:hint="eastAsia" w:ascii="宋体" w:hAnsi="宋体" w:cs="仿宋_GB2312"/>
                <w:color w:val="auto"/>
                <w:sz w:val="24"/>
                <w:szCs w:val="24"/>
              </w:rPr>
            </w:pPr>
          </w:p>
        </w:tc>
        <w:tc>
          <w:tcPr>
            <w:tcW w:w="1980" w:type="dxa"/>
            <w:noWrap w:val="0"/>
            <w:vAlign w:val="top"/>
          </w:tcPr>
          <w:p w14:paraId="7BCF0335">
            <w:pPr>
              <w:spacing w:line="360" w:lineRule="auto"/>
              <w:jc w:val="center"/>
              <w:rPr>
                <w:rFonts w:hint="eastAsia" w:ascii="宋体" w:hAnsi="宋体" w:cs="仿宋_GB2312"/>
                <w:color w:val="auto"/>
                <w:sz w:val="24"/>
                <w:szCs w:val="24"/>
              </w:rPr>
            </w:pPr>
          </w:p>
        </w:tc>
        <w:tc>
          <w:tcPr>
            <w:tcW w:w="941" w:type="dxa"/>
            <w:noWrap w:val="0"/>
            <w:vAlign w:val="top"/>
          </w:tcPr>
          <w:p w14:paraId="55289896">
            <w:pPr>
              <w:spacing w:line="360" w:lineRule="auto"/>
              <w:jc w:val="center"/>
              <w:rPr>
                <w:rFonts w:hint="eastAsia" w:ascii="宋体" w:hAnsi="宋体" w:cs="仿宋_GB2312"/>
                <w:color w:val="auto"/>
                <w:sz w:val="24"/>
                <w:szCs w:val="24"/>
              </w:rPr>
            </w:pPr>
          </w:p>
        </w:tc>
      </w:tr>
      <w:tr w14:paraId="6B188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2C35BFB5">
            <w:pPr>
              <w:spacing w:line="360" w:lineRule="auto"/>
              <w:jc w:val="center"/>
              <w:rPr>
                <w:rFonts w:hint="eastAsia" w:ascii="宋体" w:hAnsi="宋体" w:cs="仿宋_GB2312"/>
                <w:color w:val="auto"/>
                <w:sz w:val="24"/>
                <w:szCs w:val="24"/>
              </w:rPr>
            </w:pPr>
          </w:p>
        </w:tc>
        <w:tc>
          <w:tcPr>
            <w:tcW w:w="2456" w:type="dxa"/>
            <w:noWrap w:val="0"/>
            <w:vAlign w:val="top"/>
          </w:tcPr>
          <w:p w14:paraId="6766E506">
            <w:pPr>
              <w:spacing w:line="360" w:lineRule="auto"/>
              <w:jc w:val="center"/>
              <w:rPr>
                <w:rFonts w:hint="eastAsia" w:ascii="宋体" w:hAnsi="宋体" w:cs="仿宋_GB2312"/>
                <w:color w:val="auto"/>
                <w:sz w:val="24"/>
                <w:szCs w:val="24"/>
              </w:rPr>
            </w:pPr>
          </w:p>
        </w:tc>
        <w:tc>
          <w:tcPr>
            <w:tcW w:w="1440" w:type="dxa"/>
            <w:noWrap w:val="0"/>
            <w:vAlign w:val="top"/>
          </w:tcPr>
          <w:p w14:paraId="6C3D1571">
            <w:pPr>
              <w:spacing w:line="360" w:lineRule="auto"/>
              <w:jc w:val="center"/>
              <w:rPr>
                <w:rFonts w:hint="eastAsia" w:ascii="宋体" w:hAnsi="宋体" w:cs="仿宋_GB2312"/>
                <w:color w:val="auto"/>
                <w:sz w:val="24"/>
                <w:szCs w:val="24"/>
              </w:rPr>
            </w:pPr>
          </w:p>
        </w:tc>
        <w:tc>
          <w:tcPr>
            <w:tcW w:w="1440" w:type="dxa"/>
            <w:noWrap w:val="0"/>
            <w:vAlign w:val="top"/>
          </w:tcPr>
          <w:p w14:paraId="2C3F601A">
            <w:pPr>
              <w:spacing w:line="360" w:lineRule="auto"/>
              <w:jc w:val="center"/>
              <w:rPr>
                <w:rFonts w:hint="eastAsia" w:ascii="宋体" w:hAnsi="宋体" w:cs="仿宋_GB2312"/>
                <w:color w:val="auto"/>
                <w:sz w:val="24"/>
                <w:szCs w:val="24"/>
              </w:rPr>
            </w:pPr>
          </w:p>
        </w:tc>
        <w:tc>
          <w:tcPr>
            <w:tcW w:w="1980" w:type="dxa"/>
            <w:noWrap w:val="0"/>
            <w:vAlign w:val="top"/>
          </w:tcPr>
          <w:p w14:paraId="1C7F7C55">
            <w:pPr>
              <w:spacing w:line="360" w:lineRule="auto"/>
              <w:jc w:val="center"/>
              <w:rPr>
                <w:rFonts w:hint="eastAsia" w:ascii="宋体" w:hAnsi="宋体" w:cs="仿宋_GB2312"/>
                <w:color w:val="auto"/>
                <w:sz w:val="24"/>
                <w:szCs w:val="24"/>
              </w:rPr>
            </w:pPr>
          </w:p>
        </w:tc>
        <w:tc>
          <w:tcPr>
            <w:tcW w:w="941" w:type="dxa"/>
            <w:noWrap w:val="0"/>
            <w:vAlign w:val="top"/>
          </w:tcPr>
          <w:p w14:paraId="432F200F">
            <w:pPr>
              <w:spacing w:line="360" w:lineRule="auto"/>
              <w:jc w:val="center"/>
              <w:rPr>
                <w:rFonts w:hint="eastAsia" w:ascii="宋体" w:hAnsi="宋体" w:cs="仿宋_GB2312"/>
                <w:color w:val="auto"/>
                <w:sz w:val="24"/>
                <w:szCs w:val="24"/>
              </w:rPr>
            </w:pPr>
          </w:p>
        </w:tc>
      </w:tr>
      <w:tr w14:paraId="4A0ADD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rHeight w:val="500" w:hRule="atLeast"/>
          <w:jc w:val="center"/>
        </w:trPr>
        <w:tc>
          <w:tcPr>
            <w:tcW w:w="2200" w:type="dxa"/>
            <w:noWrap w:val="0"/>
            <w:vAlign w:val="top"/>
          </w:tcPr>
          <w:p w14:paraId="2E5EC137">
            <w:pPr>
              <w:spacing w:line="360" w:lineRule="auto"/>
              <w:jc w:val="center"/>
              <w:rPr>
                <w:rFonts w:hint="eastAsia" w:ascii="宋体" w:hAnsi="宋体" w:cs="仿宋_GB2312"/>
                <w:color w:val="auto"/>
                <w:sz w:val="24"/>
                <w:szCs w:val="24"/>
              </w:rPr>
            </w:pPr>
          </w:p>
        </w:tc>
        <w:tc>
          <w:tcPr>
            <w:tcW w:w="2456" w:type="dxa"/>
            <w:noWrap w:val="0"/>
            <w:vAlign w:val="top"/>
          </w:tcPr>
          <w:p w14:paraId="29506512">
            <w:pPr>
              <w:spacing w:line="360" w:lineRule="auto"/>
              <w:jc w:val="center"/>
              <w:rPr>
                <w:rFonts w:hint="eastAsia" w:ascii="宋体" w:hAnsi="宋体" w:cs="仿宋_GB2312"/>
                <w:color w:val="auto"/>
                <w:sz w:val="24"/>
                <w:szCs w:val="24"/>
              </w:rPr>
            </w:pPr>
          </w:p>
        </w:tc>
        <w:tc>
          <w:tcPr>
            <w:tcW w:w="1440" w:type="dxa"/>
            <w:noWrap w:val="0"/>
            <w:vAlign w:val="top"/>
          </w:tcPr>
          <w:p w14:paraId="4599A522">
            <w:pPr>
              <w:spacing w:line="360" w:lineRule="auto"/>
              <w:jc w:val="center"/>
              <w:rPr>
                <w:rFonts w:hint="eastAsia" w:ascii="宋体" w:hAnsi="宋体" w:cs="仿宋_GB2312"/>
                <w:color w:val="auto"/>
                <w:sz w:val="24"/>
                <w:szCs w:val="24"/>
              </w:rPr>
            </w:pPr>
          </w:p>
        </w:tc>
        <w:tc>
          <w:tcPr>
            <w:tcW w:w="1440" w:type="dxa"/>
            <w:noWrap w:val="0"/>
            <w:vAlign w:val="top"/>
          </w:tcPr>
          <w:p w14:paraId="748D2085">
            <w:pPr>
              <w:spacing w:line="360" w:lineRule="auto"/>
              <w:jc w:val="center"/>
              <w:rPr>
                <w:rFonts w:hint="eastAsia" w:ascii="宋体" w:hAnsi="宋体" w:cs="仿宋_GB2312"/>
                <w:color w:val="auto"/>
                <w:sz w:val="24"/>
                <w:szCs w:val="24"/>
              </w:rPr>
            </w:pPr>
          </w:p>
        </w:tc>
        <w:tc>
          <w:tcPr>
            <w:tcW w:w="1980" w:type="dxa"/>
            <w:noWrap w:val="0"/>
            <w:vAlign w:val="top"/>
          </w:tcPr>
          <w:p w14:paraId="0CBA82FC">
            <w:pPr>
              <w:spacing w:line="360" w:lineRule="auto"/>
              <w:jc w:val="center"/>
              <w:rPr>
                <w:rFonts w:hint="eastAsia" w:ascii="宋体" w:hAnsi="宋体" w:cs="仿宋_GB2312"/>
                <w:color w:val="auto"/>
                <w:sz w:val="24"/>
                <w:szCs w:val="24"/>
              </w:rPr>
            </w:pPr>
          </w:p>
        </w:tc>
        <w:tc>
          <w:tcPr>
            <w:tcW w:w="941" w:type="dxa"/>
            <w:noWrap w:val="0"/>
            <w:vAlign w:val="top"/>
          </w:tcPr>
          <w:p w14:paraId="588E117B">
            <w:pPr>
              <w:spacing w:line="360" w:lineRule="auto"/>
              <w:jc w:val="center"/>
              <w:rPr>
                <w:rFonts w:hint="eastAsia" w:ascii="宋体" w:hAnsi="宋体" w:cs="仿宋_GB2312"/>
                <w:color w:val="auto"/>
                <w:sz w:val="24"/>
                <w:szCs w:val="24"/>
              </w:rPr>
            </w:pPr>
          </w:p>
        </w:tc>
      </w:tr>
      <w:tr w14:paraId="1065E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31AE1566">
            <w:pPr>
              <w:spacing w:line="360" w:lineRule="auto"/>
              <w:jc w:val="center"/>
              <w:rPr>
                <w:rFonts w:hint="eastAsia" w:ascii="宋体" w:hAnsi="宋体" w:cs="仿宋_GB2312"/>
                <w:color w:val="auto"/>
                <w:sz w:val="24"/>
                <w:szCs w:val="24"/>
              </w:rPr>
            </w:pPr>
          </w:p>
        </w:tc>
        <w:tc>
          <w:tcPr>
            <w:tcW w:w="2456" w:type="dxa"/>
            <w:noWrap w:val="0"/>
            <w:vAlign w:val="top"/>
          </w:tcPr>
          <w:p w14:paraId="11A5507C">
            <w:pPr>
              <w:spacing w:line="360" w:lineRule="auto"/>
              <w:jc w:val="center"/>
              <w:rPr>
                <w:rFonts w:hint="eastAsia" w:ascii="宋体" w:hAnsi="宋体" w:cs="仿宋_GB2312"/>
                <w:color w:val="auto"/>
                <w:sz w:val="24"/>
                <w:szCs w:val="24"/>
              </w:rPr>
            </w:pPr>
          </w:p>
        </w:tc>
        <w:tc>
          <w:tcPr>
            <w:tcW w:w="1440" w:type="dxa"/>
            <w:noWrap w:val="0"/>
            <w:vAlign w:val="top"/>
          </w:tcPr>
          <w:p w14:paraId="461583C5">
            <w:pPr>
              <w:spacing w:line="360" w:lineRule="auto"/>
              <w:jc w:val="center"/>
              <w:rPr>
                <w:rFonts w:hint="eastAsia" w:ascii="宋体" w:hAnsi="宋体" w:cs="仿宋_GB2312"/>
                <w:color w:val="auto"/>
                <w:sz w:val="24"/>
                <w:szCs w:val="24"/>
              </w:rPr>
            </w:pPr>
          </w:p>
        </w:tc>
        <w:tc>
          <w:tcPr>
            <w:tcW w:w="1440" w:type="dxa"/>
            <w:noWrap w:val="0"/>
            <w:vAlign w:val="top"/>
          </w:tcPr>
          <w:p w14:paraId="0D1F0D50">
            <w:pPr>
              <w:spacing w:line="360" w:lineRule="auto"/>
              <w:jc w:val="center"/>
              <w:rPr>
                <w:rFonts w:hint="eastAsia" w:ascii="宋体" w:hAnsi="宋体" w:cs="仿宋_GB2312"/>
                <w:color w:val="auto"/>
                <w:sz w:val="24"/>
                <w:szCs w:val="24"/>
              </w:rPr>
            </w:pPr>
          </w:p>
        </w:tc>
        <w:tc>
          <w:tcPr>
            <w:tcW w:w="1980" w:type="dxa"/>
            <w:noWrap w:val="0"/>
            <w:vAlign w:val="top"/>
          </w:tcPr>
          <w:p w14:paraId="6AD6607B">
            <w:pPr>
              <w:spacing w:line="360" w:lineRule="auto"/>
              <w:jc w:val="center"/>
              <w:rPr>
                <w:rFonts w:hint="eastAsia" w:ascii="宋体" w:hAnsi="宋体" w:cs="仿宋_GB2312"/>
                <w:color w:val="auto"/>
                <w:sz w:val="24"/>
                <w:szCs w:val="24"/>
              </w:rPr>
            </w:pPr>
          </w:p>
        </w:tc>
        <w:tc>
          <w:tcPr>
            <w:tcW w:w="941" w:type="dxa"/>
            <w:noWrap w:val="0"/>
            <w:vAlign w:val="top"/>
          </w:tcPr>
          <w:p w14:paraId="0F8095DB">
            <w:pPr>
              <w:spacing w:line="360" w:lineRule="auto"/>
              <w:jc w:val="center"/>
              <w:rPr>
                <w:rFonts w:hint="eastAsia" w:ascii="宋体" w:hAnsi="宋体" w:cs="仿宋_GB2312"/>
                <w:color w:val="auto"/>
                <w:sz w:val="24"/>
                <w:szCs w:val="24"/>
              </w:rPr>
            </w:pPr>
          </w:p>
        </w:tc>
      </w:tr>
      <w:tr w14:paraId="4123A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704E0D2D">
            <w:pPr>
              <w:spacing w:line="360" w:lineRule="auto"/>
              <w:jc w:val="center"/>
              <w:rPr>
                <w:rFonts w:hint="eastAsia" w:ascii="宋体" w:hAnsi="宋体" w:cs="仿宋_GB2312"/>
                <w:color w:val="auto"/>
                <w:sz w:val="24"/>
                <w:szCs w:val="24"/>
              </w:rPr>
            </w:pPr>
          </w:p>
        </w:tc>
        <w:tc>
          <w:tcPr>
            <w:tcW w:w="2456" w:type="dxa"/>
            <w:noWrap w:val="0"/>
            <w:vAlign w:val="top"/>
          </w:tcPr>
          <w:p w14:paraId="315AD0AB">
            <w:pPr>
              <w:spacing w:line="360" w:lineRule="auto"/>
              <w:jc w:val="center"/>
              <w:rPr>
                <w:rFonts w:hint="eastAsia" w:ascii="宋体" w:hAnsi="宋体" w:cs="仿宋_GB2312"/>
                <w:color w:val="auto"/>
                <w:sz w:val="24"/>
                <w:szCs w:val="24"/>
              </w:rPr>
            </w:pPr>
          </w:p>
        </w:tc>
        <w:tc>
          <w:tcPr>
            <w:tcW w:w="1440" w:type="dxa"/>
            <w:noWrap w:val="0"/>
            <w:vAlign w:val="top"/>
          </w:tcPr>
          <w:p w14:paraId="03E0AE46">
            <w:pPr>
              <w:spacing w:line="360" w:lineRule="auto"/>
              <w:jc w:val="center"/>
              <w:rPr>
                <w:rFonts w:hint="eastAsia" w:ascii="宋体" w:hAnsi="宋体" w:cs="仿宋_GB2312"/>
                <w:color w:val="auto"/>
                <w:sz w:val="24"/>
                <w:szCs w:val="24"/>
              </w:rPr>
            </w:pPr>
          </w:p>
        </w:tc>
        <w:tc>
          <w:tcPr>
            <w:tcW w:w="1440" w:type="dxa"/>
            <w:noWrap w:val="0"/>
            <w:vAlign w:val="top"/>
          </w:tcPr>
          <w:p w14:paraId="39EF4EB9">
            <w:pPr>
              <w:spacing w:line="360" w:lineRule="auto"/>
              <w:jc w:val="center"/>
              <w:rPr>
                <w:rFonts w:hint="eastAsia" w:ascii="宋体" w:hAnsi="宋体" w:cs="仿宋_GB2312"/>
                <w:color w:val="auto"/>
                <w:sz w:val="24"/>
                <w:szCs w:val="24"/>
              </w:rPr>
            </w:pPr>
          </w:p>
        </w:tc>
        <w:tc>
          <w:tcPr>
            <w:tcW w:w="1980" w:type="dxa"/>
            <w:noWrap w:val="0"/>
            <w:vAlign w:val="top"/>
          </w:tcPr>
          <w:p w14:paraId="7FDA1653">
            <w:pPr>
              <w:spacing w:line="360" w:lineRule="auto"/>
              <w:jc w:val="center"/>
              <w:rPr>
                <w:rFonts w:hint="eastAsia" w:ascii="宋体" w:hAnsi="宋体" w:cs="仿宋_GB2312"/>
                <w:color w:val="auto"/>
                <w:sz w:val="24"/>
                <w:szCs w:val="24"/>
              </w:rPr>
            </w:pPr>
          </w:p>
        </w:tc>
        <w:tc>
          <w:tcPr>
            <w:tcW w:w="941" w:type="dxa"/>
            <w:noWrap w:val="0"/>
            <w:vAlign w:val="top"/>
          </w:tcPr>
          <w:p w14:paraId="76D9F623">
            <w:pPr>
              <w:spacing w:line="360" w:lineRule="auto"/>
              <w:jc w:val="center"/>
              <w:rPr>
                <w:rFonts w:hint="eastAsia" w:ascii="宋体" w:hAnsi="宋体" w:cs="仿宋_GB2312"/>
                <w:color w:val="auto"/>
                <w:sz w:val="24"/>
                <w:szCs w:val="24"/>
              </w:rPr>
            </w:pPr>
          </w:p>
        </w:tc>
      </w:tr>
      <w:tr w14:paraId="2FCB0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6DA06D13">
            <w:pPr>
              <w:spacing w:line="360" w:lineRule="auto"/>
              <w:jc w:val="center"/>
              <w:rPr>
                <w:rFonts w:hint="eastAsia" w:ascii="宋体" w:hAnsi="宋体" w:cs="仿宋_GB2312"/>
                <w:color w:val="auto"/>
                <w:sz w:val="24"/>
                <w:szCs w:val="24"/>
              </w:rPr>
            </w:pPr>
          </w:p>
        </w:tc>
        <w:tc>
          <w:tcPr>
            <w:tcW w:w="2456" w:type="dxa"/>
            <w:noWrap w:val="0"/>
            <w:vAlign w:val="top"/>
          </w:tcPr>
          <w:p w14:paraId="71B21ABC">
            <w:pPr>
              <w:spacing w:line="360" w:lineRule="auto"/>
              <w:jc w:val="center"/>
              <w:rPr>
                <w:rFonts w:hint="eastAsia" w:ascii="宋体" w:hAnsi="宋体" w:cs="仿宋_GB2312"/>
                <w:color w:val="auto"/>
                <w:sz w:val="24"/>
                <w:szCs w:val="24"/>
              </w:rPr>
            </w:pPr>
          </w:p>
        </w:tc>
        <w:tc>
          <w:tcPr>
            <w:tcW w:w="1440" w:type="dxa"/>
            <w:noWrap w:val="0"/>
            <w:vAlign w:val="top"/>
          </w:tcPr>
          <w:p w14:paraId="76BF0C74">
            <w:pPr>
              <w:spacing w:line="360" w:lineRule="auto"/>
              <w:jc w:val="center"/>
              <w:rPr>
                <w:rFonts w:hint="eastAsia" w:ascii="宋体" w:hAnsi="宋体" w:cs="仿宋_GB2312"/>
                <w:color w:val="auto"/>
                <w:sz w:val="24"/>
                <w:szCs w:val="24"/>
              </w:rPr>
            </w:pPr>
          </w:p>
        </w:tc>
        <w:tc>
          <w:tcPr>
            <w:tcW w:w="1440" w:type="dxa"/>
            <w:noWrap w:val="0"/>
            <w:vAlign w:val="top"/>
          </w:tcPr>
          <w:p w14:paraId="5B162FB3">
            <w:pPr>
              <w:spacing w:line="360" w:lineRule="auto"/>
              <w:jc w:val="center"/>
              <w:rPr>
                <w:rFonts w:hint="eastAsia" w:ascii="宋体" w:hAnsi="宋体" w:cs="仿宋_GB2312"/>
                <w:color w:val="auto"/>
                <w:sz w:val="24"/>
                <w:szCs w:val="24"/>
              </w:rPr>
            </w:pPr>
          </w:p>
        </w:tc>
        <w:tc>
          <w:tcPr>
            <w:tcW w:w="1980" w:type="dxa"/>
            <w:noWrap w:val="0"/>
            <w:vAlign w:val="top"/>
          </w:tcPr>
          <w:p w14:paraId="1FB9427F">
            <w:pPr>
              <w:spacing w:line="360" w:lineRule="auto"/>
              <w:jc w:val="center"/>
              <w:rPr>
                <w:rFonts w:hint="eastAsia" w:ascii="宋体" w:hAnsi="宋体" w:cs="仿宋_GB2312"/>
                <w:color w:val="auto"/>
                <w:sz w:val="24"/>
                <w:szCs w:val="24"/>
              </w:rPr>
            </w:pPr>
          </w:p>
        </w:tc>
        <w:tc>
          <w:tcPr>
            <w:tcW w:w="941" w:type="dxa"/>
            <w:noWrap w:val="0"/>
            <w:vAlign w:val="top"/>
          </w:tcPr>
          <w:p w14:paraId="3B5A90CF">
            <w:pPr>
              <w:spacing w:line="360" w:lineRule="auto"/>
              <w:jc w:val="center"/>
              <w:rPr>
                <w:rFonts w:hint="eastAsia" w:ascii="宋体" w:hAnsi="宋体" w:cs="仿宋_GB2312"/>
                <w:color w:val="auto"/>
                <w:sz w:val="24"/>
                <w:szCs w:val="24"/>
              </w:rPr>
            </w:pPr>
          </w:p>
        </w:tc>
      </w:tr>
      <w:tr w14:paraId="7D5FE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020129DF">
            <w:pPr>
              <w:spacing w:line="360" w:lineRule="auto"/>
              <w:jc w:val="center"/>
              <w:rPr>
                <w:rFonts w:hint="eastAsia" w:ascii="宋体" w:hAnsi="宋体" w:cs="仿宋_GB2312"/>
                <w:color w:val="auto"/>
                <w:sz w:val="24"/>
                <w:szCs w:val="24"/>
              </w:rPr>
            </w:pPr>
          </w:p>
        </w:tc>
        <w:tc>
          <w:tcPr>
            <w:tcW w:w="2456" w:type="dxa"/>
            <w:noWrap w:val="0"/>
            <w:vAlign w:val="top"/>
          </w:tcPr>
          <w:p w14:paraId="5071EC7E">
            <w:pPr>
              <w:spacing w:line="360" w:lineRule="auto"/>
              <w:jc w:val="center"/>
              <w:rPr>
                <w:rFonts w:hint="eastAsia" w:ascii="宋体" w:hAnsi="宋体" w:cs="仿宋_GB2312"/>
                <w:color w:val="auto"/>
                <w:sz w:val="24"/>
                <w:szCs w:val="24"/>
              </w:rPr>
            </w:pPr>
          </w:p>
        </w:tc>
        <w:tc>
          <w:tcPr>
            <w:tcW w:w="1440" w:type="dxa"/>
            <w:noWrap w:val="0"/>
            <w:vAlign w:val="top"/>
          </w:tcPr>
          <w:p w14:paraId="1DBDAC1D">
            <w:pPr>
              <w:spacing w:line="360" w:lineRule="auto"/>
              <w:jc w:val="center"/>
              <w:rPr>
                <w:rFonts w:hint="eastAsia" w:ascii="宋体" w:hAnsi="宋体" w:cs="仿宋_GB2312"/>
                <w:color w:val="auto"/>
                <w:sz w:val="24"/>
                <w:szCs w:val="24"/>
              </w:rPr>
            </w:pPr>
          </w:p>
        </w:tc>
        <w:tc>
          <w:tcPr>
            <w:tcW w:w="1440" w:type="dxa"/>
            <w:noWrap w:val="0"/>
            <w:vAlign w:val="top"/>
          </w:tcPr>
          <w:p w14:paraId="4C584097">
            <w:pPr>
              <w:spacing w:line="360" w:lineRule="auto"/>
              <w:jc w:val="center"/>
              <w:rPr>
                <w:rFonts w:hint="eastAsia" w:ascii="宋体" w:hAnsi="宋体" w:cs="仿宋_GB2312"/>
                <w:color w:val="auto"/>
                <w:sz w:val="24"/>
                <w:szCs w:val="24"/>
              </w:rPr>
            </w:pPr>
          </w:p>
        </w:tc>
        <w:tc>
          <w:tcPr>
            <w:tcW w:w="1980" w:type="dxa"/>
            <w:noWrap w:val="0"/>
            <w:vAlign w:val="top"/>
          </w:tcPr>
          <w:p w14:paraId="561140C4">
            <w:pPr>
              <w:spacing w:line="360" w:lineRule="auto"/>
              <w:jc w:val="center"/>
              <w:rPr>
                <w:rFonts w:hint="eastAsia" w:ascii="宋体" w:hAnsi="宋体" w:cs="仿宋_GB2312"/>
                <w:color w:val="auto"/>
                <w:sz w:val="24"/>
                <w:szCs w:val="24"/>
              </w:rPr>
            </w:pPr>
          </w:p>
        </w:tc>
        <w:tc>
          <w:tcPr>
            <w:tcW w:w="941" w:type="dxa"/>
            <w:noWrap w:val="0"/>
            <w:vAlign w:val="top"/>
          </w:tcPr>
          <w:p w14:paraId="07092091">
            <w:pPr>
              <w:spacing w:line="360" w:lineRule="auto"/>
              <w:jc w:val="center"/>
              <w:rPr>
                <w:rFonts w:hint="eastAsia" w:ascii="宋体" w:hAnsi="宋体" w:cs="仿宋_GB2312"/>
                <w:color w:val="auto"/>
                <w:sz w:val="24"/>
                <w:szCs w:val="24"/>
              </w:rPr>
            </w:pPr>
          </w:p>
        </w:tc>
      </w:tr>
      <w:tr w14:paraId="276C5B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68955B1C">
            <w:pPr>
              <w:spacing w:line="360" w:lineRule="auto"/>
              <w:jc w:val="center"/>
              <w:rPr>
                <w:rFonts w:hint="eastAsia" w:ascii="宋体" w:hAnsi="宋体" w:cs="仿宋_GB2312"/>
                <w:color w:val="auto"/>
                <w:sz w:val="24"/>
                <w:szCs w:val="24"/>
              </w:rPr>
            </w:pPr>
          </w:p>
        </w:tc>
        <w:tc>
          <w:tcPr>
            <w:tcW w:w="2456" w:type="dxa"/>
            <w:noWrap w:val="0"/>
            <w:vAlign w:val="top"/>
          </w:tcPr>
          <w:p w14:paraId="5207B5EC">
            <w:pPr>
              <w:spacing w:line="360" w:lineRule="auto"/>
              <w:jc w:val="center"/>
              <w:rPr>
                <w:rFonts w:hint="eastAsia" w:ascii="宋体" w:hAnsi="宋体" w:cs="仿宋_GB2312"/>
                <w:color w:val="auto"/>
                <w:sz w:val="24"/>
                <w:szCs w:val="24"/>
              </w:rPr>
            </w:pPr>
          </w:p>
        </w:tc>
        <w:tc>
          <w:tcPr>
            <w:tcW w:w="1440" w:type="dxa"/>
            <w:noWrap w:val="0"/>
            <w:vAlign w:val="top"/>
          </w:tcPr>
          <w:p w14:paraId="0D9F0265">
            <w:pPr>
              <w:spacing w:line="360" w:lineRule="auto"/>
              <w:jc w:val="center"/>
              <w:rPr>
                <w:rFonts w:hint="eastAsia" w:ascii="宋体" w:hAnsi="宋体" w:cs="仿宋_GB2312"/>
                <w:color w:val="auto"/>
                <w:sz w:val="24"/>
                <w:szCs w:val="24"/>
              </w:rPr>
            </w:pPr>
          </w:p>
        </w:tc>
        <w:tc>
          <w:tcPr>
            <w:tcW w:w="1440" w:type="dxa"/>
            <w:noWrap w:val="0"/>
            <w:vAlign w:val="top"/>
          </w:tcPr>
          <w:p w14:paraId="505D1C8A">
            <w:pPr>
              <w:spacing w:line="360" w:lineRule="auto"/>
              <w:jc w:val="center"/>
              <w:rPr>
                <w:rFonts w:hint="eastAsia" w:ascii="宋体" w:hAnsi="宋体" w:cs="仿宋_GB2312"/>
                <w:color w:val="auto"/>
                <w:sz w:val="24"/>
                <w:szCs w:val="24"/>
              </w:rPr>
            </w:pPr>
          </w:p>
        </w:tc>
        <w:tc>
          <w:tcPr>
            <w:tcW w:w="1980" w:type="dxa"/>
            <w:noWrap w:val="0"/>
            <w:vAlign w:val="top"/>
          </w:tcPr>
          <w:p w14:paraId="55355702">
            <w:pPr>
              <w:spacing w:line="360" w:lineRule="auto"/>
              <w:jc w:val="center"/>
              <w:rPr>
                <w:rFonts w:hint="eastAsia" w:ascii="宋体" w:hAnsi="宋体" w:cs="仿宋_GB2312"/>
                <w:color w:val="auto"/>
                <w:sz w:val="24"/>
                <w:szCs w:val="24"/>
              </w:rPr>
            </w:pPr>
          </w:p>
        </w:tc>
        <w:tc>
          <w:tcPr>
            <w:tcW w:w="941" w:type="dxa"/>
            <w:noWrap w:val="0"/>
            <w:vAlign w:val="top"/>
          </w:tcPr>
          <w:p w14:paraId="609BA8D1">
            <w:pPr>
              <w:spacing w:line="360" w:lineRule="auto"/>
              <w:jc w:val="center"/>
              <w:rPr>
                <w:rFonts w:hint="eastAsia" w:ascii="宋体" w:hAnsi="宋体" w:cs="仿宋_GB2312"/>
                <w:color w:val="auto"/>
                <w:sz w:val="24"/>
                <w:szCs w:val="24"/>
              </w:rPr>
            </w:pPr>
          </w:p>
        </w:tc>
      </w:tr>
      <w:tr w14:paraId="2059D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764E13EC">
            <w:pPr>
              <w:spacing w:line="360" w:lineRule="auto"/>
              <w:jc w:val="center"/>
              <w:rPr>
                <w:rFonts w:hint="eastAsia" w:ascii="宋体" w:hAnsi="宋体" w:cs="仿宋_GB2312"/>
                <w:color w:val="auto"/>
                <w:sz w:val="24"/>
                <w:szCs w:val="24"/>
              </w:rPr>
            </w:pPr>
          </w:p>
        </w:tc>
        <w:tc>
          <w:tcPr>
            <w:tcW w:w="2456" w:type="dxa"/>
            <w:noWrap w:val="0"/>
            <w:vAlign w:val="top"/>
          </w:tcPr>
          <w:p w14:paraId="719400AD">
            <w:pPr>
              <w:spacing w:line="360" w:lineRule="auto"/>
              <w:jc w:val="center"/>
              <w:rPr>
                <w:rFonts w:hint="eastAsia" w:ascii="宋体" w:hAnsi="宋体" w:cs="仿宋_GB2312"/>
                <w:color w:val="auto"/>
                <w:sz w:val="24"/>
                <w:szCs w:val="24"/>
              </w:rPr>
            </w:pPr>
          </w:p>
        </w:tc>
        <w:tc>
          <w:tcPr>
            <w:tcW w:w="1440" w:type="dxa"/>
            <w:noWrap w:val="0"/>
            <w:vAlign w:val="top"/>
          </w:tcPr>
          <w:p w14:paraId="03285DE4">
            <w:pPr>
              <w:spacing w:line="360" w:lineRule="auto"/>
              <w:jc w:val="center"/>
              <w:rPr>
                <w:rFonts w:hint="eastAsia" w:ascii="宋体" w:hAnsi="宋体" w:cs="仿宋_GB2312"/>
                <w:color w:val="auto"/>
                <w:sz w:val="24"/>
                <w:szCs w:val="24"/>
              </w:rPr>
            </w:pPr>
          </w:p>
        </w:tc>
        <w:tc>
          <w:tcPr>
            <w:tcW w:w="1440" w:type="dxa"/>
            <w:noWrap w:val="0"/>
            <w:vAlign w:val="top"/>
          </w:tcPr>
          <w:p w14:paraId="6B8C03FB">
            <w:pPr>
              <w:spacing w:line="360" w:lineRule="auto"/>
              <w:jc w:val="center"/>
              <w:rPr>
                <w:rFonts w:hint="eastAsia" w:ascii="宋体" w:hAnsi="宋体" w:cs="仿宋_GB2312"/>
                <w:color w:val="auto"/>
                <w:sz w:val="24"/>
                <w:szCs w:val="24"/>
              </w:rPr>
            </w:pPr>
          </w:p>
        </w:tc>
        <w:tc>
          <w:tcPr>
            <w:tcW w:w="1980" w:type="dxa"/>
            <w:noWrap w:val="0"/>
            <w:vAlign w:val="top"/>
          </w:tcPr>
          <w:p w14:paraId="0A7761FD">
            <w:pPr>
              <w:spacing w:line="360" w:lineRule="auto"/>
              <w:jc w:val="center"/>
              <w:rPr>
                <w:rFonts w:hint="eastAsia" w:ascii="宋体" w:hAnsi="宋体" w:cs="仿宋_GB2312"/>
                <w:color w:val="auto"/>
                <w:sz w:val="24"/>
                <w:szCs w:val="24"/>
              </w:rPr>
            </w:pPr>
          </w:p>
        </w:tc>
        <w:tc>
          <w:tcPr>
            <w:tcW w:w="941" w:type="dxa"/>
            <w:noWrap w:val="0"/>
            <w:vAlign w:val="top"/>
          </w:tcPr>
          <w:p w14:paraId="0013860D">
            <w:pPr>
              <w:spacing w:line="360" w:lineRule="auto"/>
              <w:jc w:val="center"/>
              <w:rPr>
                <w:rFonts w:hint="eastAsia" w:ascii="宋体" w:hAnsi="宋体" w:cs="仿宋_GB2312"/>
                <w:color w:val="auto"/>
                <w:sz w:val="24"/>
                <w:szCs w:val="24"/>
              </w:rPr>
            </w:pPr>
          </w:p>
        </w:tc>
      </w:tr>
      <w:tr w14:paraId="61E66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0" w:hRule="atLeast"/>
          <w:jc w:val="center"/>
        </w:trPr>
        <w:tc>
          <w:tcPr>
            <w:tcW w:w="2200" w:type="dxa"/>
            <w:noWrap w:val="0"/>
            <w:vAlign w:val="top"/>
          </w:tcPr>
          <w:p w14:paraId="3CA12F7F">
            <w:pPr>
              <w:spacing w:line="360" w:lineRule="auto"/>
              <w:jc w:val="center"/>
              <w:rPr>
                <w:rFonts w:hint="eastAsia" w:ascii="宋体" w:hAnsi="宋体" w:cs="仿宋_GB2312"/>
                <w:color w:val="auto"/>
                <w:sz w:val="24"/>
                <w:szCs w:val="24"/>
              </w:rPr>
            </w:pPr>
          </w:p>
        </w:tc>
        <w:tc>
          <w:tcPr>
            <w:tcW w:w="2456" w:type="dxa"/>
            <w:noWrap w:val="0"/>
            <w:vAlign w:val="top"/>
          </w:tcPr>
          <w:p w14:paraId="3ADEED5A">
            <w:pPr>
              <w:spacing w:line="360" w:lineRule="auto"/>
              <w:jc w:val="center"/>
              <w:rPr>
                <w:rFonts w:hint="eastAsia" w:ascii="宋体" w:hAnsi="宋体" w:cs="仿宋_GB2312"/>
                <w:color w:val="auto"/>
                <w:sz w:val="24"/>
                <w:szCs w:val="24"/>
              </w:rPr>
            </w:pPr>
          </w:p>
        </w:tc>
        <w:tc>
          <w:tcPr>
            <w:tcW w:w="1440" w:type="dxa"/>
            <w:noWrap w:val="0"/>
            <w:vAlign w:val="top"/>
          </w:tcPr>
          <w:p w14:paraId="5397052F">
            <w:pPr>
              <w:spacing w:line="360" w:lineRule="auto"/>
              <w:jc w:val="center"/>
              <w:rPr>
                <w:rFonts w:hint="eastAsia" w:ascii="宋体" w:hAnsi="宋体" w:cs="仿宋_GB2312"/>
                <w:color w:val="auto"/>
                <w:sz w:val="24"/>
                <w:szCs w:val="24"/>
              </w:rPr>
            </w:pPr>
          </w:p>
        </w:tc>
        <w:tc>
          <w:tcPr>
            <w:tcW w:w="1440" w:type="dxa"/>
            <w:noWrap w:val="0"/>
            <w:vAlign w:val="top"/>
          </w:tcPr>
          <w:p w14:paraId="7F5B58B2">
            <w:pPr>
              <w:spacing w:line="360" w:lineRule="auto"/>
              <w:jc w:val="center"/>
              <w:rPr>
                <w:rFonts w:hint="eastAsia" w:ascii="宋体" w:hAnsi="宋体" w:cs="仿宋_GB2312"/>
                <w:color w:val="auto"/>
                <w:sz w:val="24"/>
                <w:szCs w:val="24"/>
              </w:rPr>
            </w:pPr>
          </w:p>
        </w:tc>
        <w:tc>
          <w:tcPr>
            <w:tcW w:w="1980" w:type="dxa"/>
            <w:noWrap w:val="0"/>
            <w:vAlign w:val="top"/>
          </w:tcPr>
          <w:p w14:paraId="510A0A22">
            <w:pPr>
              <w:spacing w:line="360" w:lineRule="auto"/>
              <w:jc w:val="center"/>
              <w:rPr>
                <w:rFonts w:hint="eastAsia" w:ascii="宋体" w:hAnsi="宋体" w:cs="仿宋_GB2312"/>
                <w:color w:val="auto"/>
                <w:sz w:val="24"/>
                <w:szCs w:val="24"/>
              </w:rPr>
            </w:pPr>
          </w:p>
        </w:tc>
        <w:tc>
          <w:tcPr>
            <w:tcW w:w="941" w:type="dxa"/>
            <w:noWrap w:val="0"/>
            <w:vAlign w:val="top"/>
          </w:tcPr>
          <w:p w14:paraId="7F46C3E6">
            <w:pPr>
              <w:spacing w:line="360" w:lineRule="auto"/>
              <w:jc w:val="center"/>
              <w:rPr>
                <w:rFonts w:hint="eastAsia" w:ascii="宋体" w:hAnsi="宋体" w:cs="仿宋_GB2312"/>
                <w:color w:val="auto"/>
                <w:sz w:val="24"/>
                <w:szCs w:val="24"/>
              </w:rPr>
            </w:pPr>
          </w:p>
        </w:tc>
      </w:tr>
    </w:tbl>
    <w:p w14:paraId="3BBBE151">
      <w:pPr>
        <w:spacing w:line="0" w:lineRule="atLeast"/>
        <w:ind w:left="100"/>
        <w:rPr>
          <w:rFonts w:hint="eastAsia" w:ascii="宋体" w:hAnsi="宋体" w:cs="宋体"/>
          <w:b/>
          <w:bCs/>
          <w:color w:val="auto"/>
          <w:sz w:val="24"/>
        </w:rPr>
      </w:pPr>
      <w:r>
        <w:rPr>
          <w:rFonts w:hint="eastAsia" w:ascii="宋体" w:hAnsi="宋体" w:cs="宋体"/>
          <w:b/>
          <w:bCs/>
          <w:color w:val="auto"/>
          <w:sz w:val="24"/>
        </w:rPr>
        <w:t>备注：</w:t>
      </w:r>
      <w:r>
        <w:rPr>
          <w:rFonts w:hint="eastAsia" w:ascii="宋体" w:hAnsi="宋体" w:cs="宋体"/>
          <w:b/>
          <w:bCs/>
          <w:color w:val="auto"/>
          <w:sz w:val="24"/>
          <w:lang w:eastAsia="zh-CN"/>
        </w:rPr>
        <w:t>供应商</w:t>
      </w:r>
      <w:r>
        <w:rPr>
          <w:rFonts w:hint="eastAsia" w:ascii="宋体" w:hAnsi="宋体" w:cs="宋体"/>
          <w:b/>
          <w:bCs/>
          <w:color w:val="auto"/>
          <w:sz w:val="24"/>
        </w:rPr>
        <w:t>可适当调整该表格式，但不得减少信息内容。</w:t>
      </w:r>
    </w:p>
    <w:p w14:paraId="0185053B">
      <w:pPr>
        <w:spacing w:line="200" w:lineRule="exact"/>
        <w:rPr>
          <w:rFonts w:hint="eastAsia" w:ascii="宋体" w:hAnsi="宋体" w:cs="宋体"/>
          <w:color w:val="auto"/>
        </w:rPr>
      </w:pPr>
    </w:p>
    <w:p w14:paraId="3D06D99A">
      <w:pPr>
        <w:spacing w:line="200" w:lineRule="exact"/>
        <w:rPr>
          <w:rFonts w:hint="eastAsia" w:ascii="宋体" w:hAnsi="宋体" w:cs="宋体"/>
          <w:color w:val="auto"/>
        </w:rPr>
      </w:pPr>
    </w:p>
    <w:p w14:paraId="3552A844">
      <w:pPr>
        <w:spacing w:line="360" w:lineRule="auto"/>
        <w:ind w:right="-161"/>
        <w:jc w:val="right"/>
        <w:rPr>
          <w:rFonts w:hint="eastAsia" w:ascii="宋体" w:hAnsi="宋体" w:cs="宋体"/>
          <w:color w:val="auto"/>
          <w:sz w:val="24"/>
          <w:szCs w:val="24"/>
        </w:rPr>
      </w:pPr>
    </w:p>
    <w:p w14:paraId="59C762C7">
      <w:pPr>
        <w:spacing w:line="360" w:lineRule="auto"/>
        <w:ind w:right="-161"/>
        <w:jc w:val="right"/>
        <w:rPr>
          <w:rFonts w:hint="eastAsia" w:ascii="宋体" w:hAnsi="宋体" w:cs="宋体"/>
          <w:color w:val="auto"/>
          <w:sz w:val="24"/>
          <w:szCs w:val="24"/>
        </w:rPr>
      </w:pPr>
    </w:p>
    <w:p w14:paraId="1593933B">
      <w:pPr>
        <w:spacing w:line="360" w:lineRule="auto"/>
        <w:ind w:right="-161"/>
        <w:jc w:val="right"/>
        <w:rPr>
          <w:rFonts w:hint="eastAsia" w:ascii="宋体" w:hAnsi="宋体" w:cs="宋体"/>
          <w:color w:val="auto"/>
          <w:sz w:val="24"/>
          <w:szCs w:val="24"/>
          <w:u w:val="single"/>
        </w:rPr>
      </w:pPr>
      <w:r>
        <w:rPr>
          <w:rFonts w:hint="eastAsia" w:ascii="宋体" w:hAnsi="宋体" w:cs="宋体"/>
          <w:color w:val="auto"/>
          <w:sz w:val="24"/>
          <w:szCs w:val="24"/>
        </w:rPr>
        <w:t>法人代表或被授权代表：</w:t>
      </w:r>
      <w:r>
        <w:rPr>
          <w:rFonts w:hint="eastAsia" w:ascii="宋体" w:hAnsi="宋体" w:cs="宋体"/>
          <w:color w:val="auto"/>
          <w:sz w:val="24"/>
          <w:szCs w:val="24"/>
          <w:u w:val="single"/>
        </w:rPr>
        <w:t xml:space="preserve">                      </w:t>
      </w:r>
      <w:r>
        <w:rPr>
          <w:rFonts w:hint="eastAsia" w:ascii="宋体" w:hAnsi="宋体" w:cs="宋体"/>
          <w:color w:val="auto"/>
          <w:kern w:val="0"/>
          <w:sz w:val="24"/>
          <w:szCs w:val="24"/>
          <w:lang w:bidi="ar"/>
        </w:rPr>
        <w:t>（盖章或签字）</w:t>
      </w:r>
    </w:p>
    <w:p w14:paraId="4376ED66">
      <w:pPr>
        <w:widowControl/>
        <w:spacing w:line="360" w:lineRule="auto"/>
        <w:jc w:val="center"/>
        <w:rPr>
          <w:rFonts w:hint="eastAsia" w:ascii="宋体" w:hAnsi="宋体" w:cs="宋体"/>
          <w:color w:val="auto"/>
          <w:sz w:val="24"/>
          <w:szCs w:val="24"/>
          <w:u w:val="single"/>
        </w:rPr>
      </w:pPr>
      <w:r>
        <w:rPr>
          <w:rFonts w:hint="eastAsia" w:ascii="宋体" w:hAnsi="宋体" w:cs="宋体"/>
          <w:color w:val="auto"/>
          <w:sz w:val="24"/>
          <w:szCs w:val="24"/>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投   标   人  ：</w:t>
      </w:r>
      <w:r>
        <w:rPr>
          <w:rFonts w:hint="eastAsia" w:ascii="宋体" w:hAnsi="宋体" w:cs="宋体"/>
          <w:color w:val="auto"/>
          <w:sz w:val="24"/>
          <w:szCs w:val="24"/>
          <w:u w:val="single"/>
        </w:rPr>
        <w:t xml:space="preserve">                      </w:t>
      </w:r>
      <w:r>
        <w:rPr>
          <w:rFonts w:hint="eastAsia" w:ascii="宋体" w:hAnsi="宋体" w:cs="宋体"/>
          <w:color w:val="auto"/>
          <w:kern w:val="0"/>
          <w:sz w:val="24"/>
          <w:szCs w:val="24"/>
          <w:lang w:bidi="ar"/>
        </w:rPr>
        <w:t xml:space="preserve">（盖单位章） </w:t>
      </w:r>
    </w:p>
    <w:p w14:paraId="4D948D08">
      <w:pPr>
        <w:pStyle w:val="3"/>
        <w:adjustRightInd w:val="0"/>
        <w:spacing w:line="360" w:lineRule="auto"/>
        <w:ind w:firstLine="2400" w:firstLineChars="1000"/>
        <w:jc w:val="both"/>
        <w:textAlignment w:val="baseline"/>
        <w:rPr>
          <w:rFonts w:hint="eastAsia" w:ascii="宋体" w:hAnsi="宋体" w:eastAsia="宋体" w:cs="宋体"/>
          <w:b w:val="0"/>
          <w:bCs/>
        </w:rPr>
        <w:sectPr>
          <w:pgSz w:w="11906" w:h="16838"/>
          <w:pgMar w:top="1121" w:right="1418" w:bottom="417" w:left="1418" w:header="720" w:footer="720" w:gutter="0"/>
          <w:cols w:space="720" w:num="1"/>
          <w:titlePg/>
          <w:docGrid w:type="lines" w:linePitch="312" w:charSpace="0"/>
        </w:sectPr>
      </w:pPr>
      <w:r>
        <w:rPr>
          <w:rFonts w:hint="eastAsia" w:ascii="宋体" w:hAnsi="宋体" w:eastAsia="宋体" w:cs="宋体"/>
          <w:b w:val="0"/>
          <w:color w:val="auto"/>
          <w:kern w:val="2"/>
          <w:sz w:val="24"/>
          <w:szCs w:val="24"/>
          <w:lang w:val="en-US" w:eastAsia="zh-CN" w:bidi="ar-SA"/>
        </w:rPr>
        <w:t>日                 期：</w:t>
      </w:r>
      <w:r>
        <w:rPr>
          <w:rFonts w:hint="eastAsia" w:ascii="宋体" w:hAnsi="宋体" w:cs="宋体"/>
          <w:b w:val="0"/>
          <w:bCs/>
          <w:color w:val="auto"/>
          <w:sz w:val="24"/>
          <w:szCs w:val="24"/>
          <w:u w:val="single"/>
        </w:rPr>
        <w:t xml:space="preserve">                      </w:t>
      </w:r>
    </w:p>
    <w:p w14:paraId="7B721E42">
      <w:pPr>
        <w:jc w:val="center"/>
        <w:rPr>
          <w:rFonts w:hint="default" w:ascii="宋体" w:hAnsi="宋体" w:cs="宋体"/>
          <w:b/>
          <w:color w:val="auto"/>
          <w:sz w:val="32"/>
          <w:szCs w:val="32"/>
          <w:lang w:val="en-US"/>
        </w:rPr>
      </w:pPr>
      <w:r>
        <w:rPr>
          <w:rFonts w:hint="eastAsia" w:ascii="宋体" w:hAnsi="宋体" w:cs="宋体"/>
          <w:b/>
          <w:color w:val="auto"/>
          <w:sz w:val="32"/>
          <w:szCs w:val="32"/>
        </w:rPr>
        <w:t>十</w:t>
      </w:r>
      <w:r>
        <w:rPr>
          <w:rFonts w:hint="eastAsia" w:ascii="宋体" w:hAnsi="宋体" w:cs="宋体"/>
          <w:b/>
          <w:color w:val="auto"/>
          <w:sz w:val="32"/>
          <w:szCs w:val="32"/>
          <w:lang w:val="en-US" w:eastAsia="zh-CN"/>
        </w:rPr>
        <w:t>二</w:t>
      </w:r>
      <w:r>
        <w:rPr>
          <w:rFonts w:hint="eastAsia" w:ascii="宋体" w:hAnsi="宋体" w:cs="宋体"/>
          <w:b/>
          <w:color w:val="auto"/>
          <w:sz w:val="32"/>
          <w:szCs w:val="32"/>
        </w:rPr>
        <w:t>、</w:t>
      </w:r>
      <w:r>
        <w:rPr>
          <w:rFonts w:hint="eastAsia" w:ascii="宋体" w:hAnsi="宋体" w:eastAsia="宋体" w:cs="宋体"/>
          <w:b/>
          <w:color w:val="auto"/>
          <w:sz w:val="32"/>
          <w:szCs w:val="32"/>
        </w:rPr>
        <w:t>所投货物合法来源渠道的书面证明</w:t>
      </w:r>
      <w:r>
        <w:rPr>
          <w:rFonts w:hint="eastAsia" w:ascii="宋体" w:hAnsi="宋体" w:eastAsia="宋体" w:cs="宋体"/>
          <w:b/>
          <w:color w:val="auto"/>
          <w:sz w:val="32"/>
          <w:szCs w:val="32"/>
          <w:lang w:eastAsia="zh-CN"/>
        </w:rPr>
        <w:t>资料</w:t>
      </w:r>
    </w:p>
    <w:p w14:paraId="086CEA0C">
      <w:pPr>
        <w:spacing w:line="360" w:lineRule="auto"/>
        <w:ind w:firstLine="560" w:firstLineChars="200"/>
        <w:jc w:val="center"/>
        <w:rPr>
          <w:rFonts w:hint="eastAsia" w:ascii="宋体" w:hAnsi="宋体" w:cs="宋体"/>
          <w:bCs/>
          <w:color w:val="auto"/>
          <w:sz w:val="28"/>
          <w:szCs w:val="28"/>
        </w:rPr>
      </w:pPr>
    </w:p>
    <w:p w14:paraId="2820E03F">
      <w:pPr>
        <w:pStyle w:val="3"/>
        <w:adjustRightInd w:val="0"/>
        <w:spacing w:line="360" w:lineRule="auto"/>
        <w:jc w:val="center"/>
        <w:textAlignment w:val="baseline"/>
        <w:rPr>
          <w:rFonts w:hint="eastAsia" w:ascii="宋体" w:hAnsi="宋体" w:eastAsia="宋体" w:cs="宋体"/>
        </w:rPr>
        <w:sectPr>
          <w:pgSz w:w="11906" w:h="16838"/>
          <w:pgMar w:top="1121" w:right="1418" w:bottom="417" w:left="1418" w:header="720" w:footer="720" w:gutter="0"/>
          <w:cols w:space="720" w:num="1"/>
          <w:titlePg/>
          <w:docGrid w:type="lines" w:linePitch="312" w:charSpace="0"/>
        </w:sectPr>
      </w:pPr>
    </w:p>
    <w:p w14:paraId="531D3AC3">
      <w:pPr>
        <w:pStyle w:val="3"/>
        <w:adjustRightInd w:val="0"/>
        <w:spacing w:line="360" w:lineRule="auto"/>
        <w:jc w:val="center"/>
        <w:textAlignment w:val="baseline"/>
        <w:rPr>
          <w:rFonts w:hint="eastAsia" w:ascii="宋体" w:hAnsi="宋体" w:eastAsia="宋体" w:cs="宋体"/>
        </w:rPr>
      </w:pPr>
      <w:r>
        <w:rPr>
          <w:rFonts w:hint="eastAsia" w:ascii="宋体" w:hAnsi="宋体" w:eastAsia="宋体" w:cs="宋体"/>
        </w:rPr>
        <w:t>十</w:t>
      </w:r>
      <w:r>
        <w:rPr>
          <w:rFonts w:hint="eastAsia" w:ascii="宋体" w:hAnsi="宋体" w:eastAsia="宋体" w:cs="宋体"/>
          <w:lang w:val="en-US" w:eastAsia="zh-CN"/>
        </w:rPr>
        <w:t>三</w:t>
      </w:r>
      <w:r>
        <w:rPr>
          <w:rFonts w:hint="eastAsia" w:ascii="宋体" w:hAnsi="宋体" w:eastAsia="宋体" w:cs="宋体"/>
        </w:rPr>
        <w:t>、</w:t>
      </w:r>
      <w:bookmarkEnd w:id="620"/>
      <w:r>
        <w:rPr>
          <w:rFonts w:hint="eastAsia" w:ascii="宋体" w:hAnsi="宋体" w:eastAsia="宋体" w:cs="宋体"/>
          <w:color w:val="000000"/>
          <w:szCs w:val="22"/>
        </w:rPr>
        <w:t>拟投入本项目的人员</w:t>
      </w:r>
      <w:bookmarkEnd w:id="621"/>
    </w:p>
    <w:p w14:paraId="0C072ACD">
      <w:pPr>
        <w:widowControl/>
        <w:spacing w:line="360" w:lineRule="auto"/>
        <w:jc w:val="center"/>
        <w:rPr>
          <w:rFonts w:ascii="宋体" w:hAnsi="宋体" w:cs="宋体"/>
          <w:b/>
          <w:kern w:val="0"/>
          <w:sz w:val="24"/>
          <w:szCs w:val="24"/>
        </w:rPr>
      </w:pPr>
      <w:r>
        <w:rPr>
          <w:rFonts w:hint="eastAsia" w:ascii="宋体" w:hAnsi="宋体" w:cs="宋体"/>
          <w:b/>
          <w:kern w:val="0"/>
          <w:sz w:val="24"/>
          <w:szCs w:val="24"/>
        </w:rPr>
        <w:t>注：附拟投入本项目主要人员的相关证件。</w:t>
      </w:r>
    </w:p>
    <w:p w14:paraId="7C5ECB2D">
      <w:pPr>
        <w:widowControl/>
        <w:spacing w:line="360" w:lineRule="auto"/>
        <w:jc w:val="both"/>
        <w:rPr>
          <w:rFonts w:ascii="宋体" w:hAnsi="宋体" w:cs="宋体"/>
          <w:b/>
          <w:kern w:val="0"/>
          <w:sz w:val="28"/>
          <w:szCs w:val="28"/>
        </w:rPr>
        <w:sectPr>
          <w:pgSz w:w="11906" w:h="16838"/>
          <w:pgMar w:top="1121" w:right="1418" w:bottom="417" w:left="1418" w:header="720" w:footer="720" w:gutter="0"/>
          <w:cols w:space="720" w:num="1"/>
          <w:titlePg/>
          <w:docGrid w:type="lines" w:linePitch="312" w:charSpace="0"/>
        </w:sectPr>
      </w:pPr>
    </w:p>
    <w:p w14:paraId="25BC52F8">
      <w:pPr>
        <w:pStyle w:val="3"/>
        <w:keepNext/>
        <w:keepLines/>
        <w:pageBreakBefore w:val="0"/>
        <w:widowControl w:val="0"/>
        <w:kinsoku/>
        <w:wordWrap/>
        <w:overflowPunct/>
        <w:topLinePunct w:val="0"/>
        <w:autoSpaceDE/>
        <w:autoSpaceDN/>
        <w:bidi w:val="0"/>
        <w:adjustRightInd w:val="0"/>
        <w:snapToGrid/>
        <w:spacing w:line="300" w:lineRule="exact"/>
        <w:jc w:val="center"/>
        <w:textAlignment w:val="baseline"/>
        <w:rPr>
          <w:rFonts w:hint="eastAsia" w:ascii="宋体" w:hAnsi="宋体" w:eastAsia="宋体" w:cs="宋体"/>
          <w:lang w:eastAsia="zh-CN"/>
        </w:rPr>
      </w:pPr>
      <w:r>
        <w:rPr>
          <w:rFonts w:hint="eastAsia"/>
        </w:rPr>
        <w:tab/>
      </w:r>
      <w:bookmarkStart w:id="622" w:name="_Toc12449"/>
      <w:bookmarkStart w:id="623" w:name="_Toc17003"/>
      <w:r>
        <w:rPr>
          <w:rFonts w:hint="eastAsia" w:ascii="宋体" w:hAnsi="宋体" w:eastAsia="宋体" w:cs="宋体"/>
        </w:rPr>
        <w:t>十</w:t>
      </w:r>
      <w:r>
        <w:rPr>
          <w:rFonts w:hint="eastAsia" w:ascii="宋体" w:hAnsi="宋体" w:eastAsia="宋体" w:cs="宋体"/>
          <w:lang w:val="en-US" w:eastAsia="zh-CN"/>
        </w:rPr>
        <w:t>四</w:t>
      </w:r>
      <w:r>
        <w:rPr>
          <w:rFonts w:hint="eastAsia" w:ascii="宋体" w:hAnsi="宋体" w:eastAsia="宋体" w:cs="宋体"/>
        </w:rPr>
        <w:t>、同类项目经验一览表</w:t>
      </w:r>
      <w:bookmarkEnd w:id="622"/>
      <w:bookmarkEnd w:id="623"/>
    </w:p>
    <w:p w14:paraId="53CC4BB7">
      <w:pPr>
        <w:spacing w:line="240" w:lineRule="auto"/>
        <w:ind w:firstLine="240" w:firstLineChars="100"/>
        <w:rPr>
          <w:rFonts w:ascii="宋体" w:hAnsi="宋体" w:cs="宋体"/>
          <w:u w:val="single"/>
        </w:rPr>
      </w:pPr>
      <w:r>
        <w:rPr>
          <w:rFonts w:hint="eastAsia" w:ascii="宋体" w:hAnsi="宋体" w:cs="宋体"/>
          <w:sz w:val="24"/>
        </w:rPr>
        <w:t xml:space="preserve">供应商名称： </w:t>
      </w:r>
      <w:r>
        <w:rPr>
          <w:rFonts w:hint="eastAsia" w:ascii="宋体" w:hAnsi="宋体" w:cs="宋体"/>
          <w:sz w:val="24"/>
          <w:u w:val="single"/>
        </w:rPr>
        <w:t xml:space="preserve">                                  </w:t>
      </w:r>
      <w:r>
        <w:rPr>
          <w:rFonts w:hint="eastAsia" w:ascii="宋体" w:hAnsi="宋体" w:cs="宋体"/>
          <w:sz w:val="24"/>
        </w:rPr>
        <w:t xml:space="preserve">  </w:t>
      </w:r>
    </w:p>
    <w:tbl>
      <w:tblPr>
        <w:tblStyle w:val="17"/>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09"/>
        <w:gridCol w:w="1065"/>
        <w:gridCol w:w="1414"/>
        <w:gridCol w:w="1619"/>
        <w:gridCol w:w="1441"/>
        <w:gridCol w:w="2700"/>
      </w:tblGrid>
      <w:tr w14:paraId="04089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609" w:type="dxa"/>
            <w:noWrap w:val="0"/>
            <w:vAlign w:val="center"/>
          </w:tcPr>
          <w:p w14:paraId="29689A27">
            <w:pPr>
              <w:spacing w:line="360" w:lineRule="auto"/>
              <w:jc w:val="center"/>
              <w:rPr>
                <w:rFonts w:ascii="宋体" w:hAnsi="宋体" w:cs="宋体"/>
                <w:b/>
                <w:sz w:val="24"/>
              </w:rPr>
            </w:pPr>
            <w:r>
              <w:rPr>
                <w:rFonts w:hint="eastAsia" w:ascii="宋体" w:hAnsi="宋体" w:cs="宋体"/>
                <w:b/>
                <w:sz w:val="24"/>
              </w:rPr>
              <w:t>序号</w:t>
            </w:r>
          </w:p>
        </w:tc>
        <w:tc>
          <w:tcPr>
            <w:tcW w:w="1065" w:type="dxa"/>
            <w:noWrap w:val="0"/>
            <w:vAlign w:val="center"/>
          </w:tcPr>
          <w:p w14:paraId="1AC6D085">
            <w:pPr>
              <w:spacing w:line="360" w:lineRule="auto"/>
              <w:jc w:val="center"/>
              <w:rPr>
                <w:rFonts w:ascii="宋体" w:hAnsi="宋体" w:cs="宋体"/>
                <w:b/>
                <w:sz w:val="24"/>
              </w:rPr>
            </w:pPr>
            <w:r>
              <w:rPr>
                <w:rFonts w:hint="eastAsia" w:ascii="宋体" w:hAnsi="宋体" w:cs="宋体"/>
                <w:b/>
                <w:sz w:val="24"/>
              </w:rPr>
              <w:t>项目名称</w:t>
            </w:r>
          </w:p>
        </w:tc>
        <w:tc>
          <w:tcPr>
            <w:tcW w:w="1414" w:type="dxa"/>
            <w:noWrap w:val="0"/>
            <w:vAlign w:val="center"/>
          </w:tcPr>
          <w:p w14:paraId="032D1F64">
            <w:pPr>
              <w:spacing w:line="360" w:lineRule="auto"/>
              <w:jc w:val="center"/>
              <w:rPr>
                <w:rFonts w:ascii="宋体" w:hAnsi="宋体" w:cs="宋体"/>
                <w:b/>
                <w:sz w:val="24"/>
              </w:rPr>
            </w:pPr>
            <w:r>
              <w:rPr>
                <w:rFonts w:hint="eastAsia" w:ascii="宋体" w:hAnsi="宋体" w:cs="宋体"/>
                <w:b/>
                <w:sz w:val="24"/>
              </w:rPr>
              <w:t>项目内容</w:t>
            </w:r>
          </w:p>
        </w:tc>
        <w:tc>
          <w:tcPr>
            <w:tcW w:w="1619" w:type="dxa"/>
            <w:tcBorders>
              <w:left w:val="single" w:color="auto" w:sz="4" w:space="0"/>
              <w:right w:val="single" w:color="auto" w:sz="4" w:space="0"/>
            </w:tcBorders>
            <w:noWrap w:val="0"/>
            <w:vAlign w:val="center"/>
          </w:tcPr>
          <w:p w14:paraId="7F1FF759">
            <w:pPr>
              <w:spacing w:line="360" w:lineRule="auto"/>
              <w:jc w:val="center"/>
              <w:rPr>
                <w:rFonts w:ascii="宋体" w:hAnsi="宋体" w:cs="宋体"/>
                <w:b/>
                <w:sz w:val="24"/>
              </w:rPr>
            </w:pPr>
            <w:r>
              <w:rPr>
                <w:rFonts w:hint="eastAsia" w:ascii="宋体" w:hAnsi="宋体" w:cs="宋体"/>
                <w:b/>
                <w:sz w:val="24"/>
              </w:rPr>
              <w:t>合同金额</w:t>
            </w:r>
          </w:p>
          <w:p w14:paraId="78814B86">
            <w:pPr>
              <w:spacing w:line="360" w:lineRule="auto"/>
              <w:jc w:val="center"/>
              <w:rPr>
                <w:rFonts w:ascii="宋体" w:hAnsi="宋体" w:cs="宋体"/>
                <w:b/>
                <w:sz w:val="24"/>
              </w:rPr>
            </w:pPr>
            <w:r>
              <w:rPr>
                <w:rFonts w:hint="eastAsia" w:ascii="宋体" w:hAnsi="宋体" w:cs="宋体"/>
                <w:b/>
                <w:sz w:val="24"/>
              </w:rPr>
              <w:t>（万元）</w:t>
            </w:r>
          </w:p>
        </w:tc>
        <w:tc>
          <w:tcPr>
            <w:tcW w:w="1441" w:type="dxa"/>
            <w:noWrap w:val="0"/>
            <w:vAlign w:val="center"/>
          </w:tcPr>
          <w:p w14:paraId="376430A1">
            <w:pPr>
              <w:spacing w:line="360" w:lineRule="auto"/>
              <w:jc w:val="center"/>
              <w:rPr>
                <w:rFonts w:ascii="宋体" w:hAnsi="宋体" w:cs="宋体"/>
                <w:b/>
                <w:sz w:val="24"/>
              </w:rPr>
            </w:pPr>
            <w:r>
              <w:rPr>
                <w:rFonts w:hint="eastAsia" w:ascii="宋体" w:hAnsi="宋体" w:cs="宋体"/>
                <w:b/>
                <w:sz w:val="24"/>
              </w:rPr>
              <w:t>完成日期</w:t>
            </w:r>
          </w:p>
        </w:tc>
        <w:tc>
          <w:tcPr>
            <w:tcW w:w="2700" w:type="dxa"/>
            <w:noWrap w:val="0"/>
            <w:vAlign w:val="center"/>
          </w:tcPr>
          <w:p w14:paraId="623D1C25">
            <w:pPr>
              <w:spacing w:line="360" w:lineRule="auto"/>
              <w:jc w:val="center"/>
              <w:rPr>
                <w:rFonts w:ascii="宋体" w:hAnsi="宋体" w:cs="宋体"/>
                <w:b/>
                <w:sz w:val="24"/>
              </w:rPr>
            </w:pPr>
            <w:r>
              <w:rPr>
                <w:rFonts w:hint="eastAsia" w:ascii="宋体" w:hAnsi="宋体" w:cs="宋体"/>
                <w:b/>
                <w:sz w:val="24"/>
              </w:rPr>
              <w:t>业主名称、联系人及电话</w:t>
            </w:r>
          </w:p>
        </w:tc>
      </w:tr>
      <w:tr w14:paraId="5E1543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609" w:type="dxa"/>
            <w:noWrap w:val="0"/>
            <w:vAlign w:val="center"/>
          </w:tcPr>
          <w:p w14:paraId="57B78622">
            <w:pPr>
              <w:spacing w:line="360" w:lineRule="auto"/>
              <w:ind w:left="120"/>
              <w:jc w:val="center"/>
              <w:rPr>
                <w:rFonts w:ascii="宋体" w:hAnsi="宋体" w:cs="宋体"/>
                <w:b/>
                <w:sz w:val="24"/>
              </w:rPr>
            </w:pPr>
            <w:r>
              <w:rPr>
                <w:rFonts w:hint="eastAsia" w:ascii="宋体" w:hAnsi="宋体" w:cs="宋体"/>
                <w:b/>
                <w:sz w:val="24"/>
              </w:rPr>
              <w:t>1</w:t>
            </w:r>
          </w:p>
        </w:tc>
        <w:tc>
          <w:tcPr>
            <w:tcW w:w="1065" w:type="dxa"/>
            <w:noWrap w:val="0"/>
            <w:vAlign w:val="center"/>
          </w:tcPr>
          <w:p w14:paraId="07152D5E">
            <w:pPr>
              <w:spacing w:line="360" w:lineRule="auto"/>
              <w:jc w:val="center"/>
              <w:rPr>
                <w:rFonts w:ascii="宋体" w:hAnsi="宋体" w:cs="宋体"/>
                <w:sz w:val="24"/>
              </w:rPr>
            </w:pPr>
          </w:p>
        </w:tc>
        <w:tc>
          <w:tcPr>
            <w:tcW w:w="1414" w:type="dxa"/>
            <w:noWrap w:val="0"/>
            <w:vAlign w:val="center"/>
          </w:tcPr>
          <w:p w14:paraId="3850AA7D">
            <w:pPr>
              <w:spacing w:line="360" w:lineRule="auto"/>
              <w:jc w:val="center"/>
              <w:rPr>
                <w:rFonts w:ascii="宋体" w:hAnsi="宋体" w:cs="宋体"/>
                <w:sz w:val="24"/>
              </w:rPr>
            </w:pPr>
          </w:p>
        </w:tc>
        <w:tc>
          <w:tcPr>
            <w:tcW w:w="1619" w:type="dxa"/>
            <w:tcBorders>
              <w:left w:val="single" w:color="auto" w:sz="4" w:space="0"/>
              <w:right w:val="single" w:color="auto" w:sz="4" w:space="0"/>
            </w:tcBorders>
            <w:noWrap w:val="0"/>
            <w:vAlign w:val="center"/>
          </w:tcPr>
          <w:p w14:paraId="5728776E">
            <w:pPr>
              <w:spacing w:line="360" w:lineRule="auto"/>
              <w:jc w:val="center"/>
              <w:rPr>
                <w:rFonts w:ascii="宋体" w:hAnsi="宋体" w:cs="宋体"/>
                <w:sz w:val="24"/>
              </w:rPr>
            </w:pPr>
          </w:p>
        </w:tc>
        <w:tc>
          <w:tcPr>
            <w:tcW w:w="1441" w:type="dxa"/>
            <w:noWrap w:val="0"/>
            <w:vAlign w:val="center"/>
          </w:tcPr>
          <w:p w14:paraId="1D21FFD3">
            <w:pPr>
              <w:spacing w:line="360" w:lineRule="auto"/>
              <w:jc w:val="center"/>
              <w:rPr>
                <w:rFonts w:ascii="宋体" w:hAnsi="宋体" w:cs="宋体"/>
                <w:sz w:val="24"/>
              </w:rPr>
            </w:pPr>
          </w:p>
        </w:tc>
        <w:tc>
          <w:tcPr>
            <w:tcW w:w="2700" w:type="dxa"/>
            <w:noWrap w:val="0"/>
            <w:vAlign w:val="top"/>
          </w:tcPr>
          <w:p w14:paraId="629535EA">
            <w:pPr>
              <w:spacing w:line="360" w:lineRule="auto"/>
              <w:jc w:val="center"/>
              <w:rPr>
                <w:rFonts w:ascii="宋体" w:hAnsi="宋体" w:cs="宋体"/>
                <w:sz w:val="24"/>
              </w:rPr>
            </w:pPr>
          </w:p>
        </w:tc>
      </w:tr>
      <w:tr w14:paraId="35C8C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609" w:type="dxa"/>
            <w:noWrap w:val="0"/>
            <w:vAlign w:val="center"/>
          </w:tcPr>
          <w:p w14:paraId="13B5252F">
            <w:pPr>
              <w:spacing w:line="360" w:lineRule="auto"/>
              <w:ind w:left="120"/>
              <w:jc w:val="center"/>
              <w:rPr>
                <w:rFonts w:ascii="宋体" w:hAnsi="宋体" w:cs="宋体"/>
                <w:b/>
                <w:sz w:val="24"/>
              </w:rPr>
            </w:pPr>
            <w:r>
              <w:rPr>
                <w:rFonts w:hint="eastAsia" w:ascii="宋体" w:hAnsi="宋体" w:cs="宋体"/>
                <w:b/>
                <w:sz w:val="24"/>
              </w:rPr>
              <w:t>2</w:t>
            </w:r>
          </w:p>
        </w:tc>
        <w:tc>
          <w:tcPr>
            <w:tcW w:w="1065" w:type="dxa"/>
            <w:noWrap w:val="0"/>
            <w:vAlign w:val="center"/>
          </w:tcPr>
          <w:p w14:paraId="46CF092A">
            <w:pPr>
              <w:spacing w:line="360" w:lineRule="auto"/>
              <w:jc w:val="center"/>
              <w:rPr>
                <w:rFonts w:ascii="宋体" w:hAnsi="宋体" w:cs="宋体"/>
                <w:sz w:val="24"/>
              </w:rPr>
            </w:pPr>
          </w:p>
        </w:tc>
        <w:tc>
          <w:tcPr>
            <w:tcW w:w="1414" w:type="dxa"/>
            <w:noWrap w:val="0"/>
            <w:vAlign w:val="center"/>
          </w:tcPr>
          <w:p w14:paraId="22100958">
            <w:pPr>
              <w:spacing w:line="360" w:lineRule="auto"/>
              <w:jc w:val="center"/>
              <w:rPr>
                <w:rFonts w:ascii="宋体" w:hAnsi="宋体" w:cs="宋体"/>
                <w:sz w:val="24"/>
              </w:rPr>
            </w:pPr>
          </w:p>
        </w:tc>
        <w:tc>
          <w:tcPr>
            <w:tcW w:w="1619" w:type="dxa"/>
            <w:tcBorders>
              <w:left w:val="single" w:color="auto" w:sz="4" w:space="0"/>
              <w:right w:val="single" w:color="auto" w:sz="4" w:space="0"/>
            </w:tcBorders>
            <w:noWrap w:val="0"/>
            <w:vAlign w:val="center"/>
          </w:tcPr>
          <w:p w14:paraId="44D2F7F0">
            <w:pPr>
              <w:spacing w:line="360" w:lineRule="auto"/>
              <w:jc w:val="center"/>
              <w:rPr>
                <w:rFonts w:ascii="宋体" w:hAnsi="宋体" w:cs="宋体"/>
                <w:sz w:val="24"/>
              </w:rPr>
            </w:pPr>
          </w:p>
        </w:tc>
        <w:tc>
          <w:tcPr>
            <w:tcW w:w="1441" w:type="dxa"/>
            <w:noWrap w:val="0"/>
            <w:vAlign w:val="center"/>
          </w:tcPr>
          <w:p w14:paraId="54490A1B">
            <w:pPr>
              <w:spacing w:line="360" w:lineRule="auto"/>
              <w:jc w:val="center"/>
              <w:rPr>
                <w:rFonts w:ascii="宋体" w:hAnsi="宋体" w:cs="宋体"/>
                <w:sz w:val="24"/>
              </w:rPr>
            </w:pPr>
          </w:p>
        </w:tc>
        <w:tc>
          <w:tcPr>
            <w:tcW w:w="2700" w:type="dxa"/>
            <w:noWrap w:val="0"/>
            <w:vAlign w:val="top"/>
          </w:tcPr>
          <w:p w14:paraId="72A272C8">
            <w:pPr>
              <w:spacing w:line="360" w:lineRule="auto"/>
              <w:jc w:val="center"/>
              <w:rPr>
                <w:rFonts w:ascii="宋体" w:hAnsi="宋体" w:cs="宋体"/>
                <w:sz w:val="24"/>
              </w:rPr>
            </w:pPr>
          </w:p>
        </w:tc>
      </w:tr>
      <w:tr w14:paraId="2FE5B8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609" w:type="dxa"/>
            <w:noWrap w:val="0"/>
            <w:vAlign w:val="center"/>
          </w:tcPr>
          <w:p w14:paraId="4CC296B0">
            <w:pPr>
              <w:spacing w:line="360" w:lineRule="auto"/>
              <w:ind w:left="120"/>
              <w:jc w:val="center"/>
              <w:rPr>
                <w:rFonts w:ascii="宋体" w:hAnsi="宋体" w:cs="宋体"/>
                <w:b/>
                <w:sz w:val="24"/>
              </w:rPr>
            </w:pPr>
            <w:r>
              <w:rPr>
                <w:rFonts w:hint="eastAsia" w:ascii="宋体" w:hAnsi="宋体" w:cs="宋体"/>
                <w:b/>
                <w:sz w:val="24"/>
              </w:rPr>
              <w:t>3</w:t>
            </w:r>
          </w:p>
        </w:tc>
        <w:tc>
          <w:tcPr>
            <w:tcW w:w="1065" w:type="dxa"/>
            <w:noWrap w:val="0"/>
            <w:vAlign w:val="center"/>
          </w:tcPr>
          <w:p w14:paraId="1DAF8462">
            <w:pPr>
              <w:spacing w:line="360" w:lineRule="auto"/>
              <w:jc w:val="center"/>
              <w:rPr>
                <w:rFonts w:ascii="宋体" w:hAnsi="宋体" w:cs="宋体"/>
                <w:sz w:val="24"/>
              </w:rPr>
            </w:pPr>
          </w:p>
        </w:tc>
        <w:tc>
          <w:tcPr>
            <w:tcW w:w="1414" w:type="dxa"/>
            <w:noWrap w:val="0"/>
            <w:vAlign w:val="center"/>
          </w:tcPr>
          <w:p w14:paraId="2E049C62">
            <w:pPr>
              <w:spacing w:line="360" w:lineRule="auto"/>
              <w:jc w:val="center"/>
              <w:rPr>
                <w:rFonts w:ascii="宋体" w:hAnsi="宋体" w:cs="宋体"/>
                <w:sz w:val="24"/>
              </w:rPr>
            </w:pPr>
          </w:p>
        </w:tc>
        <w:tc>
          <w:tcPr>
            <w:tcW w:w="1619" w:type="dxa"/>
            <w:tcBorders>
              <w:left w:val="single" w:color="auto" w:sz="4" w:space="0"/>
              <w:right w:val="single" w:color="auto" w:sz="4" w:space="0"/>
            </w:tcBorders>
            <w:noWrap w:val="0"/>
            <w:vAlign w:val="center"/>
          </w:tcPr>
          <w:p w14:paraId="18F45C0B">
            <w:pPr>
              <w:spacing w:line="360" w:lineRule="auto"/>
              <w:jc w:val="center"/>
              <w:rPr>
                <w:rFonts w:ascii="宋体" w:hAnsi="宋体" w:cs="宋体"/>
                <w:sz w:val="24"/>
              </w:rPr>
            </w:pPr>
          </w:p>
        </w:tc>
        <w:tc>
          <w:tcPr>
            <w:tcW w:w="1441" w:type="dxa"/>
            <w:noWrap w:val="0"/>
            <w:vAlign w:val="center"/>
          </w:tcPr>
          <w:p w14:paraId="6CBD0AA0">
            <w:pPr>
              <w:spacing w:line="360" w:lineRule="auto"/>
              <w:jc w:val="center"/>
              <w:rPr>
                <w:rFonts w:ascii="宋体" w:hAnsi="宋体" w:cs="宋体"/>
                <w:sz w:val="24"/>
              </w:rPr>
            </w:pPr>
          </w:p>
        </w:tc>
        <w:tc>
          <w:tcPr>
            <w:tcW w:w="2700" w:type="dxa"/>
            <w:noWrap w:val="0"/>
            <w:vAlign w:val="top"/>
          </w:tcPr>
          <w:p w14:paraId="47A5CB3B">
            <w:pPr>
              <w:spacing w:line="360" w:lineRule="auto"/>
              <w:jc w:val="center"/>
              <w:rPr>
                <w:rFonts w:ascii="宋体" w:hAnsi="宋体" w:cs="宋体"/>
                <w:sz w:val="24"/>
              </w:rPr>
            </w:pPr>
          </w:p>
        </w:tc>
      </w:tr>
      <w:tr w14:paraId="62A82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609" w:type="dxa"/>
            <w:noWrap w:val="0"/>
            <w:vAlign w:val="center"/>
          </w:tcPr>
          <w:p w14:paraId="03069F2E">
            <w:pPr>
              <w:spacing w:line="360" w:lineRule="auto"/>
              <w:ind w:left="120"/>
              <w:jc w:val="center"/>
              <w:rPr>
                <w:rFonts w:ascii="宋体" w:hAnsi="宋体" w:cs="宋体"/>
                <w:b/>
                <w:sz w:val="24"/>
              </w:rPr>
            </w:pPr>
            <w:r>
              <w:rPr>
                <w:rFonts w:hint="eastAsia" w:ascii="宋体" w:hAnsi="宋体" w:cs="宋体"/>
                <w:b/>
                <w:sz w:val="24"/>
              </w:rPr>
              <w:t>4</w:t>
            </w:r>
          </w:p>
        </w:tc>
        <w:tc>
          <w:tcPr>
            <w:tcW w:w="1065" w:type="dxa"/>
            <w:noWrap w:val="0"/>
            <w:vAlign w:val="center"/>
          </w:tcPr>
          <w:p w14:paraId="5A0AC552">
            <w:pPr>
              <w:spacing w:line="360" w:lineRule="auto"/>
              <w:jc w:val="center"/>
              <w:rPr>
                <w:rFonts w:ascii="宋体" w:hAnsi="宋体" w:cs="宋体"/>
                <w:sz w:val="24"/>
              </w:rPr>
            </w:pPr>
          </w:p>
        </w:tc>
        <w:tc>
          <w:tcPr>
            <w:tcW w:w="1414" w:type="dxa"/>
            <w:noWrap w:val="0"/>
            <w:vAlign w:val="center"/>
          </w:tcPr>
          <w:p w14:paraId="472EAB6B">
            <w:pPr>
              <w:spacing w:line="360" w:lineRule="auto"/>
              <w:jc w:val="center"/>
              <w:rPr>
                <w:rFonts w:ascii="宋体" w:hAnsi="宋体" w:cs="宋体"/>
                <w:sz w:val="24"/>
              </w:rPr>
            </w:pPr>
          </w:p>
        </w:tc>
        <w:tc>
          <w:tcPr>
            <w:tcW w:w="1619" w:type="dxa"/>
            <w:tcBorders>
              <w:left w:val="single" w:color="auto" w:sz="4" w:space="0"/>
              <w:right w:val="single" w:color="auto" w:sz="4" w:space="0"/>
            </w:tcBorders>
            <w:noWrap w:val="0"/>
            <w:vAlign w:val="center"/>
          </w:tcPr>
          <w:p w14:paraId="09460076">
            <w:pPr>
              <w:spacing w:line="360" w:lineRule="auto"/>
              <w:jc w:val="center"/>
              <w:rPr>
                <w:rFonts w:ascii="宋体" w:hAnsi="宋体" w:cs="宋体"/>
                <w:sz w:val="24"/>
              </w:rPr>
            </w:pPr>
          </w:p>
        </w:tc>
        <w:tc>
          <w:tcPr>
            <w:tcW w:w="1441" w:type="dxa"/>
            <w:noWrap w:val="0"/>
            <w:vAlign w:val="center"/>
          </w:tcPr>
          <w:p w14:paraId="3D67590A">
            <w:pPr>
              <w:spacing w:line="360" w:lineRule="auto"/>
              <w:jc w:val="center"/>
              <w:rPr>
                <w:rFonts w:ascii="宋体" w:hAnsi="宋体" w:cs="宋体"/>
                <w:sz w:val="24"/>
              </w:rPr>
            </w:pPr>
          </w:p>
        </w:tc>
        <w:tc>
          <w:tcPr>
            <w:tcW w:w="2700" w:type="dxa"/>
            <w:noWrap w:val="0"/>
            <w:vAlign w:val="top"/>
          </w:tcPr>
          <w:p w14:paraId="112785B2">
            <w:pPr>
              <w:spacing w:line="360" w:lineRule="auto"/>
              <w:jc w:val="center"/>
              <w:rPr>
                <w:rFonts w:ascii="宋体" w:hAnsi="宋体" w:cs="宋体"/>
                <w:sz w:val="24"/>
              </w:rPr>
            </w:pPr>
          </w:p>
        </w:tc>
      </w:tr>
      <w:tr w14:paraId="0926A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609" w:type="dxa"/>
            <w:noWrap w:val="0"/>
            <w:vAlign w:val="center"/>
          </w:tcPr>
          <w:p w14:paraId="3A149536">
            <w:pPr>
              <w:spacing w:line="360" w:lineRule="auto"/>
              <w:ind w:left="120"/>
              <w:jc w:val="center"/>
              <w:rPr>
                <w:rFonts w:ascii="宋体" w:hAnsi="宋体" w:cs="宋体"/>
                <w:b/>
                <w:sz w:val="24"/>
              </w:rPr>
            </w:pPr>
            <w:r>
              <w:rPr>
                <w:rFonts w:hint="eastAsia" w:ascii="宋体" w:hAnsi="宋体" w:cs="宋体"/>
                <w:b/>
                <w:sz w:val="24"/>
              </w:rPr>
              <w:t>5</w:t>
            </w:r>
          </w:p>
        </w:tc>
        <w:tc>
          <w:tcPr>
            <w:tcW w:w="1065" w:type="dxa"/>
            <w:noWrap w:val="0"/>
            <w:vAlign w:val="center"/>
          </w:tcPr>
          <w:p w14:paraId="7C13F145">
            <w:pPr>
              <w:spacing w:line="360" w:lineRule="auto"/>
              <w:jc w:val="center"/>
              <w:rPr>
                <w:rFonts w:ascii="宋体" w:hAnsi="宋体" w:cs="宋体"/>
                <w:sz w:val="24"/>
              </w:rPr>
            </w:pPr>
          </w:p>
        </w:tc>
        <w:tc>
          <w:tcPr>
            <w:tcW w:w="1414" w:type="dxa"/>
            <w:noWrap w:val="0"/>
            <w:vAlign w:val="center"/>
          </w:tcPr>
          <w:p w14:paraId="7D4491CF">
            <w:pPr>
              <w:spacing w:line="360" w:lineRule="auto"/>
              <w:jc w:val="center"/>
              <w:rPr>
                <w:rFonts w:ascii="宋体" w:hAnsi="宋体" w:cs="宋体"/>
                <w:sz w:val="24"/>
              </w:rPr>
            </w:pPr>
          </w:p>
        </w:tc>
        <w:tc>
          <w:tcPr>
            <w:tcW w:w="1619" w:type="dxa"/>
            <w:tcBorders>
              <w:left w:val="single" w:color="auto" w:sz="4" w:space="0"/>
              <w:right w:val="single" w:color="auto" w:sz="4" w:space="0"/>
            </w:tcBorders>
            <w:noWrap w:val="0"/>
            <w:vAlign w:val="center"/>
          </w:tcPr>
          <w:p w14:paraId="7D60CADF">
            <w:pPr>
              <w:spacing w:line="360" w:lineRule="auto"/>
              <w:jc w:val="center"/>
              <w:rPr>
                <w:rFonts w:ascii="宋体" w:hAnsi="宋体" w:cs="宋体"/>
                <w:sz w:val="24"/>
              </w:rPr>
            </w:pPr>
          </w:p>
        </w:tc>
        <w:tc>
          <w:tcPr>
            <w:tcW w:w="1441" w:type="dxa"/>
            <w:noWrap w:val="0"/>
            <w:vAlign w:val="center"/>
          </w:tcPr>
          <w:p w14:paraId="491CA2C9">
            <w:pPr>
              <w:spacing w:line="360" w:lineRule="auto"/>
              <w:jc w:val="center"/>
              <w:rPr>
                <w:rFonts w:ascii="宋体" w:hAnsi="宋体" w:cs="宋体"/>
                <w:sz w:val="24"/>
              </w:rPr>
            </w:pPr>
          </w:p>
        </w:tc>
        <w:tc>
          <w:tcPr>
            <w:tcW w:w="2700" w:type="dxa"/>
            <w:noWrap w:val="0"/>
            <w:vAlign w:val="top"/>
          </w:tcPr>
          <w:p w14:paraId="7CD58380">
            <w:pPr>
              <w:spacing w:line="360" w:lineRule="auto"/>
              <w:jc w:val="center"/>
              <w:rPr>
                <w:rFonts w:ascii="宋体" w:hAnsi="宋体" w:cs="宋体"/>
                <w:sz w:val="24"/>
              </w:rPr>
            </w:pPr>
          </w:p>
        </w:tc>
      </w:tr>
      <w:tr w14:paraId="2EDDA4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609" w:type="dxa"/>
            <w:noWrap w:val="0"/>
            <w:vAlign w:val="center"/>
          </w:tcPr>
          <w:p w14:paraId="77C11E0A">
            <w:pPr>
              <w:spacing w:line="360" w:lineRule="auto"/>
              <w:jc w:val="center"/>
              <w:rPr>
                <w:rFonts w:ascii="宋体" w:hAnsi="宋体" w:cs="宋体"/>
                <w:b/>
                <w:sz w:val="24"/>
              </w:rPr>
            </w:pPr>
            <w:r>
              <w:rPr>
                <w:rFonts w:hint="eastAsia" w:ascii="宋体" w:hAnsi="宋体" w:cs="宋体"/>
                <w:b/>
                <w:sz w:val="24"/>
              </w:rPr>
              <w:t>…</w:t>
            </w:r>
          </w:p>
        </w:tc>
        <w:tc>
          <w:tcPr>
            <w:tcW w:w="1065" w:type="dxa"/>
            <w:noWrap w:val="0"/>
            <w:vAlign w:val="center"/>
          </w:tcPr>
          <w:p w14:paraId="7FE7A381">
            <w:pPr>
              <w:spacing w:line="360" w:lineRule="auto"/>
              <w:jc w:val="center"/>
              <w:rPr>
                <w:rFonts w:ascii="宋体" w:hAnsi="宋体" w:cs="宋体"/>
                <w:sz w:val="24"/>
              </w:rPr>
            </w:pPr>
          </w:p>
        </w:tc>
        <w:tc>
          <w:tcPr>
            <w:tcW w:w="1414" w:type="dxa"/>
            <w:noWrap w:val="0"/>
            <w:vAlign w:val="center"/>
          </w:tcPr>
          <w:p w14:paraId="4AB64C44">
            <w:pPr>
              <w:spacing w:line="360" w:lineRule="auto"/>
              <w:jc w:val="center"/>
              <w:rPr>
                <w:rFonts w:ascii="宋体" w:hAnsi="宋体" w:cs="宋体"/>
                <w:sz w:val="24"/>
              </w:rPr>
            </w:pPr>
          </w:p>
        </w:tc>
        <w:tc>
          <w:tcPr>
            <w:tcW w:w="1619" w:type="dxa"/>
            <w:tcBorders>
              <w:left w:val="single" w:color="auto" w:sz="4" w:space="0"/>
              <w:right w:val="single" w:color="auto" w:sz="4" w:space="0"/>
            </w:tcBorders>
            <w:noWrap w:val="0"/>
            <w:vAlign w:val="center"/>
          </w:tcPr>
          <w:p w14:paraId="4635C86F">
            <w:pPr>
              <w:spacing w:line="360" w:lineRule="auto"/>
              <w:jc w:val="center"/>
              <w:rPr>
                <w:rFonts w:ascii="宋体" w:hAnsi="宋体" w:cs="宋体"/>
                <w:sz w:val="24"/>
              </w:rPr>
            </w:pPr>
          </w:p>
        </w:tc>
        <w:tc>
          <w:tcPr>
            <w:tcW w:w="1441" w:type="dxa"/>
            <w:noWrap w:val="0"/>
            <w:vAlign w:val="center"/>
          </w:tcPr>
          <w:p w14:paraId="706309F3">
            <w:pPr>
              <w:spacing w:line="360" w:lineRule="auto"/>
              <w:jc w:val="center"/>
              <w:rPr>
                <w:rFonts w:ascii="宋体" w:hAnsi="宋体" w:cs="宋体"/>
                <w:sz w:val="24"/>
              </w:rPr>
            </w:pPr>
          </w:p>
        </w:tc>
        <w:tc>
          <w:tcPr>
            <w:tcW w:w="2700" w:type="dxa"/>
            <w:noWrap w:val="0"/>
            <w:vAlign w:val="top"/>
          </w:tcPr>
          <w:p w14:paraId="2764E851">
            <w:pPr>
              <w:spacing w:line="360" w:lineRule="auto"/>
              <w:jc w:val="center"/>
              <w:rPr>
                <w:rFonts w:ascii="宋体" w:hAnsi="宋体" w:cs="宋体"/>
                <w:sz w:val="24"/>
              </w:rPr>
            </w:pPr>
          </w:p>
        </w:tc>
      </w:tr>
      <w:tr w14:paraId="74A74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609" w:type="dxa"/>
            <w:noWrap w:val="0"/>
            <w:vAlign w:val="center"/>
          </w:tcPr>
          <w:p w14:paraId="5C5E2F0A">
            <w:pPr>
              <w:spacing w:line="360" w:lineRule="auto"/>
              <w:jc w:val="center"/>
              <w:rPr>
                <w:rFonts w:ascii="宋体" w:hAnsi="宋体" w:cs="宋体"/>
                <w:b/>
                <w:sz w:val="24"/>
              </w:rPr>
            </w:pPr>
          </w:p>
        </w:tc>
        <w:tc>
          <w:tcPr>
            <w:tcW w:w="1065" w:type="dxa"/>
            <w:noWrap w:val="0"/>
            <w:vAlign w:val="center"/>
          </w:tcPr>
          <w:p w14:paraId="7DCF4535">
            <w:pPr>
              <w:spacing w:line="360" w:lineRule="auto"/>
              <w:jc w:val="center"/>
              <w:rPr>
                <w:rFonts w:ascii="宋体" w:hAnsi="宋体" w:cs="宋体"/>
                <w:sz w:val="24"/>
              </w:rPr>
            </w:pPr>
          </w:p>
        </w:tc>
        <w:tc>
          <w:tcPr>
            <w:tcW w:w="1414" w:type="dxa"/>
            <w:noWrap w:val="0"/>
            <w:vAlign w:val="center"/>
          </w:tcPr>
          <w:p w14:paraId="7C39477C">
            <w:pPr>
              <w:spacing w:line="360" w:lineRule="auto"/>
              <w:jc w:val="center"/>
              <w:rPr>
                <w:rFonts w:ascii="宋体" w:hAnsi="宋体" w:cs="宋体"/>
                <w:sz w:val="24"/>
              </w:rPr>
            </w:pPr>
          </w:p>
        </w:tc>
        <w:tc>
          <w:tcPr>
            <w:tcW w:w="1619" w:type="dxa"/>
            <w:tcBorders>
              <w:left w:val="single" w:color="auto" w:sz="4" w:space="0"/>
              <w:right w:val="single" w:color="auto" w:sz="4" w:space="0"/>
            </w:tcBorders>
            <w:noWrap w:val="0"/>
            <w:vAlign w:val="center"/>
          </w:tcPr>
          <w:p w14:paraId="0BB05E9E">
            <w:pPr>
              <w:spacing w:line="360" w:lineRule="auto"/>
              <w:jc w:val="center"/>
              <w:rPr>
                <w:rFonts w:ascii="宋体" w:hAnsi="宋体" w:cs="宋体"/>
                <w:sz w:val="24"/>
              </w:rPr>
            </w:pPr>
          </w:p>
        </w:tc>
        <w:tc>
          <w:tcPr>
            <w:tcW w:w="1441" w:type="dxa"/>
            <w:noWrap w:val="0"/>
            <w:vAlign w:val="center"/>
          </w:tcPr>
          <w:p w14:paraId="7613012A">
            <w:pPr>
              <w:spacing w:line="360" w:lineRule="auto"/>
              <w:jc w:val="center"/>
              <w:rPr>
                <w:rFonts w:ascii="宋体" w:hAnsi="宋体" w:cs="宋体"/>
                <w:sz w:val="24"/>
              </w:rPr>
            </w:pPr>
          </w:p>
        </w:tc>
        <w:tc>
          <w:tcPr>
            <w:tcW w:w="2700" w:type="dxa"/>
            <w:noWrap w:val="0"/>
            <w:vAlign w:val="top"/>
          </w:tcPr>
          <w:p w14:paraId="01547383">
            <w:pPr>
              <w:spacing w:line="360" w:lineRule="auto"/>
              <w:jc w:val="center"/>
              <w:rPr>
                <w:rFonts w:ascii="宋体" w:hAnsi="宋体" w:cs="宋体"/>
                <w:sz w:val="24"/>
              </w:rPr>
            </w:pPr>
          </w:p>
        </w:tc>
      </w:tr>
      <w:tr w14:paraId="13A21B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609" w:type="dxa"/>
            <w:noWrap w:val="0"/>
            <w:vAlign w:val="center"/>
          </w:tcPr>
          <w:p w14:paraId="20352917">
            <w:pPr>
              <w:spacing w:line="360" w:lineRule="auto"/>
              <w:jc w:val="center"/>
              <w:rPr>
                <w:rFonts w:ascii="宋体" w:hAnsi="宋体" w:cs="宋体"/>
                <w:b/>
                <w:sz w:val="24"/>
              </w:rPr>
            </w:pPr>
          </w:p>
        </w:tc>
        <w:tc>
          <w:tcPr>
            <w:tcW w:w="1065" w:type="dxa"/>
            <w:noWrap w:val="0"/>
            <w:vAlign w:val="center"/>
          </w:tcPr>
          <w:p w14:paraId="498CD1A0">
            <w:pPr>
              <w:spacing w:line="360" w:lineRule="auto"/>
              <w:jc w:val="center"/>
              <w:rPr>
                <w:rFonts w:ascii="宋体" w:hAnsi="宋体" w:cs="宋体"/>
                <w:sz w:val="24"/>
              </w:rPr>
            </w:pPr>
          </w:p>
        </w:tc>
        <w:tc>
          <w:tcPr>
            <w:tcW w:w="1414" w:type="dxa"/>
            <w:noWrap w:val="0"/>
            <w:vAlign w:val="center"/>
          </w:tcPr>
          <w:p w14:paraId="7EF5FF3B">
            <w:pPr>
              <w:spacing w:line="360" w:lineRule="auto"/>
              <w:jc w:val="center"/>
              <w:rPr>
                <w:rFonts w:ascii="宋体" w:hAnsi="宋体" w:cs="宋体"/>
                <w:sz w:val="24"/>
              </w:rPr>
            </w:pPr>
          </w:p>
        </w:tc>
        <w:tc>
          <w:tcPr>
            <w:tcW w:w="1619" w:type="dxa"/>
            <w:tcBorders>
              <w:left w:val="single" w:color="auto" w:sz="4" w:space="0"/>
              <w:right w:val="single" w:color="auto" w:sz="4" w:space="0"/>
            </w:tcBorders>
            <w:noWrap w:val="0"/>
            <w:vAlign w:val="center"/>
          </w:tcPr>
          <w:p w14:paraId="6B45903A">
            <w:pPr>
              <w:spacing w:line="360" w:lineRule="auto"/>
              <w:jc w:val="center"/>
              <w:rPr>
                <w:rFonts w:ascii="宋体" w:hAnsi="宋体" w:cs="宋体"/>
                <w:sz w:val="24"/>
              </w:rPr>
            </w:pPr>
          </w:p>
        </w:tc>
        <w:tc>
          <w:tcPr>
            <w:tcW w:w="1441" w:type="dxa"/>
            <w:noWrap w:val="0"/>
            <w:vAlign w:val="center"/>
          </w:tcPr>
          <w:p w14:paraId="7C41FDB7">
            <w:pPr>
              <w:spacing w:line="360" w:lineRule="auto"/>
              <w:jc w:val="center"/>
              <w:rPr>
                <w:rFonts w:ascii="宋体" w:hAnsi="宋体" w:cs="宋体"/>
                <w:sz w:val="24"/>
              </w:rPr>
            </w:pPr>
          </w:p>
        </w:tc>
        <w:tc>
          <w:tcPr>
            <w:tcW w:w="2700" w:type="dxa"/>
            <w:noWrap w:val="0"/>
            <w:vAlign w:val="top"/>
          </w:tcPr>
          <w:p w14:paraId="0C29A3E6">
            <w:pPr>
              <w:spacing w:line="360" w:lineRule="auto"/>
              <w:jc w:val="center"/>
              <w:rPr>
                <w:rFonts w:ascii="宋体" w:hAnsi="宋体" w:cs="宋体"/>
                <w:sz w:val="24"/>
              </w:rPr>
            </w:pPr>
          </w:p>
        </w:tc>
      </w:tr>
      <w:tr w14:paraId="258DB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609" w:type="dxa"/>
            <w:noWrap w:val="0"/>
            <w:vAlign w:val="center"/>
          </w:tcPr>
          <w:p w14:paraId="525D6B41">
            <w:pPr>
              <w:spacing w:line="360" w:lineRule="auto"/>
              <w:jc w:val="center"/>
              <w:rPr>
                <w:rFonts w:ascii="宋体" w:hAnsi="宋体" w:cs="宋体"/>
                <w:b/>
                <w:sz w:val="24"/>
              </w:rPr>
            </w:pPr>
          </w:p>
        </w:tc>
        <w:tc>
          <w:tcPr>
            <w:tcW w:w="1065" w:type="dxa"/>
            <w:noWrap w:val="0"/>
            <w:vAlign w:val="center"/>
          </w:tcPr>
          <w:p w14:paraId="32DCB963">
            <w:pPr>
              <w:spacing w:line="360" w:lineRule="auto"/>
              <w:jc w:val="center"/>
              <w:rPr>
                <w:rFonts w:ascii="宋体" w:hAnsi="宋体" w:cs="宋体"/>
                <w:sz w:val="24"/>
              </w:rPr>
            </w:pPr>
          </w:p>
        </w:tc>
        <w:tc>
          <w:tcPr>
            <w:tcW w:w="1414" w:type="dxa"/>
            <w:noWrap w:val="0"/>
            <w:vAlign w:val="center"/>
          </w:tcPr>
          <w:p w14:paraId="2837F203">
            <w:pPr>
              <w:spacing w:line="360" w:lineRule="auto"/>
              <w:jc w:val="center"/>
              <w:rPr>
                <w:rFonts w:ascii="宋体" w:hAnsi="宋体" w:cs="宋体"/>
                <w:sz w:val="24"/>
              </w:rPr>
            </w:pPr>
          </w:p>
        </w:tc>
        <w:tc>
          <w:tcPr>
            <w:tcW w:w="1619" w:type="dxa"/>
            <w:tcBorders>
              <w:left w:val="single" w:color="auto" w:sz="4" w:space="0"/>
              <w:right w:val="single" w:color="auto" w:sz="4" w:space="0"/>
            </w:tcBorders>
            <w:noWrap w:val="0"/>
            <w:vAlign w:val="center"/>
          </w:tcPr>
          <w:p w14:paraId="23BAC1B1">
            <w:pPr>
              <w:spacing w:line="360" w:lineRule="auto"/>
              <w:jc w:val="center"/>
              <w:rPr>
                <w:rFonts w:ascii="宋体" w:hAnsi="宋体" w:cs="宋体"/>
                <w:sz w:val="24"/>
              </w:rPr>
            </w:pPr>
          </w:p>
        </w:tc>
        <w:tc>
          <w:tcPr>
            <w:tcW w:w="1441" w:type="dxa"/>
            <w:noWrap w:val="0"/>
            <w:vAlign w:val="center"/>
          </w:tcPr>
          <w:p w14:paraId="0E023EC9">
            <w:pPr>
              <w:spacing w:line="360" w:lineRule="auto"/>
              <w:jc w:val="center"/>
              <w:rPr>
                <w:rFonts w:ascii="宋体" w:hAnsi="宋体" w:cs="宋体"/>
                <w:sz w:val="24"/>
              </w:rPr>
            </w:pPr>
          </w:p>
        </w:tc>
        <w:tc>
          <w:tcPr>
            <w:tcW w:w="2700" w:type="dxa"/>
            <w:noWrap w:val="0"/>
            <w:vAlign w:val="top"/>
          </w:tcPr>
          <w:p w14:paraId="2C182E63">
            <w:pPr>
              <w:spacing w:line="360" w:lineRule="auto"/>
              <w:jc w:val="center"/>
              <w:rPr>
                <w:rFonts w:ascii="宋体" w:hAnsi="宋体" w:cs="宋体"/>
                <w:sz w:val="24"/>
              </w:rPr>
            </w:pPr>
          </w:p>
        </w:tc>
      </w:tr>
      <w:tr w14:paraId="6CE58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609" w:type="dxa"/>
            <w:noWrap w:val="0"/>
            <w:vAlign w:val="center"/>
          </w:tcPr>
          <w:p w14:paraId="0AD6CC97">
            <w:pPr>
              <w:spacing w:line="360" w:lineRule="auto"/>
              <w:ind w:left="120"/>
              <w:jc w:val="center"/>
              <w:rPr>
                <w:rFonts w:ascii="宋体" w:hAnsi="宋体" w:cs="宋体"/>
                <w:b/>
                <w:sz w:val="24"/>
              </w:rPr>
            </w:pPr>
          </w:p>
        </w:tc>
        <w:tc>
          <w:tcPr>
            <w:tcW w:w="1065" w:type="dxa"/>
            <w:noWrap w:val="0"/>
            <w:vAlign w:val="center"/>
          </w:tcPr>
          <w:p w14:paraId="3B43685E">
            <w:pPr>
              <w:spacing w:line="360" w:lineRule="auto"/>
              <w:jc w:val="center"/>
              <w:rPr>
                <w:rFonts w:ascii="宋体" w:hAnsi="宋体" w:cs="宋体"/>
                <w:sz w:val="24"/>
              </w:rPr>
            </w:pPr>
          </w:p>
        </w:tc>
        <w:tc>
          <w:tcPr>
            <w:tcW w:w="1414" w:type="dxa"/>
            <w:noWrap w:val="0"/>
            <w:vAlign w:val="center"/>
          </w:tcPr>
          <w:p w14:paraId="1C993A3D">
            <w:pPr>
              <w:spacing w:line="360" w:lineRule="auto"/>
              <w:jc w:val="center"/>
              <w:rPr>
                <w:rFonts w:ascii="宋体" w:hAnsi="宋体" w:cs="宋体"/>
                <w:sz w:val="24"/>
              </w:rPr>
            </w:pPr>
          </w:p>
        </w:tc>
        <w:tc>
          <w:tcPr>
            <w:tcW w:w="1619" w:type="dxa"/>
            <w:tcBorders>
              <w:left w:val="single" w:color="auto" w:sz="4" w:space="0"/>
              <w:right w:val="single" w:color="auto" w:sz="4" w:space="0"/>
            </w:tcBorders>
            <w:noWrap w:val="0"/>
            <w:vAlign w:val="center"/>
          </w:tcPr>
          <w:p w14:paraId="39EAF544">
            <w:pPr>
              <w:spacing w:line="360" w:lineRule="auto"/>
              <w:jc w:val="center"/>
              <w:rPr>
                <w:rFonts w:ascii="宋体" w:hAnsi="宋体" w:cs="宋体"/>
                <w:sz w:val="24"/>
              </w:rPr>
            </w:pPr>
          </w:p>
        </w:tc>
        <w:tc>
          <w:tcPr>
            <w:tcW w:w="1441" w:type="dxa"/>
            <w:noWrap w:val="0"/>
            <w:vAlign w:val="center"/>
          </w:tcPr>
          <w:p w14:paraId="2CB04596">
            <w:pPr>
              <w:spacing w:line="360" w:lineRule="auto"/>
              <w:jc w:val="center"/>
              <w:rPr>
                <w:rFonts w:ascii="宋体" w:hAnsi="宋体" w:cs="宋体"/>
                <w:sz w:val="24"/>
              </w:rPr>
            </w:pPr>
          </w:p>
        </w:tc>
        <w:tc>
          <w:tcPr>
            <w:tcW w:w="2700" w:type="dxa"/>
            <w:noWrap w:val="0"/>
            <w:vAlign w:val="top"/>
          </w:tcPr>
          <w:p w14:paraId="68B1C04D">
            <w:pPr>
              <w:spacing w:line="360" w:lineRule="auto"/>
              <w:jc w:val="center"/>
              <w:rPr>
                <w:rFonts w:ascii="宋体" w:hAnsi="宋体" w:cs="宋体"/>
                <w:sz w:val="24"/>
              </w:rPr>
            </w:pPr>
          </w:p>
        </w:tc>
      </w:tr>
    </w:tbl>
    <w:p w14:paraId="033F6155">
      <w:pPr>
        <w:tabs>
          <w:tab w:val="left" w:pos="8782"/>
        </w:tabs>
        <w:snapToGrid w:val="0"/>
        <w:spacing w:before="120" w:line="360" w:lineRule="auto"/>
        <w:ind w:left="505" w:leftChars="50" w:right="-38" w:hanging="400" w:hangingChars="166"/>
        <w:rPr>
          <w:rFonts w:ascii="宋体" w:hAnsi="宋体" w:cs="宋体"/>
          <w:b/>
          <w:bCs/>
          <w:sz w:val="24"/>
          <w:szCs w:val="24"/>
        </w:rPr>
      </w:pPr>
      <w:r>
        <w:rPr>
          <w:rFonts w:hint="eastAsia" w:ascii="宋体" w:hAnsi="宋体" w:cs="宋体"/>
          <w:b/>
          <w:bCs/>
          <w:sz w:val="24"/>
          <w:szCs w:val="24"/>
        </w:rPr>
        <w:t>注：1.如有同类项目经验请如实填写本表。供应商应如实列出以上情况，如有隐瞒，一经查实将导致其报价申请被拒绝。</w:t>
      </w:r>
    </w:p>
    <w:p w14:paraId="2223B1EA">
      <w:pPr>
        <w:snapToGrid w:val="0"/>
        <w:spacing w:before="120" w:line="360" w:lineRule="auto"/>
        <w:ind w:left="523" w:leftChars="249" w:right="357"/>
        <w:rPr>
          <w:rFonts w:ascii="宋体" w:hAnsi="宋体" w:cs="宋体"/>
          <w:sz w:val="24"/>
          <w:szCs w:val="24"/>
        </w:rPr>
      </w:pPr>
      <w:r>
        <w:rPr>
          <w:rFonts w:hint="eastAsia" w:ascii="宋体" w:hAnsi="宋体" w:cs="宋体"/>
          <w:b/>
          <w:bCs/>
          <w:sz w:val="24"/>
          <w:szCs w:val="24"/>
        </w:rPr>
        <w:t>2.供应商应提供双方签订的合同（合同复印件加盖公章装订在谈判响应文件中）。</w:t>
      </w:r>
    </w:p>
    <w:p w14:paraId="1C307086">
      <w:pPr>
        <w:pStyle w:val="6"/>
        <w:sectPr>
          <w:pgSz w:w="11906" w:h="16838"/>
          <w:pgMar w:top="1121" w:right="1418" w:bottom="417" w:left="1418" w:header="720" w:footer="720" w:gutter="0"/>
          <w:cols w:space="720" w:num="1"/>
          <w:titlePg/>
          <w:docGrid w:type="lines" w:linePitch="312" w:charSpace="0"/>
        </w:sectPr>
      </w:pPr>
    </w:p>
    <w:p w14:paraId="40488DAA">
      <w:pPr>
        <w:widowControl/>
        <w:spacing w:line="480" w:lineRule="auto"/>
        <w:jc w:val="center"/>
      </w:pPr>
      <w:r>
        <w:rPr>
          <w:rFonts w:hint="eastAsia" w:ascii="宋体" w:hAnsi="宋体" w:cs="宋体"/>
          <w:b/>
          <w:bCs/>
          <w:kern w:val="0"/>
          <w:sz w:val="36"/>
          <w:szCs w:val="36"/>
          <w:lang w:bidi="ar"/>
        </w:rPr>
        <w:t>十</w:t>
      </w:r>
      <w:r>
        <w:rPr>
          <w:rFonts w:hint="eastAsia" w:ascii="宋体" w:hAnsi="宋体" w:cs="宋体"/>
          <w:b/>
          <w:bCs/>
          <w:kern w:val="0"/>
          <w:sz w:val="36"/>
          <w:szCs w:val="36"/>
          <w:lang w:val="en-US" w:eastAsia="zh-CN" w:bidi="ar"/>
        </w:rPr>
        <w:t>五</w:t>
      </w:r>
      <w:r>
        <w:rPr>
          <w:rFonts w:hint="eastAsia" w:ascii="宋体" w:hAnsi="宋体" w:cs="宋体"/>
          <w:b/>
          <w:bCs/>
          <w:kern w:val="0"/>
          <w:sz w:val="36"/>
          <w:szCs w:val="36"/>
          <w:lang w:bidi="ar"/>
        </w:rPr>
        <w:t>、</w:t>
      </w:r>
      <w:bookmarkStart w:id="624" w:name="_Toc28475"/>
      <w:r>
        <w:rPr>
          <w:rFonts w:hint="eastAsia" w:ascii="宋体" w:hAnsi="宋体" w:cs="宋体"/>
          <w:b/>
          <w:bCs/>
          <w:color w:val="000000"/>
          <w:kern w:val="0"/>
          <w:sz w:val="36"/>
          <w:szCs w:val="36"/>
          <w:lang w:bidi="ar"/>
        </w:rPr>
        <w:t>中小企业声明函</w:t>
      </w:r>
    </w:p>
    <w:p w14:paraId="1C4E22DC">
      <w:pPr>
        <w:spacing w:line="360" w:lineRule="auto"/>
        <w:ind w:firstLine="480" w:firstLineChars="200"/>
        <w:rPr>
          <w:rFonts w:hint="eastAsia" w:ascii="宋体" w:hAnsi="宋体" w:cs="宋体"/>
          <w:sz w:val="24"/>
          <w:szCs w:val="24"/>
        </w:rPr>
      </w:pPr>
      <w:r>
        <w:rPr>
          <w:rFonts w:hint="eastAsia" w:ascii="宋体" w:hAnsi="宋体" w:cs="宋体"/>
          <w:sz w:val="24"/>
          <w:szCs w:val="24"/>
        </w:rPr>
        <w:t>本公司郑重声明，根据《政府采购促进中小企业发展管理办法》（财库﹝2020﹞46 号）的规定，本公司参加（单位名称）的（项目名称）采购活动，提供的货物全部由符合政策要求的中小企业制造。相关企业的具体情况如下：</w:t>
      </w:r>
    </w:p>
    <w:p w14:paraId="0567FACC">
      <w:pPr>
        <w:spacing w:line="360" w:lineRule="auto"/>
        <w:ind w:firstLine="480" w:firstLineChars="200"/>
        <w:rPr>
          <w:rFonts w:hint="eastAsia" w:ascii="宋体" w:hAnsi="宋体" w:cs="宋体"/>
          <w:sz w:val="24"/>
          <w:szCs w:val="24"/>
        </w:rPr>
      </w:pPr>
      <w:r>
        <w:rPr>
          <w:rFonts w:hint="eastAsia" w:ascii="宋体" w:hAnsi="宋体" w:cs="宋体"/>
          <w:sz w:val="24"/>
          <w:szCs w:val="24"/>
        </w:rPr>
        <w:t>1.</w:t>
      </w:r>
      <w:r>
        <w:rPr>
          <w:rFonts w:hint="eastAsia" w:ascii="宋体" w:hAnsi="宋体" w:cs="宋体"/>
          <w:sz w:val="24"/>
          <w:szCs w:val="24"/>
          <w:u w:val="single"/>
        </w:rPr>
        <w:t xml:space="preserve"> （标的名称） </w:t>
      </w:r>
      <w:r>
        <w:rPr>
          <w:rFonts w:hint="eastAsia" w:ascii="宋体" w:hAnsi="宋体" w:cs="宋体"/>
          <w:sz w:val="24"/>
          <w:szCs w:val="24"/>
        </w:rPr>
        <w:t>，属于</w:t>
      </w:r>
      <w:r>
        <w:rPr>
          <w:rFonts w:hint="eastAsia" w:ascii="宋体" w:hAnsi="宋体" w:cs="宋体"/>
          <w:sz w:val="24"/>
          <w:szCs w:val="24"/>
          <w:u w:val="single"/>
        </w:rPr>
        <w:t>（采购文件中明确的所属行业）</w:t>
      </w:r>
      <w:r>
        <w:rPr>
          <w:rFonts w:hint="eastAsia" w:ascii="宋体" w:hAnsi="宋体" w:cs="宋体"/>
          <w:sz w:val="24"/>
          <w:szCs w:val="24"/>
        </w:rPr>
        <w:t>行业；制造商为</w:t>
      </w:r>
      <w:r>
        <w:rPr>
          <w:rFonts w:hint="eastAsia" w:ascii="宋体" w:hAnsi="宋体" w:cs="宋体"/>
          <w:sz w:val="24"/>
          <w:szCs w:val="24"/>
          <w:u w:val="single"/>
        </w:rPr>
        <w:t>（企业名称）</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（中型企业、小型企业、微型企业）</w:t>
      </w:r>
      <w:r>
        <w:rPr>
          <w:rFonts w:hint="eastAsia" w:ascii="宋体" w:hAnsi="宋体" w:cs="宋体"/>
          <w:sz w:val="24"/>
          <w:szCs w:val="24"/>
        </w:rPr>
        <w:t>；</w:t>
      </w:r>
    </w:p>
    <w:p w14:paraId="1D865678">
      <w:pPr>
        <w:spacing w:line="360" w:lineRule="auto"/>
        <w:rPr>
          <w:rFonts w:hint="eastAsia" w:ascii="宋体" w:hAnsi="宋体" w:cs="宋体"/>
          <w:sz w:val="24"/>
          <w:szCs w:val="24"/>
        </w:rPr>
      </w:pPr>
      <w:r>
        <w:rPr>
          <w:rFonts w:hint="eastAsia" w:ascii="宋体" w:hAnsi="宋体" w:cs="宋体"/>
          <w:sz w:val="24"/>
          <w:szCs w:val="24"/>
        </w:rPr>
        <w:t>……</w:t>
      </w:r>
    </w:p>
    <w:p w14:paraId="6B9CD6D9">
      <w:pPr>
        <w:spacing w:line="360" w:lineRule="auto"/>
        <w:ind w:firstLine="480" w:firstLineChars="200"/>
        <w:rPr>
          <w:rFonts w:hint="eastAsia" w:ascii="宋体" w:hAnsi="宋体" w:cs="宋体"/>
          <w:sz w:val="24"/>
          <w:szCs w:val="24"/>
        </w:rPr>
      </w:pPr>
      <w:r>
        <w:rPr>
          <w:rFonts w:hint="eastAsia" w:ascii="宋体" w:hAnsi="宋体" w:cs="宋体"/>
          <w:sz w:val="24"/>
          <w:szCs w:val="24"/>
        </w:rPr>
        <w:t>以上企业，不属于大企业的分支机构，不存在控股股东为大企业的情形，也不存在与大企业的负责人为同一人的情形。</w:t>
      </w:r>
    </w:p>
    <w:p w14:paraId="60369336">
      <w:pPr>
        <w:spacing w:line="360" w:lineRule="auto"/>
        <w:ind w:firstLine="480" w:firstLineChars="200"/>
        <w:rPr>
          <w:rFonts w:hint="eastAsia" w:ascii="宋体" w:hAnsi="宋体" w:cs="宋体"/>
          <w:sz w:val="24"/>
          <w:szCs w:val="24"/>
        </w:rPr>
      </w:pPr>
      <w:r>
        <w:rPr>
          <w:rFonts w:hint="eastAsia" w:ascii="宋体" w:hAnsi="宋体" w:cs="宋体"/>
          <w:sz w:val="24"/>
          <w:szCs w:val="24"/>
        </w:rPr>
        <w:t>本企业对上述声明内容的真实性负责。如有虚假，将依法承担相应责任。</w:t>
      </w:r>
    </w:p>
    <w:p w14:paraId="0EB2B4A1">
      <w:pPr>
        <w:spacing w:line="360" w:lineRule="auto"/>
        <w:ind w:firstLine="480" w:firstLineChars="200"/>
        <w:rPr>
          <w:rFonts w:hint="eastAsia" w:ascii="宋体" w:hAnsi="宋体" w:cs="宋体"/>
          <w:sz w:val="24"/>
          <w:szCs w:val="24"/>
        </w:rPr>
      </w:pPr>
    </w:p>
    <w:p w14:paraId="68E25299">
      <w:pPr>
        <w:spacing w:line="360" w:lineRule="auto"/>
        <w:ind w:firstLine="480" w:firstLineChars="200"/>
        <w:rPr>
          <w:rFonts w:hint="eastAsia" w:ascii="宋体" w:hAnsi="宋体" w:cs="宋体"/>
          <w:sz w:val="24"/>
          <w:szCs w:val="24"/>
        </w:rPr>
      </w:pPr>
    </w:p>
    <w:p w14:paraId="12353BB2">
      <w:pPr>
        <w:ind w:firstLine="480" w:firstLineChars="200"/>
        <w:rPr>
          <w:rFonts w:hint="eastAsia" w:ascii="宋体" w:hAnsi="宋体" w:cs="宋体"/>
          <w:sz w:val="24"/>
        </w:rPr>
      </w:pPr>
    </w:p>
    <w:p w14:paraId="7A49D69F">
      <w:pPr>
        <w:spacing w:line="360" w:lineRule="auto"/>
        <w:ind w:firstLine="480" w:firstLineChars="200"/>
        <w:jc w:val="center"/>
        <w:rPr>
          <w:rFonts w:hint="eastAsia" w:ascii="宋体" w:hAnsi="宋体" w:cs="宋体"/>
          <w:sz w:val="24"/>
        </w:rPr>
      </w:pPr>
    </w:p>
    <w:p w14:paraId="452DC872">
      <w:pPr>
        <w:spacing w:line="360" w:lineRule="auto"/>
        <w:ind w:firstLine="480" w:firstLineChars="200"/>
        <w:jc w:val="center"/>
        <w:rPr>
          <w:rFonts w:ascii="宋体" w:hAnsi="宋体" w:cs="宋体"/>
          <w:sz w:val="24"/>
          <w:u w:val="single"/>
        </w:rPr>
      </w:pPr>
      <w:r>
        <w:rPr>
          <w:rFonts w:hint="eastAsia" w:ascii="宋体" w:hAnsi="宋体" w:cs="宋体"/>
          <w:sz w:val="24"/>
        </w:rPr>
        <w:t xml:space="preserve">企业名称（盖章）： </w:t>
      </w:r>
      <w:r>
        <w:rPr>
          <w:rFonts w:hint="eastAsia" w:ascii="宋体" w:hAnsi="宋体" w:cs="宋体"/>
          <w:sz w:val="24"/>
          <w:u w:val="single"/>
        </w:rPr>
        <w:t xml:space="preserve">                  </w:t>
      </w:r>
    </w:p>
    <w:p w14:paraId="643D3219">
      <w:pPr>
        <w:spacing w:line="360" w:lineRule="auto"/>
        <w:ind w:firstLine="480" w:firstLineChars="200"/>
        <w:jc w:val="center"/>
        <w:rPr>
          <w:rFonts w:hint="eastAsia"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 xml:space="preserve"> </w:t>
      </w:r>
    </w:p>
    <w:p w14:paraId="3E137FCB">
      <w:pPr>
        <w:pStyle w:val="6"/>
        <w:rPr>
          <w:rFonts w:hint="eastAsia" w:ascii="宋体" w:hAnsi="宋体" w:cs="宋体"/>
          <w:bCs/>
          <w:sz w:val="32"/>
          <w:szCs w:val="32"/>
        </w:rPr>
      </w:pPr>
    </w:p>
    <w:p w14:paraId="3F5C9160">
      <w:pPr>
        <w:widowControl/>
        <w:spacing w:line="360" w:lineRule="auto"/>
        <w:jc w:val="center"/>
        <w:rPr>
          <w:rFonts w:hint="eastAsia" w:ascii="宋体" w:hAnsi="宋体" w:cs="宋体"/>
          <w:b/>
          <w:bCs/>
          <w:color w:val="000000"/>
          <w:kern w:val="0"/>
          <w:sz w:val="36"/>
          <w:szCs w:val="36"/>
          <w:lang w:bidi="ar"/>
        </w:rPr>
        <w:sectPr>
          <w:footerReference r:id="rId20" w:type="default"/>
          <w:pgSz w:w="11906" w:h="16838"/>
          <w:pgMar w:top="1440" w:right="1531" w:bottom="1440" w:left="1531" w:header="720" w:footer="720" w:gutter="0"/>
          <w:cols w:space="720" w:num="1"/>
          <w:docGrid w:type="lines" w:linePitch="312" w:charSpace="0"/>
        </w:sectPr>
      </w:pPr>
    </w:p>
    <w:p w14:paraId="6F72DF97">
      <w:pPr>
        <w:widowControl/>
        <w:spacing w:line="600" w:lineRule="auto"/>
        <w:jc w:val="center"/>
        <w:rPr>
          <w:rFonts w:hint="eastAsia" w:ascii="宋体" w:hAnsi="宋体" w:cs="宋体"/>
          <w:b/>
          <w:bCs/>
          <w:color w:val="000000"/>
          <w:kern w:val="0"/>
          <w:sz w:val="36"/>
          <w:szCs w:val="36"/>
          <w:lang w:bidi="ar"/>
        </w:rPr>
      </w:pPr>
      <w:r>
        <w:rPr>
          <w:rFonts w:hint="eastAsia" w:ascii="宋体" w:hAnsi="宋体" w:cs="宋体"/>
          <w:b/>
          <w:bCs/>
          <w:color w:val="000000"/>
          <w:kern w:val="0"/>
          <w:sz w:val="36"/>
          <w:szCs w:val="36"/>
          <w:lang w:bidi="ar"/>
        </w:rPr>
        <w:t>十</w:t>
      </w:r>
      <w:r>
        <w:rPr>
          <w:rFonts w:hint="eastAsia" w:ascii="宋体" w:hAnsi="宋体" w:cs="宋体"/>
          <w:b/>
          <w:bCs/>
          <w:color w:val="000000"/>
          <w:kern w:val="0"/>
          <w:sz w:val="36"/>
          <w:szCs w:val="36"/>
          <w:lang w:val="en-US" w:eastAsia="zh-CN" w:bidi="ar"/>
        </w:rPr>
        <w:t>六</w:t>
      </w:r>
      <w:r>
        <w:rPr>
          <w:rFonts w:hint="eastAsia" w:ascii="宋体" w:hAnsi="宋体" w:cs="宋体"/>
          <w:b/>
          <w:bCs/>
          <w:color w:val="000000"/>
          <w:kern w:val="0"/>
          <w:sz w:val="36"/>
          <w:szCs w:val="36"/>
          <w:lang w:bidi="ar"/>
        </w:rPr>
        <w:t>、</w:t>
      </w:r>
      <w:r>
        <w:rPr>
          <w:rFonts w:hint="eastAsia" w:ascii="宋体" w:hAnsi="宋体" w:cs="宋体"/>
          <w:b/>
          <w:bCs/>
          <w:color w:val="000000"/>
          <w:kern w:val="0"/>
          <w:sz w:val="36"/>
          <w:szCs w:val="36"/>
          <w:lang w:val="zh-CN" w:bidi="ar"/>
        </w:rPr>
        <w:t>残疾人福利性单位声明函</w:t>
      </w:r>
      <w:bookmarkEnd w:id="624"/>
    </w:p>
    <w:p w14:paraId="3E84A4ED">
      <w:pPr>
        <w:spacing w:line="360" w:lineRule="auto"/>
        <w:ind w:firstLine="480" w:firstLineChars="200"/>
        <w:rPr>
          <w:rFonts w:ascii="宋体" w:hAnsi="宋体"/>
          <w:sz w:val="24"/>
        </w:rPr>
      </w:pPr>
      <w:r>
        <w:rPr>
          <w:rFonts w:hint="eastAsia" w:ascii="宋体" w:hAnsi="宋体"/>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宋体" w:hAnsi="宋体"/>
          <w:sz w:val="24"/>
          <w:u w:val="single"/>
        </w:rPr>
        <w:t xml:space="preserve">            </w:t>
      </w:r>
      <w:r>
        <w:rPr>
          <w:rFonts w:hint="eastAsia" w:ascii="宋体" w:hAnsi="宋体"/>
          <w:sz w:val="24"/>
        </w:rPr>
        <w:t>项目采购活动提供本单位制造的货物（由本单位承担工程/提供服务），或者提供其他残疾人福利性单位制造的货物（不包括使用非残疾人福利性单位注册商标的货物）。</w:t>
      </w:r>
    </w:p>
    <w:p w14:paraId="201EB666">
      <w:pPr>
        <w:spacing w:line="360" w:lineRule="auto"/>
        <w:ind w:firstLine="480" w:firstLineChars="200"/>
        <w:rPr>
          <w:rFonts w:ascii="宋体" w:hAnsi="宋体"/>
          <w:sz w:val="24"/>
        </w:rPr>
      </w:pPr>
      <w:r>
        <w:rPr>
          <w:rFonts w:hint="eastAsia" w:ascii="宋体" w:hAnsi="宋体"/>
          <w:sz w:val="24"/>
        </w:rPr>
        <w:t>本单位对上述声明的真实性负责。如有虚假，将依法承担相应责任。</w:t>
      </w:r>
    </w:p>
    <w:p w14:paraId="0D47D75B">
      <w:pPr>
        <w:spacing w:line="360" w:lineRule="auto"/>
        <w:ind w:firstLine="480" w:firstLineChars="200"/>
        <w:rPr>
          <w:rFonts w:ascii="宋体" w:hAnsi="宋体"/>
          <w:sz w:val="24"/>
        </w:rPr>
      </w:pPr>
    </w:p>
    <w:p w14:paraId="66A83592">
      <w:pPr>
        <w:spacing w:line="360" w:lineRule="auto"/>
        <w:ind w:firstLine="480" w:firstLineChars="200"/>
        <w:rPr>
          <w:rFonts w:ascii="宋体" w:hAnsi="宋体"/>
          <w:sz w:val="24"/>
        </w:rPr>
      </w:pPr>
    </w:p>
    <w:p w14:paraId="0F81562E">
      <w:pPr>
        <w:tabs>
          <w:tab w:val="left" w:pos="4860"/>
          <w:tab w:val="left" w:pos="8040"/>
          <w:tab w:val="left" w:pos="8160"/>
        </w:tabs>
        <w:spacing w:line="360" w:lineRule="auto"/>
        <w:ind w:right="862" w:firstLine="480" w:firstLineChars="200"/>
        <w:jc w:val="center"/>
        <w:rPr>
          <w:rFonts w:ascii="宋体" w:hAnsi="宋体"/>
          <w:sz w:val="24"/>
          <w:u w:val="single"/>
        </w:rPr>
      </w:pPr>
      <w:r>
        <w:rPr>
          <w:rFonts w:hint="eastAsia" w:ascii="宋体" w:hAnsi="宋体"/>
          <w:sz w:val="24"/>
        </w:rPr>
        <w:t xml:space="preserve">          单位名称（盖章）：</w:t>
      </w:r>
      <w:r>
        <w:rPr>
          <w:rFonts w:hint="eastAsia" w:ascii="宋体" w:hAnsi="宋体"/>
          <w:sz w:val="24"/>
          <w:u w:val="single"/>
        </w:rPr>
        <w:t xml:space="preserve">                   </w:t>
      </w:r>
    </w:p>
    <w:p w14:paraId="5AA71304">
      <w:pPr>
        <w:tabs>
          <w:tab w:val="left" w:pos="4860"/>
        </w:tabs>
        <w:spacing w:line="360" w:lineRule="auto"/>
        <w:ind w:right="1560" w:firstLine="480" w:firstLineChars="200"/>
        <w:jc w:val="center"/>
        <w:rPr>
          <w:rFonts w:ascii="宋体" w:hAnsi="宋体"/>
          <w:sz w:val="24"/>
        </w:rPr>
      </w:pPr>
      <w:r>
        <w:rPr>
          <w:rFonts w:hint="eastAsia" w:ascii="宋体" w:hAnsi="宋体"/>
          <w:sz w:val="24"/>
        </w:rPr>
        <w:t xml:space="preserve">       </w:t>
      </w:r>
    </w:p>
    <w:p w14:paraId="6D1020DD">
      <w:pPr>
        <w:tabs>
          <w:tab w:val="left" w:pos="4860"/>
        </w:tabs>
        <w:spacing w:line="360" w:lineRule="auto"/>
        <w:ind w:right="1560" w:firstLine="480" w:firstLineChars="200"/>
        <w:jc w:val="center"/>
        <w:rPr>
          <w:rFonts w:ascii="宋体" w:hAnsi="宋体"/>
          <w:sz w:val="24"/>
        </w:rPr>
      </w:pPr>
      <w:r>
        <w:rPr>
          <w:rFonts w:hint="eastAsia" w:ascii="宋体" w:hAnsi="宋体"/>
          <w:sz w:val="24"/>
        </w:rPr>
        <w:t xml:space="preserve">                          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323C10F0">
      <w:pPr>
        <w:spacing w:line="360" w:lineRule="auto"/>
        <w:ind w:firstLine="506" w:firstLineChars="200"/>
        <w:rPr>
          <w:rFonts w:ascii="宋体" w:hAnsi="宋体"/>
          <w:b/>
          <w:spacing w:val="6"/>
          <w:sz w:val="24"/>
          <w:shd w:val="pct10" w:color="auto" w:fill="FFFFFF"/>
        </w:rPr>
      </w:pPr>
    </w:p>
    <w:p w14:paraId="22446B60">
      <w:pPr>
        <w:spacing w:line="360" w:lineRule="auto"/>
        <w:ind w:firstLine="506" w:firstLineChars="200"/>
        <w:rPr>
          <w:rFonts w:ascii="宋体" w:hAnsi="宋体"/>
          <w:b/>
          <w:spacing w:val="6"/>
          <w:sz w:val="24"/>
          <w:shd w:val="pct10" w:color="auto" w:fill="FFFFFF"/>
        </w:rPr>
      </w:pPr>
    </w:p>
    <w:p w14:paraId="126E17EA">
      <w:pPr>
        <w:widowControl/>
        <w:spacing w:line="360" w:lineRule="auto"/>
        <w:jc w:val="left"/>
        <w:rPr>
          <w:rFonts w:ascii="宋体" w:hAnsi="宋体" w:cs="仿宋"/>
          <w:b/>
          <w:bCs/>
          <w:kern w:val="0"/>
          <w:sz w:val="24"/>
        </w:rPr>
      </w:pPr>
      <w:r>
        <w:rPr>
          <w:rFonts w:hint="eastAsia" w:ascii="宋体" w:hAnsi="宋体" w:cs="仿宋"/>
          <w:b/>
          <w:bCs/>
          <w:kern w:val="0"/>
          <w:sz w:val="24"/>
          <w:lang w:val="zh-CN"/>
        </w:rPr>
        <w:t>备注：非</w:t>
      </w:r>
      <w:r>
        <w:rPr>
          <w:rFonts w:hint="eastAsia" w:ascii="宋体" w:hAnsi="宋体" w:cs="仿宋"/>
          <w:b/>
          <w:bCs/>
          <w:kern w:val="0"/>
          <w:sz w:val="24"/>
        </w:rPr>
        <w:t>残疾人福利企业请划“/”，不得删除本表。</w:t>
      </w:r>
    </w:p>
    <w:p w14:paraId="5C3695B6">
      <w:pPr>
        <w:widowControl/>
        <w:spacing w:line="360" w:lineRule="auto"/>
        <w:ind w:left="239" w:leftChars="114" w:firstLine="702" w:firstLineChars="227"/>
        <w:jc w:val="left"/>
        <w:rPr>
          <w:rFonts w:hAnsi="宋体"/>
          <w:b/>
          <w:bCs/>
          <w:spacing w:val="4"/>
          <w:sz w:val="30"/>
          <w:szCs w:val="30"/>
        </w:rPr>
        <w:sectPr>
          <w:pgSz w:w="11906" w:h="16838"/>
          <w:pgMar w:top="1440" w:right="1531" w:bottom="1440" w:left="1531" w:header="720" w:footer="720" w:gutter="0"/>
          <w:cols w:space="720" w:num="1"/>
          <w:docGrid w:type="lines" w:linePitch="312" w:charSpace="0"/>
        </w:sectPr>
      </w:pPr>
    </w:p>
    <w:bookmarkEnd w:id="527"/>
    <w:bookmarkEnd w:id="528"/>
    <w:bookmarkEnd w:id="529"/>
    <w:bookmarkEnd w:id="530"/>
    <w:bookmarkEnd w:id="531"/>
    <w:bookmarkEnd w:id="532"/>
    <w:bookmarkEnd w:id="533"/>
    <w:p w14:paraId="37C125A6">
      <w:pPr>
        <w:numPr>
          <w:ilvl w:val="0"/>
          <w:numId w:val="14"/>
        </w:numPr>
        <w:spacing w:line="360" w:lineRule="auto"/>
        <w:jc w:val="center"/>
        <w:outlineLvl w:val="0"/>
        <w:rPr>
          <w:rFonts w:hint="eastAsia" w:ascii="宋体" w:hAnsi="宋体" w:cs="宋体"/>
          <w:b/>
          <w:bCs/>
          <w:sz w:val="36"/>
          <w:szCs w:val="36"/>
        </w:rPr>
      </w:pPr>
      <w:bookmarkStart w:id="625" w:name="_Toc29676"/>
      <w:bookmarkStart w:id="626" w:name="_Toc609"/>
      <w:bookmarkStart w:id="627" w:name="_Toc30538"/>
      <w:bookmarkStart w:id="628" w:name="_Toc32349"/>
      <w:bookmarkStart w:id="629" w:name="_Toc6077"/>
      <w:r>
        <w:rPr>
          <w:rFonts w:hint="eastAsia" w:ascii="宋体" w:hAnsi="宋体" w:cs="宋体"/>
          <w:b/>
          <w:bCs/>
          <w:sz w:val="36"/>
          <w:szCs w:val="36"/>
        </w:rPr>
        <w:t>信用中国陕西榆林承诺申报截图</w:t>
      </w:r>
      <w:bookmarkEnd w:id="625"/>
      <w:bookmarkEnd w:id="626"/>
      <w:bookmarkEnd w:id="627"/>
      <w:bookmarkEnd w:id="628"/>
      <w:bookmarkEnd w:id="629"/>
      <w:bookmarkStart w:id="630" w:name="_Toc26384"/>
      <w:bookmarkStart w:id="631" w:name="_Toc16952"/>
      <w:bookmarkStart w:id="632" w:name="_Toc23383"/>
      <w:bookmarkStart w:id="633" w:name="_Toc27802"/>
      <w:bookmarkStart w:id="634" w:name="_Toc21373"/>
      <w:bookmarkStart w:id="635" w:name="_Toc30245"/>
      <w:bookmarkStart w:id="636" w:name="_Toc10444"/>
      <w:bookmarkStart w:id="637" w:name="_Toc12100"/>
      <w:bookmarkStart w:id="638" w:name="_Toc22896"/>
    </w:p>
    <w:p w14:paraId="38A61C09">
      <w:pPr>
        <w:numPr>
          <w:ilvl w:val="0"/>
          <w:numId w:val="0"/>
        </w:numPr>
        <w:spacing w:line="360" w:lineRule="auto"/>
        <w:jc w:val="center"/>
        <w:outlineLvl w:val="0"/>
        <w:rPr>
          <w:rFonts w:hint="eastAsia" w:ascii="Times New Roman" w:hAnsi="Times New Roman" w:eastAsia="宋体" w:cs="Times New Roman"/>
          <w:color w:val="auto"/>
          <w:sz w:val="24"/>
          <w:szCs w:val="24"/>
          <w:highlight w:val="none"/>
          <w:lang w:val="en-US" w:eastAsia="zh-CN"/>
        </w:rPr>
        <w:sectPr>
          <w:pgSz w:w="11906" w:h="16838"/>
          <w:pgMar w:top="1219" w:right="1803" w:bottom="1219" w:left="1803" w:header="850" w:footer="992" w:gutter="0"/>
          <w:pgNumType w:fmt="decimal"/>
          <w:cols w:space="720" w:num="1"/>
          <w:rtlGutter w:val="0"/>
          <w:docGrid w:type="lines" w:linePitch="319" w:charSpace="0"/>
        </w:sectPr>
      </w:pPr>
      <w:r>
        <w:rPr>
          <w:rFonts w:hint="eastAsia" w:ascii="Times New Roman" w:hAnsi="Times New Roman" w:eastAsia="宋体" w:cs="Times New Roman"/>
          <w:color w:val="auto"/>
          <w:sz w:val="24"/>
          <w:szCs w:val="24"/>
          <w:highlight w:val="none"/>
          <w:lang w:val="en-US" w:eastAsia="zh-CN"/>
        </w:rPr>
        <w:t>自主上报信用承诺书情况：投标人及其授权委托人应在“信用中国（陕西榆林）”网站（www.ylcredit.gov.cn）进行注册、登录，自主上报信用承诺书，包括：《投标人信用承诺》、《投标信用（保证金）承诺书》、《投标人委托代理人员信用承诺书》(如有)。（具体操作及格式详见招标文件第</w:t>
      </w:r>
      <w:r>
        <w:rPr>
          <w:rFonts w:hint="eastAsia" w:ascii="Times New Roman" w:hAnsi="Times New Roman" w:cs="Times New Roman"/>
          <w:color w:val="auto"/>
          <w:sz w:val="24"/>
          <w:szCs w:val="24"/>
          <w:highlight w:val="none"/>
          <w:lang w:val="en-US" w:eastAsia="zh-CN"/>
        </w:rPr>
        <w:t>九</w:t>
      </w:r>
      <w:r>
        <w:rPr>
          <w:rFonts w:hint="eastAsia" w:ascii="Times New Roman" w:hAnsi="Times New Roman" w:eastAsia="宋体" w:cs="Times New Roman"/>
          <w:color w:val="auto"/>
          <w:sz w:val="24"/>
          <w:szCs w:val="24"/>
          <w:highlight w:val="none"/>
          <w:lang w:val="en-US" w:eastAsia="zh-CN"/>
        </w:rPr>
        <w:t>部分附件</w:t>
      </w:r>
      <w:r>
        <w:rPr>
          <w:rFonts w:hint="eastAsia" w:ascii="Times New Roman" w:hAnsi="Times New Roman"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）截图须体现项目名称，承诺公示日期为从招标文件获取之日起至投标截止日前</w:t>
      </w:r>
      <w:bookmarkEnd w:id="630"/>
      <w:bookmarkEnd w:id="631"/>
    </w:p>
    <w:p w14:paraId="568B1B29">
      <w:pPr>
        <w:pStyle w:val="2"/>
        <w:pageBreakBefore w:val="0"/>
        <w:widowControl w:val="0"/>
        <w:kinsoku/>
        <w:wordWrap/>
        <w:overflowPunct/>
        <w:topLinePunct w:val="0"/>
        <w:autoSpaceDE/>
        <w:autoSpaceDN/>
        <w:bidi w:val="0"/>
        <w:adjustRightInd/>
        <w:snapToGrid/>
        <w:spacing w:line="500" w:lineRule="exact"/>
        <w:jc w:val="center"/>
        <w:textAlignment w:val="auto"/>
        <w:rPr>
          <w:sz w:val="36"/>
          <w:szCs w:val="16"/>
        </w:rPr>
      </w:pPr>
      <w:r>
        <w:rPr>
          <w:rFonts w:hint="eastAsia"/>
          <w:sz w:val="36"/>
          <w:szCs w:val="16"/>
        </w:rPr>
        <w:t>第九部分  附件</w:t>
      </w:r>
      <w:bookmarkEnd w:id="632"/>
      <w:bookmarkEnd w:id="633"/>
      <w:bookmarkEnd w:id="634"/>
      <w:bookmarkEnd w:id="635"/>
      <w:bookmarkEnd w:id="636"/>
      <w:bookmarkEnd w:id="637"/>
      <w:bookmarkEnd w:id="638"/>
    </w:p>
    <w:p w14:paraId="39EAA291">
      <w:pPr>
        <w:pageBreakBefore w:val="0"/>
        <w:widowControl w:val="0"/>
        <w:kinsoku/>
        <w:wordWrap/>
        <w:overflowPunct/>
        <w:topLinePunct w:val="0"/>
        <w:autoSpaceDE/>
        <w:autoSpaceDN/>
        <w:bidi w:val="0"/>
        <w:adjustRightInd/>
        <w:snapToGrid/>
        <w:spacing w:line="500" w:lineRule="exact"/>
        <w:ind w:right="-2"/>
        <w:jc w:val="center"/>
        <w:textAlignment w:val="auto"/>
        <w:rPr>
          <w:rFonts w:ascii="宋体" w:hAnsi="宋体" w:cs="宋体"/>
          <w:b/>
          <w:bCs/>
          <w:sz w:val="32"/>
          <w:szCs w:val="32"/>
        </w:rPr>
      </w:pPr>
      <w:r>
        <w:rPr>
          <w:rFonts w:hint="eastAsia" w:ascii="宋体" w:hAnsi="宋体" w:cs="宋体"/>
          <w:b/>
          <w:bCs/>
          <w:sz w:val="32"/>
          <w:szCs w:val="32"/>
        </w:rPr>
        <w:t>附件1 投标人信用承诺书</w:t>
      </w:r>
    </w:p>
    <w:p w14:paraId="663E1032">
      <w:pPr>
        <w:widowControl/>
        <w:adjustRightInd w:val="0"/>
        <w:snapToGrid w:val="0"/>
        <w:spacing w:line="400" w:lineRule="exact"/>
        <w:jc w:val="left"/>
        <w:rPr>
          <w:rFonts w:ascii="宋体" w:hAnsi="宋体" w:cs="宋体"/>
          <w:kern w:val="0"/>
          <w:sz w:val="24"/>
          <w:u w:val="single"/>
        </w:rPr>
      </w:pPr>
      <w:r>
        <w:rPr>
          <w:rFonts w:hint="eastAsia" w:ascii="宋体" w:hAnsi="宋体" w:cs="宋体"/>
          <w:kern w:val="0"/>
          <w:sz w:val="24"/>
        </w:rPr>
        <w:t>投标人：</w:t>
      </w:r>
      <w:r>
        <w:rPr>
          <w:rFonts w:hint="eastAsia" w:ascii="宋体" w:hAnsi="宋体" w:cs="宋体"/>
          <w:kern w:val="0"/>
          <w:sz w:val="24"/>
          <w:u w:val="single"/>
        </w:rPr>
        <w:t xml:space="preserve">                                                                   </w:t>
      </w:r>
    </w:p>
    <w:p w14:paraId="7AC69B87">
      <w:pPr>
        <w:widowControl/>
        <w:adjustRightInd w:val="0"/>
        <w:snapToGrid w:val="0"/>
        <w:spacing w:line="400" w:lineRule="exact"/>
        <w:jc w:val="left"/>
        <w:rPr>
          <w:rFonts w:ascii="宋体" w:hAnsi="宋体" w:cs="宋体"/>
          <w:kern w:val="0"/>
          <w:sz w:val="24"/>
          <w:u w:val="single"/>
        </w:rPr>
      </w:pPr>
      <w:r>
        <w:rPr>
          <w:rFonts w:hint="eastAsia" w:ascii="宋体" w:hAnsi="宋体" w:cs="宋体"/>
          <w:kern w:val="0"/>
          <w:sz w:val="24"/>
        </w:rPr>
        <w:t>统一社会信用代码：</w:t>
      </w:r>
      <w:r>
        <w:rPr>
          <w:rFonts w:hint="eastAsia" w:ascii="宋体" w:hAnsi="宋体" w:cs="宋体"/>
          <w:kern w:val="0"/>
          <w:sz w:val="24"/>
          <w:u w:val="single"/>
        </w:rPr>
        <w:t xml:space="preserve">                             </w:t>
      </w:r>
      <w:r>
        <w:rPr>
          <w:rFonts w:hint="eastAsia" w:ascii="宋体" w:hAnsi="宋体" w:cs="宋体"/>
          <w:kern w:val="0"/>
          <w:sz w:val="24"/>
        </w:rPr>
        <w:t>法人代表：</w:t>
      </w:r>
      <w:r>
        <w:rPr>
          <w:rFonts w:hint="eastAsia" w:ascii="宋体" w:hAnsi="宋体" w:cs="宋体"/>
          <w:kern w:val="0"/>
          <w:sz w:val="24"/>
          <w:u w:val="single"/>
        </w:rPr>
        <w:t xml:space="preserve">                  </w:t>
      </w:r>
    </w:p>
    <w:p w14:paraId="40564EFF">
      <w:pPr>
        <w:widowControl/>
        <w:adjustRightInd w:val="0"/>
        <w:snapToGrid w:val="0"/>
        <w:spacing w:line="400" w:lineRule="exact"/>
        <w:jc w:val="left"/>
        <w:rPr>
          <w:rFonts w:ascii="宋体" w:hAnsi="宋体" w:cs="宋体"/>
          <w:kern w:val="0"/>
          <w:sz w:val="24"/>
          <w:u w:val="single"/>
        </w:rPr>
      </w:pPr>
      <w:r>
        <w:rPr>
          <w:rFonts w:hint="eastAsia" w:ascii="宋体" w:hAnsi="宋体" w:cs="宋体"/>
          <w:kern w:val="0"/>
          <w:sz w:val="24"/>
        </w:rPr>
        <w:t>承诺有效期限：</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14:paraId="014FF04C">
      <w:pPr>
        <w:widowControl/>
        <w:adjustRightInd w:val="0"/>
        <w:snapToGrid w:val="0"/>
        <w:spacing w:line="400" w:lineRule="exact"/>
        <w:ind w:firstLine="480" w:firstLineChars="200"/>
        <w:jc w:val="left"/>
        <w:rPr>
          <w:rFonts w:ascii="宋体" w:hAnsi="宋体" w:cs="宋体"/>
          <w:kern w:val="0"/>
          <w:sz w:val="24"/>
        </w:rPr>
      </w:pPr>
      <w:r>
        <w:rPr>
          <w:rFonts w:hint="eastAsia" w:ascii="宋体" w:hAnsi="宋体" w:cs="宋体"/>
          <w:kern w:val="0"/>
          <w:sz w:val="24"/>
        </w:rPr>
        <w:t>在</w:t>
      </w:r>
      <w:r>
        <w:rPr>
          <w:rFonts w:hint="eastAsia" w:ascii="宋体" w:hAnsi="宋体" w:cs="宋体"/>
          <w:kern w:val="0"/>
          <w:sz w:val="24"/>
          <w:u w:val="single"/>
        </w:rPr>
        <w:t xml:space="preserve">                                   </w:t>
      </w:r>
      <w:r>
        <w:rPr>
          <w:rFonts w:hint="eastAsia" w:ascii="宋体" w:hAnsi="宋体" w:cs="宋体"/>
          <w:kern w:val="0"/>
          <w:sz w:val="24"/>
        </w:rPr>
        <w:t>项目招投标活动中，我公司（单位）郑重作出以下信用承诺：</w:t>
      </w:r>
    </w:p>
    <w:p w14:paraId="602E76A7">
      <w:pPr>
        <w:widowControl/>
        <w:adjustRightInd w:val="0"/>
        <w:snapToGrid w:val="0"/>
        <w:spacing w:line="400" w:lineRule="exact"/>
        <w:ind w:firstLine="480"/>
        <w:jc w:val="left"/>
        <w:rPr>
          <w:rFonts w:ascii="宋体" w:hAnsi="宋体" w:cs="宋体"/>
          <w:kern w:val="0"/>
          <w:sz w:val="24"/>
        </w:rPr>
      </w:pPr>
      <w:r>
        <w:rPr>
          <w:rFonts w:hint="eastAsia" w:ascii="宋体" w:hAnsi="宋体" w:cs="宋体"/>
          <w:kern w:val="0"/>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的良好记录；无法律法规规定禁止开展从业活动情形。所递交文件资料合法、真实、准确、完整、有效。</w:t>
      </w:r>
    </w:p>
    <w:p w14:paraId="1D69CA51">
      <w:pPr>
        <w:widowControl/>
        <w:adjustRightInd w:val="0"/>
        <w:snapToGrid w:val="0"/>
        <w:spacing w:line="400" w:lineRule="exact"/>
        <w:ind w:firstLine="480"/>
        <w:jc w:val="left"/>
        <w:rPr>
          <w:rFonts w:ascii="宋体" w:hAnsi="宋体" w:cs="宋体"/>
          <w:kern w:val="0"/>
          <w:sz w:val="24"/>
        </w:rPr>
      </w:pPr>
      <w:r>
        <w:rPr>
          <w:rFonts w:hint="eastAsia" w:ascii="宋体" w:hAnsi="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01090D13">
      <w:pPr>
        <w:widowControl/>
        <w:adjustRightInd w:val="0"/>
        <w:snapToGrid w:val="0"/>
        <w:spacing w:line="400" w:lineRule="exact"/>
        <w:ind w:firstLine="480"/>
        <w:jc w:val="left"/>
        <w:rPr>
          <w:rFonts w:ascii="宋体" w:hAnsi="宋体" w:cs="宋体"/>
          <w:kern w:val="0"/>
          <w:sz w:val="24"/>
        </w:rPr>
      </w:pPr>
      <w:r>
        <w:rPr>
          <w:rFonts w:hint="eastAsia" w:ascii="宋体" w:hAnsi="宋体" w:cs="宋体"/>
          <w:kern w:val="0"/>
          <w:sz w:val="24"/>
        </w:rPr>
        <w:t>（三）自愿接受招投标监督部门和有关行政监督部门的依法检查。</w:t>
      </w:r>
    </w:p>
    <w:p w14:paraId="56494CB6">
      <w:pPr>
        <w:widowControl/>
        <w:adjustRightInd w:val="0"/>
        <w:snapToGrid w:val="0"/>
        <w:spacing w:line="400" w:lineRule="exact"/>
        <w:ind w:firstLine="480"/>
        <w:jc w:val="left"/>
        <w:rPr>
          <w:rFonts w:ascii="宋体" w:hAnsi="宋体" w:cs="宋体"/>
          <w:kern w:val="0"/>
          <w:sz w:val="24"/>
        </w:rPr>
      </w:pPr>
      <w:r>
        <w:rPr>
          <w:rFonts w:hint="eastAsia" w:ascii="宋体" w:hAnsi="宋体" w:cs="宋体"/>
          <w:kern w:val="0"/>
          <w:sz w:val="24"/>
        </w:rPr>
        <w:t>（四）同意将此信用承诺纳入陕西省公共信用信息平台和榆林市公共信用信息共享平台，并上网公示，接受社会监督。</w:t>
      </w:r>
    </w:p>
    <w:p w14:paraId="2EC398FB">
      <w:pPr>
        <w:widowControl/>
        <w:adjustRightInd w:val="0"/>
        <w:snapToGrid w:val="0"/>
        <w:spacing w:line="400" w:lineRule="exact"/>
        <w:ind w:firstLine="480"/>
        <w:jc w:val="left"/>
        <w:rPr>
          <w:rFonts w:ascii="宋体" w:hAnsi="宋体" w:cs="宋体"/>
          <w:kern w:val="0"/>
          <w:sz w:val="24"/>
        </w:rPr>
      </w:pPr>
      <w:r>
        <w:rPr>
          <w:rFonts w:hint="eastAsia" w:ascii="宋体" w:hAnsi="宋体" w:cs="宋体"/>
          <w:kern w:val="0"/>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7E534B1B">
      <w:pPr>
        <w:widowControl/>
        <w:tabs>
          <w:tab w:val="left" w:pos="4395"/>
        </w:tabs>
        <w:adjustRightInd w:val="0"/>
        <w:snapToGrid w:val="0"/>
        <w:spacing w:line="500" w:lineRule="exact"/>
        <w:jc w:val="left"/>
        <w:rPr>
          <w:rFonts w:ascii="宋体" w:hAnsi="宋体" w:cs="宋体"/>
          <w:kern w:val="0"/>
          <w:sz w:val="24"/>
        </w:rPr>
      </w:pPr>
      <w:r>
        <w:rPr>
          <w:rFonts w:hint="eastAsia" w:ascii="宋体" w:hAnsi="宋体" w:cs="宋体"/>
          <w:kern w:val="0"/>
          <w:sz w:val="24"/>
        </w:rPr>
        <w:t>法定代表人（签章）：               投标人（盖章）：</w:t>
      </w:r>
    </w:p>
    <w:p w14:paraId="2F46A210">
      <w:pPr>
        <w:adjustRightInd w:val="0"/>
        <w:snapToGrid w:val="0"/>
        <w:spacing w:line="500" w:lineRule="exact"/>
        <w:jc w:val="center"/>
        <w:rPr>
          <w:rFonts w:hint="eastAsia" w:ascii="宋体" w:hAnsi="宋体" w:cs="宋体"/>
          <w:kern w:val="0"/>
          <w:sz w:val="24"/>
        </w:rPr>
        <w:sectPr>
          <w:pgSz w:w="11906" w:h="16838"/>
          <w:pgMar w:top="1134" w:right="1440" w:bottom="1440" w:left="1440" w:header="720" w:footer="720" w:gutter="0"/>
          <w:cols w:space="720" w:num="1"/>
          <w:docGrid w:type="lines" w:linePitch="315" w:charSpace="0"/>
        </w:sectPr>
      </w:pPr>
      <w:r>
        <w:rPr>
          <w:rFonts w:hint="eastAsia" w:ascii="宋体" w:hAnsi="宋体" w:cs="宋体"/>
          <w:kern w:val="0"/>
          <w:sz w:val="24"/>
        </w:rPr>
        <w:t xml:space="preserve">                             承诺时间：</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14:paraId="7F15CFA3">
      <w:pPr>
        <w:adjustRightInd w:val="0"/>
        <w:snapToGrid w:val="0"/>
        <w:spacing w:line="500" w:lineRule="exact"/>
        <w:jc w:val="center"/>
        <w:rPr>
          <w:rFonts w:hint="eastAsia" w:ascii="宋体" w:hAnsi="宋体" w:cs="宋体"/>
          <w:kern w:val="0"/>
          <w:sz w:val="24"/>
        </w:rPr>
      </w:pPr>
    </w:p>
    <w:p w14:paraId="00E8AB4A">
      <w:pPr>
        <w:spacing w:line="560" w:lineRule="exact"/>
        <w:ind w:right="-2"/>
        <w:jc w:val="center"/>
        <w:rPr>
          <w:rFonts w:ascii="宋体" w:hAnsi="宋体" w:cs="宋体"/>
          <w:sz w:val="30"/>
          <w:szCs w:val="30"/>
        </w:rPr>
      </w:pPr>
      <w:r>
        <w:rPr>
          <w:rFonts w:hint="eastAsia" w:ascii="宋体" w:hAnsi="宋体" w:cs="宋体"/>
          <w:b/>
          <w:bCs/>
          <w:sz w:val="40"/>
          <w:szCs w:val="40"/>
        </w:rPr>
        <w:t>附件2 投标人委托代理人员信用承诺书</w:t>
      </w:r>
    </w:p>
    <w:p w14:paraId="27493142">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在</w:t>
      </w:r>
      <w:r>
        <w:rPr>
          <w:rFonts w:hint="eastAsia" w:ascii="宋体" w:hAnsi="宋体" w:cs="宋体"/>
          <w:kern w:val="0"/>
          <w:sz w:val="24"/>
          <w:u w:val="single"/>
        </w:rPr>
        <w:t xml:space="preserve">                                   </w:t>
      </w:r>
      <w:r>
        <w:rPr>
          <w:rFonts w:hint="eastAsia" w:ascii="宋体" w:hAnsi="宋体" w:cs="宋体"/>
          <w:kern w:val="0"/>
          <w:sz w:val="24"/>
        </w:rPr>
        <w:t>项目招投标活动中，我个人郑重作出以下信用承诺：</w:t>
      </w:r>
    </w:p>
    <w:p w14:paraId="469A0A68">
      <w:pPr>
        <w:widowControl/>
        <w:adjustRightInd w:val="0"/>
        <w:snapToGrid w:val="0"/>
        <w:spacing w:line="540" w:lineRule="exact"/>
        <w:ind w:firstLine="480"/>
        <w:jc w:val="left"/>
        <w:rPr>
          <w:rFonts w:ascii="宋体" w:hAnsi="宋体" w:cs="宋体"/>
          <w:kern w:val="0"/>
          <w:sz w:val="24"/>
        </w:rPr>
      </w:pPr>
      <w:r>
        <w:rPr>
          <w:rFonts w:hint="eastAsia" w:ascii="宋体" w:hAnsi="宋体" w:cs="宋体"/>
          <w:kern w:val="0"/>
          <w:sz w:val="24"/>
        </w:rPr>
        <w:t>（一）能严格遵守法律法规、职业道德和行业规范，具有独立承担民事责任的能力；无法律法规规定禁止开展从业活动情形。我所递交的文件资料合法、真实、准确、完整、有效，无弄虚作假等情形。</w:t>
      </w:r>
    </w:p>
    <w:p w14:paraId="00B80B1A">
      <w:pPr>
        <w:widowControl/>
        <w:adjustRightInd w:val="0"/>
        <w:snapToGrid w:val="0"/>
        <w:spacing w:line="540" w:lineRule="exact"/>
        <w:ind w:firstLine="480"/>
        <w:jc w:val="left"/>
        <w:rPr>
          <w:rFonts w:ascii="宋体" w:hAnsi="宋体" w:cs="宋体"/>
          <w:kern w:val="0"/>
          <w:sz w:val="24"/>
        </w:rPr>
      </w:pPr>
      <w:r>
        <w:rPr>
          <w:rFonts w:hint="eastAsia" w:ascii="宋体" w:hAnsi="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F358BE6">
      <w:pPr>
        <w:widowControl/>
        <w:adjustRightInd w:val="0"/>
        <w:snapToGrid w:val="0"/>
        <w:spacing w:line="540" w:lineRule="exact"/>
        <w:ind w:firstLine="480"/>
        <w:jc w:val="left"/>
        <w:rPr>
          <w:rFonts w:ascii="宋体" w:hAnsi="宋体" w:cs="宋体"/>
          <w:kern w:val="0"/>
          <w:sz w:val="24"/>
        </w:rPr>
      </w:pPr>
      <w:r>
        <w:rPr>
          <w:rFonts w:hint="eastAsia" w:ascii="宋体" w:hAnsi="宋体" w:cs="宋体"/>
          <w:kern w:val="0"/>
          <w:sz w:val="24"/>
        </w:rPr>
        <w:t>（三）自愿接受招投标监督部门和有关行政监督部门的依法检查。</w:t>
      </w:r>
    </w:p>
    <w:p w14:paraId="45C53AAE">
      <w:pPr>
        <w:widowControl/>
        <w:adjustRightInd w:val="0"/>
        <w:snapToGrid w:val="0"/>
        <w:spacing w:line="540" w:lineRule="exact"/>
        <w:ind w:firstLine="480"/>
        <w:jc w:val="left"/>
        <w:rPr>
          <w:rFonts w:ascii="宋体" w:hAnsi="宋体" w:cs="宋体"/>
          <w:kern w:val="0"/>
          <w:sz w:val="24"/>
        </w:rPr>
      </w:pPr>
      <w:r>
        <w:rPr>
          <w:rFonts w:hint="eastAsia" w:ascii="宋体" w:hAnsi="宋体" w:cs="宋体"/>
          <w:kern w:val="0"/>
          <w:sz w:val="24"/>
        </w:rPr>
        <w:t>（四）同意将此信用承诺纳入陕西省公共信用信息平台和榆林市公共信用信息共享平台，并接受社会监督。</w:t>
      </w:r>
    </w:p>
    <w:p w14:paraId="4FC3D235">
      <w:pPr>
        <w:widowControl/>
        <w:adjustRightInd w:val="0"/>
        <w:snapToGrid w:val="0"/>
        <w:spacing w:line="540" w:lineRule="exact"/>
        <w:ind w:firstLine="480"/>
        <w:jc w:val="left"/>
        <w:rPr>
          <w:rFonts w:ascii="宋体" w:hAnsi="宋体" w:cs="宋体"/>
          <w:kern w:val="0"/>
          <w:sz w:val="24"/>
        </w:rPr>
      </w:pPr>
      <w:r>
        <w:rPr>
          <w:rFonts w:hint="eastAsia" w:ascii="宋体" w:hAnsi="宋体" w:cs="宋体"/>
          <w:kern w:val="0"/>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EC1C1F2">
      <w:pPr>
        <w:widowControl/>
        <w:spacing w:line="320" w:lineRule="exact"/>
        <w:ind w:firstLine="482"/>
        <w:jc w:val="left"/>
        <w:rPr>
          <w:rFonts w:ascii="宋体" w:hAnsi="宋体" w:cs="宋体"/>
          <w:kern w:val="0"/>
          <w:sz w:val="24"/>
        </w:rPr>
      </w:pPr>
    </w:p>
    <w:p w14:paraId="2F60C732">
      <w:pPr>
        <w:widowControl/>
        <w:spacing w:line="320" w:lineRule="exact"/>
        <w:ind w:firstLine="482"/>
        <w:jc w:val="left"/>
        <w:rPr>
          <w:rFonts w:ascii="宋体" w:hAnsi="宋体" w:cs="宋体"/>
          <w:kern w:val="0"/>
          <w:sz w:val="24"/>
          <w:u w:val="single"/>
        </w:rPr>
      </w:pPr>
      <w:r>
        <w:rPr>
          <w:rFonts w:hint="eastAsia" w:ascii="宋体" w:hAnsi="宋体" w:cs="宋体"/>
          <w:kern w:val="0"/>
          <w:sz w:val="24"/>
        </w:rPr>
        <w:t>承诺有效期限：</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14:paraId="7EAA14C5">
      <w:pPr>
        <w:widowControl/>
        <w:spacing w:line="320" w:lineRule="exact"/>
        <w:ind w:firstLine="482"/>
        <w:jc w:val="left"/>
        <w:rPr>
          <w:rFonts w:ascii="宋体" w:hAnsi="宋体" w:cs="宋体"/>
          <w:kern w:val="0"/>
          <w:sz w:val="24"/>
        </w:rPr>
      </w:pPr>
    </w:p>
    <w:p w14:paraId="116F60BA">
      <w:pPr>
        <w:widowControl/>
        <w:spacing w:line="320" w:lineRule="exact"/>
        <w:ind w:firstLine="482"/>
        <w:jc w:val="left"/>
        <w:rPr>
          <w:rFonts w:ascii="宋体" w:hAnsi="宋体" w:cs="宋体"/>
          <w:kern w:val="0"/>
          <w:sz w:val="24"/>
          <w:u w:val="single"/>
        </w:rPr>
      </w:pPr>
      <w:r>
        <w:rPr>
          <w:rFonts w:hint="eastAsia" w:ascii="宋体" w:hAnsi="宋体" w:cs="宋体"/>
          <w:kern w:val="0"/>
          <w:sz w:val="24"/>
        </w:rPr>
        <w:t>投标人：</w:t>
      </w:r>
      <w:r>
        <w:rPr>
          <w:rFonts w:hint="eastAsia" w:ascii="宋体" w:hAnsi="宋体" w:cs="宋体"/>
          <w:kern w:val="0"/>
          <w:sz w:val="24"/>
          <w:u w:val="single"/>
        </w:rPr>
        <w:t xml:space="preserve">                                                        </w:t>
      </w:r>
    </w:p>
    <w:p w14:paraId="7757297C">
      <w:pPr>
        <w:widowControl/>
        <w:spacing w:line="320" w:lineRule="exact"/>
        <w:ind w:firstLine="482"/>
        <w:jc w:val="left"/>
        <w:rPr>
          <w:rFonts w:ascii="宋体" w:hAnsi="宋体" w:cs="宋体"/>
          <w:kern w:val="0"/>
          <w:sz w:val="24"/>
        </w:rPr>
      </w:pPr>
    </w:p>
    <w:p w14:paraId="3663334E">
      <w:pPr>
        <w:widowControl/>
        <w:spacing w:line="320" w:lineRule="exact"/>
        <w:ind w:firstLine="482"/>
        <w:jc w:val="left"/>
        <w:rPr>
          <w:rFonts w:ascii="宋体" w:hAnsi="宋体" w:cs="宋体"/>
          <w:kern w:val="0"/>
          <w:sz w:val="24"/>
          <w:u w:val="single"/>
        </w:rPr>
      </w:pPr>
      <w:r>
        <w:rPr>
          <w:rFonts w:hint="eastAsia" w:ascii="宋体" w:hAnsi="宋体" w:cs="宋体"/>
          <w:kern w:val="0"/>
          <w:sz w:val="24"/>
        </w:rPr>
        <w:t>承诺人（</w:t>
      </w:r>
      <w:r>
        <w:rPr>
          <w:rFonts w:hint="eastAsia" w:ascii="宋体" w:hAnsi="宋体" w:cs="宋体"/>
          <w:sz w:val="24"/>
          <w:szCs w:val="24"/>
        </w:rPr>
        <w:t>签字或盖章</w:t>
      </w:r>
      <w:r>
        <w:rPr>
          <w:rFonts w:hint="eastAsia" w:ascii="宋体" w:hAnsi="宋体" w:cs="宋体"/>
          <w:kern w:val="0"/>
          <w:sz w:val="24"/>
        </w:rPr>
        <w:t>）：</w:t>
      </w:r>
      <w:r>
        <w:rPr>
          <w:rFonts w:hint="eastAsia" w:ascii="宋体" w:hAnsi="宋体" w:cs="宋体"/>
          <w:kern w:val="0"/>
          <w:sz w:val="24"/>
          <w:u w:val="single"/>
        </w:rPr>
        <w:t xml:space="preserve">                 </w:t>
      </w:r>
    </w:p>
    <w:p w14:paraId="57F80440">
      <w:pPr>
        <w:widowControl/>
        <w:spacing w:line="320" w:lineRule="exact"/>
        <w:ind w:firstLine="482"/>
        <w:jc w:val="left"/>
        <w:rPr>
          <w:rFonts w:ascii="宋体" w:hAnsi="宋体" w:cs="宋体"/>
          <w:color w:val="FF0000"/>
          <w:kern w:val="0"/>
          <w:sz w:val="24"/>
          <w:u w:val="single"/>
        </w:rPr>
      </w:pPr>
    </w:p>
    <w:p w14:paraId="72C58B1C">
      <w:pPr>
        <w:widowControl/>
        <w:spacing w:line="320" w:lineRule="exact"/>
        <w:ind w:firstLine="482"/>
        <w:jc w:val="left"/>
        <w:rPr>
          <w:rFonts w:hint="eastAsia" w:ascii="宋体" w:hAnsi="宋体" w:cs="宋体"/>
          <w:kern w:val="0"/>
          <w:sz w:val="24"/>
        </w:rPr>
        <w:sectPr>
          <w:pgSz w:w="11906" w:h="16838"/>
          <w:pgMar w:top="1134" w:right="1440" w:bottom="1440" w:left="1440" w:header="720" w:footer="720" w:gutter="0"/>
          <w:cols w:space="720" w:num="1"/>
          <w:docGrid w:type="lines" w:linePitch="315" w:charSpace="0"/>
        </w:sectPr>
      </w:pPr>
      <w:r>
        <w:rPr>
          <w:rFonts w:hint="eastAsia" w:ascii="宋体" w:hAnsi="宋体" w:cs="宋体"/>
          <w:kern w:val="0"/>
          <w:sz w:val="24"/>
        </w:rPr>
        <w:t>承诺时间：</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14:paraId="3CB91D84">
      <w:pPr>
        <w:pStyle w:val="6"/>
      </w:pPr>
    </w:p>
    <w:p w14:paraId="58C3B349">
      <w:pPr>
        <w:spacing w:line="560" w:lineRule="exact"/>
        <w:ind w:right="-2"/>
        <w:jc w:val="center"/>
        <w:rPr>
          <w:rFonts w:ascii="宋体" w:hAnsi="宋体" w:cs="宋体"/>
          <w:kern w:val="0"/>
          <w:sz w:val="24"/>
        </w:rPr>
      </w:pPr>
      <w:r>
        <w:rPr>
          <w:rFonts w:hint="eastAsia" w:ascii="宋体" w:hAnsi="宋体" w:cs="宋体"/>
          <w:b/>
          <w:bCs/>
          <w:sz w:val="40"/>
          <w:szCs w:val="40"/>
        </w:rPr>
        <w:t>附件3 投标信用承诺书</w:t>
      </w:r>
    </w:p>
    <w:p w14:paraId="047D3003">
      <w:pPr>
        <w:widowControl/>
        <w:spacing w:line="540" w:lineRule="exact"/>
        <w:jc w:val="left"/>
        <w:rPr>
          <w:rFonts w:ascii="宋体" w:hAnsi="宋体" w:cs="宋体"/>
          <w:kern w:val="0"/>
          <w:sz w:val="24"/>
          <w:u w:val="single"/>
        </w:rPr>
      </w:pPr>
      <w:r>
        <w:rPr>
          <w:rFonts w:hint="eastAsia" w:ascii="宋体" w:hAnsi="宋体" w:cs="宋体"/>
          <w:kern w:val="0"/>
          <w:sz w:val="24"/>
        </w:rPr>
        <w:t>项目标段：</w:t>
      </w:r>
      <w:r>
        <w:rPr>
          <w:rFonts w:hint="eastAsia" w:ascii="宋体" w:hAnsi="宋体" w:cs="宋体"/>
          <w:kern w:val="0"/>
          <w:sz w:val="24"/>
          <w:u w:val="single"/>
        </w:rPr>
        <w:t xml:space="preserve">                                                                  </w:t>
      </w:r>
    </w:p>
    <w:p w14:paraId="488C2CBA">
      <w:pPr>
        <w:widowControl/>
        <w:spacing w:line="540" w:lineRule="exact"/>
        <w:jc w:val="left"/>
        <w:rPr>
          <w:rFonts w:ascii="宋体" w:hAnsi="宋体" w:cs="宋体"/>
          <w:kern w:val="0"/>
          <w:sz w:val="24"/>
          <w:u w:val="single"/>
        </w:rPr>
      </w:pPr>
      <w:r>
        <w:rPr>
          <w:rFonts w:hint="eastAsia" w:ascii="宋体" w:hAnsi="宋体" w:cs="宋体"/>
          <w:kern w:val="0"/>
          <w:sz w:val="24"/>
        </w:rPr>
        <w:t>投标人：</w:t>
      </w:r>
      <w:r>
        <w:rPr>
          <w:rFonts w:hint="eastAsia" w:ascii="宋体" w:hAnsi="宋体" w:cs="宋体"/>
          <w:kern w:val="0"/>
          <w:sz w:val="24"/>
          <w:u w:val="single"/>
        </w:rPr>
        <w:t xml:space="preserve">                                                                    </w:t>
      </w:r>
    </w:p>
    <w:p w14:paraId="6238E5C3">
      <w:pPr>
        <w:widowControl/>
        <w:spacing w:line="540" w:lineRule="exact"/>
        <w:jc w:val="left"/>
        <w:rPr>
          <w:rFonts w:ascii="宋体" w:hAnsi="宋体" w:cs="宋体"/>
          <w:kern w:val="0"/>
          <w:sz w:val="24"/>
          <w:u w:val="single"/>
        </w:rPr>
      </w:pPr>
      <w:r>
        <w:rPr>
          <w:rFonts w:hint="eastAsia" w:ascii="宋体" w:hAnsi="宋体" w:cs="宋体"/>
          <w:kern w:val="0"/>
          <w:sz w:val="24"/>
        </w:rPr>
        <w:t>统一社会信用代码：</w:t>
      </w:r>
      <w:r>
        <w:rPr>
          <w:rFonts w:hint="eastAsia" w:ascii="宋体" w:hAnsi="宋体" w:cs="宋体"/>
          <w:kern w:val="0"/>
          <w:sz w:val="24"/>
          <w:u w:val="single"/>
        </w:rPr>
        <w:t xml:space="preserve">                               </w:t>
      </w:r>
      <w:r>
        <w:rPr>
          <w:rFonts w:hint="eastAsia" w:ascii="宋体" w:hAnsi="宋体" w:cs="宋体"/>
          <w:kern w:val="0"/>
          <w:sz w:val="24"/>
        </w:rPr>
        <w:t>法人代表：</w:t>
      </w:r>
      <w:r>
        <w:rPr>
          <w:rFonts w:hint="eastAsia" w:ascii="宋体" w:hAnsi="宋体" w:cs="宋体"/>
          <w:kern w:val="0"/>
          <w:sz w:val="24"/>
          <w:u w:val="single"/>
        </w:rPr>
        <w:t xml:space="preserve">                 </w:t>
      </w:r>
    </w:p>
    <w:p w14:paraId="285A1E08">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在本项目标段招投标活动中，我公司（单位）自愿作出以下投标信用承诺：</w:t>
      </w:r>
    </w:p>
    <w:p w14:paraId="2A3F2526">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（一）能严格遵守法律法规、职业道德和行业规范。</w:t>
      </w:r>
    </w:p>
    <w:p w14:paraId="11805BCA">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CDC9145">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1850E737">
      <w:pPr>
        <w:widowControl/>
        <w:adjustRightInd w:val="0"/>
        <w:snapToGrid w:val="0"/>
        <w:spacing w:line="540" w:lineRule="exact"/>
        <w:ind w:firstLine="480" w:firstLineChars="200"/>
        <w:jc w:val="left"/>
        <w:rPr>
          <w:rFonts w:ascii="宋体" w:hAnsi="宋体" w:cs="宋体"/>
          <w:kern w:val="0"/>
          <w:sz w:val="24"/>
        </w:rPr>
      </w:pPr>
    </w:p>
    <w:p w14:paraId="5E3DE070">
      <w:pPr>
        <w:widowControl/>
        <w:tabs>
          <w:tab w:val="left" w:pos="4395"/>
        </w:tabs>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法定代表人（签章）：             投标人（盖章）：</w:t>
      </w:r>
    </w:p>
    <w:p w14:paraId="2C98448C">
      <w:pPr>
        <w:adjustRightInd w:val="0"/>
        <w:snapToGrid w:val="0"/>
        <w:spacing w:line="500" w:lineRule="exact"/>
        <w:rPr>
          <w:rFonts w:ascii="宋体" w:hAnsi="宋体" w:cs="宋体"/>
          <w:b/>
          <w:kern w:val="0"/>
          <w:sz w:val="24"/>
        </w:rPr>
      </w:pPr>
    </w:p>
    <w:p w14:paraId="7E2698D0">
      <w:pPr>
        <w:ind w:firstLine="4560" w:firstLineChars="1900"/>
        <w:rPr>
          <w:rFonts w:ascii="宋体" w:hAnsi="宋体" w:cs="宋体"/>
          <w:b/>
          <w:sz w:val="24"/>
          <w:szCs w:val="24"/>
          <w:u w:val="single"/>
        </w:rPr>
      </w:pPr>
      <w:r>
        <w:rPr>
          <w:rFonts w:hint="eastAsia" w:ascii="宋体" w:hAnsi="宋体" w:cs="宋体"/>
          <w:kern w:val="0"/>
          <w:sz w:val="24"/>
        </w:rPr>
        <w:t>承诺时间：</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w:t>
      </w:r>
    </w:p>
    <w:p w14:paraId="409C7EE2">
      <w:pPr>
        <w:pStyle w:val="6"/>
        <w:rPr>
          <w:rFonts w:ascii="宋体" w:hAnsi="宋体" w:cs="宋体"/>
          <w:sz w:val="24"/>
          <w:szCs w:val="24"/>
          <w:u w:val="single"/>
        </w:rPr>
      </w:pPr>
    </w:p>
    <w:p w14:paraId="7B373164">
      <w:pPr>
        <w:rPr>
          <w:rFonts w:ascii="宋体" w:hAnsi="宋体" w:cs="宋体"/>
          <w:b/>
          <w:sz w:val="24"/>
          <w:szCs w:val="24"/>
          <w:u w:val="single"/>
        </w:rPr>
      </w:pPr>
      <w:r>
        <w:rPr>
          <w:rFonts w:hint="eastAsia" w:ascii="宋体" w:hAnsi="宋体" w:cs="宋体"/>
          <w:b/>
          <w:kern w:val="0"/>
          <w:sz w:val="24"/>
        </w:rPr>
        <w:t>说明：本承诺书效力和作用等同投标保证金，其有效期与投标有效期一致。</w:t>
      </w:r>
    </w:p>
    <w:p w14:paraId="2A93CC83">
      <w:pPr>
        <w:pStyle w:val="6"/>
        <w:rPr>
          <w:rFonts w:ascii="宋体" w:hAnsi="宋体" w:cs="宋体"/>
          <w:sz w:val="24"/>
          <w:szCs w:val="24"/>
          <w:u w:val="single"/>
        </w:rPr>
      </w:pPr>
    </w:p>
    <w:p w14:paraId="6FEA6A66"/>
    <w:p w14:paraId="3AE48296">
      <w:pPr>
        <w:adjustRightInd w:val="0"/>
        <w:snapToGrid w:val="0"/>
        <w:spacing w:line="500" w:lineRule="exact"/>
        <w:jc w:val="center"/>
        <w:rPr>
          <w:rFonts w:ascii="宋体" w:hAnsi="宋体" w:cs="宋体"/>
          <w:b/>
          <w:bCs/>
          <w:sz w:val="28"/>
          <w:szCs w:val="24"/>
        </w:rPr>
      </w:pPr>
    </w:p>
    <w:p w14:paraId="5AFC515F">
      <w:pPr>
        <w:adjustRightInd w:val="0"/>
        <w:snapToGrid w:val="0"/>
        <w:spacing w:line="500" w:lineRule="exact"/>
        <w:jc w:val="center"/>
        <w:rPr>
          <w:rFonts w:ascii="宋体" w:hAnsi="宋体" w:cs="宋体"/>
          <w:b/>
          <w:bCs/>
          <w:sz w:val="28"/>
          <w:szCs w:val="24"/>
        </w:rPr>
        <w:sectPr>
          <w:pgSz w:w="11906" w:h="16838"/>
          <w:pgMar w:top="1134" w:right="1440" w:bottom="1440" w:left="1440" w:header="720" w:footer="720" w:gutter="0"/>
          <w:cols w:space="720" w:num="1"/>
          <w:docGrid w:type="lines" w:linePitch="315" w:charSpace="0"/>
        </w:sectPr>
      </w:pPr>
    </w:p>
    <w:p w14:paraId="32588DB6">
      <w:pPr>
        <w:pStyle w:val="13"/>
        <w:rPr>
          <w:rFonts w:hint="default"/>
        </w:rPr>
      </w:pPr>
    </w:p>
    <w:p w14:paraId="0BF8698B">
      <w:pPr>
        <w:adjustRightInd w:val="0"/>
        <w:snapToGrid w:val="0"/>
        <w:spacing w:line="500" w:lineRule="exact"/>
        <w:jc w:val="center"/>
        <w:rPr>
          <w:b/>
          <w:bCs/>
          <w:sz w:val="28"/>
          <w:szCs w:val="24"/>
        </w:rPr>
      </w:pPr>
      <w:r>
        <w:rPr>
          <w:rFonts w:hint="eastAsia" w:ascii="宋体" w:hAnsi="宋体" w:cs="宋体"/>
          <w:b/>
          <w:bCs/>
          <w:sz w:val="28"/>
          <w:szCs w:val="24"/>
        </w:rPr>
        <w:t>附件4 关于信用承诺网上公示的通知及操作指南</w:t>
      </w:r>
    </w:p>
    <w:p w14:paraId="619C761B">
      <w:pPr>
        <w:pStyle w:val="5"/>
        <w:spacing w:line="480" w:lineRule="auto"/>
        <w:ind w:firstLine="0"/>
        <w:jc w:val="center"/>
      </w:pPr>
      <w: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2"/>
                    <a:stretch>
                      <a:fillRect/>
                    </a:stretch>
                  </pic:blipFill>
                  <pic:spPr>
                    <a:xfrm>
                      <a:off x="0" y="0"/>
                      <a:ext cx="5298440" cy="7381240"/>
                    </a:xfrm>
                    <a:prstGeom prst="rect">
                      <a:avLst/>
                    </a:prstGeom>
                    <a:noFill/>
                    <a:ln>
                      <a:noFill/>
                    </a:ln>
                  </pic:spPr>
                </pic:pic>
              </a:graphicData>
            </a:graphic>
          </wp:inline>
        </w:drawing>
      </w:r>
      <w:r>
        <w:drawing>
          <wp:inline distT="0" distB="0" distL="114300" distR="114300">
            <wp:extent cx="5878830" cy="7871460"/>
            <wp:effectExtent l="0" t="0" r="7620" b="1524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3"/>
                    <a:stretch>
                      <a:fillRect/>
                    </a:stretch>
                  </pic:blipFill>
                  <pic:spPr>
                    <a:xfrm>
                      <a:off x="0" y="0"/>
                      <a:ext cx="5878830" cy="7871460"/>
                    </a:xfrm>
                    <a:prstGeom prst="rect">
                      <a:avLst/>
                    </a:prstGeom>
                    <a:noFill/>
                    <a:ln>
                      <a:noFill/>
                    </a:ln>
                  </pic:spPr>
                </pic:pic>
              </a:graphicData>
            </a:graphic>
          </wp:inline>
        </w:drawing>
      </w:r>
    </w:p>
    <w:p w14:paraId="0AE0E115">
      <w:pPr>
        <w:pStyle w:val="5"/>
        <w:spacing w:line="480" w:lineRule="auto"/>
        <w:ind w:firstLine="0"/>
        <w:jc w:val="center"/>
      </w:pPr>
    </w:p>
    <w:p w14:paraId="366D68E7">
      <w:pPr>
        <w:pStyle w:val="5"/>
        <w:spacing w:line="480" w:lineRule="auto"/>
        <w:ind w:firstLine="0"/>
        <w:jc w:val="center"/>
        <w:sectPr>
          <w:pgSz w:w="11906" w:h="16838"/>
          <w:pgMar w:top="1134" w:right="1440" w:bottom="1440" w:left="1440" w:header="720" w:footer="720" w:gutter="0"/>
          <w:cols w:space="720" w:num="1"/>
          <w:docGrid w:type="lines" w:linePitch="315" w:charSpace="0"/>
        </w:sectPr>
      </w:pPr>
    </w:p>
    <w:p w14:paraId="3CA32AF2">
      <w:pPr>
        <w:pStyle w:val="2"/>
        <w:jc w:val="center"/>
      </w:pPr>
      <w:bookmarkStart w:id="639" w:name="_Toc14861"/>
      <w:bookmarkStart w:id="640" w:name="_Toc19086"/>
      <w:bookmarkStart w:id="641" w:name="_Toc4813"/>
      <w:bookmarkStart w:id="642" w:name="_Toc19081"/>
      <w:bookmarkStart w:id="643" w:name="_Toc19281"/>
      <w:bookmarkStart w:id="644" w:name="_Toc16344"/>
      <w:r>
        <w:drawing>
          <wp:inline distT="0" distB="0" distL="114300" distR="114300">
            <wp:extent cx="5537200" cy="7781290"/>
            <wp:effectExtent l="0" t="0" r="10160" b="635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4"/>
                    <a:stretch>
                      <a:fillRect/>
                    </a:stretch>
                  </pic:blipFill>
                  <pic:spPr>
                    <a:xfrm rot="5400000">
                      <a:off x="0" y="0"/>
                      <a:ext cx="5537200" cy="7781290"/>
                    </a:xfrm>
                    <a:prstGeom prst="rect">
                      <a:avLst/>
                    </a:prstGeom>
                    <a:noFill/>
                    <a:ln>
                      <a:noFill/>
                    </a:ln>
                  </pic:spPr>
                </pic:pic>
              </a:graphicData>
            </a:graphic>
          </wp:inline>
        </w:drawing>
      </w:r>
      <w:r>
        <w:drawing>
          <wp:inline distT="0" distB="0" distL="114300" distR="114300">
            <wp:extent cx="5761355" cy="7972425"/>
            <wp:effectExtent l="0" t="0" r="9525"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5"/>
                    <a:stretch>
                      <a:fillRect/>
                    </a:stretch>
                  </pic:blipFill>
                  <pic:spPr>
                    <a:xfrm rot="5400000">
                      <a:off x="0" y="0"/>
                      <a:ext cx="5761355" cy="7972425"/>
                    </a:xfrm>
                    <a:prstGeom prst="rect">
                      <a:avLst/>
                    </a:prstGeom>
                    <a:noFill/>
                    <a:ln>
                      <a:noFill/>
                    </a:ln>
                  </pic:spPr>
                </pic:pic>
              </a:graphicData>
            </a:graphic>
          </wp:inline>
        </w:drawing>
      </w:r>
      <w:r>
        <w:drawing>
          <wp:inline distT="0" distB="0" distL="114300" distR="114300">
            <wp:extent cx="5375275" cy="7501255"/>
            <wp:effectExtent l="0" t="0" r="4445"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6"/>
                    <a:stretch>
                      <a:fillRect/>
                    </a:stretch>
                  </pic:blipFill>
                  <pic:spPr>
                    <a:xfrm rot="5400000">
                      <a:off x="0" y="0"/>
                      <a:ext cx="5375275" cy="7501255"/>
                    </a:xfrm>
                    <a:prstGeom prst="rect">
                      <a:avLst/>
                    </a:prstGeom>
                    <a:noFill/>
                    <a:ln>
                      <a:noFill/>
                    </a:ln>
                  </pic:spPr>
                </pic:pic>
              </a:graphicData>
            </a:graphic>
          </wp:inline>
        </w:drawing>
      </w:r>
      <w:r>
        <w:drawing>
          <wp:inline distT="0" distB="0" distL="114300" distR="114300">
            <wp:extent cx="5640070" cy="7687310"/>
            <wp:effectExtent l="0" t="0" r="8890" b="1778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7"/>
                    <a:stretch>
                      <a:fillRect/>
                    </a:stretch>
                  </pic:blipFill>
                  <pic:spPr>
                    <a:xfrm rot="5400000">
                      <a:off x="0" y="0"/>
                      <a:ext cx="5640070" cy="7687310"/>
                    </a:xfrm>
                    <a:prstGeom prst="rect">
                      <a:avLst/>
                    </a:prstGeom>
                    <a:noFill/>
                    <a:ln>
                      <a:noFill/>
                    </a:ln>
                  </pic:spPr>
                </pic:pic>
              </a:graphicData>
            </a:graphic>
          </wp:inline>
        </w:drawing>
      </w:r>
      <w:r>
        <w:drawing>
          <wp:inline distT="0" distB="0" distL="114300" distR="114300">
            <wp:extent cx="5534025" cy="7713980"/>
            <wp:effectExtent l="0" t="0" r="1270" b="952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8"/>
                    <a:stretch>
                      <a:fillRect/>
                    </a:stretch>
                  </pic:blipFill>
                  <pic:spPr>
                    <a:xfrm rot="5400000">
                      <a:off x="0" y="0"/>
                      <a:ext cx="5534025" cy="7713980"/>
                    </a:xfrm>
                    <a:prstGeom prst="rect">
                      <a:avLst/>
                    </a:prstGeom>
                    <a:noFill/>
                    <a:ln>
                      <a:noFill/>
                    </a:ln>
                  </pic:spPr>
                </pic:pic>
              </a:graphicData>
            </a:graphic>
          </wp:inline>
        </w:drawing>
      </w:r>
      <w:r>
        <w:drawing>
          <wp:inline distT="0" distB="0" distL="114300" distR="114300">
            <wp:extent cx="5131435" cy="6903085"/>
            <wp:effectExtent l="0" t="0" r="12065" b="1206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9"/>
                    <a:stretch>
                      <a:fillRect/>
                    </a:stretch>
                  </pic:blipFill>
                  <pic:spPr>
                    <a:xfrm rot="5400000">
                      <a:off x="0" y="0"/>
                      <a:ext cx="5131435" cy="6903085"/>
                    </a:xfrm>
                    <a:prstGeom prst="rect">
                      <a:avLst/>
                    </a:prstGeom>
                    <a:noFill/>
                    <a:ln>
                      <a:noFill/>
                    </a:ln>
                  </pic:spPr>
                </pic:pic>
              </a:graphicData>
            </a:graphic>
          </wp:inline>
        </w:drawing>
      </w:r>
      <w:r>
        <w:drawing>
          <wp:inline distT="0" distB="0" distL="114300" distR="114300">
            <wp:extent cx="5580380" cy="7706995"/>
            <wp:effectExtent l="0" t="0" r="8255" b="127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0"/>
                    <a:stretch>
                      <a:fillRect/>
                    </a:stretch>
                  </pic:blipFill>
                  <pic:spPr>
                    <a:xfrm rot="5400000">
                      <a:off x="0" y="0"/>
                      <a:ext cx="5580380" cy="7706995"/>
                    </a:xfrm>
                    <a:prstGeom prst="rect">
                      <a:avLst/>
                    </a:prstGeom>
                    <a:noFill/>
                    <a:ln>
                      <a:noFill/>
                    </a:ln>
                  </pic:spPr>
                </pic:pic>
              </a:graphicData>
            </a:graphic>
          </wp:inline>
        </w:drawing>
      </w:r>
      <w:r>
        <w:drawing>
          <wp:inline distT="0" distB="0" distL="114300" distR="114300">
            <wp:extent cx="6002020" cy="8295005"/>
            <wp:effectExtent l="0" t="0" r="10795" b="1778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31"/>
                    <a:stretch>
                      <a:fillRect/>
                    </a:stretch>
                  </pic:blipFill>
                  <pic:spPr>
                    <a:xfrm rot="5400000">
                      <a:off x="0" y="0"/>
                      <a:ext cx="6002020" cy="8295005"/>
                    </a:xfrm>
                    <a:prstGeom prst="rect">
                      <a:avLst/>
                    </a:prstGeom>
                    <a:noFill/>
                    <a:ln>
                      <a:noFill/>
                    </a:ln>
                  </pic:spPr>
                </pic:pic>
              </a:graphicData>
            </a:graphic>
          </wp:inline>
        </w:drawing>
      </w:r>
      <w:r>
        <w:drawing>
          <wp:inline distT="0" distB="0" distL="114300" distR="114300">
            <wp:extent cx="5573395" cy="7620000"/>
            <wp:effectExtent l="0" t="0" r="0" b="825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2"/>
                    <a:stretch>
                      <a:fillRect/>
                    </a:stretch>
                  </pic:blipFill>
                  <pic:spPr>
                    <a:xfrm rot="5400000">
                      <a:off x="0" y="0"/>
                      <a:ext cx="5573395" cy="7620000"/>
                    </a:xfrm>
                    <a:prstGeom prst="rect">
                      <a:avLst/>
                    </a:prstGeom>
                    <a:noFill/>
                    <a:ln>
                      <a:noFill/>
                    </a:ln>
                  </pic:spPr>
                </pic:pic>
              </a:graphicData>
            </a:graphic>
          </wp:inline>
        </w:drawing>
      </w:r>
      <w:r>
        <w:drawing>
          <wp:inline distT="0" distB="0" distL="114300" distR="114300">
            <wp:extent cx="5594350" cy="7762240"/>
            <wp:effectExtent l="0" t="0" r="10160" b="635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33"/>
                    <a:stretch>
                      <a:fillRect/>
                    </a:stretch>
                  </pic:blipFill>
                  <pic:spPr>
                    <a:xfrm rot="5400000">
                      <a:off x="0" y="0"/>
                      <a:ext cx="5594350" cy="7762240"/>
                    </a:xfrm>
                    <a:prstGeom prst="rect">
                      <a:avLst/>
                    </a:prstGeom>
                    <a:noFill/>
                    <a:ln>
                      <a:noFill/>
                    </a:ln>
                  </pic:spPr>
                </pic:pic>
              </a:graphicData>
            </a:graphic>
          </wp:inline>
        </w:drawing>
      </w:r>
      <w:r>
        <w:drawing>
          <wp:inline distT="0" distB="0" distL="114300" distR="114300">
            <wp:extent cx="5516245" cy="7505700"/>
            <wp:effectExtent l="0" t="0" r="0" b="825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4"/>
                    <a:stretch>
                      <a:fillRect/>
                    </a:stretch>
                  </pic:blipFill>
                  <pic:spPr>
                    <a:xfrm rot="5400000">
                      <a:off x="0" y="0"/>
                      <a:ext cx="5516245" cy="7505700"/>
                    </a:xfrm>
                    <a:prstGeom prst="rect">
                      <a:avLst/>
                    </a:prstGeom>
                    <a:noFill/>
                    <a:ln>
                      <a:noFill/>
                    </a:ln>
                  </pic:spPr>
                </pic:pic>
              </a:graphicData>
            </a:graphic>
          </wp:inline>
        </w:drawing>
      </w:r>
      <w:r>
        <w:drawing>
          <wp:inline distT="0" distB="0" distL="114300" distR="114300">
            <wp:extent cx="5575935" cy="7753985"/>
            <wp:effectExtent l="0" t="0" r="18415" b="571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35"/>
                    <a:stretch>
                      <a:fillRect/>
                    </a:stretch>
                  </pic:blipFill>
                  <pic:spPr>
                    <a:xfrm rot="5400000">
                      <a:off x="0" y="0"/>
                      <a:ext cx="5575935" cy="7753985"/>
                    </a:xfrm>
                    <a:prstGeom prst="rect">
                      <a:avLst/>
                    </a:prstGeom>
                    <a:noFill/>
                    <a:ln>
                      <a:noFill/>
                    </a:ln>
                  </pic:spPr>
                </pic:pic>
              </a:graphicData>
            </a:graphic>
          </wp:inline>
        </w:drawing>
      </w:r>
      <w:bookmarkEnd w:id="499"/>
      <w:bookmarkEnd w:id="500"/>
      <w:bookmarkEnd w:id="501"/>
      <w:bookmarkEnd w:id="502"/>
      <w:bookmarkEnd w:id="503"/>
      <w:bookmarkEnd w:id="504"/>
      <w:bookmarkEnd w:id="505"/>
      <w:bookmarkEnd w:id="639"/>
      <w:bookmarkEnd w:id="640"/>
      <w:bookmarkEnd w:id="641"/>
      <w:bookmarkEnd w:id="642"/>
      <w:bookmarkEnd w:id="643"/>
      <w:bookmarkEnd w:id="644"/>
    </w:p>
    <w:sectPr>
      <w:type w:val="continuous"/>
      <w:pgSz w:w="16838" w:h="11906" w:orient="landscape"/>
      <w:pgMar w:top="1531" w:right="1440" w:bottom="1531" w:left="1440" w:header="720" w:footer="720" w:gutter="0"/>
      <w:cols w:space="72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思源宋体 CN Light">
    <w:altName w:val="宋体"/>
    <w:panose1 w:val="00000000000000000000"/>
    <w:charset w:val="86"/>
    <w:family w:val="auto"/>
    <w:pitch w:val="default"/>
    <w:sig w:usb0="00000000" w:usb1="00000000" w:usb2="00000016" w:usb3="00000000" w:csb0="60060107"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FD9E9">
    <w:pPr>
      <w:pStyle w:val="9"/>
      <w:tabs>
        <w:tab w:val="left" w:pos="5022"/>
        <w:tab w:val="clear" w:pos="4153"/>
        <w:tab w:val="clear" w:pos="8306"/>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84F2A">
    <w:pPr>
      <w:pStyle w:val="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0250BDE">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&#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Dm5NvJ0QEAAKUDAAAOAAAAAAAAAAEAIAAAACIB&#10;AABkcnMvZTJvRG9jLnhtbFBLBQYAAAAABgAGAFkBAABlBQAAAAA=&#10;">
              <v:fill on="f" focussize="0,0"/>
              <v:stroke on="f" weight="1.25pt"/>
              <v:imagedata o:title=""/>
              <o:lock v:ext="edit" aspectratio="f"/>
              <v:textbox inset="0mm,0mm,0mm,0mm" style="mso-fit-shape-to-text:t;">
                <w:txbxContent>
                  <w:p w14:paraId="50250BDE">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v:textbox>
            </v:shape>
          </w:pict>
        </mc:Fallback>
      </mc:AlternateContent>
    </w:r>
    <w:r>
      <w:rPr>
        <w:rFonts w:hint="eastAsia"/>
      </w:rPr>
      <w:t xml:space="preserve">                                             </w:t>
    </w:r>
    <w:r>
      <w:rPr>
        <w:rFonts w:hint="eastAsia"/>
        <w:sz w:val="16"/>
        <w:szCs w:val="18"/>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D1248">
    <w:pPr>
      <w:pStyle w:val="9"/>
      <w:pBdr>
        <w:top w:val="single" w:color="auto" w:sz="4" w:space="0"/>
      </w:pBd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515F832">
                          <w:pPr>
                            <w:pStyle w:val="9"/>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BGSYprQAQAApwMAAA4AAAAAAAAAAQAgAAAAIgEA&#10;AGRycy9lMm9Eb2MueG1sUEsFBgAAAAAGAAYAWQEAAGQFAAAAAA==&#10;">
              <v:fill on="f" focussize="0,0"/>
              <v:stroke on="f" weight="1.25pt"/>
              <v:imagedata o:title=""/>
              <o:lock v:ext="edit" aspectratio="f"/>
              <v:textbox inset="0mm,0mm,0mm,0mm" style="mso-fit-shape-to-text:t;">
                <w:txbxContent>
                  <w:p w14:paraId="3515F832">
                    <w:pPr>
                      <w:pStyle w:val="9"/>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57ECA">
    <w:pPr>
      <w:pStyle w:val="9"/>
      <w:tabs>
        <w:tab w:val="left" w:pos="5022"/>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43C2BAFE">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M/8h6fQAQAApQMAAA4AAAAAAAAAAQAgAAAAIgEA&#10;AGRycy9lMm9Eb2MueG1sUEsFBgAAAAAGAAYAWQEAAGQFAAAAAA==&#10;">
              <v:fill on="f" focussize="0,0"/>
              <v:stroke on="f" weight="1.25pt"/>
              <v:imagedata o:title=""/>
              <o:lock v:ext="edit" aspectratio="f"/>
              <v:textbox inset="0mm,0mm,0mm,0mm" style="mso-fit-shape-to-text:t;">
                <w:txbxContent>
                  <w:p w14:paraId="43C2BAFE">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568B9">
    <w:pPr>
      <w:pStyle w:val="9"/>
      <w:tabs>
        <w:tab w:val="left" w:pos="5022"/>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09678AF9">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PtzEX3QAQAApQMAAA4AAAAAAAAAAQAgAAAAIgEA&#10;AGRycy9lMm9Eb2MueG1sUEsFBgAAAAAGAAYAWQEAAGQFAAAAAA==&#10;">
              <v:fill on="f" focussize="0,0"/>
              <v:stroke on="f" weight="1.25pt"/>
              <v:imagedata o:title=""/>
              <o:lock v:ext="edit" aspectratio="f"/>
              <v:textbox inset="0mm,0mm,0mm,0mm" style="mso-fit-shape-to-text:t;">
                <w:txbxContent>
                  <w:p w14:paraId="09678AF9">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v:textbox>
            </v:shape>
          </w:pict>
        </mc:Fallback>
      </mc:AlternateConten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09FD7">
    <w:pPr>
      <w:pStyle w:val="9"/>
      <w:jc w:val="center"/>
      <w:rPr>
        <w:rFonts w:hint="eastAsi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13283D">
                          <w:pPr>
                            <w:pStyle w:val="9"/>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14:paraId="3413283D">
                    <w:pPr>
                      <w:pStyle w:val="9"/>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9832F">
    <w:pPr>
      <w:pStyle w:val="9"/>
      <w:tabs>
        <w:tab w:val="left" w:pos="5022"/>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12395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123950" cy="1828800"/>
                      </a:xfrm>
                      <a:prstGeom prst="rect">
                        <a:avLst/>
                      </a:prstGeom>
                      <a:noFill/>
                      <a:ln w="15875">
                        <a:noFill/>
                      </a:ln>
                      <a:effectLst/>
                    </wps:spPr>
                    <wps:txbx>
                      <w:txbxContent>
                        <w:p w14:paraId="113B7422">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90</w:t>
                          </w:r>
                          <w:r>
                            <w:fldChar w:fldCharType="end"/>
                          </w:r>
                          <w:r>
                            <w:rPr>
                              <w:rFonts w:hint="eastAsia"/>
                            </w:rPr>
                            <w:t xml:space="preserve"> 页</w:t>
                          </w:r>
                        </w:p>
                      </w:txbxContent>
                    </wps:txbx>
                    <wps:bodyPr lIns="0" tIns="0" rIns="0" bIns="0">
                      <a:spAutoFit/>
                    </wps:bodyPr>
                  </wps:wsp>
                </a:graphicData>
              </a:graphic>
            </wp:anchor>
          </w:drawing>
        </mc:Choice>
        <mc:Fallback>
          <w:pict>
            <v:shape id="_x0000_s1026" o:spid="_x0000_s1026" o:spt="202" type="#_x0000_t202" style="position:absolute;left:0pt;margin-top:0pt;height:144pt;width:88.5pt;mso-position-horizontal:center;mso-position-horizontal-relative:margin;z-index:251664384;mso-width-relative:page;mso-height-relative:page;" filled="f" stroked="f" coordsize="21600,21600" o:gfxdata="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HcfKdQAAAAFAQAADwAAAAAAAAABACAAAAAiAAAAZHJz&#10;L2Rvd25yZXYueG1sUEsBAhQAFAAAAAgAh07iQFiwFbjPAQAAmwMAAA4AAAAAAAAAAQAgAAAAIwEA&#10;AGRycy9lMm9Eb2MueG1sUEsFBgAAAAAGAAYAWQEAAGQFAAAAAA==&#10;">
              <v:fill on="f" focussize="0,0"/>
              <v:stroke on="f" weight="1.25pt"/>
              <v:imagedata o:title=""/>
              <o:lock v:ext="edit" aspectratio="f"/>
              <v:textbox inset="0mm,0mm,0mm,0mm" style="mso-fit-shape-to-text:t;">
                <w:txbxContent>
                  <w:p w14:paraId="113B7422">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90</w:t>
                    </w:r>
                    <w:r>
                      <w:fldChar w:fldCharType="end"/>
                    </w:r>
                    <w:r>
                      <w:rPr>
                        <w:rFonts w:hint="eastAsia"/>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B5A91">
    <w:pPr>
      <w:pStyle w:val="9"/>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24D081F">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&#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DHfzVV0QEAAKcDAAAOAAAAAAAAAAEAIAAAACIB&#10;AABkcnMvZTJvRG9jLnhtbFBLBQYAAAAABgAGAFkBAABlBQAAAAA=&#10;">
              <v:fill on="f" focussize="0,0"/>
              <v:stroke on="f" weight="1.25pt"/>
              <v:imagedata o:title=""/>
              <o:lock v:ext="edit" aspectratio="f"/>
              <v:textbox inset="0mm,0mm,0mm,0mm" style="mso-fit-shape-to-text:t;">
                <w:txbxContent>
                  <w:p w14:paraId="224D081F">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v:textbox>
            </v:shape>
          </w:pict>
        </mc:Fallback>
      </mc:AlternateContent>
    </w:r>
    <w:r>
      <w:rPr>
        <w:rFonts w:hint="eastAsia"/>
      </w:rPr>
      <w:t xml:space="preserve">                                             </w:t>
    </w:r>
    <w:r>
      <w:rPr>
        <w:rFonts w:hint="eastAsia"/>
        <w:sz w:val="16"/>
        <w:szCs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9FAC7">
    <w:pPr>
      <w:pStyle w:val="6"/>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BBDC4">
    <w:pPr>
      <w:spacing w:line="168" w:lineRule="auto"/>
      <w:ind w:left="4330"/>
      <w:rPr>
        <w:rFonts w:ascii="宋体" w:hAnsi="宋体" w:eastAsia="宋体" w:cs="宋体"/>
        <w:sz w:val="13"/>
        <w:szCs w:val="13"/>
      </w:rPr>
    </w:pPr>
    <w:r>
      <w:rPr>
        <w:rFonts w:ascii="宋体" w:hAnsi="宋体" w:eastAsia="宋体" w:cs="宋体"/>
        <w:sz w:val="13"/>
        <w:szCs w:val="13"/>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48C1C">
    <w:pPr>
      <w:pStyle w:val="9"/>
      <w:tabs>
        <w:tab w:val="left" w:pos="5022"/>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2395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123950" cy="1828800"/>
                      </a:xfrm>
                      <a:prstGeom prst="rect">
                        <a:avLst/>
                      </a:prstGeom>
                      <a:noFill/>
                      <a:ln w="15875">
                        <a:noFill/>
                      </a:ln>
                      <a:effectLst/>
                    </wps:spPr>
                    <wps:txbx>
                      <w:txbxContent>
                        <w:p w14:paraId="648596AE">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wps:txbx>
                    <wps:bodyPr lIns="0" tIns="0" rIns="0" bIns="0">
                      <a:spAutoFit/>
                    </wps:bodyPr>
                  </wps:wsp>
                </a:graphicData>
              </a:graphic>
            </wp:anchor>
          </w:drawing>
        </mc:Choice>
        <mc:Fallback>
          <w:pict>
            <v:shape id="_x0000_s1026" o:spid="_x0000_s1026" o:spt="202" type="#_x0000_t202" style="position:absolute;left:0pt;margin-top:0pt;height:144pt;width:88.5pt;mso-position-horizontal:center;mso-position-horizontal-relative:margin;z-index:251661312;mso-width-relative:page;mso-height-relative:page;" filled="f" stroked="f" coordsize="21600,21600" o:gfxdata="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HcfKdQAAAAFAQAADwAAAAAAAAABACAAAAAiAAAAZHJz&#10;L2Rvd25yZXYueG1sUEsBAhQAFAAAAAgAh07iQNJRJ5jPAQAAmwMAAA4AAAAAAAAAAQAgAAAAIwEA&#10;AGRycy9lMm9Eb2MueG1sUEsFBgAAAAAGAAYAWQEAAGQFAAAAAA==&#10;">
              <v:fill on="f" focussize="0,0"/>
              <v:stroke on="f" weight="1.25pt"/>
              <v:imagedata o:title=""/>
              <o:lock v:ext="edit" aspectratio="f"/>
              <v:textbox inset="0mm,0mm,0mm,0mm" style="mso-fit-shape-to-text:t;">
                <w:txbxContent>
                  <w:p w14:paraId="648596AE">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92</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5B20D">
    <w:pPr>
      <w:pStyle w:val="11"/>
      <w:pBdr>
        <w:bottom w:val="none" w:color="auto" w:sz="0" w:space="1"/>
      </w:pBdr>
      <w:tabs>
        <w:tab w:val="left" w:pos="7864"/>
        <w:tab w:val="clear" w:pos="4153"/>
      </w:tabs>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42095">
    <w:pPr>
      <w:pStyle w:val="11"/>
      <w:jc w:val="left"/>
    </w:pPr>
    <w:r>
      <w:rPr>
        <w:rFonts w:hint="eastAsia"/>
        <w:szCs w:val="18"/>
      </w:rPr>
      <w:t>陕西三秦大地招标有限责任公司                                                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2C5B2">
    <w:pPr>
      <w:pStyle w:val="11"/>
      <w:pBdr>
        <w:bottom w:val="none" w:color="auto" w:sz="0" w:space="1"/>
      </w:pBdr>
      <w:tabs>
        <w:tab w:val="left" w:pos="7864"/>
        <w:tab w:val="clear" w:pos="4153"/>
      </w:tabs>
      <w:jc w:val="left"/>
      <w:rPr>
        <w:sz w:val="10"/>
        <w:szCs w:val="10"/>
        <w:u w:val="single"/>
      </w:rPr>
    </w:pPr>
    <w:r>
      <w:rPr>
        <w:rFonts w:hint="eastAsia" w:ascii="宋体" w:hAnsi="宋体" w:cs="宋体"/>
        <w:sz w:val="15"/>
        <w:szCs w:val="15"/>
        <w:u w:val="single"/>
      </w:rPr>
      <w:t>陕西三秦大地招标有限责任公司                                                                   竞争性谈判文件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1CAF6">
    <w:pPr>
      <w:pStyle w:val="11"/>
      <w:jc w:val="left"/>
    </w:pPr>
    <w:r>
      <w:rPr>
        <w:rFonts w:hint="eastAsia"/>
        <w:szCs w:val="18"/>
      </w:rPr>
      <w:t>陕西三秦大地招标有限责任公司                                                竞争性谈判文件</w:t>
    </w:r>
  </w:p>
  <w:p w14:paraId="58B0F45D">
    <w:pPr>
      <w:pStyle w:val="11"/>
      <w:pBdr>
        <w:bottom w:val="none" w:color="auto" w:sz="0" w:space="1"/>
      </w:pBdr>
      <w:tabs>
        <w:tab w:val="left" w:pos="7864"/>
        <w:tab w:val="clear" w:pos="4153"/>
      </w:tabs>
      <w:rPr>
        <w:sz w:val="10"/>
        <w:szCs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CFC4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9706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7D658">
    <w:pPr>
      <w:pStyle w:val="11"/>
      <w:pBdr>
        <w:bottom w:val="none" w:color="auto" w:sz="0" w:space="1"/>
      </w:pBdr>
    </w:pPr>
    <w:r>
      <w:rPr>
        <w:rFonts w:hint="eastAsia" w:ascii="宋体" w:hAnsi="宋体" w:cs="宋体"/>
        <w:bCs/>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390A09"/>
    <w:multiLevelType w:val="singleLevel"/>
    <w:tmpl w:val="83390A09"/>
    <w:lvl w:ilvl="0" w:tentative="0">
      <w:start w:val="5"/>
      <w:numFmt w:val="chineseCounting"/>
      <w:suff w:val="space"/>
      <w:lvlText w:val="第%1部分"/>
      <w:lvlJc w:val="left"/>
      <w:rPr>
        <w:rFonts w:hint="eastAsia"/>
      </w:rPr>
    </w:lvl>
  </w:abstractNum>
  <w:abstractNum w:abstractNumId="1">
    <w:nsid w:val="97E9FAFA"/>
    <w:multiLevelType w:val="singleLevel"/>
    <w:tmpl w:val="97E9FAFA"/>
    <w:lvl w:ilvl="0" w:tentative="0">
      <w:start w:val="8"/>
      <w:numFmt w:val="chineseCounting"/>
      <w:suff w:val="nothing"/>
      <w:lvlText w:val="%1、"/>
      <w:lvlJc w:val="left"/>
      <w:rPr>
        <w:rFonts w:hint="eastAsia"/>
      </w:rPr>
    </w:lvl>
  </w:abstractNum>
  <w:abstractNum w:abstractNumId="2">
    <w:nsid w:val="AE6F79D6"/>
    <w:multiLevelType w:val="singleLevel"/>
    <w:tmpl w:val="AE6F79D6"/>
    <w:lvl w:ilvl="0" w:tentative="0">
      <w:start w:val="1"/>
      <w:numFmt w:val="decimal"/>
      <w:suff w:val="nothing"/>
      <w:lvlText w:val="%1）"/>
      <w:lvlJc w:val="left"/>
    </w:lvl>
  </w:abstractNum>
  <w:abstractNum w:abstractNumId="3">
    <w:nsid w:val="B0842CA8"/>
    <w:multiLevelType w:val="singleLevel"/>
    <w:tmpl w:val="B0842CA8"/>
    <w:lvl w:ilvl="0" w:tentative="0">
      <w:start w:val="2"/>
      <w:numFmt w:val="decimal"/>
      <w:suff w:val="space"/>
      <w:lvlText w:val="%1)"/>
      <w:lvlJc w:val="left"/>
    </w:lvl>
  </w:abstractNum>
  <w:abstractNum w:abstractNumId="4">
    <w:nsid w:val="D666DBCD"/>
    <w:multiLevelType w:val="singleLevel"/>
    <w:tmpl w:val="D666DBCD"/>
    <w:lvl w:ilvl="0" w:tentative="0">
      <w:start w:val="2"/>
      <w:numFmt w:val="decimal"/>
      <w:suff w:val="space"/>
      <w:lvlText w:val="%1."/>
      <w:lvlJc w:val="left"/>
    </w:lvl>
  </w:abstractNum>
  <w:abstractNum w:abstractNumId="5">
    <w:nsid w:val="00000032"/>
    <w:multiLevelType w:val="multilevel"/>
    <w:tmpl w:val="00000032"/>
    <w:lvl w:ilvl="0" w:tentative="0">
      <w:start w:val="1"/>
      <w:numFmt w:val="decimal"/>
      <w:lvlText w:val="%1"/>
      <w:lvlJc w:val="left"/>
      <w:pPr>
        <w:tabs>
          <w:tab w:val="left" w:pos="420"/>
        </w:tabs>
        <w:ind w:left="46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8D3CD8"/>
    <w:multiLevelType w:val="multilevel"/>
    <w:tmpl w:val="138D3CD8"/>
    <w:lvl w:ilvl="0" w:tentative="0">
      <w:start w:val="15"/>
      <w:numFmt w:val="decimal"/>
      <w:lvlText w:val="%1）"/>
      <w:lvlJc w:val="left"/>
      <w:pPr>
        <w:tabs>
          <w:tab w:val="left" w:pos="825"/>
        </w:tabs>
        <w:ind w:left="825" w:hanging="465"/>
      </w:pPr>
      <w:rPr>
        <w:rFonts w:hint="eastAsia"/>
      </w:rPr>
    </w:lvl>
    <w:lvl w:ilvl="1" w:tentative="0">
      <w:start w:val="1"/>
      <w:numFmt w:val="lowerLetter"/>
      <w:lvlText w:val="%2."/>
      <w:lvlJc w:val="left"/>
      <w:pPr>
        <w:tabs>
          <w:tab w:val="left" w:pos="786"/>
        </w:tabs>
        <w:ind w:left="786" w:hanging="360"/>
      </w:pPr>
      <w:rPr>
        <w:color w:val="000000"/>
      </w:rPr>
    </w:lvl>
    <w:lvl w:ilvl="2" w:tentative="0">
      <w:start w:val="1"/>
      <w:numFmt w:val="lowerLetter"/>
      <w:lvlText w:val="%3)"/>
      <w:lvlJc w:val="left"/>
      <w:pPr>
        <w:tabs>
          <w:tab w:val="left" w:pos="2400"/>
        </w:tabs>
        <w:ind w:left="2400" w:hanging="420"/>
      </w:pPr>
      <w:rPr>
        <w:rFonts w:hint="eastAsia"/>
      </w:rPr>
    </w:lvl>
    <w:lvl w:ilvl="3" w:tentative="0">
      <w:start w:val="7"/>
      <w:numFmt w:val="upperLetter"/>
      <w:lvlText w:val="%4．"/>
      <w:lvlJc w:val="left"/>
      <w:pPr>
        <w:tabs>
          <w:tab w:val="left" w:pos="2910"/>
        </w:tabs>
        <w:ind w:left="2910" w:hanging="390"/>
      </w:pPr>
      <w:rPr>
        <w:rFonts w:hint="default" w:ascii="Times New Roman" w:hAnsi="Times New Roman"/>
        <w:color w:val="000000"/>
      </w:rPr>
    </w:lvl>
    <w:lvl w:ilvl="4" w:tentative="0">
      <w:start w:val="7"/>
      <w:numFmt w:val="lowerLetter"/>
      <w:lvlText w:val="%5．"/>
      <w:lvlJc w:val="left"/>
      <w:pPr>
        <w:tabs>
          <w:tab w:val="left" w:pos="3600"/>
        </w:tabs>
        <w:ind w:left="3600" w:hanging="360"/>
      </w:pPr>
      <w:rPr>
        <w:rFonts w:hint="default" w:ascii="Times New Roman" w:hAnsi="Times New Roman"/>
        <w:color w:val="000000"/>
      </w:r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153B5659"/>
    <w:multiLevelType w:val="singleLevel"/>
    <w:tmpl w:val="153B5659"/>
    <w:lvl w:ilvl="0" w:tentative="0">
      <w:start w:val="1"/>
      <w:numFmt w:val="decimal"/>
      <w:suff w:val="nothing"/>
      <w:lvlText w:val="%1）"/>
      <w:lvlJc w:val="left"/>
    </w:lvl>
  </w:abstractNum>
  <w:abstractNum w:abstractNumId="8">
    <w:nsid w:val="2E3C05A1"/>
    <w:multiLevelType w:val="singleLevel"/>
    <w:tmpl w:val="2E3C05A1"/>
    <w:lvl w:ilvl="0" w:tentative="0">
      <w:start w:val="1"/>
      <w:numFmt w:val="decimal"/>
      <w:suff w:val="nothing"/>
      <w:lvlText w:val="（%1）"/>
      <w:lvlJc w:val="left"/>
    </w:lvl>
  </w:abstractNum>
  <w:abstractNum w:abstractNumId="9">
    <w:nsid w:val="4D76AB8B"/>
    <w:multiLevelType w:val="singleLevel"/>
    <w:tmpl w:val="4D76AB8B"/>
    <w:lvl w:ilvl="0" w:tentative="0">
      <w:start w:val="17"/>
      <w:numFmt w:val="chineseCounting"/>
      <w:suff w:val="nothing"/>
      <w:lvlText w:val="%1、"/>
      <w:lvlJc w:val="left"/>
      <w:rPr>
        <w:rFonts w:hint="eastAsia"/>
      </w:rPr>
    </w:lvl>
  </w:abstractNum>
  <w:abstractNum w:abstractNumId="10">
    <w:nsid w:val="5006901E"/>
    <w:multiLevelType w:val="singleLevel"/>
    <w:tmpl w:val="5006901E"/>
    <w:lvl w:ilvl="0" w:tentative="0">
      <w:start w:val="6"/>
      <w:numFmt w:val="chineseCounting"/>
      <w:suff w:val="space"/>
      <w:lvlText w:val="第%1部分"/>
      <w:lvlJc w:val="left"/>
      <w:rPr>
        <w:rFonts w:hint="eastAsia"/>
      </w:rPr>
    </w:lvl>
  </w:abstractNum>
  <w:abstractNum w:abstractNumId="11">
    <w:nsid w:val="5657FE82"/>
    <w:multiLevelType w:val="singleLevel"/>
    <w:tmpl w:val="5657FE82"/>
    <w:lvl w:ilvl="0" w:tentative="0">
      <w:start w:val="6"/>
      <w:numFmt w:val="decimal"/>
      <w:suff w:val="nothing"/>
      <w:lvlText w:val="%1、"/>
      <w:lvlJc w:val="left"/>
    </w:lvl>
  </w:abstractNum>
  <w:abstractNum w:abstractNumId="12">
    <w:nsid w:val="5A1F7005"/>
    <w:multiLevelType w:val="singleLevel"/>
    <w:tmpl w:val="5A1F7005"/>
    <w:lvl w:ilvl="0" w:tentative="0">
      <w:start w:val="2"/>
      <w:numFmt w:val="chineseCounting"/>
      <w:suff w:val="space"/>
      <w:lvlText w:val="第%1部分"/>
      <w:lvlJc w:val="left"/>
    </w:lvl>
  </w:abstractNum>
  <w:abstractNum w:abstractNumId="13">
    <w:nsid w:val="6811D9F6"/>
    <w:multiLevelType w:val="singleLevel"/>
    <w:tmpl w:val="6811D9F6"/>
    <w:lvl w:ilvl="0" w:tentative="0">
      <w:start w:val="8"/>
      <w:numFmt w:val="chineseCounting"/>
      <w:suff w:val="nothing"/>
      <w:lvlText w:val="%1、"/>
      <w:lvlJc w:val="left"/>
      <w:rPr>
        <w:rFonts w:hint="eastAsia"/>
      </w:rPr>
    </w:lvl>
  </w:abstractNum>
  <w:num w:numId="1">
    <w:abstractNumId w:val="11"/>
  </w:num>
  <w:num w:numId="2">
    <w:abstractNumId w:val="12"/>
  </w:num>
  <w:num w:numId="3">
    <w:abstractNumId w:val="5"/>
  </w:num>
  <w:num w:numId="4">
    <w:abstractNumId w:val="2"/>
  </w:num>
  <w:num w:numId="5">
    <w:abstractNumId w:val="1"/>
  </w:num>
  <w:num w:numId="6">
    <w:abstractNumId w:val="0"/>
  </w:num>
  <w:num w:numId="7">
    <w:abstractNumId w:val="10"/>
  </w:num>
  <w:num w:numId="8">
    <w:abstractNumId w:val="6"/>
  </w:num>
  <w:num w:numId="9">
    <w:abstractNumId w:val="7"/>
  </w:num>
  <w:num w:numId="10">
    <w:abstractNumId w:val="3"/>
  </w:num>
  <w:num w:numId="11">
    <w:abstractNumId w:val="8"/>
  </w:num>
  <w:num w:numId="12">
    <w:abstractNumId w:val="13"/>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pos w:val="beneathText"/>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wZmNiNzM0YTNkMGY5ZjI4YTJjZDJiNGJjMDUxZjEifQ=="/>
  </w:docVars>
  <w:rsids>
    <w:rsidRoot w:val="33134B04"/>
    <w:rsid w:val="0264611C"/>
    <w:rsid w:val="02AE55E9"/>
    <w:rsid w:val="02C32E43"/>
    <w:rsid w:val="040C6A6B"/>
    <w:rsid w:val="05524952"/>
    <w:rsid w:val="060C2D53"/>
    <w:rsid w:val="06DE46EF"/>
    <w:rsid w:val="07195727"/>
    <w:rsid w:val="082E5202"/>
    <w:rsid w:val="083D71F3"/>
    <w:rsid w:val="0A0124A3"/>
    <w:rsid w:val="0B212DFC"/>
    <w:rsid w:val="0C232BA4"/>
    <w:rsid w:val="0DC12675"/>
    <w:rsid w:val="0E1E3623"/>
    <w:rsid w:val="0E370B89"/>
    <w:rsid w:val="0E464928"/>
    <w:rsid w:val="0F5117D6"/>
    <w:rsid w:val="103A670E"/>
    <w:rsid w:val="10BE2E9B"/>
    <w:rsid w:val="11D861DF"/>
    <w:rsid w:val="14667AD2"/>
    <w:rsid w:val="151614F8"/>
    <w:rsid w:val="174D31CB"/>
    <w:rsid w:val="17740758"/>
    <w:rsid w:val="17B9260F"/>
    <w:rsid w:val="18D47700"/>
    <w:rsid w:val="19202945"/>
    <w:rsid w:val="198D78AF"/>
    <w:rsid w:val="19B906A4"/>
    <w:rsid w:val="1A0538E9"/>
    <w:rsid w:val="1C782A98"/>
    <w:rsid w:val="1D492FA1"/>
    <w:rsid w:val="1D9C6312"/>
    <w:rsid w:val="1DC85359"/>
    <w:rsid w:val="1DF24184"/>
    <w:rsid w:val="1E8A260F"/>
    <w:rsid w:val="2107263D"/>
    <w:rsid w:val="217A2E0F"/>
    <w:rsid w:val="227B5090"/>
    <w:rsid w:val="228D26CE"/>
    <w:rsid w:val="22E5075C"/>
    <w:rsid w:val="230C7A96"/>
    <w:rsid w:val="27AC5CEC"/>
    <w:rsid w:val="282B6C11"/>
    <w:rsid w:val="2A16744D"/>
    <w:rsid w:val="2A7C7BF7"/>
    <w:rsid w:val="2B9D6077"/>
    <w:rsid w:val="2D4A7B39"/>
    <w:rsid w:val="2E7A61FC"/>
    <w:rsid w:val="2EA27501"/>
    <w:rsid w:val="2FC75471"/>
    <w:rsid w:val="2FFB15BE"/>
    <w:rsid w:val="303D1BD7"/>
    <w:rsid w:val="309D2676"/>
    <w:rsid w:val="323B2146"/>
    <w:rsid w:val="329D070B"/>
    <w:rsid w:val="32FF4F22"/>
    <w:rsid w:val="33134B04"/>
    <w:rsid w:val="347B0F20"/>
    <w:rsid w:val="35551771"/>
    <w:rsid w:val="355F439E"/>
    <w:rsid w:val="35AD6EB7"/>
    <w:rsid w:val="364041CF"/>
    <w:rsid w:val="3652180C"/>
    <w:rsid w:val="384D2BD3"/>
    <w:rsid w:val="385B709E"/>
    <w:rsid w:val="3DCC6348"/>
    <w:rsid w:val="3EB219E2"/>
    <w:rsid w:val="3F214472"/>
    <w:rsid w:val="3F9D7F9C"/>
    <w:rsid w:val="4024421A"/>
    <w:rsid w:val="40F405DB"/>
    <w:rsid w:val="40FA31CC"/>
    <w:rsid w:val="412C5A7C"/>
    <w:rsid w:val="41540B2E"/>
    <w:rsid w:val="41894C7C"/>
    <w:rsid w:val="42772D26"/>
    <w:rsid w:val="43397FDC"/>
    <w:rsid w:val="439569DB"/>
    <w:rsid w:val="446217B4"/>
    <w:rsid w:val="44623562"/>
    <w:rsid w:val="44C1472D"/>
    <w:rsid w:val="45765517"/>
    <w:rsid w:val="45967968"/>
    <w:rsid w:val="46893028"/>
    <w:rsid w:val="46F30DEA"/>
    <w:rsid w:val="47095F17"/>
    <w:rsid w:val="471C3E9C"/>
    <w:rsid w:val="47780197"/>
    <w:rsid w:val="4893018E"/>
    <w:rsid w:val="4B2C48CA"/>
    <w:rsid w:val="4B564639"/>
    <w:rsid w:val="4C2832E3"/>
    <w:rsid w:val="4CFB27A6"/>
    <w:rsid w:val="4DA93FB0"/>
    <w:rsid w:val="4E393586"/>
    <w:rsid w:val="4F361873"/>
    <w:rsid w:val="53197864"/>
    <w:rsid w:val="532F31A9"/>
    <w:rsid w:val="53620E89"/>
    <w:rsid w:val="548D63DA"/>
    <w:rsid w:val="54A6749B"/>
    <w:rsid w:val="573A3ECB"/>
    <w:rsid w:val="599C2ED6"/>
    <w:rsid w:val="5ABD109B"/>
    <w:rsid w:val="5BC32832"/>
    <w:rsid w:val="5BDE39BF"/>
    <w:rsid w:val="5D1C06B0"/>
    <w:rsid w:val="5D704AEA"/>
    <w:rsid w:val="5E5E5F0F"/>
    <w:rsid w:val="5EE237C6"/>
    <w:rsid w:val="5F4C0C3F"/>
    <w:rsid w:val="5F9737AE"/>
    <w:rsid w:val="60AE1BB1"/>
    <w:rsid w:val="61DC44FC"/>
    <w:rsid w:val="62A52B40"/>
    <w:rsid w:val="6311467A"/>
    <w:rsid w:val="63C74D38"/>
    <w:rsid w:val="64B81251"/>
    <w:rsid w:val="66326DE1"/>
    <w:rsid w:val="6646463A"/>
    <w:rsid w:val="66B27F22"/>
    <w:rsid w:val="66B50483"/>
    <w:rsid w:val="66C814F3"/>
    <w:rsid w:val="671309C0"/>
    <w:rsid w:val="672E75A8"/>
    <w:rsid w:val="674A64E0"/>
    <w:rsid w:val="67DA7730"/>
    <w:rsid w:val="6B8754D9"/>
    <w:rsid w:val="6B8F22D3"/>
    <w:rsid w:val="6C2A6D62"/>
    <w:rsid w:val="6ED44ED9"/>
    <w:rsid w:val="6F270BB8"/>
    <w:rsid w:val="6F59718C"/>
    <w:rsid w:val="6FA26D85"/>
    <w:rsid w:val="713734FD"/>
    <w:rsid w:val="71F87130"/>
    <w:rsid w:val="73970283"/>
    <w:rsid w:val="73AF7CC3"/>
    <w:rsid w:val="73BE7F06"/>
    <w:rsid w:val="75022074"/>
    <w:rsid w:val="75660855"/>
    <w:rsid w:val="758B02BC"/>
    <w:rsid w:val="76514356"/>
    <w:rsid w:val="78D855C6"/>
    <w:rsid w:val="795409C4"/>
    <w:rsid w:val="79E32474"/>
    <w:rsid w:val="7CE502B1"/>
    <w:rsid w:val="7D782ED3"/>
    <w:rsid w:val="7E957AB5"/>
    <w:rsid w:val="7F594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qFormat/>
    <w:uiPriority w:val="9"/>
    <w:pPr>
      <w:keepNext/>
      <w:keepLines/>
      <w:spacing w:before="260" w:after="260" w:line="415" w:lineRule="auto"/>
      <w:outlineLvl w:val="2"/>
    </w:pPr>
    <w:rPr>
      <w:b/>
      <w:sz w:val="32"/>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6">
    <w:name w:val="Body Text"/>
    <w:basedOn w:val="1"/>
    <w:qFormat/>
    <w:uiPriority w:val="0"/>
    <w:pPr>
      <w:spacing w:after="120"/>
    </w:pPr>
  </w:style>
  <w:style w:type="paragraph" w:styleId="7">
    <w:name w:val="Body Text Indent"/>
    <w:basedOn w:val="1"/>
    <w:qFormat/>
    <w:uiPriority w:val="0"/>
    <w:pPr>
      <w:ind w:left="1083" w:leftChars="30" w:hanging="1020" w:hangingChars="425"/>
    </w:pPr>
    <w:rPr>
      <w:rFonts w:ascii="宋体" w:hAnsi="宋体"/>
      <w:sz w:val="24"/>
    </w:rPr>
  </w:style>
  <w:style w:type="paragraph" w:styleId="8">
    <w:name w:val="Plain Text"/>
    <w:basedOn w:val="1"/>
    <w:next w:val="1"/>
    <w:unhideWhenUsed/>
    <w:qFormat/>
    <w:uiPriority w:val="99"/>
    <w:rPr>
      <w:rFonts w:hint="eastAsia" w:ascii="宋体" w:hAnsi="Courier New"/>
      <w:sz w:val="24"/>
    </w:rPr>
  </w:style>
  <w:style w:type="paragraph" w:styleId="9">
    <w:name w:val="footer"/>
    <w:basedOn w:val="1"/>
    <w:unhideWhenUsed/>
    <w:qFormat/>
    <w:uiPriority w:val="0"/>
    <w:pPr>
      <w:tabs>
        <w:tab w:val="center" w:pos="4153"/>
        <w:tab w:val="right" w:pos="8306"/>
      </w:tabs>
      <w:snapToGrid w:val="0"/>
      <w:jc w:val="left"/>
    </w:pPr>
    <w:rPr>
      <w:sz w:val="18"/>
    </w:rPr>
  </w:style>
  <w:style w:type="paragraph" w:styleId="10">
    <w:name w:val="envelope return"/>
    <w:basedOn w:val="1"/>
    <w:qFormat/>
    <w:uiPriority w:val="0"/>
    <w:pPr>
      <w:snapToGrid w:val="0"/>
    </w:pPr>
    <w:rPr>
      <w:rFonts w:ascii="Arial" w:hAnsi="Arial"/>
    </w:rPr>
  </w:style>
  <w:style w:type="paragraph" w:styleId="11">
    <w:name w:val="header"/>
    <w:basedOn w:val="1"/>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2">
    <w:name w:val="toc 1"/>
    <w:basedOn w:val="1"/>
    <w:next w:val="1"/>
    <w:unhideWhenUsed/>
    <w:qFormat/>
    <w:uiPriority w:val="39"/>
  </w:style>
  <w:style w:type="paragraph" w:styleId="1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kern w:val="0"/>
      <w:sz w:val="20"/>
    </w:rPr>
  </w:style>
  <w:style w:type="paragraph" w:styleId="14">
    <w:name w:val="Normal (Web)"/>
    <w:basedOn w:val="1"/>
    <w:unhideWhenUsed/>
    <w:qFormat/>
    <w:uiPriority w:val="99"/>
    <w:pPr>
      <w:spacing w:before="100" w:beforeAutospacing="1" w:after="100" w:afterAutospacing="1"/>
      <w:jc w:val="left"/>
    </w:pPr>
    <w:rPr>
      <w:kern w:val="0"/>
      <w:sz w:val="24"/>
    </w:rPr>
  </w:style>
  <w:style w:type="paragraph" w:styleId="15">
    <w:name w:val="Body Text First Indent"/>
    <w:basedOn w:val="6"/>
    <w:next w:val="16"/>
    <w:qFormat/>
    <w:uiPriority w:val="0"/>
    <w:pPr>
      <w:adjustRightInd w:val="0"/>
      <w:ind w:firstLine="420"/>
      <w:jc w:val="left"/>
      <w:textAlignment w:val="baseline"/>
    </w:pPr>
    <w:rPr>
      <w:kern w:val="0"/>
      <w:sz w:val="21"/>
    </w:rPr>
  </w:style>
  <w:style w:type="paragraph" w:styleId="16">
    <w:name w:val="Body Text First Indent 2"/>
    <w:basedOn w:val="7"/>
    <w:qFormat/>
    <w:uiPriority w:val="0"/>
    <w:pPr>
      <w:ind w:firstLine="420"/>
    </w:pPr>
    <w:rPr>
      <w:rFonts w:hint="eastAsia"/>
      <w:sz w:val="21"/>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bCs/>
    </w:rPr>
  </w:style>
  <w:style w:type="character" w:styleId="21">
    <w:name w:val="Hyperlink"/>
    <w:unhideWhenUsed/>
    <w:qFormat/>
    <w:uiPriority w:val="99"/>
    <w:rPr>
      <w:rFonts w:hint="eastAsia" w:ascii="宋体" w:hAnsi="宋体" w:eastAsia="宋体" w:cs="宋体"/>
      <w:color w:val="000000"/>
      <w:sz w:val="18"/>
      <w:szCs w:val="18"/>
      <w:u w:val="none"/>
    </w:rPr>
  </w:style>
  <w:style w:type="paragraph" w:customStyle="1" w:styleId="22">
    <w:name w:val="Table Paragraph"/>
    <w:basedOn w:val="1"/>
    <w:qFormat/>
    <w:uiPriority w:val="1"/>
    <w:rPr>
      <w:rFonts w:ascii="宋体" w:hAnsi="宋体" w:eastAsia="宋体" w:cs="宋体"/>
      <w:lang w:val="zh-CN" w:eastAsia="zh-CN" w:bidi="zh-CN"/>
    </w:rPr>
  </w:style>
  <w:style w:type="paragraph" w:customStyle="1" w:styleId="23">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24">
    <w:name w:val="正文缩进1"/>
    <w:basedOn w:val="1"/>
    <w:qFormat/>
    <w:uiPriority w:val="0"/>
    <w:pPr>
      <w:ind w:firstLine="420" w:firstLineChars="200"/>
    </w:pPr>
  </w:style>
  <w:style w:type="character" w:customStyle="1" w:styleId="25">
    <w:name w:val="NormalCharacter"/>
    <w:qFormat/>
    <w:uiPriority w:val="0"/>
    <w:rPr>
      <w:kern w:val="2"/>
      <w:sz w:val="21"/>
      <w:lang w:val="en-US" w:eastAsia="zh-CN" w:bidi="ar-SA"/>
    </w:rPr>
  </w:style>
  <w:style w:type="paragraph" w:customStyle="1" w:styleId="26">
    <w:name w:val="Style 11"/>
    <w:basedOn w:val="1"/>
    <w:link w:val="27"/>
    <w:qFormat/>
    <w:uiPriority w:val="0"/>
    <w:pPr>
      <w:spacing w:line="298" w:lineRule="auto"/>
      <w:ind w:firstLine="400"/>
    </w:pPr>
    <w:rPr>
      <w:rFonts w:ascii="宋体" w:hAnsi="宋体" w:eastAsia="宋体" w:cs="宋体"/>
      <w:sz w:val="22"/>
      <w:szCs w:val="22"/>
      <w:lang w:val="zh-CN" w:eastAsia="zh-CN" w:bidi="zh-CN"/>
    </w:rPr>
  </w:style>
  <w:style w:type="character" w:customStyle="1" w:styleId="27">
    <w:name w:val="Char Style 12"/>
    <w:link w:val="26"/>
    <w:qFormat/>
    <w:uiPriority w:val="0"/>
    <w:rPr>
      <w:rFonts w:ascii="宋体" w:hAnsi="宋体" w:eastAsia="宋体" w:cs="宋体"/>
      <w:sz w:val="22"/>
      <w:szCs w:val="22"/>
      <w:lang w:val="zh-CN" w:eastAsia="zh-CN" w:bidi="zh-CN"/>
    </w:rPr>
  </w:style>
  <w:style w:type="paragraph" w:customStyle="1" w:styleId="28">
    <w:name w:val="Table Text"/>
    <w:basedOn w:val="1"/>
    <w:semiHidden/>
    <w:qFormat/>
    <w:uiPriority w:val="0"/>
    <w:rPr>
      <w:rFonts w:ascii="宋体" w:hAnsi="宋体" w:eastAsia="宋体" w:cs="宋体"/>
      <w:sz w:val="23"/>
      <w:szCs w:val="23"/>
      <w:lang w:val="en-US" w:eastAsia="en-US" w:bidi="ar-SA"/>
    </w:rPr>
  </w:style>
  <w:style w:type="table" w:customStyle="1" w:styleId="29">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127</Pages>
  <Words>53587</Words>
  <Characters>59241</Characters>
  <Lines>0</Lines>
  <Paragraphs>0</Paragraphs>
  <TotalTime>2</TotalTime>
  <ScaleCrop>false</ScaleCrop>
  <LinksUpToDate>false</LinksUpToDate>
  <CharactersWithSpaces>64638</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2024-07-02T00:22:00Z</dcterms:created>
  <dc:creator>Administrator</dc:creator>
  <cp:lastModifiedBy>今夕何夕</cp:lastModifiedBy>
  <dcterms:modified xsi:type="dcterms:W3CDTF">2024-07-26T02:32:07Z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6BD34FF8658840D18B8ADF48E7D20A67_11</vt:lpwstr>
  </property>
</Properties>
</file>