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48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竞争性谈判公告</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项目概况</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榆林市环境卫生服务中.心关于垃圾分类综合咨询的服务项目采购项目的潜在供应商应在登录全国公共资源交易中心平台（陕西省）使用CA锁报名后自行下载获取采购文件，并于2024年06月04日 13时30分（北京时间）前提交响应文件。</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项目编号：SXHS-2024-34</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项目名称：榆林市环境卫生服务中心关于垃圾分类综合咨询的服务项目</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采购方式：竞争性谈判</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预算金额：852,914.00元</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合同包1(垃圾分类综合咨询服务):</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合同包预算金额：852,914.00元</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合同包最高限价：852,914.00元</w:t>
      </w:r>
    </w:p>
    <w:tbl>
      <w:tblPr>
        <w:tblStyle w:val="4"/>
        <w:tblW w:w="9124" w:type="dxa"/>
        <w:tblInd w:w="0" w:type="dxa"/>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Layout w:type="autofit"/>
        <w:tblCellMar>
          <w:top w:w="15" w:type="dxa"/>
          <w:left w:w="15" w:type="dxa"/>
          <w:bottom w:w="15" w:type="dxa"/>
          <w:right w:w="15" w:type="dxa"/>
        </w:tblCellMar>
      </w:tblPr>
      <w:tblGrid>
        <w:gridCol w:w="831"/>
        <w:gridCol w:w="1230"/>
        <w:gridCol w:w="1867"/>
        <w:gridCol w:w="963"/>
        <w:gridCol w:w="1537"/>
        <w:gridCol w:w="1370"/>
        <w:gridCol w:w="1326"/>
      </w:tblGrid>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789" w:hRule="atLeast"/>
          <w:tblHeader/>
        </w:trPr>
        <w:tc>
          <w:tcPr>
            <w:tcW w:w="831" w:type="dxa"/>
            <w:noWrap w:val="0"/>
            <w:tcMar>
              <w:top w:w="0" w:type="dxa"/>
              <w:left w:w="0" w:type="dxa"/>
              <w:bottom w:w="0" w:type="dxa"/>
              <w:right w:w="0" w:type="dxa"/>
            </w:tcMar>
            <w:vAlign w:val="center"/>
          </w:tcPr>
          <w:p>
            <w:pPr>
              <w:shd w:val="clear" w:color="auto" w:fill="auto"/>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品目号</w:t>
            </w:r>
          </w:p>
        </w:tc>
        <w:tc>
          <w:tcPr>
            <w:tcW w:w="1230" w:type="dxa"/>
            <w:noWrap w:val="0"/>
            <w:tcMar>
              <w:top w:w="0" w:type="dxa"/>
              <w:left w:w="0" w:type="dxa"/>
              <w:bottom w:w="0" w:type="dxa"/>
              <w:right w:w="0" w:type="dxa"/>
            </w:tcMar>
            <w:vAlign w:val="center"/>
          </w:tcPr>
          <w:p>
            <w:pPr>
              <w:shd w:val="clear" w:color="auto" w:fill="auto"/>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品目名称</w:t>
            </w:r>
          </w:p>
        </w:tc>
        <w:tc>
          <w:tcPr>
            <w:tcW w:w="1867" w:type="dxa"/>
            <w:noWrap w:val="0"/>
            <w:tcMar>
              <w:top w:w="0" w:type="dxa"/>
              <w:left w:w="0" w:type="dxa"/>
              <w:bottom w:w="0" w:type="dxa"/>
              <w:right w:w="0" w:type="dxa"/>
            </w:tcMar>
            <w:vAlign w:val="center"/>
          </w:tcPr>
          <w:p>
            <w:pPr>
              <w:shd w:val="clear" w:color="auto" w:fill="auto"/>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采购标的</w:t>
            </w:r>
          </w:p>
        </w:tc>
        <w:tc>
          <w:tcPr>
            <w:tcW w:w="963" w:type="dxa"/>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数量</w:t>
            </w:r>
          </w:p>
          <w:p>
            <w:pPr>
              <w:shd w:val="clear" w:color="auto" w:fill="auto"/>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（单位）</w:t>
            </w:r>
          </w:p>
        </w:tc>
        <w:tc>
          <w:tcPr>
            <w:tcW w:w="1537" w:type="dxa"/>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技术规格、参数及要求</w:t>
            </w:r>
          </w:p>
        </w:tc>
        <w:tc>
          <w:tcPr>
            <w:tcW w:w="1370" w:type="dxa"/>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品目预算</w:t>
            </w:r>
          </w:p>
          <w:p>
            <w:pPr>
              <w:shd w:val="clear" w:color="auto" w:fill="auto"/>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(元)</w:t>
            </w:r>
          </w:p>
        </w:tc>
        <w:tc>
          <w:tcPr>
            <w:tcW w:w="1326" w:type="dxa"/>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最高限价</w:t>
            </w:r>
          </w:p>
          <w:p>
            <w:pPr>
              <w:shd w:val="clear" w:color="auto" w:fill="auto"/>
              <w:bidi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(元)</w:t>
            </w:r>
          </w:p>
        </w:tc>
      </w:tr>
      <w:tr>
        <w:tblPrEx>
          <w:tblBorders>
            <w:top w:val="single" w:color="000000" w:sz="8" w:space="0"/>
            <w:left w:val="single" w:color="000000" w:sz="8" w:space="0"/>
            <w:bottom w:val="single" w:color="000000" w:sz="8" w:space="0"/>
            <w:right w:val="single" w:color="000000" w:sz="8" w:space="0"/>
            <w:insideH w:val="outset" w:color="auto" w:sz="6" w:space="0"/>
            <w:insideV w:val="outset" w:color="auto" w:sz="6" w:space="0"/>
          </w:tblBorders>
          <w:tblCellMar>
            <w:top w:w="15" w:type="dxa"/>
            <w:left w:w="15" w:type="dxa"/>
            <w:bottom w:w="15" w:type="dxa"/>
            <w:right w:w="15" w:type="dxa"/>
          </w:tblCellMar>
        </w:tblPrEx>
        <w:trPr>
          <w:trHeight w:val="709" w:hRule="atLeast"/>
        </w:trPr>
        <w:tc>
          <w:tcPr>
            <w:tcW w:w="83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23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其他专业技术服务</w:t>
            </w:r>
          </w:p>
        </w:tc>
        <w:tc>
          <w:tcPr>
            <w:tcW w:w="186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垃圾分类综合咨询服务</w:t>
            </w:r>
          </w:p>
        </w:tc>
        <w:tc>
          <w:tcPr>
            <w:tcW w:w="963"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1(项)</w:t>
            </w:r>
          </w:p>
        </w:tc>
        <w:tc>
          <w:tcPr>
            <w:tcW w:w="1537"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详见采购文件</w:t>
            </w:r>
          </w:p>
        </w:tc>
        <w:tc>
          <w:tcPr>
            <w:tcW w:w="1370"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852,914.00</w:t>
            </w:r>
          </w:p>
        </w:tc>
        <w:tc>
          <w:tcPr>
            <w:tcW w:w="1326"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hd w:val="clear" w:color="auto" w:fill="auto"/>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852,914.00</w:t>
            </w:r>
          </w:p>
        </w:tc>
      </w:tr>
    </w:tbl>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本合同包不接受联合体投标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合同履行期限：合同签订后1年</w:t>
      </w:r>
    </w:p>
    <w:p>
      <w:pPr>
        <w:keepNext w:val="0"/>
        <w:keepLines w:val="0"/>
        <w:pageBreakBefore w:val="0"/>
        <w:widowControl w:val="0"/>
        <w:shd w:val="clear" w:color="auto" w:fill="auto"/>
        <w:kinsoku/>
        <w:wordWrap/>
        <w:overflowPunct/>
        <w:topLinePunct w:val="0"/>
        <w:autoSpaceDE/>
        <w:autoSpaceDN/>
        <w:bidi w:val="0"/>
        <w:adjustRightInd/>
        <w:snapToGrid/>
        <w:spacing w:line="336"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二、申请人的资格要求：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1.满足《中华人民共和国政府采购法》第二十二条规定;</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2.落实政府采购政策需满足的资格要求：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合同包1(垃圾分类综合咨询服务)落实政府采购政策需满足的资格要求如下: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（1）《节能产品政府采购实施意见》（财库〔2004〕185号）；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（2）《环境标志产品政府采购实施的意见》（财库〔2006〕90号）；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（3）《国务院办公厅关于建立政府强制采购节能产品制度的通知》（国办发〔2007〕51号）；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（4）财政部司法部关于政府采购支持监狱企业发展有关问题的通知（财库〔2014〕68号）；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（5）《财政部民政部中国残疾人联合会关于促进残疾人就业政府采购政策的通知》（财库〔2017〕141号）；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（6）《关于在政府采购活动中查询及使用信用记录有关问题的通知》（财库〔2016〕125号）；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 xml:space="preserve">（7）《政府采购促进中小企业发展管理办法》（财库〔2020〕46号）；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（8）陕西省财政厅关于印发《陕西省中小企业政府采购信用融资办法》（陕财办采〔2018〕23号）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(9)《榆林市财政局关于进一步加大政府采购支持中小企业力度的通知》（榆政财采发〔2022〕10号)；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(10)《陕西省财政厅关于进一步加大政府采购支持中小企业力度的通知》(陕财采发〔2022〕5号)；</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(11)陕西省财政厅关于印发《陕西省中小企业政府采购信用融资办法》（陕财办采〔2018〕23号）；相关政策、业务流程、办理平台(http://www.ccgpshaanxi.gov.cn/zcdservice/zcd/shanxi/)；</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（12）详见竞争性谈判文件中“落实的政府采购政策”有关内容。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3.本项目的特定资格要求：</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合同包1(垃圾分类综合咨询服务)特定资格要求如下: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val="0"/>
          <w:bCs w:val="0"/>
          <w:sz w:val="24"/>
          <w:szCs w:val="24"/>
          <w:highlight w:val="none"/>
          <w:lang w:eastAsia="zh-CN"/>
        </w:rPr>
        <w:t>（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2）财务状况报告：须提供经会计事务所或审计机构出具的企业2023年的财务审计报告（利润表、资产负债表、现金流量表、所有者权益变动表、会计报表附注），成立时间至提交响应文件截止时间不足一年的提供其基本账户开户银行出具的资信证明及基本账户开户许可证或开户行基本信息；（3）社会保障资金缴纳证明：提供2024年1月至今已缴存的至少1个月的社会保障资金缴存单据或社保机构开具的社会保险参保缴费情况证明，依法不需要缴纳社会保障资金的单位应提供相关证明材料。（4）税收缴纳证明：提供2024年1月至今已缴纳的至少1个月的纳税证明或完税证明，依法免税的单位应提供相关证明材料；（5）供应商应当在竞争性谈判文件发出期至响应文件递交截止时间前（但最终以谈判截止日当天评审小组查询结果为准）通过“信用中国”网站(www.creditchina.gov.cn)中未被列入严重失信主体名单和重大税收违法失信主体的供应商，“国家企业信用信息公示系统”不得有严重违法失信企业名单（黑名单）信息等，中国政府采购网(www.ccgp.gov.cn) 政府采购严重违法失信行为记录名单中被财政部门禁止参加政府采购活动的供应商，供应商的法定代表人、授权委托人均未被列入“中国执行信息公开网”被执行人名单中。有以上不良记录的不得参与评审活动；（6）供应商应出具参加政府采购活动前三年内在经营活动中没有重大违法记录的书面声明（格式自拟，加盖供应商公章）；（7）法定代表人或授权代表参加谈判的，须出具法定代表人授权书（法定代表人直接参加谈判须提供法定代表人身份证明）；（8）供应商拟派项目负责人具有垃圾分类/环境工程相关专业高级职称或垃圾分类/环境管理师（高级）相关证书</w:t>
      </w:r>
      <w:bookmarkStart w:id="0" w:name="_GoBack"/>
      <w:bookmarkEnd w:id="0"/>
      <w:r>
        <w:rPr>
          <w:rFonts w:hint="eastAsia" w:ascii="宋体" w:hAnsi="宋体" w:eastAsia="宋体" w:cs="宋体"/>
          <w:b w:val="0"/>
          <w:bCs w:val="0"/>
          <w:sz w:val="24"/>
          <w:szCs w:val="24"/>
          <w:highlight w:val="none"/>
          <w:lang w:eastAsia="zh-CN"/>
        </w:rPr>
        <w:t>及近三个月在供应商单位缴纳社保的证明资料；（9）谈判保证金用投标信用承诺书代替（提供投标信用承诺书）；（10）本项目专门面向小微企业采购，小微企业需填写《中小企业声明函》，满足要求的监狱企业、福利性企业参加政府采购活动时，视同小微企业。（11）本项目不接受联合体谈判。各供应商单位负责人为同一人或者存在直接控股、管理关系的不同供应商，不得参加同一合同项下的政府采购活动。违反规定的，其投标均无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三、获取采购文件</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时间：2024年05月</w:t>
      </w: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lang w:val="en-US" w:eastAsia="zh-CN"/>
        </w:rPr>
        <w:t>日至2024年05月</w:t>
      </w:r>
      <w:r>
        <w:rPr>
          <w:rFonts w:hint="eastAsia" w:ascii="宋体" w:hAnsi="宋体" w:cs="宋体"/>
          <w:sz w:val="24"/>
          <w:szCs w:val="24"/>
          <w:highlight w:val="none"/>
          <w:lang w:val="en-US" w:eastAsia="zh-CN"/>
        </w:rPr>
        <w:t>31</w:t>
      </w:r>
      <w:r>
        <w:rPr>
          <w:rFonts w:hint="eastAsia" w:ascii="宋体" w:hAnsi="宋体" w:eastAsia="宋体" w:cs="宋体"/>
          <w:sz w:val="24"/>
          <w:szCs w:val="24"/>
          <w:highlight w:val="none"/>
          <w:lang w:val="en-US" w:eastAsia="zh-CN"/>
        </w:rPr>
        <w:t>日，每天上午08:30:00至 12:00:00，下午12:00:00至17:00:00（北京时间）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途径：登录全国公共资源交易中心平台（陕西省）使用CA锁报名后自行下载</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方式：在线获取</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售价： 0元</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val="en-US" w:eastAsia="zh-CN"/>
        </w:rPr>
        <w:t>响应文件提交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截止时间：2024年</w:t>
      </w:r>
      <w:r>
        <w:rPr>
          <w:rFonts w:hint="eastAsia" w:ascii="宋体" w:hAnsi="宋体" w:cs="宋体"/>
          <w:color w:val="auto"/>
          <w:sz w:val="24"/>
          <w:szCs w:val="24"/>
          <w:highlight w:val="none"/>
          <w:lang w:val="en-US" w:eastAsia="zh-CN"/>
        </w:rPr>
        <w:t>06</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eastAsia="zh-CN"/>
        </w:rPr>
        <w:t>日13时30分00秒 （北京时间）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地点：登录陕西省公共资源交易中心平台提交电子响应文件</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开启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时间： 2024年</w:t>
      </w:r>
      <w:r>
        <w:rPr>
          <w:rFonts w:hint="eastAsia" w:ascii="宋体" w:hAnsi="宋体" w:cs="宋体"/>
          <w:sz w:val="24"/>
          <w:szCs w:val="24"/>
          <w:highlight w:val="none"/>
          <w:lang w:val="en-US" w:eastAsia="zh-CN"/>
        </w:rPr>
        <w:t>06</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04</w:t>
      </w:r>
      <w:r>
        <w:rPr>
          <w:rFonts w:hint="eastAsia" w:ascii="宋体" w:hAnsi="宋体" w:eastAsia="宋体" w:cs="宋体"/>
          <w:sz w:val="24"/>
          <w:szCs w:val="24"/>
          <w:highlight w:val="none"/>
        </w:rPr>
        <w:t>日13时30分00秒 （北京时间）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地点：榆林市公共资源交易中心十楼开标</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六、公告期限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自本公告发布之日起3个工作日。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、其他补充事宜</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leftChars="0"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登录全国公共资源交易中心平台（陕西省）（http://www.sxggzyjy.cn/）,选择“电子交易平台→陕西政府采购交易系统→陕西省公共资源交易平台→投标人”进行登录，登录后选择“交易乙方”身份进入投标人界面进行报名并下载竞争性谈判文件。电子竞争性谈判文件在获取期内进行下载，逾期下载通道将关闭，未及时下载竞争性谈判文件将会影响后续开评标活动，其后果自负。（2）特别提醒：本项目采用电子化招投标的方式（本项目将采取“不见面”开标的形式，供应商无须到达开标现场，即可在网上直接参与开标活动，具体操作方式详见竞争性谈判文件须知前附表），供应商使用CA锁对响应文件进行制作、签封、加密、递交、解密等相关招投标事宜。电子响应文件制作软件技术支持热线：400-998-0000， CA锁购买：榆林市市民大厦3楼，E18、E19窗口,联系电话：0912-3452148；供应商初次使用交易平台，须先完成诚信入库登记、CA锁认证及企业信息绑定。相关操作流程详见全国公共资源交易平台（陕西省）网站首页“服务指南”下载专区中的《陕西省公共资源交易中心政府采购项目投标指南》。 （3）供应商自行在电脑上进行二次报价。建议使用带有麦克风和摄像头的笔记本电脑。（4）请各供应商获取竞争性谈判文件后，按照陕西省财政厅《关于 政 府 采 购 投 标 供 应 商 注 册 登 记 有 关 事 项 的 通 知 》 要 求 ， 通 过 陕 西 省 政 府 采 购（http://www.ccgp-shaanxi.gov.cn/）注册登记加入陕西省政府采购投标供应商库。</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、对本次招标提出询问，请按以下方式联系。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名称：榆林市环境卫生服务中心</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地址：榆林市东沙银沙中路市政综合大楼</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联系方式：18391200567</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名称：陕西和盛招投标代理有限公司</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地址：榆林市高新区流沙杏小区E区16-2</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联系方式：15596018777</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项目联系人：李</w:t>
      </w:r>
      <w:r>
        <w:rPr>
          <w:rFonts w:hint="eastAsia" w:ascii="宋体" w:hAnsi="宋体" w:eastAsia="宋体" w:cs="宋体"/>
          <w:sz w:val="24"/>
          <w:szCs w:val="24"/>
          <w:highlight w:val="none"/>
          <w:lang w:val="en-US" w:eastAsia="zh-CN"/>
        </w:rPr>
        <w:t>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电话：15596018777</w:t>
      </w:r>
    </w:p>
    <w:p>
      <w:pPr>
        <w:shd w:val="clear" w:color="auto" w:fill="auto"/>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pPr>
        <w:shd w:val="clear" w:color="auto" w:fill="auto"/>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陕西和盛招投标代理有限公司</w:t>
      </w:r>
    </w:p>
    <w:p>
      <w:pPr>
        <w:shd w:val="clear" w:color="auto" w:fill="auto"/>
        <w:bidi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YmQxZTQ5MDBmNDA5NTQxZjE5ZTIyNzA2MmZjMTYifQ=="/>
  </w:docVars>
  <w:rsids>
    <w:rsidRoot w:val="36093CAF"/>
    <w:rsid w:val="0C564B9B"/>
    <w:rsid w:val="152F25BA"/>
    <w:rsid w:val="31D729D3"/>
    <w:rsid w:val="36093CAF"/>
    <w:rsid w:val="3B4E14F1"/>
    <w:rsid w:val="3CDE551D"/>
    <w:rsid w:val="5C3B2BBF"/>
    <w:rsid w:val="6D24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left="403"/>
    </w:pPr>
    <w:rPr>
      <w:rFonts w:ascii="楷体_GB2312" w:eastAsia="楷体_GB2312"/>
      <w:sz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2809</Words>
  <Characters>3213</Characters>
  <Lines>0</Lines>
  <Paragraphs>0</Paragraphs>
  <TotalTime>0</TotalTime>
  <ScaleCrop>false</ScaleCrop>
  <LinksUpToDate>false</LinksUpToDate>
  <CharactersWithSpaces>3339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2024-05-22T10:31:00Z</dcterms:created>
  <dc:creator>李保香</dc:creator>
  <cp:lastModifiedBy>李保香</cp:lastModifiedBy>
  <dcterms:modified xsi:type="dcterms:W3CDTF">2024-05-28T09:39:06Z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A310A45ECEFB4D27A0917D5322E9E014_11</vt:lpwstr>
  </property>
</Properties>
</file>