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D43D0">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榆林市防虫应急物资储备及防虫仪器购置货物项目采购更正公告（第一次）</w:t>
      </w:r>
    </w:p>
    <w:p w14:paraId="01BF6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一、项目基本情况</w:t>
      </w:r>
    </w:p>
    <w:p w14:paraId="0646B1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原公告的采购项目编号：SXZBSY-2024-059</w:t>
      </w:r>
    </w:p>
    <w:p w14:paraId="3E35E4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原公告的采购项目名称：榆林市防虫应急物资储备及防虫仪器购置货物项目</w:t>
      </w:r>
    </w:p>
    <w:p w14:paraId="19CFD5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首次公告日期：2024年11月25日</w:t>
      </w:r>
    </w:p>
    <w:p w14:paraId="1DC2D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二、更正信息：</w:t>
      </w:r>
    </w:p>
    <w:p w14:paraId="21E75A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更正事项：采购文件和采购公告</w:t>
      </w:r>
    </w:p>
    <w:p w14:paraId="59FD1BA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bdr w:val="none" w:color="auto" w:sz="0" w:space="0"/>
          <w:shd w:val="clear" w:fill="FFFFFF"/>
          <w:lang w:val="en-US" w:eastAsia="zh-CN" w:bidi="ar"/>
        </w:rPr>
        <w:t>更正原因：</w:t>
      </w:r>
    </w:p>
    <w:p w14:paraId="7C9BBA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Theme="minorEastAsia" w:hAnsiTheme="minorEastAsia" w:eastAsiaTheme="minorEastAsia" w:cstheme="minorEastAsia"/>
          <w:i w:val="0"/>
          <w:iCs w:val="0"/>
          <w:caps w:val="0"/>
          <w:spacing w:val="0"/>
          <w:sz w:val="24"/>
          <w:szCs w:val="24"/>
        </w:rPr>
      </w:pPr>
      <w:r>
        <w:rPr>
          <w:rFonts w:hint="eastAsia" w:asciiTheme="minorEastAsia" w:hAnsiTheme="minorEastAsia" w:eastAsiaTheme="minorEastAsia" w:cstheme="minorEastAsia"/>
          <w:i w:val="0"/>
          <w:iCs w:val="0"/>
          <w:caps w:val="0"/>
          <w:spacing w:val="0"/>
          <w:kern w:val="0"/>
          <w:sz w:val="24"/>
          <w:szCs w:val="24"/>
          <w:bdr w:val="none" w:color="auto" w:sz="0" w:space="0"/>
          <w:shd w:val="clear" w:fill="FFFFFF"/>
          <w:lang w:val="en-US" w:eastAsia="zh-CN" w:bidi="ar"/>
        </w:rPr>
        <w:t>采购内容变更</w:t>
      </w:r>
    </w:p>
    <w:p w14:paraId="437A2B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更正内容：</w:t>
      </w:r>
    </w:p>
    <w:p w14:paraId="5D39C8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原文件 第六部分 采购内容及要求中 三、具体采购需求</w:t>
      </w:r>
    </w:p>
    <w:p w14:paraId="79323AA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1.采购内容:3%甲维吡虫啉50箱、高效氟氯氰菊酯100箱、25%多菌灵50箱、松材线虫病诱捕器及诱剂150套、美国白蛾诱捕器及诱剂150套。</w:t>
      </w:r>
    </w:p>
    <w:tbl>
      <w:tblPr>
        <w:tblW w:w="93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1"/>
        <w:gridCol w:w="2907"/>
        <w:gridCol w:w="3461"/>
        <w:gridCol w:w="1115"/>
        <w:gridCol w:w="931"/>
      </w:tblGrid>
      <w:tr w14:paraId="4C7B0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9345" w:type="dxa"/>
            <w:gridSpan w:val="5"/>
            <w:tcBorders>
              <w:top w:val="nil"/>
              <w:left w:val="nil"/>
              <w:bottom w:val="single" w:color="000000" w:sz="6" w:space="0"/>
              <w:right w:val="nil"/>
            </w:tcBorders>
            <w:shd w:val="clear"/>
            <w:tcMar>
              <w:left w:w="105" w:type="dxa"/>
              <w:right w:w="105" w:type="dxa"/>
            </w:tcMar>
            <w:vAlign w:val="center"/>
          </w:tcPr>
          <w:p w14:paraId="015D29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榆林市林业有害生物防治应急物资储备项目清单</w:t>
            </w:r>
          </w:p>
        </w:tc>
      </w:tr>
      <w:tr w14:paraId="3BD9D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47F264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序号</w:t>
            </w:r>
          </w:p>
        </w:tc>
        <w:tc>
          <w:tcPr>
            <w:tcW w:w="3015" w:type="dxa"/>
            <w:vMerge w:val="restart"/>
            <w:tcBorders>
              <w:top w:val="nil"/>
              <w:left w:val="nil"/>
              <w:bottom w:val="single" w:color="000000" w:sz="6" w:space="0"/>
              <w:right w:val="single" w:color="000000" w:sz="6" w:space="0"/>
            </w:tcBorders>
            <w:shd w:val="clear"/>
            <w:tcMar>
              <w:left w:w="105" w:type="dxa"/>
              <w:right w:w="105" w:type="dxa"/>
            </w:tcMar>
            <w:vAlign w:val="center"/>
          </w:tcPr>
          <w:p w14:paraId="064499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项目建设支出</w:t>
            </w:r>
          </w:p>
        </w:tc>
        <w:tc>
          <w:tcPr>
            <w:tcW w:w="3600" w:type="dxa"/>
            <w:vMerge w:val="restart"/>
            <w:tcBorders>
              <w:top w:val="nil"/>
              <w:left w:val="nil"/>
              <w:bottom w:val="single" w:color="000000" w:sz="6" w:space="0"/>
              <w:right w:val="single" w:color="000000" w:sz="6" w:space="0"/>
            </w:tcBorders>
            <w:shd w:val="clear"/>
            <w:tcMar>
              <w:left w:w="105" w:type="dxa"/>
              <w:right w:w="105" w:type="dxa"/>
            </w:tcMar>
            <w:vAlign w:val="center"/>
          </w:tcPr>
          <w:p w14:paraId="51BBC2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规格、型号（结构）</w:t>
            </w:r>
          </w:p>
        </w:tc>
        <w:tc>
          <w:tcPr>
            <w:tcW w:w="1125" w:type="dxa"/>
            <w:vMerge w:val="restart"/>
            <w:tcBorders>
              <w:top w:val="nil"/>
              <w:left w:val="nil"/>
              <w:bottom w:val="single" w:color="000000" w:sz="6" w:space="0"/>
              <w:right w:val="single" w:color="000000" w:sz="6" w:space="0"/>
            </w:tcBorders>
            <w:shd w:val="clear"/>
            <w:tcMar>
              <w:left w:w="105" w:type="dxa"/>
              <w:right w:w="105" w:type="dxa"/>
            </w:tcMar>
            <w:vAlign w:val="center"/>
          </w:tcPr>
          <w:p w14:paraId="2FA66D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数量</w:t>
            </w:r>
          </w:p>
        </w:tc>
        <w:tc>
          <w:tcPr>
            <w:tcW w:w="840" w:type="dxa"/>
            <w:vMerge w:val="restart"/>
            <w:tcBorders>
              <w:top w:val="nil"/>
              <w:left w:val="nil"/>
              <w:bottom w:val="single" w:color="000000" w:sz="6" w:space="0"/>
              <w:right w:val="single" w:color="000000" w:sz="6" w:space="0"/>
            </w:tcBorders>
            <w:shd w:val="clear"/>
            <w:tcMar>
              <w:left w:w="105" w:type="dxa"/>
              <w:right w:w="105" w:type="dxa"/>
            </w:tcMar>
            <w:vAlign w:val="center"/>
          </w:tcPr>
          <w:p w14:paraId="79FFF6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单位</w:t>
            </w:r>
          </w:p>
        </w:tc>
      </w:tr>
      <w:tr w14:paraId="5F0A0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37DF0345">
            <w:pPr>
              <w:jc w:val="center"/>
              <w:rPr>
                <w:rFonts w:hint="eastAsia" w:asciiTheme="minorEastAsia" w:hAnsiTheme="minorEastAsia" w:eastAsiaTheme="minorEastAsia" w:cstheme="minorEastAsia"/>
                <w:sz w:val="24"/>
                <w:szCs w:val="24"/>
              </w:rPr>
            </w:pPr>
          </w:p>
        </w:tc>
        <w:tc>
          <w:tcPr>
            <w:tcW w:w="301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416674A">
            <w:pPr>
              <w:jc w:val="center"/>
              <w:rPr>
                <w:rFonts w:hint="eastAsia" w:asciiTheme="minorEastAsia" w:hAnsiTheme="minorEastAsia" w:eastAsiaTheme="minorEastAsia" w:cstheme="minorEastAsia"/>
                <w:sz w:val="24"/>
                <w:szCs w:val="24"/>
              </w:rPr>
            </w:pPr>
          </w:p>
        </w:tc>
        <w:tc>
          <w:tcPr>
            <w:tcW w:w="3600" w:type="dxa"/>
            <w:vMerge w:val="continue"/>
            <w:tcBorders>
              <w:top w:val="nil"/>
              <w:left w:val="nil"/>
              <w:bottom w:val="single" w:color="000000" w:sz="6" w:space="0"/>
              <w:right w:val="single" w:color="000000" w:sz="6" w:space="0"/>
            </w:tcBorders>
            <w:shd w:val="clear"/>
            <w:tcMar>
              <w:left w:w="105" w:type="dxa"/>
              <w:right w:w="105" w:type="dxa"/>
            </w:tcMar>
            <w:vAlign w:val="center"/>
          </w:tcPr>
          <w:p w14:paraId="2FB09A0D">
            <w:pPr>
              <w:jc w:val="center"/>
              <w:rPr>
                <w:rFonts w:hint="eastAsia" w:asciiTheme="minorEastAsia" w:hAnsiTheme="minorEastAsia" w:eastAsiaTheme="minorEastAsia" w:cstheme="minorEastAsia"/>
                <w:sz w:val="24"/>
                <w:szCs w:val="24"/>
              </w:rPr>
            </w:pPr>
          </w:p>
        </w:tc>
        <w:tc>
          <w:tcPr>
            <w:tcW w:w="1125" w:type="dxa"/>
            <w:vMerge w:val="continue"/>
            <w:tcBorders>
              <w:top w:val="nil"/>
              <w:left w:val="nil"/>
              <w:bottom w:val="single" w:color="000000" w:sz="6" w:space="0"/>
              <w:right w:val="single" w:color="000000" w:sz="6" w:space="0"/>
            </w:tcBorders>
            <w:shd w:val="clear"/>
            <w:tcMar>
              <w:left w:w="105" w:type="dxa"/>
              <w:right w:w="105" w:type="dxa"/>
            </w:tcMar>
            <w:vAlign w:val="center"/>
          </w:tcPr>
          <w:p w14:paraId="3C445F38">
            <w:pPr>
              <w:jc w:val="center"/>
              <w:rPr>
                <w:rFonts w:hint="eastAsia" w:asciiTheme="minorEastAsia" w:hAnsiTheme="minorEastAsia" w:eastAsiaTheme="minorEastAsia" w:cstheme="minorEastAsia"/>
                <w:sz w:val="24"/>
                <w:szCs w:val="24"/>
              </w:rPr>
            </w:pPr>
          </w:p>
        </w:tc>
        <w:tc>
          <w:tcPr>
            <w:tcW w:w="840" w:type="dxa"/>
            <w:vMerge w:val="continue"/>
            <w:tcBorders>
              <w:top w:val="nil"/>
              <w:left w:val="nil"/>
              <w:bottom w:val="single" w:color="000000" w:sz="6" w:space="0"/>
              <w:right w:val="single" w:color="000000" w:sz="6" w:space="0"/>
            </w:tcBorders>
            <w:shd w:val="clear"/>
            <w:tcMar>
              <w:left w:w="105" w:type="dxa"/>
              <w:right w:w="105" w:type="dxa"/>
            </w:tcMar>
            <w:vAlign w:val="center"/>
          </w:tcPr>
          <w:p w14:paraId="23EFB594">
            <w:pPr>
              <w:jc w:val="center"/>
              <w:rPr>
                <w:rFonts w:hint="eastAsia" w:asciiTheme="minorEastAsia" w:hAnsiTheme="minorEastAsia" w:eastAsiaTheme="minorEastAsia" w:cstheme="minorEastAsia"/>
                <w:sz w:val="24"/>
                <w:szCs w:val="24"/>
              </w:rPr>
            </w:pPr>
          </w:p>
        </w:tc>
      </w:tr>
      <w:tr w14:paraId="3AA3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88F9C91">
            <w:pPr>
              <w:jc w:val="center"/>
              <w:rPr>
                <w:rFonts w:hint="eastAsia" w:asciiTheme="minorEastAsia" w:hAnsiTheme="minorEastAsia" w:eastAsiaTheme="minorEastAsia" w:cstheme="minorEastAsia"/>
                <w:sz w:val="24"/>
                <w:szCs w:val="24"/>
              </w:rPr>
            </w:pP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5BAE75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榆林市林业有害生物防治应急物资储备</w:t>
            </w:r>
          </w:p>
        </w:tc>
        <w:tc>
          <w:tcPr>
            <w:tcW w:w="3600" w:type="dxa"/>
            <w:tcBorders>
              <w:top w:val="nil"/>
              <w:left w:val="nil"/>
              <w:bottom w:val="single" w:color="000000" w:sz="6" w:space="0"/>
              <w:right w:val="single" w:color="000000" w:sz="6" w:space="0"/>
            </w:tcBorders>
            <w:shd w:val="clear"/>
            <w:tcMar>
              <w:left w:w="105" w:type="dxa"/>
              <w:right w:w="105" w:type="dxa"/>
            </w:tcMar>
            <w:vAlign w:val="center"/>
          </w:tcPr>
          <w:p w14:paraId="72F0C3D3">
            <w:pPr>
              <w:jc w:val="center"/>
              <w:rPr>
                <w:rFonts w:hint="eastAsia" w:asciiTheme="minorEastAsia" w:hAnsiTheme="minorEastAsia" w:eastAsiaTheme="minorEastAsia" w:cstheme="minorEastAsia"/>
                <w:sz w:val="24"/>
                <w:szCs w:val="24"/>
              </w:rPr>
            </w:pPr>
          </w:p>
        </w:tc>
        <w:tc>
          <w:tcPr>
            <w:tcW w:w="1125" w:type="dxa"/>
            <w:tcBorders>
              <w:top w:val="nil"/>
              <w:left w:val="nil"/>
              <w:bottom w:val="single" w:color="000000" w:sz="6" w:space="0"/>
              <w:right w:val="single" w:color="000000" w:sz="6" w:space="0"/>
            </w:tcBorders>
            <w:shd w:val="clear"/>
            <w:tcMar>
              <w:left w:w="105" w:type="dxa"/>
              <w:right w:w="105" w:type="dxa"/>
            </w:tcMar>
            <w:vAlign w:val="center"/>
          </w:tcPr>
          <w:p w14:paraId="5BBB8BFA">
            <w:pPr>
              <w:jc w:val="center"/>
              <w:rPr>
                <w:rFonts w:hint="eastAsia" w:asciiTheme="minorEastAsia" w:hAnsiTheme="minorEastAsia" w:eastAsiaTheme="minorEastAsia" w:cstheme="minorEastAsia"/>
                <w:sz w:val="24"/>
                <w:szCs w:val="24"/>
              </w:rPr>
            </w:pPr>
          </w:p>
        </w:tc>
        <w:tc>
          <w:tcPr>
            <w:tcW w:w="840" w:type="dxa"/>
            <w:tcBorders>
              <w:top w:val="nil"/>
              <w:left w:val="nil"/>
              <w:bottom w:val="single" w:color="000000" w:sz="6" w:space="0"/>
              <w:right w:val="single" w:color="000000" w:sz="6" w:space="0"/>
            </w:tcBorders>
            <w:shd w:val="clear"/>
            <w:tcMar>
              <w:left w:w="105" w:type="dxa"/>
              <w:right w:w="105" w:type="dxa"/>
            </w:tcMar>
            <w:vAlign w:val="center"/>
          </w:tcPr>
          <w:p w14:paraId="513339D2">
            <w:pPr>
              <w:jc w:val="center"/>
              <w:rPr>
                <w:rFonts w:hint="eastAsia" w:asciiTheme="minorEastAsia" w:hAnsiTheme="minorEastAsia" w:eastAsiaTheme="minorEastAsia" w:cstheme="minorEastAsia"/>
                <w:sz w:val="24"/>
                <w:szCs w:val="24"/>
              </w:rPr>
            </w:pPr>
          </w:p>
        </w:tc>
      </w:tr>
      <w:tr w14:paraId="34636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1CD1B7C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503F13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3%甲维吡虫啉</w:t>
            </w:r>
          </w:p>
        </w:tc>
        <w:tc>
          <w:tcPr>
            <w:tcW w:w="3600" w:type="dxa"/>
            <w:tcBorders>
              <w:top w:val="nil"/>
              <w:left w:val="nil"/>
              <w:bottom w:val="single" w:color="000000" w:sz="6" w:space="0"/>
              <w:right w:val="single" w:color="000000" w:sz="6" w:space="0"/>
            </w:tcBorders>
            <w:shd w:val="clear"/>
            <w:tcMar>
              <w:left w:w="105" w:type="dxa"/>
              <w:right w:w="105" w:type="dxa"/>
            </w:tcMar>
            <w:vAlign w:val="center"/>
          </w:tcPr>
          <w:p w14:paraId="2F7149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20ml*200瓶</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14:paraId="0B4DA8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50</w:t>
            </w:r>
          </w:p>
        </w:tc>
        <w:tc>
          <w:tcPr>
            <w:tcW w:w="840" w:type="dxa"/>
            <w:tcBorders>
              <w:top w:val="nil"/>
              <w:left w:val="nil"/>
              <w:bottom w:val="single" w:color="000000" w:sz="6" w:space="0"/>
              <w:right w:val="single" w:color="000000" w:sz="6" w:space="0"/>
            </w:tcBorders>
            <w:shd w:val="clear"/>
            <w:tcMar>
              <w:left w:w="105" w:type="dxa"/>
              <w:right w:w="105" w:type="dxa"/>
            </w:tcMar>
            <w:vAlign w:val="center"/>
          </w:tcPr>
          <w:p w14:paraId="29BBBBB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箱</w:t>
            </w:r>
          </w:p>
        </w:tc>
      </w:tr>
      <w:tr w14:paraId="5FA4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EF3DB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2</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3CAF6CD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高效氟氯氰菊酯</w:t>
            </w:r>
          </w:p>
        </w:tc>
        <w:tc>
          <w:tcPr>
            <w:tcW w:w="3600" w:type="dxa"/>
            <w:tcBorders>
              <w:top w:val="nil"/>
              <w:left w:val="nil"/>
              <w:bottom w:val="single" w:color="000000" w:sz="6" w:space="0"/>
              <w:right w:val="single" w:color="000000" w:sz="6" w:space="0"/>
            </w:tcBorders>
            <w:shd w:val="clear"/>
            <w:tcMar>
              <w:left w:w="105" w:type="dxa"/>
              <w:right w:w="105" w:type="dxa"/>
            </w:tcMar>
            <w:vAlign w:val="center"/>
          </w:tcPr>
          <w:p w14:paraId="12AE6E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500ml*20瓶</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14:paraId="790525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100</w:t>
            </w:r>
          </w:p>
        </w:tc>
        <w:tc>
          <w:tcPr>
            <w:tcW w:w="840" w:type="dxa"/>
            <w:tcBorders>
              <w:top w:val="nil"/>
              <w:left w:val="nil"/>
              <w:bottom w:val="single" w:color="000000" w:sz="6" w:space="0"/>
              <w:right w:val="single" w:color="000000" w:sz="6" w:space="0"/>
            </w:tcBorders>
            <w:shd w:val="clear"/>
            <w:tcMar>
              <w:left w:w="105" w:type="dxa"/>
              <w:right w:w="105" w:type="dxa"/>
            </w:tcMar>
            <w:vAlign w:val="center"/>
          </w:tcPr>
          <w:p w14:paraId="346A72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箱</w:t>
            </w:r>
          </w:p>
        </w:tc>
      </w:tr>
      <w:tr w14:paraId="6B67A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49C8DDA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3</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3CF7DA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25%多菌灵</w:t>
            </w:r>
          </w:p>
        </w:tc>
        <w:tc>
          <w:tcPr>
            <w:tcW w:w="3600" w:type="dxa"/>
            <w:tcBorders>
              <w:top w:val="nil"/>
              <w:left w:val="nil"/>
              <w:bottom w:val="single" w:color="000000" w:sz="6" w:space="0"/>
              <w:right w:val="single" w:color="000000" w:sz="6" w:space="0"/>
            </w:tcBorders>
            <w:shd w:val="clear"/>
            <w:tcMar>
              <w:left w:w="105" w:type="dxa"/>
              <w:right w:w="105" w:type="dxa"/>
            </w:tcMar>
            <w:vAlign w:val="center"/>
          </w:tcPr>
          <w:p w14:paraId="2C4D16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100g*80袋</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14:paraId="5CE1A9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50</w:t>
            </w:r>
          </w:p>
        </w:tc>
        <w:tc>
          <w:tcPr>
            <w:tcW w:w="840" w:type="dxa"/>
            <w:tcBorders>
              <w:top w:val="nil"/>
              <w:left w:val="nil"/>
              <w:bottom w:val="single" w:color="000000" w:sz="6" w:space="0"/>
              <w:right w:val="single" w:color="000000" w:sz="6" w:space="0"/>
            </w:tcBorders>
            <w:shd w:val="clear"/>
            <w:tcMar>
              <w:left w:w="105" w:type="dxa"/>
              <w:right w:w="105" w:type="dxa"/>
            </w:tcMar>
            <w:vAlign w:val="center"/>
          </w:tcPr>
          <w:p w14:paraId="231D35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箱</w:t>
            </w:r>
          </w:p>
        </w:tc>
      </w:tr>
      <w:tr w14:paraId="06843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78C6D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4</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2188AB0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松材线虫病诱捕器及诱剂</w:t>
            </w:r>
          </w:p>
        </w:tc>
        <w:tc>
          <w:tcPr>
            <w:tcW w:w="3600" w:type="dxa"/>
            <w:tcBorders>
              <w:top w:val="nil"/>
              <w:left w:val="nil"/>
              <w:bottom w:val="single" w:color="000000" w:sz="6" w:space="0"/>
              <w:right w:val="single" w:color="000000" w:sz="6" w:space="0"/>
            </w:tcBorders>
            <w:shd w:val="clear"/>
            <w:tcMar>
              <w:left w:w="105" w:type="dxa"/>
              <w:right w:w="105" w:type="dxa"/>
            </w:tcMar>
            <w:vAlign w:val="center"/>
          </w:tcPr>
          <w:p w14:paraId="131C66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1个诱捕器+3袋诱剂</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14:paraId="60AC76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150</w:t>
            </w:r>
          </w:p>
        </w:tc>
        <w:tc>
          <w:tcPr>
            <w:tcW w:w="840" w:type="dxa"/>
            <w:tcBorders>
              <w:top w:val="nil"/>
              <w:left w:val="nil"/>
              <w:bottom w:val="single" w:color="000000" w:sz="6" w:space="0"/>
              <w:right w:val="single" w:color="000000" w:sz="6" w:space="0"/>
            </w:tcBorders>
            <w:shd w:val="clear"/>
            <w:tcMar>
              <w:left w:w="105" w:type="dxa"/>
              <w:right w:w="105" w:type="dxa"/>
            </w:tcMar>
            <w:vAlign w:val="center"/>
          </w:tcPr>
          <w:p w14:paraId="1B2108A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套</w:t>
            </w:r>
          </w:p>
        </w:tc>
      </w:tr>
      <w:tr w14:paraId="6AE18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564C22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5</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0A40459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美国白蛾诱捕器及诱剂</w:t>
            </w:r>
          </w:p>
        </w:tc>
        <w:tc>
          <w:tcPr>
            <w:tcW w:w="3600" w:type="dxa"/>
            <w:tcBorders>
              <w:top w:val="nil"/>
              <w:left w:val="nil"/>
              <w:bottom w:val="single" w:color="000000" w:sz="6" w:space="0"/>
              <w:right w:val="single" w:color="000000" w:sz="6" w:space="0"/>
            </w:tcBorders>
            <w:shd w:val="clear"/>
            <w:tcMar>
              <w:left w:w="105" w:type="dxa"/>
              <w:right w:w="105" w:type="dxa"/>
            </w:tcMar>
            <w:vAlign w:val="center"/>
          </w:tcPr>
          <w:p w14:paraId="60096D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1个诱捕器+3袋诱剂</w:t>
            </w:r>
          </w:p>
        </w:tc>
        <w:tc>
          <w:tcPr>
            <w:tcW w:w="1125" w:type="dxa"/>
            <w:tcBorders>
              <w:top w:val="nil"/>
              <w:left w:val="nil"/>
              <w:bottom w:val="single" w:color="000000" w:sz="6" w:space="0"/>
              <w:right w:val="single" w:color="000000" w:sz="6" w:space="0"/>
            </w:tcBorders>
            <w:shd w:val="clear"/>
            <w:tcMar>
              <w:left w:w="105" w:type="dxa"/>
              <w:right w:w="105" w:type="dxa"/>
            </w:tcMar>
            <w:vAlign w:val="center"/>
          </w:tcPr>
          <w:p w14:paraId="54BBE9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150</w:t>
            </w:r>
          </w:p>
        </w:tc>
        <w:tc>
          <w:tcPr>
            <w:tcW w:w="840" w:type="dxa"/>
            <w:tcBorders>
              <w:top w:val="nil"/>
              <w:left w:val="nil"/>
              <w:bottom w:val="single" w:color="000000" w:sz="6" w:space="0"/>
              <w:right w:val="single" w:color="000000" w:sz="6" w:space="0"/>
            </w:tcBorders>
            <w:shd w:val="clear"/>
            <w:tcMar>
              <w:left w:w="105" w:type="dxa"/>
              <w:right w:w="105" w:type="dxa"/>
            </w:tcMar>
            <w:vAlign w:val="center"/>
          </w:tcPr>
          <w:p w14:paraId="785D04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套</w:t>
            </w:r>
          </w:p>
        </w:tc>
      </w:tr>
    </w:tbl>
    <w:p w14:paraId="72D713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变更为</w:t>
      </w:r>
    </w:p>
    <w:p w14:paraId="5C2788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1..采购内容：噻虫·高氯氟40箱、高效氣氯氰菊酯60箱、25%多菌灵40箱、松材线虫病诱捕器及诱液120套、美国白蛾诱捕器及诱芯120套。</w:t>
      </w:r>
    </w:p>
    <w:tbl>
      <w:tblPr>
        <w:tblW w:w="94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31"/>
        <w:gridCol w:w="2878"/>
        <w:gridCol w:w="3412"/>
        <w:gridCol w:w="1253"/>
        <w:gridCol w:w="931"/>
      </w:tblGrid>
      <w:tr w14:paraId="254F2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9405" w:type="dxa"/>
            <w:gridSpan w:val="5"/>
            <w:tcBorders>
              <w:top w:val="nil"/>
              <w:left w:val="nil"/>
              <w:bottom w:val="single" w:color="000000" w:sz="6" w:space="0"/>
              <w:right w:val="nil"/>
            </w:tcBorders>
            <w:shd w:val="clear"/>
            <w:tcMar>
              <w:left w:w="105" w:type="dxa"/>
              <w:right w:w="105" w:type="dxa"/>
            </w:tcMar>
            <w:vAlign w:val="center"/>
          </w:tcPr>
          <w:p w14:paraId="2178DB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榆林市林业有害生物防治应急物资储备项目清单</w:t>
            </w:r>
          </w:p>
        </w:tc>
      </w:tr>
      <w:tr w14:paraId="4379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vMerge w:val="restart"/>
            <w:tcBorders>
              <w:top w:val="nil"/>
              <w:left w:val="single" w:color="000000" w:sz="6" w:space="0"/>
              <w:bottom w:val="single" w:color="000000" w:sz="6" w:space="0"/>
              <w:right w:val="single" w:color="000000" w:sz="6" w:space="0"/>
            </w:tcBorders>
            <w:shd w:val="clear"/>
            <w:tcMar>
              <w:left w:w="105" w:type="dxa"/>
              <w:right w:w="105" w:type="dxa"/>
            </w:tcMar>
            <w:vAlign w:val="center"/>
          </w:tcPr>
          <w:p w14:paraId="7313A5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序号</w:t>
            </w:r>
          </w:p>
        </w:tc>
        <w:tc>
          <w:tcPr>
            <w:tcW w:w="3015" w:type="dxa"/>
            <w:vMerge w:val="restart"/>
            <w:tcBorders>
              <w:top w:val="nil"/>
              <w:left w:val="nil"/>
              <w:bottom w:val="single" w:color="000000" w:sz="6" w:space="0"/>
              <w:right w:val="single" w:color="000000" w:sz="6" w:space="0"/>
            </w:tcBorders>
            <w:shd w:val="clear"/>
            <w:tcMar>
              <w:left w:w="105" w:type="dxa"/>
              <w:right w:w="105" w:type="dxa"/>
            </w:tcMar>
            <w:vAlign w:val="center"/>
          </w:tcPr>
          <w:p w14:paraId="27D8D3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项目建设支出</w:t>
            </w:r>
          </w:p>
        </w:tc>
        <w:tc>
          <w:tcPr>
            <w:tcW w:w="3585" w:type="dxa"/>
            <w:vMerge w:val="restart"/>
            <w:tcBorders>
              <w:top w:val="nil"/>
              <w:left w:val="nil"/>
              <w:bottom w:val="single" w:color="000000" w:sz="6" w:space="0"/>
              <w:right w:val="single" w:color="000000" w:sz="6" w:space="0"/>
            </w:tcBorders>
            <w:shd w:val="clear"/>
            <w:tcMar>
              <w:left w:w="105" w:type="dxa"/>
              <w:right w:w="105" w:type="dxa"/>
            </w:tcMar>
            <w:vAlign w:val="center"/>
          </w:tcPr>
          <w:p w14:paraId="41C745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规格、型号（结构）</w:t>
            </w:r>
          </w:p>
        </w:tc>
        <w:tc>
          <w:tcPr>
            <w:tcW w:w="1275" w:type="dxa"/>
            <w:vMerge w:val="restart"/>
            <w:tcBorders>
              <w:top w:val="nil"/>
              <w:left w:val="nil"/>
              <w:bottom w:val="single" w:color="000000" w:sz="6" w:space="0"/>
              <w:right w:val="single" w:color="000000" w:sz="6" w:space="0"/>
            </w:tcBorders>
            <w:shd w:val="clear"/>
            <w:tcMar>
              <w:left w:w="105" w:type="dxa"/>
              <w:right w:w="105" w:type="dxa"/>
            </w:tcMar>
            <w:vAlign w:val="center"/>
          </w:tcPr>
          <w:p w14:paraId="58A13C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数量</w:t>
            </w:r>
          </w:p>
        </w:tc>
        <w:tc>
          <w:tcPr>
            <w:tcW w:w="765" w:type="dxa"/>
            <w:vMerge w:val="restart"/>
            <w:tcBorders>
              <w:top w:val="nil"/>
              <w:left w:val="nil"/>
              <w:bottom w:val="single" w:color="000000" w:sz="6" w:space="0"/>
              <w:right w:val="single" w:color="000000" w:sz="6" w:space="0"/>
            </w:tcBorders>
            <w:shd w:val="clear"/>
            <w:tcMar>
              <w:left w:w="105" w:type="dxa"/>
              <w:right w:w="105" w:type="dxa"/>
            </w:tcMar>
            <w:vAlign w:val="center"/>
          </w:tcPr>
          <w:p w14:paraId="69B554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Style w:val="7"/>
                <w:rFonts w:hint="eastAsia" w:asciiTheme="minorEastAsia" w:hAnsiTheme="minorEastAsia" w:eastAsiaTheme="minorEastAsia" w:cstheme="minorEastAsia"/>
                <w:b/>
                <w:bCs/>
                <w:color w:val="000000"/>
                <w:sz w:val="24"/>
                <w:szCs w:val="24"/>
                <w:bdr w:val="none" w:color="auto" w:sz="0" w:space="0"/>
              </w:rPr>
              <w:t>单位</w:t>
            </w:r>
          </w:p>
        </w:tc>
      </w:tr>
      <w:tr w14:paraId="5EA78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vMerge w:val="continue"/>
            <w:tcBorders>
              <w:top w:val="nil"/>
              <w:left w:val="single" w:color="000000" w:sz="6" w:space="0"/>
              <w:bottom w:val="single" w:color="000000" w:sz="6" w:space="0"/>
              <w:right w:val="single" w:color="000000" w:sz="6" w:space="0"/>
            </w:tcBorders>
            <w:shd w:val="clear"/>
            <w:tcMar>
              <w:left w:w="105" w:type="dxa"/>
              <w:right w:w="105" w:type="dxa"/>
            </w:tcMar>
            <w:vAlign w:val="center"/>
          </w:tcPr>
          <w:p w14:paraId="622677F5">
            <w:pPr>
              <w:jc w:val="center"/>
              <w:rPr>
                <w:rFonts w:hint="eastAsia" w:asciiTheme="minorEastAsia" w:hAnsiTheme="minorEastAsia" w:eastAsiaTheme="minorEastAsia" w:cstheme="minorEastAsia"/>
                <w:sz w:val="24"/>
                <w:szCs w:val="24"/>
              </w:rPr>
            </w:pPr>
          </w:p>
        </w:tc>
        <w:tc>
          <w:tcPr>
            <w:tcW w:w="3015" w:type="dxa"/>
            <w:vMerge w:val="continue"/>
            <w:tcBorders>
              <w:top w:val="nil"/>
              <w:left w:val="nil"/>
              <w:bottom w:val="single" w:color="000000" w:sz="6" w:space="0"/>
              <w:right w:val="single" w:color="000000" w:sz="6" w:space="0"/>
            </w:tcBorders>
            <w:shd w:val="clear"/>
            <w:tcMar>
              <w:left w:w="105" w:type="dxa"/>
              <w:right w:w="105" w:type="dxa"/>
            </w:tcMar>
            <w:vAlign w:val="center"/>
          </w:tcPr>
          <w:p w14:paraId="0FCFF9D4">
            <w:pPr>
              <w:jc w:val="center"/>
              <w:rPr>
                <w:rFonts w:hint="eastAsia" w:asciiTheme="minorEastAsia" w:hAnsiTheme="minorEastAsia" w:eastAsiaTheme="minorEastAsia" w:cstheme="minorEastAsia"/>
                <w:sz w:val="24"/>
                <w:szCs w:val="24"/>
              </w:rPr>
            </w:pPr>
          </w:p>
        </w:tc>
        <w:tc>
          <w:tcPr>
            <w:tcW w:w="3585" w:type="dxa"/>
            <w:vMerge w:val="continue"/>
            <w:tcBorders>
              <w:top w:val="nil"/>
              <w:left w:val="nil"/>
              <w:bottom w:val="single" w:color="000000" w:sz="6" w:space="0"/>
              <w:right w:val="single" w:color="000000" w:sz="6" w:space="0"/>
            </w:tcBorders>
            <w:shd w:val="clear"/>
            <w:tcMar>
              <w:left w:w="105" w:type="dxa"/>
              <w:right w:w="105" w:type="dxa"/>
            </w:tcMar>
            <w:vAlign w:val="center"/>
          </w:tcPr>
          <w:p w14:paraId="6DDC1F79">
            <w:pPr>
              <w:jc w:val="center"/>
              <w:rPr>
                <w:rFonts w:hint="eastAsia" w:asciiTheme="minorEastAsia" w:hAnsiTheme="minorEastAsia" w:eastAsiaTheme="minorEastAsia" w:cstheme="minorEastAsia"/>
                <w:sz w:val="24"/>
                <w:szCs w:val="24"/>
              </w:rPr>
            </w:pPr>
          </w:p>
        </w:tc>
        <w:tc>
          <w:tcPr>
            <w:tcW w:w="1275" w:type="dxa"/>
            <w:vMerge w:val="continue"/>
            <w:tcBorders>
              <w:top w:val="nil"/>
              <w:left w:val="nil"/>
              <w:bottom w:val="single" w:color="000000" w:sz="6" w:space="0"/>
              <w:right w:val="single" w:color="000000" w:sz="6" w:space="0"/>
            </w:tcBorders>
            <w:shd w:val="clear"/>
            <w:tcMar>
              <w:left w:w="105" w:type="dxa"/>
              <w:right w:w="105" w:type="dxa"/>
            </w:tcMar>
            <w:vAlign w:val="center"/>
          </w:tcPr>
          <w:p w14:paraId="1253F5D9">
            <w:pPr>
              <w:jc w:val="center"/>
              <w:rPr>
                <w:rFonts w:hint="eastAsia" w:asciiTheme="minorEastAsia" w:hAnsiTheme="minorEastAsia" w:eastAsiaTheme="minorEastAsia" w:cstheme="minorEastAsia"/>
                <w:sz w:val="24"/>
                <w:szCs w:val="24"/>
              </w:rPr>
            </w:pPr>
          </w:p>
        </w:tc>
        <w:tc>
          <w:tcPr>
            <w:tcW w:w="765" w:type="dxa"/>
            <w:vMerge w:val="continue"/>
            <w:tcBorders>
              <w:top w:val="nil"/>
              <w:left w:val="nil"/>
              <w:bottom w:val="single" w:color="000000" w:sz="6" w:space="0"/>
              <w:right w:val="single" w:color="000000" w:sz="6" w:space="0"/>
            </w:tcBorders>
            <w:shd w:val="clear"/>
            <w:tcMar>
              <w:left w:w="105" w:type="dxa"/>
              <w:right w:w="105" w:type="dxa"/>
            </w:tcMar>
            <w:vAlign w:val="center"/>
          </w:tcPr>
          <w:p w14:paraId="67FAB2AC">
            <w:pPr>
              <w:jc w:val="center"/>
              <w:rPr>
                <w:rFonts w:hint="eastAsia" w:asciiTheme="minorEastAsia" w:hAnsiTheme="minorEastAsia" w:eastAsiaTheme="minorEastAsia" w:cstheme="minorEastAsia"/>
                <w:sz w:val="24"/>
                <w:szCs w:val="24"/>
              </w:rPr>
            </w:pPr>
          </w:p>
        </w:tc>
      </w:tr>
      <w:tr w14:paraId="7FD2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7ECBCE7">
            <w:pPr>
              <w:jc w:val="center"/>
              <w:rPr>
                <w:rFonts w:hint="eastAsia" w:asciiTheme="minorEastAsia" w:hAnsiTheme="minorEastAsia" w:eastAsiaTheme="minorEastAsia" w:cstheme="minorEastAsia"/>
                <w:sz w:val="24"/>
                <w:szCs w:val="24"/>
              </w:rPr>
            </w:pP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21E0A8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榆林市林业有害生物防治应急物资储备</w:t>
            </w:r>
          </w:p>
        </w:tc>
        <w:tc>
          <w:tcPr>
            <w:tcW w:w="3585" w:type="dxa"/>
            <w:tcBorders>
              <w:top w:val="nil"/>
              <w:left w:val="nil"/>
              <w:bottom w:val="single" w:color="000000" w:sz="6" w:space="0"/>
              <w:right w:val="single" w:color="000000" w:sz="6" w:space="0"/>
            </w:tcBorders>
            <w:shd w:val="clear"/>
            <w:tcMar>
              <w:left w:w="105" w:type="dxa"/>
              <w:right w:w="105" w:type="dxa"/>
            </w:tcMar>
            <w:vAlign w:val="center"/>
          </w:tcPr>
          <w:p w14:paraId="3674B7B4">
            <w:pPr>
              <w:jc w:val="center"/>
              <w:rPr>
                <w:rFonts w:hint="eastAsia" w:asciiTheme="minorEastAsia" w:hAnsiTheme="minorEastAsia" w:eastAsiaTheme="minorEastAsia" w:cstheme="minorEastAsia"/>
                <w:sz w:val="24"/>
                <w:szCs w:val="24"/>
              </w:rPr>
            </w:pPr>
          </w:p>
        </w:tc>
        <w:tc>
          <w:tcPr>
            <w:tcW w:w="1275" w:type="dxa"/>
            <w:tcBorders>
              <w:top w:val="nil"/>
              <w:left w:val="nil"/>
              <w:bottom w:val="single" w:color="000000" w:sz="6" w:space="0"/>
              <w:right w:val="single" w:color="000000" w:sz="6" w:space="0"/>
            </w:tcBorders>
            <w:shd w:val="clear"/>
            <w:tcMar>
              <w:left w:w="105" w:type="dxa"/>
              <w:right w:w="105" w:type="dxa"/>
            </w:tcMar>
            <w:vAlign w:val="center"/>
          </w:tcPr>
          <w:p w14:paraId="356C79D3">
            <w:pPr>
              <w:jc w:val="center"/>
              <w:rPr>
                <w:rFonts w:hint="eastAsia" w:asciiTheme="minorEastAsia" w:hAnsiTheme="minorEastAsia" w:eastAsiaTheme="minorEastAsia" w:cstheme="minorEastAsia"/>
                <w:sz w:val="24"/>
                <w:szCs w:val="24"/>
              </w:rPr>
            </w:pPr>
          </w:p>
        </w:tc>
        <w:tc>
          <w:tcPr>
            <w:tcW w:w="765" w:type="dxa"/>
            <w:tcBorders>
              <w:top w:val="nil"/>
              <w:left w:val="nil"/>
              <w:bottom w:val="single" w:color="000000" w:sz="6" w:space="0"/>
              <w:right w:val="single" w:color="000000" w:sz="6" w:space="0"/>
            </w:tcBorders>
            <w:shd w:val="clear"/>
            <w:tcMar>
              <w:left w:w="105" w:type="dxa"/>
              <w:right w:w="105" w:type="dxa"/>
            </w:tcMar>
            <w:vAlign w:val="center"/>
          </w:tcPr>
          <w:p w14:paraId="40C53F1B">
            <w:pPr>
              <w:jc w:val="center"/>
              <w:rPr>
                <w:rFonts w:hint="eastAsia" w:asciiTheme="minorEastAsia" w:hAnsiTheme="minorEastAsia" w:eastAsiaTheme="minorEastAsia" w:cstheme="minorEastAsia"/>
                <w:sz w:val="24"/>
                <w:szCs w:val="24"/>
              </w:rPr>
            </w:pPr>
          </w:p>
        </w:tc>
      </w:tr>
      <w:tr w14:paraId="62EDC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B83D18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1</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23001C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噻虫·高氯氟</w:t>
            </w:r>
          </w:p>
        </w:tc>
        <w:tc>
          <w:tcPr>
            <w:tcW w:w="3585" w:type="dxa"/>
            <w:tcBorders>
              <w:top w:val="nil"/>
              <w:left w:val="nil"/>
              <w:bottom w:val="single" w:color="000000" w:sz="6" w:space="0"/>
              <w:right w:val="single" w:color="000000" w:sz="6" w:space="0"/>
            </w:tcBorders>
            <w:shd w:val="clear"/>
            <w:tcMar>
              <w:left w:w="105" w:type="dxa"/>
              <w:right w:w="105" w:type="dxa"/>
            </w:tcMar>
            <w:vAlign w:val="center"/>
          </w:tcPr>
          <w:p w14:paraId="6F5CFE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200g*40瓶</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14:paraId="58E364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40</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14:paraId="1BB661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箱</w:t>
            </w:r>
          </w:p>
        </w:tc>
      </w:tr>
      <w:tr w14:paraId="3155F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73A489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2</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2C6682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高效氟氯氰菊酯</w:t>
            </w:r>
          </w:p>
        </w:tc>
        <w:tc>
          <w:tcPr>
            <w:tcW w:w="3585" w:type="dxa"/>
            <w:tcBorders>
              <w:top w:val="nil"/>
              <w:left w:val="nil"/>
              <w:bottom w:val="single" w:color="000000" w:sz="6" w:space="0"/>
              <w:right w:val="single" w:color="000000" w:sz="6" w:space="0"/>
            </w:tcBorders>
            <w:shd w:val="clear"/>
            <w:tcMar>
              <w:left w:w="105" w:type="dxa"/>
              <w:right w:w="105" w:type="dxa"/>
            </w:tcMar>
            <w:vAlign w:val="center"/>
          </w:tcPr>
          <w:p w14:paraId="1307DF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500ml*20瓶</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14:paraId="4502D7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60</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14:paraId="4BA8C7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箱</w:t>
            </w:r>
          </w:p>
        </w:tc>
      </w:tr>
      <w:tr w14:paraId="29496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20ABE62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3</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1EE87F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25%多菌灵</w:t>
            </w:r>
          </w:p>
        </w:tc>
        <w:tc>
          <w:tcPr>
            <w:tcW w:w="3585" w:type="dxa"/>
            <w:tcBorders>
              <w:top w:val="nil"/>
              <w:left w:val="nil"/>
              <w:bottom w:val="single" w:color="000000" w:sz="6" w:space="0"/>
              <w:right w:val="single" w:color="000000" w:sz="6" w:space="0"/>
            </w:tcBorders>
            <w:shd w:val="clear"/>
            <w:tcMar>
              <w:left w:w="105" w:type="dxa"/>
              <w:right w:w="105" w:type="dxa"/>
            </w:tcMar>
            <w:vAlign w:val="center"/>
          </w:tcPr>
          <w:p w14:paraId="0794FF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100g*80袋</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14:paraId="6E7B1EC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40</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14:paraId="65B00E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箱</w:t>
            </w:r>
          </w:p>
        </w:tc>
      </w:tr>
      <w:tr w14:paraId="571B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312669D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4</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2D0F19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松材线虫病诱捕器及诱液</w:t>
            </w:r>
          </w:p>
        </w:tc>
        <w:tc>
          <w:tcPr>
            <w:tcW w:w="3585" w:type="dxa"/>
            <w:tcBorders>
              <w:top w:val="nil"/>
              <w:left w:val="nil"/>
              <w:bottom w:val="single" w:color="000000" w:sz="6" w:space="0"/>
              <w:right w:val="single" w:color="000000" w:sz="6" w:space="0"/>
            </w:tcBorders>
            <w:shd w:val="clear"/>
            <w:tcMar>
              <w:left w:w="105" w:type="dxa"/>
              <w:right w:w="105" w:type="dxa"/>
            </w:tcMar>
            <w:vAlign w:val="center"/>
          </w:tcPr>
          <w:p w14:paraId="17783E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1个诱捕器+3袋诱液</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14:paraId="005AC19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120</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14:paraId="1B87F0F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套</w:t>
            </w:r>
          </w:p>
        </w:tc>
      </w:tr>
      <w:tr w14:paraId="3534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735" w:type="dxa"/>
            <w:tcBorders>
              <w:top w:val="nil"/>
              <w:left w:val="single" w:color="000000" w:sz="6" w:space="0"/>
              <w:bottom w:val="single" w:color="000000" w:sz="6" w:space="0"/>
              <w:right w:val="single" w:color="000000" w:sz="6" w:space="0"/>
            </w:tcBorders>
            <w:shd w:val="clear"/>
            <w:tcMar>
              <w:left w:w="105" w:type="dxa"/>
              <w:right w:w="105" w:type="dxa"/>
            </w:tcMar>
            <w:vAlign w:val="center"/>
          </w:tcPr>
          <w:p w14:paraId="0B289B4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bdr w:val="none" w:color="auto" w:sz="0" w:space="0"/>
              </w:rPr>
              <w:t>5</w:t>
            </w:r>
          </w:p>
        </w:tc>
        <w:tc>
          <w:tcPr>
            <w:tcW w:w="3015" w:type="dxa"/>
            <w:tcBorders>
              <w:top w:val="nil"/>
              <w:left w:val="nil"/>
              <w:bottom w:val="single" w:color="000000" w:sz="6" w:space="0"/>
              <w:right w:val="single" w:color="000000" w:sz="6" w:space="0"/>
            </w:tcBorders>
            <w:shd w:val="clear"/>
            <w:tcMar>
              <w:left w:w="105" w:type="dxa"/>
              <w:right w:w="105" w:type="dxa"/>
            </w:tcMar>
            <w:vAlign w:val="center"/>
          </w:tcPr>
          <w:p w14:paraId="1803CCF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美国白蛾诱捕器及诱芯</w:t>
            </w:r>
          </w:p>
        </w:tc>
        <w:tc>
          <w:tcPr>
            <w:tcW w:w="3585" w:type="dxa"/>
            <w:tcBorders>
              <w:top w:val="nil"/>
              <w:left w:val="nil"/>
              <w:bottom w:val="single" w:color="000000" w:sz="6" w:space="0"/>
              <w:right w:val="single" w:color="000000" w:sz="6" w:space="0"/>
            </w:tcBorders>
            <w:shd w:val="clear"/>
            <w:tcMar>
              <w:left w:w="105" w:type="dxa"/>
              <w:right w:w="105" w:type="dxa"/>
            </w:tcMar>
            <w:vAlign w:val="center"/>
          </w:tcPr>
          <w:p w14:paraId="0EFC227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1个诱捕器+2个诱芯</w:t>
            </w:r>
          </w:p>
        </w:tc>
        <w:tc>
          <w:tcPr>
            <w:tcW w:w="1275" w:type="dxa"/>
            <w:tcBorders>
              <w:top w:val="nil"/>
              <w:left w:val="nil"/>
              <w:bottom w:val="single" w:color="000000" w:sz="6" w:space="0"/>
              <w:right w:val="single" w:color="000000" w:sz="6" w:space="0"/>
            </w:tcBorders>
            <w:shd w:val="clear"/>
            <w:tcMar>
              <w:left w:w="105" w:type="dxa"/>
              <w:right w:w="105" w:type="dxa"/>
            </w:tcMar>
            <w:vAlign w:val="center"/>
          </w:tcPr>
          <w:p w14:paraId="4E002F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120</w:t>
            </w:r>
          </w:p>
        </w:tc>
        <w:tc>
          <w:tcPr>
            <w:tcW w:w="765" w:type="dxa"/>
            <w:tcBorders>
              <w:top w:val="nil"/>
              <w:left w:val="nil"/>
              <w:bottom w:val="single" w:color="000000" w:sz="6" w:space="0"/>
              <w:right w:val="single" w:color="000000" w:sz="6" w:space="0"/>
            </w:tcBorders>
            <w:shd w:val="clear"/>
            <w:tcMar>
              <w:left w:w="105" w:type="dxa"/>
              <w:right w:w="105" w:type="dxa"/>
            </w:tcMar>
            <w:vAlign w:val="center"/>
          </w:tcPr>
          <w:p w14:paraId="6A796D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bdr w:val="none" w:color="auto" w:sz="0" w:space="0"/>
              </w:rPr>
              <w:t>套</w:t>
            </w:r>
          </w:p>
        </w:tc>
      </w:tr>
    </w:tbl>
    <w:p w14:paraId="5DA083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其他内容不变</w:t>
      </w:r>
    </w:p>
    <w:p w14:paraId="5626C81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更正日期：</w:t>
      </w:r>
    </w:p>
    <w:p w14:paraId="4F76BD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三、其他补充事项</w:t>
      </w:r>
    </w:p>
    <w:p w14:paraId="1EF53A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1）平台报名：登录全国公共资源交易中心平台（陕西省）（http://www.sxggzyjy.cn/）,选择“电子交易平台→陕西政府采购交易系统→陕西省公共资源交易平台→供应商”进行登录，登录后选择“交易乙方”身份进入供应商界面进行报名并下载采购文件。电子采购文件在获取期内进行下载，逾期下载通道将关闭，未及时下载采购文件将会影响后续开评标活动。</w:t>
      </w:r>
    </w:p>
    <w:p w14:paraId="4E25AF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spacing w:val="0"/>
          <w:sz w:val="24"/>
          <w:szCs w:val="24"/>
          <w:bdr w:val="none" w:color="auto" w:sz="0" w:space="0"/>
          <w:shd w:val="clear" w:fill="FFFFFF"/>
        </w:rPr>
        <w:t>（2）请供应商按照陕西省财政厅关于政府采购供应商注册登记有关事项的通知中的要求，通过陕西省政府采购网（http://www.ccgp-shaanxi.gov.cn/）注册登记加入陕西省政府采购供应商库。</w:t>
      </w:r>
    </w:p>
    <w:p w14:paraId="178B0A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40" w:lineRule="auto"/>
        <w:ind w:left="0" w:right="0" w:firstLine="0"/>
        <w:jc w:val="left"/>
        <w:rPr>
          <w:rFonts w:hint="eastAsia" w:asciiTheme="minorEastAsia" w:hAnsiTheme="minorEastAsia" w:eastAsiaTheme="minorEastAsia" w:cstheme="minorEastAsia"/>
          <w:b w:val="0"/>
          <w:bCs w:val="0"/>
          <w:i w:val="0"/>
          <w:iCs w:val="0"/>
          <w:caps w:val="0"/>
          <w:color w:val="333333"/>
          <w:spacing w:val="0"/>
          <w:sz w:val="24"/>
          <w:szCs w:val="24"/>
        </w:rPr>
      </w:pPr>
      <w:r>
        <w:rPr>
          <w:rStyle w:val="7"/>
          <w:rFonts w:hint="eastAsia" w:asciiTheme="minorEastAsia" w:hAnsiTheme="minorEastAsia" w:eastAsiaTheme="minorEastAsia" w:cstheme="minorEastAsia"/>
          <w:b/>
          <w:bCs/>
          <w:i w:val="0"/>
          <w:iCs w:val="0"/>
          <w:caps w:val="0"/>
          <w:color w:val="333333"/>
          <w:spacing w:val="0"/>
          <w:sz w:val="24"/>
          <w:szCs w:val="24"/>
          <w:bdr w:val="none" w:color="auto" w:sz="0" w:space="0"/>
          <w:shd w:val="clear" w:fill="FFFFFF"/>
        </w:rPr>
        <w:t>四、凡对本次公告内容提出询问，请按以下方式联系。</w:t>
      </w:r>
    </w:p>
    <w:p w14:paraId="1690443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1.采购人信息</w:t>
      </w:r>
    </w:p>
    <w:p w14:paraId="7D3F65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名称：榆林市林业工作站</w:t>
      </w:r>
      <w:bookmarkStart w:id="0" w:name="_GoBack"/>
      <w:bookmarkEnd w:id="0"/>
    </w:p>
    <w:p w14:paraId="70F967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地址：榆林市开发区林业大楼6楼</w:t>
      </w:r>
    </w:p>
    <w:p w14:paraId="1E7D82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联系方式：18829826028</w:t>
      </w:r>
    </w:p>
    <w:p w14:paraId="010DE02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2.采购代理机构信息</w:t>
      </w:r>
    </w:p>
    <w:p w14:paraId="50E1D2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名称：陕西中正鑫泰工程管理咨询有限公司</w:t>
      </w:r>
    </w:p>
    <w:p w14:paraId="59037D9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地址：陕西省榆林市高新技术产业园区明珠大道榆商大厦 A 座 26 楼</w:t>
      </w:r>
    </w:p>
    <w:p w14:paraId="1714095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联系方式：18220282132</w:t>
      </w:r>
    </w:p>
    <w:p w14:paraId="271071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i w:val="0"/>
          <w:iCs w:val="0"/>
          <w:caps w:val="0"/>
          <w:color w:val="333333"/>
          <w:spacing w:val="0"/>
          <w:sz w:val="24"/>
          <w:szCs w:val="24"/>
          <w:bdr w:val="none" w:color="auto" w:sz="0" w:space="0"/>
          <w:shd w:val="clear" w:fill="FFFFFF"/>
        </w:rPr>
        <w:t>3.项目联系方式</w:t>
      </w:r>
    </w:p>
    <w:p w14:paraId="7B8112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项目联系人：薛南</w:t>
      </w:r>
    </w:p>
    <w:p w14:paraId="62470A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i w:val="0"/>
          <w:iCs w:val="0"/>
          <w:caps w:val="0"/>
          <w:color w:val="333333"/>
          <w:spacing w:val="0"/>
          <w:sz w:val="24"/>
          <w:szCs w:val="24"/>
          <w:bdr w:val="none" w:color="auto" w:sz="0" w:space="0"/>
          <w:shd w:val="clear" w:fill="FFFFFF"/>
        </w:rPr>
        <w:t>电话：18220282132</w:t>
      </w:r>
    </w:p>
    <w:p w14:paraId="4635E72E">
      <w:pPr>
        <w:keepNext w:val="0"/>
        <w:keepLines w:val="0"/>
        <w:widowControl/>
        <w:suppressLineNumbers w:val="0"/>
        <w:wordWrap w:val="0"/>
        <w:spacing w:line="480" w:lineRule="atLeast"/>
        <w:jc w:val="both"/>
        <w:rPr>
          <w:rFonts w:hint="eastAsia" w:asciiTheme="minorEastAsia" w:hAnsiTheme="minorEastAsia" w:eastAsiaTheme="minorEastAsia" w:cstheme="minorEastAsia"/>
          <w:sz w:val="24"/>
          <w:szCs w:val="24"/>
        </w:rPr>
      </w:pPr>
    </w:p>
    <w:p w14:paraId="05194590">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D46A3"/>
    <w:rsid w:val="679D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2024-11-26T09:33:00Z</dcterms:created>
  <dc:creator>阿楠</dc:creator>
  <cp:lastModifiedBy>阿楠</cp:lastModifiedBy>
  <dcterms:modified xsi:type="dcterms:W3CDTF">2024-11-26T09:34:14Z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F7CD403F1FA141FE869D3CE58F6372D9_11</vt:lpwstr>
  </property>
</Properties>
</file>