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433" w:rsidRDefault="00BB0433" w:rsidP="00BB0433">
      <w:pPr>
        <w:pStyle w:val="a6"/>
        <w:spacing w:line="500" w:lineRule="exact"/>
        <w:ind w:firstLineChars="200" w:firstLine="643"/>
        <w:jc w:val="center"/>
        <w:outlineLvl w:val="1"/>
        <w:rPr>
          <w:rFonts w:ascii="仿宋" w:eastAsia="仿宋" w:hAnsi="仿宋" w:cs="Times New Roman" w:hint="eastAsia"/>
          <w:b/>
          <w:sz w:val="32"/>
          <w:szCs w:val="32"/>
        </w:rPr>
      </w:pPr>
      <w:bookmarkStart w:id="0" w:name="_Toc48834177"/>
      <w:bookmarkStart w:id="1" w:name="_Toc48834545"/>
      <w:bookmarkStart w:id="2" w:name="_Toc48834304"/>
      <w:bookmarkStart w:id="3" w:name="_Toc48834107"/>
      <w:bookmarkStart w:id="4" w:name="_Toc20365"/>
      <w:bookmarkStart w:id="5" w:name="_Toc48834466"/>
      <w:bookmarkStart w:id="6" w:name="_Toc14082138"/>
      <w:r>
        <w:rPr>
          <w:rFonts w:ascii="仿宋" w:eastAsia="仿宋" w:hAnsi="仿宋" w:cs="Times New Roman"/>
          <w:b/>
          <w:sz w:val="32"/>
          <w:szCs w:val="32"/>
        </w:rPr>
        <w:t>谈判内容及采购</w:t>
      </w:r>
      <w:r>
        <w:rPr>
          <w:rFonts w:ascii="仿宋" w:eastAsia="仿宋" w:hAnsi="仿宋" w:cs="Times New Roman" w:hint="eastAsia"/>
          <w:b/>
          <w:sz w:val="32"/>
          <w:szCs w:val="32"/>
        </w:rPr>
        <w:t>需</w:t>
      </w:r>
      <w:r>
        <w:rPr>
          <w:rFonts w:ascii="仿宋" w:eastAsia="仿宋" w:hAnsi="仿宋" w:cs="Times New Roman"/>
          <w:b/>
          <w:sz w:val="32"/>
          <w:szCs w:val="32"/>
        </w:rPr>
        <w:t>求</w:t>
      </w:r>
    </w:p>
    <w:p w:rsidR="00BB0433" w:rsidRDefault="00BB0433" w:rsidP="00BB0433">
      <w:pPr>
        <w:pStyle w:val="2"/>
        <w:spacing w:line="500" w:lineRule="exact"/>
        <w:ind w:firstLine="560"/>
        <w:rPr>
          <w:rFonts w:ascii="仿宋" w:eastAsia="仿宋" w:hAnsi="仿宋" w:cs="Times New Roman" w:hint="eastAsia"/>
        </w:rPr>
      </w:pPr>
      <w:r>
        <w:rPr>
          <w:rFonts w:ascii="仿宋" w:eastAsia="仿宋" w:hAnsi="仿宋" w:cs="Times New Roman" w:hint="eastAsia"/>
        </w:rPr>
        <w:t>本次采购项目为榆林市图书馆室外全彩LED显示屏及相关设备货物采购项目项目，供应商必须对本项目进行整体响应，只对其中一部分内容进行的响应都被视为无效响应。谈判报价应遵守《中华人民共和国价格法》，供应商不得以低于成本的报价参与本次采购活动。</w:t>
      </w:r>
      <w:bookmarkEnd w:id="0"/>
      <w:bookmarkEnd w:id="1"/>
      <w:bookmarkEnd w:id="2"/>
      <w:bookmarkEnd w:id="3"/>
      <w:bookmarkEnd w:id="4"/>
      <w:bookmarkEnd w:id="5"/>
      <w:bookmarkEnd w:id="6"/>
    </w:p>
    <w:p w:rsidR="00BB0433" w:rsidRDefault="00BB0433" w:rsidP="00BB0433">
      <w:pPr>
        <w:pStyle w:val="2"/>
        <w:spacing w:line="500" w:lineRule="exact"/>
        <w:ind w:firstLine="560"/>
        <w:rPr>
          <w:rFonts w:ascii="仿宋" w:eastAsia="仿宋" w:hAnsi="仿宋" w:cs="Times New Roman" w:hint="eastAsia"/>
        </w:rPr>
      </w:pPr>
      <w:r>
        <w:rPr>
          <w:rFonts w:ascii="仿宋" w:eastAsia="仿宋" w:hAnsi="仿宋" w:cs="Times New Roman" w:hint="eastAsia"/>
        </w:rPr>
        <w:t>采购需求：</w:t>
      </w:r>
    </w:p>
    <w:p w:rsidR="00BB0433" w:rsidRDefault="00BB0433" w:rsidP="00BB0433">
      <w:pPr>
        <w:autoSpaceDE w:val="0"/>
        <w:autoSpaceDN w:val="0"/>
        <w:adjustRightInd w:val="0"/>
        <w:snapToGrid w:val="0"/>
        <w:spacing w:line="360" w:lineRule="auto"/>
        <w:ind w:firstLineChars="200" w:firstLine="560"/>
        <w:rPr>
          <w:rFonts w:ascii="仿宋" w:eastAsia="仿宋" w:hAnsi="仿宋" w:cs="Times New Roman"/>
        </w:rPr>
      </w:pPr>
      <w:r>
        <w:rPr>
          <w:rFonts w:ascii="仿宋" w:eastAsia="仿宋" w:hAnsi="仿宋" w:cs="Times New Roman" w:hint="eastAsia"/>
        </w:rPr>
        <w:t>（一）项目基本情况</w:t>
      </w:r>
    </w:p>
    <w:p w:rsidR="00BB0433" w:rsidRDefault="00BB0433" w:rsidP="00BB0433">
      <w:pPr>
        <w:adjustRightInd w:val="0"/>
        <w:snapToGrid w:val="0"/>
        <w:spacing w:line="360" w:lineRule="auto"/>
        <w:ind w:firstLineChars="200" w:firstLine="560"/>
        <w:jc w:val="left"/>
        <w:rPr>
          <w:rFonts w:ascii="仿宋" w:eastAsia="仿宋" w:hAnsi="仿宋" w:cs="Times New Roman"/>
        </w:rPr>
      </w:pPr>
      <w:r>
        <w:rPr>
          <w:rFonts w:ascii="仿宋" w:eastAsia="仿宋" w:hAnsi="仿宋" w:cs="Times New Roman" w:hint="eastAsia"/>
        </w:rPr>
        <w:t>本项目位于榆林市图书馆，户外双立柱LED大屏，屏体尺寸不小于</w:t>
      </w:r>
      <w:r w:rsidRPr="005E166D">
        <w:rPr>
          <w:rFonts w:ascii="仿宋" w:eastAsia="仿宋" w:hAnsi="仿宋" w:cs="Times New Roman" w:hint="eastAsia"/>
        </w:rPr>
        <w:t>宽8.96米，高5.12米，面积45.88平方米</w:t>
      </w:r>
      <w:r>
        <w:rPr>
          <w:rFonts w:ascii="仿宋" w:eastAsia="仿宋" w:hAnsi="仿宋" w:cs="Times New Roman" w:hint="eastAsia"/>
        </w:rPr>
        <w:t>，分辨率不小于2912*1664；</w:t>
      </w:r>
    </w:p>
    <w:p w:rsidR="00BB0433" w:rsidRDefault="00BB0433" w:rsidP="00BB0433">
      <w:pPr>
        <w:adjustRightInd w:val="0"/>
        <w:snapToGrid w:val="0"/>
        <w:spacing w:line="360" w:lineRule="auto"/>
        <w:ind w:firstLineChars="200" w:firstLine="560"/>
        <w:jc w:val="left"/>
        <w:rPr>
          <w:rFonts w:ascii="仿宋" w:eastAsia="仿宋" w:hAnsi="仿宋" w:cs="Times New Roman"/>
        </w:rPr>
      </w:pPr>
      <w:r>
        <w:rPr>
          <w:rFonts w:ascii="仿宋" w:eastAsia="仿宋" w:hAnsi="仿宋" w:cs="Times New Roman" w:hint="eastAsia"/>
        </w:rPr>
        <w:t>施工单位须负责产品的供货、安装、调试、试运行、验收、移交、质保等工作，以及网络优化、技术支持等全程服务。</w:t>
      </w:r>
    </w:p>
    <w:p w:rsidR="00BB0433" w:rsidRDefault="00BB0433" w:rsidP="00BB0433">
      <w:pPr>
        <w:adjustRightInd w:val="0"/>
        <w:snapToGrid w:val="0"/>
        <w:spacing w:line="360" w:lineRule="auto"/>
        <w:ind w:firstLineChars="200" w:firstLine="560"/>
        <w:jc w:val="left"/>
        <w:rPr>
          <w:rFonts w:ascii="仿宋" w:eastAsia="仿宋" w:hAnsi="仿宋" w:cs="Times New Roman"/>
        </w:rPr>
      </w:pPr>
      <w:r>
        <w:rPr>
          <w:rFonts w:ascii="仿宋" w:eastAsia="仿宋" w:hAnsi="仿宋" w:cs="Times New Roman" w:hint="eastAsia"/>
        </w:rPr>
        <w:t>（二）采购内容</w:t>
      </w:r>
    </w:p>
    <w:p w:rsidR="00BB0433" w:rsidRDefault="00BB0433" w:rsidP="00BB0433">
      <w:pPr>
        <w:spacing w:line="360" w:lineRule="auto"/>
        <w:jc w:val="center"/>
        <w:rPr>
          <w:rFonts w:ascii="仿宋" w:eastAsia="仿宋" w:hAnsi="仿宋" w:cs="仿宋"/>
          <w:bCs/>
        </w:rPr>
      </w:pPr>
      <w:r>
        <w:rPr>
          <w:rFonts w:ascii="仿宋" w:eastAsia="仿宋" w:hAnsi="仿宋" w:cs="仿宋" w:hint="eastAsia"/>
          <w:bCs/>
        </w:rPr>
        <w:t>采购内容及清单</w:t>
      </w:r>
    </w:p>
    <w:tbl>
      <w:tblPr>
        <w:tblW w:w="9859" w:type="dxa"/>
        <w:jc w:val="center"/>
        <w:tblLayout w:type="fixed"/>
        <w:tblLook w:val="0000"/>
      </w:tblPr>
      <w:tblGrid>
        <w:gridCol w:w="710"/>
        <w:gridCol w:w="1528"/>
        <w:gridCol w:w="709"/>
        <w:gridCol w:w="5245"/>
        <w:gridCol w:w="767"/>
        <w:gridCol w:w="900"/>
      </w:tblGrid>
      <w:tr w:rsidR="00BB0433" w:rsidTr="00F91803">
        <w:trPr>
          <w:trHeight w:val="602"/>
          <w:jc w:val="center"/>
        </w:trPr>
        <w:tc>
          <w:tcPr>
            <w:tcW w:w="7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B0433" w:rsidRDefault="00BB0433" w:rsidP="00F91803">
            <w:pPr>
              <w:jc w:val="center"/>
              <w:textAlignment w:val="center"/>
              <w:rPr>
                <w:rFonts w:ascii="仿宋" w:eastAsia="仿宋" w:hAnsi="仿宋" w:cs="仿宋"/>
                <w:bCs/>
                <w:sz w:val="24"/>
                <w:szCs w:val="24"/>
              </w:rPr>
            </w:pPr>
            <w:r>
              <w:rPr>
                <w:rFonts w:ascii="仿宋" w:eastAsia="仿宋" w:hAnsi="仿宋" w:cs="仿宋" w:hint="eastAsia"/>
                <w:bCs/>
                <w:kern w:val="0"/>
                <w:sz w:val="24"/>
                <w:szCs w:val="24"/>
              </w:rPr>
              <w:t>序号</w:t>
            </w:r>
          </w:p>
        </w:tc>
        <w:tc>
          <w:tcPr>
            <w:tcW w:w="15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B0433" w:rsidRDefault="00BB0433" w:rsidP="00F91803">
            <w:pPr>
              <w:jc w:val="center"/>
              <w:textAlignment w:val="center"/>
              <w:rPr>
                <w:rFonts w:ascii="仿宋" w:eastAsia="仿宋" w:hAnsi="仿宋" w:cs="仿宋"/>
                <w:bCs/>
                <w:kern w:val="0"/>
                <w:sz w:val="24"/>
                <w:szCs w:val="24"/>
              </w:rPr>
            </w:pPr>
            <w:r>
              <w:rPr>
                <w:rFonts w:ascii="仿宋" w:eastAsia="仿宋" w:hAnsi="仿宋" w:cs="仿宋" w:hint="eastAsia"/>
                <w:bCs/>
                <w:kern w:val="0"/>
                <w:sz w:val="24"/>
                <w:szCs w:val="24"/>
              </w:rPr>
              <w:t>设备名称</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B0433" w:rsidRDefault="00BB0433" w:rsidP="00F91803">
            <w:pPr>
              <w:jc w:val="center"/>
              <w:textAlignment w:val="center"/>
              <w:rPr>
                <w:rFonts w:ascii="仿宋" w:eastAsia="仿宋" w:hAnsi="仿宋" w:cs="仿宋"/>
                <w:bCs/>
                <w:sz w:val="24"/>
                <w:szCs w:val="24"/>
              </w:rPr>
            </w:pPr>
            <w:r>
              <w:rPr>
                <w:rFonts w:ascii="仿宋" w:eastAsia="仿宋" w:hAnsi="仿宋" w:cs="仿宋" w:hint="eastAsia"/>
                <w:bCs/>
                <w:kern w:val="0"/>
                <w:sz w:val="24"/>
                <w:szCs w:val="24"/>
              </w:rPr>
              <w:t>规格</w:t>
            </w:r>
          </w:p>
        </w:tc>
        <w:tc>
          <w:tcPr>
            <w:tcW w:w="52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B0433" w:rsidRDefault="00BB0433" w:rsidP="00F91803">
            <w:pPr>
              <w:jc w:val="center"/>
              <w:textAlignment w:val="center"/>
              <w:rPr>
                <w:rFonts w:ascii="仿宋" w:eastAsia="仿宋" w:hAnsi="仿宋" w:cs="仿宋"/>
                <w:bCs/>
                <w:sz w:val="24"/>
                <w:szCs w:val="24"/>
              </w:rPr>
            </w:pPr>
            <w:r>
              <w:rPr>
                <w:rFonts w:ascii="仿宋" w:eastAsia="仿宋" w:hAnsi="仿宋" w:cs="仿宋" w:hint="eastAsia"/>
                <w:bCs/>
                <w:kern w:val="0"/>
                <w:sz w:val="24"/>
                <w:szCs w:val="24"/>
              </w:rPr>
              <w:t>主要技术参数</w:t>
            </w:r>
          </w:p>
        </w:tc>
        <w:tc>
          <w:tcPr>
            <w:tcW w:w="7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B0433" w:rsidRDefault="00BB0433" w:rsidP="00F91803">
            <w:pPr>
              <w:jc w:val="center"/>
              <w:textAlignment w:val="center"/>
              <w:rPr>
                <w:rFonts w:ascii="仿宋" w:eastAsia="仿宋" w:hAnsi="仿宋" w:cs="仿宋"/>
                <w:bCs/>
                <w:sz w:val="24"/>
                <w:szCs w:val="24"/>
              </w:rPr>
            </w:pPr>
            <w:r>
              <w:rPr>
                <w:rFonts w:ascii="仿宋" w:eastAsia="仿宋" w:hAnsi="仿宋" w:cs="仿宋" w:hint="eastAsia"/>
                <w:bCs/>
                <w:kern w:val="0"/>
                <w:sz w:val="24"/>
                <w:szCs w:val="24"/>
              </w:rPr>
              <w:t>数量</w:t>
            </w:r>
          </w:p>
        </w:tc>
        <w:tc>
          <w:tcPr>
            <w:tcW w:w="9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B0433" w:rsidRDefault="00BB0433" w:rsidP="00F91803">
            <w:pPr>
              <w:jc w:val="center"/>
              <w:textAlignment w:val="center"/>
              <w:rPr>
                <w:rFonts w:ascii="仿宋" w:eastAsia="仿宋" w:hAnsi="仿宋" w:cs="仿宋"/>
                <w:bCs/>
                <w:sz w:val="24"/>
                <w:szCs w:val="24"/>
              </w:rPr>
            </w:pPr>
            <w:r>
              <w:rPr>
                <w:rFonts w:ascii="仿宋" w:eastAsia="仿宋" w:hAnsi="仿宋" w:cs="仿宋" w:hint="eastAsia"/>
                <w:bCs/>
                <w:kern w:val="0"/>
                <w:sz w:val="24"/>
                <w:szCs w:val="24"/>
              </w:rPr>
              <w:t>单位</w:t>
            </w:r>
          </w:p>
        </w:tc>
      </w:tr>
      <w:tr w:rsidR="00BB0433" w:rsidTr="00F91803">
        <w:trPr>
          <w:trHeight w:val="3448"/>
          <w:jc w:val="center"/>
        </w:trPr>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★户外LED显示屏</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P3</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left"/>
              <w:textAlignment w:val="center"/>
              <w:rPr>
                <w:rFonts w:ascii="仿宋" w:eastAsia="仿宋" w:hAnsi="仿宋" w:cs="仿宋"/>
                <w:color w:val="000000"/>
                <w:w w:val="90"/>
                <w:kern w:val="0"/>
                <w:sz w:val="24"/>
                <w:szCs w:val="24"/>
              </w:rPr>
            </w:pPr>
            <w:r>
              <w:rPr>
                <w:rFonts w:ascii="仿宋" w:eastAsia="仿宋" w:hAnsi="仿宋" w:cs="仿宋" w:hint="eastAsia"/>
                <w:color w:val="000000"/>
                <w:w w:val="90"/>
                <w:kern w:val="0"/>
                <w:sz w:val="24"/>
                <w:szCs w:val="24"/>
              </w:rPr>
              <w:t>1. 点间距：≤3.076mm，像素密度≥105625/ m²；</w:t>
            </w:r>
          </w:p>
          <w:p w:rsidR="00BB0433" w:rsidRDefault="00BB0433" w:rsidP="00F91803">
            <w:pPr>
              <w:jc w:val="left"/>
              <w:textAlignment w:val="center"/>
              <w:rPr>
                <w:rFonts w:ascii="仿宋" w:eastAsia="仿宋" w:hAnsi="仿宋" w:cs="仿宋"/>
                <w:color w:val="000000"/>
                <w:w w:val="90"/>
                <w:kern w:val="0"/>
                <w:sz w:val="24"/>
                <w:szCs w:val="24"/>
              </w:rPr>
            </w:pPr>
            <w:r>
              <w:rPr>
                <w:rFonts w:ascii="仿宋" w:eastAsia="仿宋" w:hAnsi="仿宋" w:cs="仿宋" w:hint="eastAsia"/>
                <w:color w:val="000000"/>
                <w:w w:val="90"/>
                <w:kern w:val="0"/>
                <w:sz w:val="24"/>
                <w:szCs w:val="24"/>
              </w:rPr>
              <w:t>2. 封装方式：表贴三合一（1R1G1B1）SMD黑灯铜线封装；</w:t>
            </w:r>
          </w:p>
          <w:p w:rsidR="00BB0433" w:rsidRDefault="00BB0433" w:rsidP="00F91803">
            <w:pPr>
              <w:jc w:val="left"/>
              <w:textAlignment w:val="center"/>
              <w:rPr>
                <w:rFonts w:ascii="仿宋" w:eastAsia="仿宋" w:hAnsi="仿宋" w:cs="仿宋"/>
                <w:color w:val="000000"/>
                <w:w w:val="90"/>
                <w:kern w:val="0"/>
                <w:sz w:val="24"/>
                <w:szCs w:val="24"/>
              </w:rPr>
            </w:pPr>
            <w:r>
              <w:rPr>
                <w:rFonts w:ascii="仿宋" w:eastAsia="仿宋" w:hAnsi="仿宋" w:cs="仿宋" w:hint="eastAsia"/>
                <w:color w:val="000000"/>
                <w:w w:val="90"/>
                <w:kern w:val="0"/>
                <w:sz w:val="24"/>
                <w:szCs w:val="24"/>
              </w:rPr>
              <w:t>3. 具有单点亮度、色度校正功能；</w:t>
            </w:r>
          </w:p>
          <w:p w:rsidR="00BB0433" w:rsidRDefault="00BB0433" w:rsidP="00F91803">
            <w:pPr>
              <w:jc w:val="left"/>
              <w:textAlignment w:val="center"/>
              <w:rPr>
                <w:rFonts w:ascii="仿宋" w:eastAsia="仿宋" w:hAnsi="仿宋" w:cs="仿宋"/>
                <w:color w:val="000000"/>
                <w:w w:val="90"/>
                <w:kern w:val="0"/>
                <w:sz w:val="24"/>
                <w:szCs w:val="24"/>
              </w:rPr>
            </w:pPr>
            <w:r>
              <w:rPr>
                <w:rFonts w:ascii="仿宋" w:eastAsia="仿宋" w:hAnsi="仿宋" w:cs="仿宋" w:hint="eastAsia"/>
                <w:color w:val="000000"/>
                <w:w w:val="90"/>
                <w:kern w:val="0"/>
                <w:sz w:val="24"/>
                <w:szCs w:val="24"/>
              </w:rPr>
              <w:t>4. 显示屏亮度：≥7000cd/m,0-100%亮度可调，屏幕亮度具有随环境照度的变化任意调整功能。</w:t>
            </w:r>
          </w:p>
          <w:p w:rsidR="00BB0433" w:rsidRDefault="00BB0433" w:rsidP="00F91803">
            <w:pPr>
              <w:jc w:val="left"/>
              <w:textAlignment w:val="center"/>
              <w:rPr>
                <w:rFonts w:ascii="仿宋" w:eastAsia="仿宋" w:hAnsi="仿宋" w:cs="仿宋"/>
                <w:color w:val="000000"/>
                <w:w w:val="90"/>
                <w:kern w:val="0"/>
                <w:sz w:val="24"/>
                <w:szCs w:val="24"/>
              </w:rPr>
            </w:pPr>
            <w:r>
              <w:rPr>
                <w:rFonts w:ascii="仿宋" w:eastAsia="仿宋" w:hAnsi="仿宋" w:cs="仿宋" w:hint="eastAsia"/>
                <w:color w:val="000000"/>
                <w:w w:val="90"/>
                <w:kern w:val="0"/>
                <w:sz w:val="24"/>
                <w:szCs w:val="24"/>
              </w:rPr>
              <w:t>5. 刷新率：3840Hz；最大功耗 ≤750/m；平均功耗 ≤260W/m²；对比度：≥8000:1，色温：2000-15000K可调；水平视角：≥170°,垂直视角：≥160°。</w:t>
            </w:r>
          </w:p>
          <w:p w:rsidR="00BB0433" w:rsidRDefault="00BB0433" w:rsidP="00F91803">
            <w:pPr>
              <w:jc w:val="left"/>
              <w:textAlignment w:val="center"/>
              <w:rPr>
                <w:rFonts w:ascii="仿宋" w:eastAsia="仿宋" w:hAnsi="仿宋" w:cs="仿宋"/>
                <w:color w:val="000000"/>
                <w:w w:val="90"/>
                <w:kern w:val="0"/>
                <w:sz w:val="24"/>
                <w:szCs w:val="24"/>
              </w:rPr>
            </w:pPr>
            <w:r>
              <w:rPr>
                <w:rFonts w:ascii="仿宋" w:eastAsia="仿宋" w:hAnsi="仿宋" w:cs="仿宋" w:hint="eastAsia"/>
                <w:color w:val="000000"/>
                <w:w w:val="90"/>
                <w:kern w:val="0"/>
                <w:sz w:val="24"/>
                <w:szCs w:val="24"/>
              </w:rPr>
              <w:t>6. 模组电源接口采用4P接插头，免工具维护，同时有防呆设计，预防接错电源线短路而导致的烧毁模组行为；采用集成 HUB接收卡控制，支持通讯状态监测；</w:t>
            </w:r>
          </w:p>
          <w:p w:rsidR="00BB0433" w:rsidRDefault="00BB0433" w:rsidP="00F91803">
            <w:pPr>
              <w:jc w:val="left"/>
              <w:textAlignment w:val="center"/>
              <w:rPr>
                <w:rFonts w:ascii="仿宋" w:eastAsia="仿宋" w:hAnsi="仿宋" w:cs="仿宋"/>
                <w:color w:val="000000"/>
                <w:w w:val="90"/>
                <w:kern w:val="0"/>
                <w:sz w:val="24"/>
                <w:szCs w:val="24"/>
              </w:rPr>
            </w:pPr>
            <w:r>
              <w:rPr>
                <w:rFonts w:ascii="仿宋" w:eastAsia="仿宋" w:hAnsi="仿宋" w:cs="仿宋" w:hint="eastAsia"/>
                <w:color w:val="000000"/>
                <w:w w:val="90"/>
                <w:kern w:val="0"/>
                <w:sz w:val="24"/>
                <w:szCs w:val="24"/>
              </w:rPr>
              <w:t>7. 智能节电功能：具备智能（黑屏）节电功能，开启智能节电功能比没有开启节能4</w:t>
            </w:r>
            <w:r>
              <w:rPr>
                <w:rFonts w:ascii="仿宋" w:eastAsia="仿宋" w:hAnsi="仿宋" w:cs="仿宋"/>
                <w:color w:val="000000"/>
                <w:w w:val="90"/>
                <w:kern w:val="0"/>
                <w:sz w:val="24"/>
                <w:szCs w:val="24"/>
              </w:rPr>
              <w:t>5</w:t>
            </w:r>
            <w:r>
              <w:rPr>
                <w:rFonts w:ascii="仿宋" w:eastAsia="仿宋" w:hAnsi="仿宋" w:cs="仿宋" w:hint="eastAsia"/>
                <w:color w:val="000000"/>
                <w:w w:val="90"/>
                <w:kern w:val="0"/>
                <w:sz w:val="24"/>
                <w:szCs w:val="24"/>
              </w:rPr>
              <w:t>%以上；</w:t>
            </w:r>
          </w:p>
          <w:p w:rsidR="00BB0433" w:rsidRDefault="00BB0433" w:rsidP="00F91803">
            <w:pPr>
              <w:jc w:val="left"/>
              <w:textAlignment w:val="center"/>
              <w:rPr>
                <w:rFonts w:ascii="仿宋" w:eastAsia="仿宋" w:hAnsi="仿宋" w:cs="仿宋"/>
                <w:color w:val="000000"/>
                <w:w w:val="90"/>
                <w:kern w:val="0"/>
                <w:sz w:val="24"/>
                <w:szCs w:val="24"/>
              </w:rPr>
            </w:pPr>
            <w:r>
              <w:rPr>
                <w:rFonts w:ascii="仿宋" w:eastAsia="仿宋" w:hAnsi="仿宋" w:cs="仿宋" w:hint="eastAsia"/>
                <w:color w:val="000000"/>
                <w:w w:val="90"/>
                <w:kern w:val="0"/>
                <w:sz w:val="24"/>
                <w:szCs w:val="24"/>
              </w:rPr>
              <w:t>8. 软件具备一键调节亮、暗线功能；支持模块校正和数据存储及回读；</w:t>
            </w:r>
          </w:p>
          <w:p w:rsidR="00BB0433" w:rsidRDefault="00BB0433" w:rsidP="00F91803">
            <w:pPr>
              <w:jc w:val="left"/>
              <w:textAlignment w:val="center"/>
              <w:rPr>
                <w:rFonts w:ascii="仿宋" w:eastAsia="仿宋" w:hAnsi="仿宋" w:cs="仿宋"/>
                <w:color w:val="000000"/>
                <w:w w:val="90"/>
                <w:kern w:val="0"/>
                <w:sz w:val="24"/>
                <w:szCs w:val="24"/>
              </w:rPr>
            </w:pPr>
            <w:r>
              <w:rPr>
                <w:rFonts w:ascii="仿宋" w:eastAsia="仿宋" w:hAnsi="仿宋" w:cs="仿宋" w:hint="eastAsia"/>
                <w:color w:val="000000"/>
                <w:w w:val="90"/>
                <w:kern w:val="0"/>
                <w:sz w:val="24"/>
                <w:szCs w:val="24"/>
              </w:rPr>
              <w:lastRenderedPageBreak/>
              <w:t>9.LED显示屏平均故障时间MTBF≥100000小时；支持 7X24H 连续工作，保证产品稳定运行；</w:t>
            </w:r>
          </w:p>
          <w:p w:rsidR="00BB0433" w:rsidRDefault="00BB0433" w:rsidP="00F91803">
            <w:pPr>
              <w:jc w:val="left"/>
              <w:textAlignment w:val="center"/>
              <w:rPr>
                <w:rFonts w:ascii="仿宋" w:eastAsia="仿宋" w:hAnsi="仿宋" w:cs="仿宋"/>
                <w:color w:val="000000"/>
                <w:w w:val="90"/>
                <w:kern w:val="0"/>
                <w:sz w:val="24"/>
                <w:szCs w:val="24"/>
              </w:rPr>
            </w:pPr>
            <w:r>
              <w:rPr>
                <w:rFonts w:ascii="仿宋" w:eastAsia="仿宋" w:hAnsi="仿宋" w:cs="仿宋" w:hint="eastAsia"/>
                <w:color w:val="000000"/>
                <w:w w:val="90"/>
                <w:kern w:val="0"/>
                <w:sz w:val="24"/>
                <w:szCs w:val="24"/>
              </w:rPr>
              <w:t>1</w:t>
            </w:r>
            <w:r>
              <w:rPr>
                <w:rFonts w:ascii="仿宋" w:eastAsia="仿宋" w:hAnsi="仿宋" w:cs="仿宋"/>
                <w:color w:val="000000"/>
                <w:w w:val="90"/>
                <w:kern w:val="0"/>
                <w:sz w:val="24"/>
                <w:szCs w:val="24"/>
              </w:rPr>
              <w:t>0</w:t>
            </w:r>
            <w:r>
              <w:rPr>
                <w:rFonts w:ascii="仿宋" w:eastAsia="仿宋" w:hAnsi="仿宋" w:cs="仿宋" w:hint="eastAsia"/>
                <w:color w:val="000000"/>
                <w:w w:val="90"/>
                <w:kern w:val="0"/>
                <w:sz w:val="24"/>
                <w:szCs w:val="24"/>
              </w:rPr>
              <w:t>.显示产品符合IP6X防尘等级，保护产品在极端环境稳定运行。</w:t>
            </w:r>
          </w:p>
          <w:p w:rsidR="00BB0433" w:rsidRDefault="00BB0433" w:rsidP="00F91803">
            <w:pPr>
              <w:jc w:val="left"/>
              <w:textAlignment w:val="center"/>
              <w:rPr>
                <w:rFonts w:ascii="仿宋" w:eastAsia="仿宋" w:hAnsi="仿宋" w:cs="仿宋"/>
                <w:color w:val="000000"/>
                <w:w w:val="90"/>
                <w:kern w:val="0"/>
                <w:sz w:val="24"/>
                <w:szCs w:val="24"/>
              </w:rPr>
            </w:pPr>
            <w:r>
              <w:rPr>
                <w:rFonts w:ascii="仿宋" w:eastAsia="仿宋" w:hAnsi="仿宋" w:cs="仿宋" w:hint="eastAsia"/>
                <w:color w:val="000000"/>
                <w:w w:val="90"/>
                <w:kern w:val="0"/>
                <w:sz w:val="24"/>
                <w:szCs w:val="24"/>
              </w:rPr>
              <w:t>1</w:t>
            </w:r>
            <w:r>
              <w:rPr>
                <w:rFonts w:ascii="仿宋" w:eastAsia="仿宋" w:hAnsi="仿宋" w:cs="仿宋"/>
                <w:color w:val="000000"/>
                <w:w w:val="90"/>
                <w:kern w:val="0"/>
                <w:sz w:val="24"/>
                <w:szCs w:val="24"/>
              </w:rPr>
              <w:t>1</w:t>
            </w:r>
            <w:r>
              <w:rPr>
                <w:rFonts w:ascii="仿宋" w:eastAsia="仿宋" w:hAnsi="仿宋" w:cs="仿宋" w:hint="eastAsia"/>
                <w:color w:val="000000"/>
                <w:w w:val="90"/>
                <w:kern w:val="0"/>
                <w:sz w:val="24"/>
                <w:szCs w:val="24"/>
              </w:rPr>
              <w:t>.为保证使用安全，产品蓝光对皮肤和眼睛紫外线危害、宽波段的光源对视网膜危害、蓝光对皮肤表面及角膜和视网膜的曝辐射值检测属于无危害级。</w:t>
            </w:r>
          </w:p>
          <w:p w:rsidR="00BB0433" w:rsidRDefault="00BB0433" w:rsidP="00F91803">
            <w:pPr>
              <w:jc w:val="left"/>
              <w:textAlignment w:val="center"/>
              <w:rPr>
                <w:rFonts w:ascii="仿宋" w:eastAsia="仿宋" w:hAnsi="仿宋" w:cs="仿宋"/>
                <w:color w:val="000000"/>
                <w:w w:val="90"/>
                <w:sz w:val="24"/>
                <w:szCs w:val="24"/>
              </w:rPr>
            </w:pPr>
            <w:r>
              <w:rPr>
                <w:rFonts w:ascii="仿宋" w:eastAsia="仿宋" w:hAnsi="仿宋" w:cs="仿宋" w:hint="eastAsia"/>
                <w:color w:val="000000"/>
                <w:w w:val="90"/>
                <w:kern w:val="0"/>
                <w:sz w:val="24"/>
                <w:szCs w:val="24"/>
              </w:rPr>
              <w:t>1</w:t>
            </w:r>
            <w:r>
              <w:rPr>
                <w:rFonts w:ascii="仿宋" w:eastAsia="仿宋" w:hAnsi="仿宋" w:cs="仿宋"/>
                <w:color w:val="000000"/>
                <w:w w:val="90"/>
                <w:kern w:val="0"/>
                <w:sz w:val="24"/>
                <w:szCs w:val="24"/>
              </w:rPr>
              <w:t>2</w:t>
            </w:r>
            <w:r>
              <w:rPr>
                <w:rFonts w:ascii="仿宋" w:eastAsia="仿宋" w:hAnsi="仿宋" w:cs="仿宋" w:hint="eastAsia"/>
                <w:color w:val="000000"/>
                <w:w w:val="90"/>
                <w:kern w:val="0"/>
                <w:sz w:val="24"/>
                <w:szCs w:val="24"/>
              </w:rPr>
              <w:t>.具有实时监控温度、故障报警功能，发生故障立即发消息到指定邮箱及时处理，方便维护。</w:t>
            </w:r>
          </w:p>
        </w:tc>
        <w:tc>
          <w:tcPr>
            <w:tcW w:w="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lastRenderedPageBreak/>
              <w:t>45.88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w:t>
            </w:r>
          </w:p>
        </w:tc>
      </w:tr>
      <w:tr w:rsidR="00BB0433" w:rsidTr="00F91803">
        <w:trPr>
          <w:trHeight w:val="746"/>
          <w:jc w:val="center"/>
        </w:trPr>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lastRenderedPageBreak/>
              <w:t>2</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标准箱体</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配套</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960*960：11个 960*800：55个 1280*800：5个  1280*960：1个</w:t>
            </w:r>
          </w:p>
        </w:tc>
        <w:tc>
          <w:tcPr>
            <w:tcW w:w="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45.88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w:t>
            </w:r>
          </w:p>
        </w:tc>
      </w:tr>
      <w:tr w:rsidR="00BB0433" w:rsidTr="00F91803">
        <w:trPr>
          <w:trHeight w:val="602"/>
          <w:jc w:val="center"/>
        </w:trPr>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3</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接收卡</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配套</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left"/>
              <w:textAlignment w:val="center"/>
              <w:rPr>
                <w:rFonts w:ascii="仿宋" w:eastAsia="仿宋" w:hAnsi="仿宋" w:cs="仿宋"/>
                <w:color w:val="000000"/>
                <w:sz w:val="24"/>
                <w:szCs w:val="24"/>
              </w:rPr>
            </w:pPr>
            <w:r>
              <w:rPr>
                <w:rFonts w:ascii="仿宋" w:eastAsia="仿宋" w:hAnsi="仿宋" w:cs="仿宋"/>
                <w:color w:val="000000"/>
                <w:sz w:val="24"/>
                <w:szCs w:val="24"/>
              </w:rPr>
              <w:t>HUB接口</w:t>
            </w:r>
            <w:r>
              <w:rPr>
                <w:rFonts w:ascii="仿宋" w:eastAsia="仿宋" w:hAnsi="仿宋" w:cs="仿宋" w:hint="eastAsia"/>
                <w:color w:val="000000"/>
                <w:kern w:val="0"/>
                <w:sz w:val="24"/>
                <w:szCs w:val="24"/>
              </w:rPr>
              <w:t>≥</w:t>
            </w:r>
            <w:r>
              <w:rPr>
                <w:rFonts w:ascii="仿宋" w:eastAsia="仿宋" w:hAnsi="仿宋" w:cs="仿宋"/>
                <w:color w:val="000000"/>
                <w:sz w:val="24"/>
                <w:szCs w:val="24"/>
              </w:rPr>
              <w:t>12个</w:t>
            </w:r>
          </w:p>
        </w:tc>
        <w:tc>
          <w:tcPr>
            <w:tcW w:w="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133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张</w:t>
            </w:r>
          </w:p>
        </w:tc>
      </w:tr>
      <w:tr w:rsidR="00BB0433" w:rsidTr="00F91803">
        <w:trPr>
          <w:trHeight w:val="746"/>
          <w:jc w:val="center"/>
        </w:trPr>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4</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控制</w:t>
            </w:r>
          </w:p>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电源</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配套</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5V 40A</w:t>
            </w:r>
          </w:p>
        </w:tc>
        <w:tc>
          <w:tcPr>
            <w:tcW w:w="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298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台</w:t>
            </w:r>
          </w:p>
        </w:tc>
      </w:tr>
      <w:tr w:rsidR="00BB0433" w:rsidTr="00F91803">
        <w:trPr>
          <w:trHeight w:val="602"/>
          <w:jc w:val="center"/>
        </w:trPr>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5</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卡线</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配套</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定制，现场定做</w:t>
            </w:r>
          </w:p>
        </w:tc>
        <w:tc>
          <w:tcPr>
            <w:tcW w:w="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123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根</w:t>
            </w:r>
          </w:p>
        </w:tc>
      </w:tr>
      <w:tr w:rsidR="00BB0433" w:rsidTr="00F91803">
        <w:trPr>
          <w:trHeight w:val="602"/>
          <w:jc w:val="center"/>
        </w:trPr>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6</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排线</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配套</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定制，现场定做</w:t>
            </w:r>
          </w:p>
        </w:tc>
        <w:tc>
          <w:tcPr>
            <w:tcW w:w="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896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根</w:t>
            </w:r>
          </w:p>
        </w:tc>
      </w:tr>
      <w:tr w:rsidR="00BB0433" w:rsidTr="00F91803">
        <w:trPr>
          <w:trHeight w:val="3549"/>
          <w:jc w:val="center"/>
        </w:trPr>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7</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★LED视频处理器</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X8</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 控制系统主机，</w:t>
            </w:r>
            <w:r w:rsidRPr="005E166D">
              <w:rPr>
                <w:rFonts w:ascii="仿宋" w:eastAsia="仿宋" w:hAnsi="仿宋" w:cs="仿宋" w:hint="eastAsia"/>
                <w:color w:val="000000"/>
                <w:kern w:val="0"/>
                <w:sz w:val="24"/>
                <w:szCs w:val="24"/>
              </w:rPr>
              <w:t>采用U型主机箱体；</w:t>
            </w:r>
          </w:p>
          <w:p w:rsidR="00BB0433" w:rsidRDefault="00BB0433" w:rsidP="00F91803">
            <w:pPr>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 采用纯硬件FPGA阵列底板运算交换技术，不需要任何操作系统支持，上电即可工作，启动速度快、稳定性高，不会出现死机、黑屏现象，启动时间＜5S；</w:t>
            </w:r>
          </w:p>
          <w:p w:rsidR="00BB0433" w:rsidRDefault="00BB0433" w:rsidP="00F91803">
            <w:pPr>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 采用模块化结构，系统的输入模块、输出模块、控制模块、电源模块、风扇模块均支持热插拔；</w:t>
            </w:r>
          </w:p>
          <w:p w:rsidR="00BB0433" w:rsidRDefault="00BB0433" w:rsidP="00F91803">
            <w:pPr>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 采用输出帧同步处理功能，确保输出的每路信号均具有同步输出显示功能；</w:t>
            </w:r>
          </w:p>
          <w:p w:rsidR="00BB0433" w:rsidRDefault="00BB0433" w:rsidP="00F91803">
            <w:pPr>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 具有WLEDCOLOR色彩优化处理技术，有效保证LED屏幕在播放白场及刺眼环境的场景时得到有效的平衡处理，保证图像显示颜色更随和;</w:t>
            </w:r>
          </w:p>
          <w:p w:rsidR="00BB0433" w:rsidRDefault="00BB0433" w:rsidP="00F91803">
            <w:pPr>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6. 支持VGA、DVI、HDMI、SDI、CVBS、Ypbpr、Duallink、HDMI1.4、IPV、HDBaseT、Fiber等多信号混合输入，支持VGA、DVI、HDMI、SDI、CVBS、Ypbpr、HDMI1.4、HDBaseT、Fiber及MirView本</w:t>
            </w:r>
            <w:r>
              <w:rPr>
                <w:rFonts w:ascii="仿宋" w:eastAsia="仿宋" w:hAnsi="仿宋" w:cs="仿宋" w:hint="eastAsia"/>
                <w:color w:val="000000"/>
                <w:kern w:val="0"/>
                <w:sz w:val="24"/>
                <w:szCs w:val="24"/>
              </w:rPr>
              <w:lastRenderedPageBreak/>
              <w:t>地硬回显输出；</w:t>
            </w:r>
          </w:p>
          <w:p w:rsidR="00BB0433" w:rsidRDefault="00BB0433" w:rsidP="00F91803">
            <w:pPr>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7. 所有接入的显示信号窗口均可在显示屏幕上进行任意移动、叠加、缩放、多画面等功能，也可以任意制定多种分屏、全屏、组合屏等显示方式；</w:t>
            </w:r>
          </w:p>
          <w:p w:rsidR="00BB0433" w:rsidRDefault="00BB0433" w:rsidP="00F91803">
            <w:pPr>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8. 支持EDID在线编辑控制，可在线编辑输入输出通道EDID，可加载预设EDID；</w:t>
            </w:r>
          </w:p>
          <w:p w:rsidR="00BB0433" w:rsidRDefault="00BB0433" w:rsidP="00F91803">
            <w:pPr>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9. ★支持任意输出通道同时显示1/4/6/8/9/12/16个任意格式的窗口画面，通道内任意十六分之一部分可进行任意移动、叠加、缩放、多画面、画中画，也可拖动到其他单元上操作，互不局限和影响； </w:t>
            </w:r>
          </w:p>
          <w:p w:rsidR="00BB0433" w:rsidRDefault="00BB0433" w:rsidP="00F91803">
            <w:pPr>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10. 支持输出分组功能，单台设备可同时支持8个分组，单设备可应用于多套、各类型显示终端上，实现输入信号共享，简化系统结构；</w:t>
            </w:r>
          </w:p>
          <w:p w:rsidR="00BB0433" w:rsidRPr="005E166D" w:rsidRDefault="00BB0433" w:rsidP="00F91803">
            <w:pPr>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11.</w:t>
            </w:r>
            <w:r w:rsidRPr="005E166D">
              <w:rPr>
                <w:rFonts w:ascii="仿宋" w:eastAsia="仿宋" w:hAnsi="仿宋" w:cs="仿宋" w:hint="eastAsia"/>
                <w:color w:val="000000"/>
                <w:kern w:val="0"/>
                <w:sz w:val="24"/>
                <w:szCs w:val="24"/>
              </w:rPr>
              <w:t xml:space="preserve"> 支持信号窗口复制，单路信号复制个数不少于16个；</w:t>
            </w:r>
          </w:p>
          <w:p w:rsidR="00BB0433" w:rsidRDefault="00BB0433" w:rsidP="00F91803">
            <w:pPr>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12. 支持去黑边及画面裁切画面处理；</w:t>
            </w:r>
          </w:p>
          <w:p w:rsidR="00BB0433" w:rsidRDefault="00BB0433" w:rsidP="00F91803">
            <w:pPr>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13. 具有字幕标注功能，可对当前显示画面进行相应的说明，可对叠加字符的字体、字号、颜色、位置等进行编辑；</w:t>
            </w:r>
          </w:p>
          <w:p w:rsidR="00BB0433" w:rsidRDefault="00BB0433" w:rsidP="00F91803">
            <w:pPr>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14. 系统输入输出图像延时小于100ms；</w:t>
            </w:r>
          </w:p>
          <w:p w:rsidR="00BB0433" w:rsidRDefault="00BB0433" w:rsidP="00F91803">
            <w:pPr>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15. 系统在温度-15±0.5℃，35±0.5℃，湿度75±2%的环境下正常工作；</w:t>
            </w:r>
          </w:p>
          <w:p w:rsidR="00BB0433" w:rsidRDefault="00BB0433" w:rsidP="00F91803">
            <w:pPr>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16. 采用环保机箱设计，工作噪音低于30dB；</w:t>
            </w:r>
          </w:p>
          <w:p w:rsidR="00BB0433" w:rsidRDefault="00BB0433" w:rsidP="00F91803">
            <w:pPr>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17. 系统软件支持不少于10种皮肤界面配置选项，用户可自定义配置软件的风格及显示界面，需提供相应的软件配置方案；</w:t>
            </w:r>
          </w:p>
          <w:p w:rsidR="00BB0433" w:rsidRDefault="00BB0433" w:rsidP="00F91803">
            <w:pPr>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18. 系统应具有流畅清晰的软预监回显功能：PC端运行的软件回显图像刷新速度＞30Hz，回显图像清晰，输入通道上其清晰度能够看清桌面字符、图片；</w:t>
            </w:r>
          </w:p>
          <w:p w:rsidR="00BB0433" w:rsidRDefault="00BB0433" w:rsidP="00F91803">
            <w:pPr>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19. 移动终可视化管理，基于Windows/Android/IOS等移动端可视化触控平台</w:t>
            </w:r>
            <w:r>
              <w:rPr>
                <w:rFonts w:ascii="仿宋" w:eastAsia="仿宋" w:hAnsi="仿宋" w:cs="仿宋" w:hint="eastAsia"/>
                <w:color w:val="000000"/>
                <w:kern w:val="0"/>
                <w:sz w:val="24"/>
                <w:szCs w:val="24"/>
              </w:rPr>
              <w:lastRenderedPageBreak/>
              <w:t>应用，支持窗口调整、切换、拖动及云台、音量、开关等智能中控应用；</w:t>
            </w:r>
          </w:p>
          <w:p w:rsidR="00BB0433" w:rsidRDefault="00BB0433" w:rsidP="00F91803">
            <w:pPr>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20. 支持 C/S、B/S管理控制结构，基于TCP/IP网络以及串口的多用户实时操作，可实现对多种信号源定义、调度和管理；</w:t>
            </w:r>
          </w:p>
          <w:p w:rsidR="00BB0433" w:rsidRDefault="00BB0433" w:rsidP="00F91803">
            <w:pPr>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21. 支持多个场景预案功能，可保存多达128种场景模式，支持自动轮巡，可自定义设置轮巡时间；</w:t>
            </w:r>
          </w:p>
          <w:p w:rsidR="00BB0433" w:rsidRDefault="00BB0433" w:rsidP="00F91803">
            <w:pPr>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22. 支持多种控制方式，支持RS232串口、网络、面板按键、遥控器、中控、移动端进行控制；</w:t>
            </w:r>
          </w:p>
          <w:p w:rsidR="00BB0433" w:rsidRDefault="00BB0433" w:rsidP="00F91803">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23. 应满足平均无故障时间不小于50000小时；</w:t>
            </w:r>
          </w:p>
        </w:tc>
        <w:tc>
          <w:tcPr>
            <w:tcW w:w="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lastRenderedPageBreak/>
              <w:t>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台</w:t>
            </w:r>
          </w:p>
        </w:tc>
      </w:tr>
      <w:tr w:rsidR="00BB0433" w:rsidTr="00F91803">
        <w:trPr>
          <w:trHeight w:val="38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hint="eastAsia"/>
                <w:color w:val="000000"/>
                <w:sz w:val="24"/>
                <w:szCs w:val="24"/>
              </w:rPr>
            </w:pPr>
            <w:r>
              <w:rPr>
                <w:rFonts w:ascii="仿宋" w:eastAsia="仿宋" w:hAnsi="仿宋" w:cs="仿宋" w:hint="eastAsia"/>
                <w:color w:val="000000"/>
                <w:sz w:val="24"/>
                <w:szCs w:val="24"/>
              </w:rPr>
              <w:lastRenderedPageBreak/>
              <w:t>8</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机柜</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32U</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32U</w:t>
            </w:r>
          </w:p>
        </w:tc>
        <w:tc>
          <w:tcPr>
            <w:tcW w:w="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台</w:t>
            </w:r>
          </w:p>
        </w:tc>
      </w:tr>
      <w:tr w:rsidR="00BB0433" w:rsidTr="00F91803">
        <w:trPr>
          <w:trHeight w:val="111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rPr>
              <w:t>9</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配电系统</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100KW</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100KW含PLC控制系统，可远程&amp;定时开关机；具备过压、过流、欠压、短路等保护措施和分步延时启动功能。</w:t>
            </w:r>
          </w:p>
        </w:tc>
        <w:tc>
          <w:tcPr>
            <w:tcW w:w="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套</w:t>
            </w:r>
          </w:p>
        </w:tc>
      </w:tr>
      <w:tr w:rsidR="00BB0433" w:rsidTr="00F91803">
        <w:trPr>
          <w:trHeight w:val="746"/>
          <w:jc w:val="center"/>
        </w:trPr>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10</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风机百叶窗</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配套</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扇热，通风</w:t>
            </w:r>
          </w:p>
        </w:tc>
        <w:tc>
          <w:tcPr>
            <w:tcW w:w="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台</w:t>
            </w:r>
          </w:p>
        </w:tc>
      </w:tr>
      <w:tr w:rsidR="00BB0433" w:rsidTr="00F91803">
        <w:trPr>
          <w:trHeight w:val="746"/>
          <w:jc w:val="center"/>
        </w:trPr>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rPr>
              <w:t>11</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包边装饰</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国标</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定制，铝塑板，人工费</w:t>
            </w:r>
          </w:p>
        </w:tc>
        <w:tc>
          <w:tcPr>
            <w:tcW w:w="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45.88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平米</w:t>
            </w:r>
          </w:p>
        </w:tc>
      </w:tr>
      <w:tr w:rsidR="00BB0433" w:rsidTr="00F91803">
        <w:trPr>
          <w:trHeight w:val="602"/>
          <w:jc w:val="center"/>
        </w:trPr>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rPr>
              <w:t>12</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屏内动力电缆</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YJV5*4</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国标三相五线制电缆，规格YJV5*4平方，220V电源相接。</w:t>
            </w:r>
          </w:p>
        </w:tc>
        <w:tc>
          <w:tcPr>
            <w:tcW w:w="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米</w:t>
            </w:r>
          </w:p>
        </w:tc>
      </w:tr>
      <w:tr w:rsidR="00BB0433" w:rsidTr="00F91803">
        <w:trPr>
          <w:trHeight w:val="77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rPr>
              <w:t>13</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网线</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超五类</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超六类</w:t>
            </w:r>
          </w:p>
        </w:tc>
        <w:tc>
          <w:tcPr>
            <w:tcW w:w="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箱</w:t>
            </w:r>
          </w:p>
        </w:tc>
      </w:tr>
      <w:tr w:rsidR="00BB0433" w:rsidTr="00F91803">
        <w:trPr>
          <w:trHeight w:val="746"/>
          <w:jc w:val="center"/>
        </w:trPr>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rPr>
              <w:t>14</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扩声系统</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300W</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300W功放、100W防水音柱</w:t>
            </w:r>
          </w:p>
        </w:tc>
        <w:tc>
          <w:tcPr>
            <w:tcW w:w="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套</w:t>
            </w:r>
          </w:p>
        </w:tc>
      </w:tr>
      <w:tr w:rsidR="00BB0433" w:rsidTr="00F91803">
        <w:trPr>
          <w:trHeight w:val="416"/>
          <w:jc w:val="center"/>
        </w:trPr>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rPr>
              <w:t>15</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★散热系统</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2P</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定频/变频 变频 </w:t>
            </w:r>
          </w:p>
          <w:p w:rsidR="00BB0433" w:rsidRDefault="00BB0433" w:rsidP="00F91803">
            <w:pPr>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单冷/冷暖 冷暖</w:t>
            </w:r>
          </w:p>
          <w:p w:rsidR="00BB0433" w:rsidRDefault="00BB0433" w:rsidP="00F91803">
            <w:pPr>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2P空调制冷量(W)</w:t>
            </w:r>
          </w:p>
          <w:p w:rsidR="00BB0433" w:rsidRDefault="00BB0433" w:rsidP="00F91803">
            <w:pPr>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循环风量(m'/h)5020(600~6210)</w:t>
            </w:r>
          </w:p>
          <w:p w:rsidR="00BB0433" w:rsidRDefault="00BB0433" w:rsidP="00F91803">
            <w:pPr>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电辅加热功率1000-1200(w)</w:t>
            </w:r>
          </w:p>
          <w:p w:rsidR="00BB0433" w:rsidRDefault="00BB0433" w:rsidP="00F91803">
            <w:pPr>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是否电辅加热  是</w:t>
            </w:r>
          </w:p>
          <w:p w:rsidR="00BB0433" w:rsidRDefault="00BB0433" w:rsidP="00F91803">
            <w:pPr>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制热功率(W)2100(200~2900)</w:t>
            </w:r>
          </w:p>
          <w:p w:rsidR="00BB0433" w:rsidRDefault="00BB0433" w:rsidP="00F91803">
            <w:pPr>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制热量(W)6680(750~8110)</w:t>
            </w:r>
          </w:p>
          <w:p w:rsidR="00BB0433" w:rsidRDefault="00BB0433" w:rsidP="00F91803">
            <w:pPr>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制冷功率(W)1480(200~2450)</w:t>
            </w:r>
          </w:p>
          <w:p w:rsidR="00BB0433" w:rsidRDefault="00BB0433" w:rsidP="00F91803">
            <w:pPr>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内机噪音dB (A)外机噪音dB</w:t>
            </w:r>
          </w:p>
          <w:p w:rsidR="00BB0433" w:rsidRDefault="00BB0433" w:rsidP="00BB0433">
            <w:pPr>
              <w:numPr>
                <w:ilvl w:val="0"/>
                <w:numId w:val="1"/>
              </w:numPr>
              <w:tabs>
                <w:tab w:val="left" w:pos="312"/>
              </w:tabs>
              <w:spacing w:line="24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高风档40-53</w:t>
            </w:r>
          </w:p>
          <w:p w:rsidR="00BB0433" w:rsidRDefault="00BB0433" w:rsidP="00F91803">
            <w:pPr>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能效等级：3级</w:t>
            </w:r>
          </w:p>
          <w:p w:rsidR="00BB0433" w:rsidRDefault="00BB0433" w:rsidP="00F91803">
            <w:pPr>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外机质量(kg)</w:t>
            </w:r>
            <w:r>
              <w:rPr>
                <w:rFonts w:ascii="仿宋" w:eastAsia="仿宋" w:hAnsi="仿宋" w:cs="仿宋" w:hint="eastAsia"/>
                <w:kern w:val="0"/>
                <w:sz w:val="24"/>
                <w:szCs w:val="24"/>
              </w:rPr>
              <w:t>≤</w:t>
            </w:r>
            <w:r>
              <w:rPr>
                <w:rFonts w:ascii="仿宋" w:eastAsia="仿宋" w:hAnsi="仿宋" w:cs="仿宋" w:hint="eastAsia"/>
                <w:color w:val="000000"/>
                <w:kern w:val="0"/>
                <w:sz w:val="24"/>
                <w:szCs w:val="24"/>
              </w:rPr>
              <w:t>35</w:t>
            </w:r>
          </w:p>
          <w:p w:rsidR="00BB0433" w:rsidRDefault="00BB0433" w:rsidP="00F91803">
            <w:pPr>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内机质量(kg)</w:t>
            </w:r>
            <w:r>
              <w:rPr>
                <w:rFonts w:ascii="仿宋" w:eastAsia="仿宋" w:hAnsi="仿宋" w:cs="仿宋" w:hint="eastAsia"/>
                <w:kern w:val="0"/>
                <w:sz w:val="24"/>
                <w:szCs w:val="24"/>
              </w:rPr>
              <w:t>≤</w:t>
            </w:r>
            <w:r>
              <w:rPr>
                <w:rFonts w:ascii="仿宋" w:eastAsia="仿宋" w:hAnsi="仿宋" w:cs="仿宋" w:hint="eastAsia"/>
                <w:color w:val="000000"/>
                <w:kern w:val="0"/>
                <w:sz w:val="24"/>
                <w:szCs w:val="24"/>
              </w:rPr>
              <w:t>14</w:t>
            </w:r>
          </w:p>
          <w:p w:rsidR="00BB0433" w:rsidRDefault="00BB0433" w:rsidP="00F91803">
            <w:pPr>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外机尺寸(宽x高x深)</w:t>
            </w:r>
            <w:r>
              <w:rPr>
                <w:rFonts w:ascii="仿宋" w:eastAsia="仿宋" w:hAnsi="仿宋" w:cs="仿宋" w:hint="eastAsia"/>
                <w:kern w:val="0"/>
                <w:sz w:val="24"/>
                <w:szCs w:val="24"/>
              </w:rPr>
              <w:t>≤</w:t>
            </w:r>
            <w:r>
              <w:rPr>
                <w:rFonts w:ascii="仿宋" w:eastAsia="仿宋" w:hAnsi="仿宋" w:cs="仿宋" w:hint="eastAsia"/>
                <w:color w:val="000000"/>
                <w:kern w:val="0"/>
                <w:sz w:val="24"/>
                <w:szCs w:val="24"/>
              </w:rPr>
              <w:t>880x560x380mm</w:t>
            </w:r>
          </w:p>
          <w:p w:rsidR="00BB0433" w:rsidRDefault="00BB0433" w:rsidP="00F91803">
            <w:pPr>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内机尺寸(宽x高x深)</w:t>
            </w:r>
            <w:r>
              <w:rPr>
                <w:rFonts w:ascii="仿宋" w:eastAsia="仿宋" w:hAnsi="仿宋" w:cs="仿宋" w:hint="eastAsia"/>
                <w:kern w:val="0"/>
                <w:sz w:val="24"/>
                <w:szCs w:val="24"/>
              </w:rPr>
              <w:t>≤</w:t>
            </w:r>
            <w:r>
              <w:rPr>
                <w:rFonts w:ascii="仿宋" w:eastAsia="仿宋" w:hAnsi="仿宋" w:cs="仿宋" w:hint="eastAsia"/>
                <w:color w:val="000000"/>
                <w:kern w:val="0"/>
                <w:sz w:val="24"/>
                <w:szCs w:val="24"/>
              </w:rPr>
              <w:t>950x340x250mm</w:t>
            </w:r>
          </w:p>
        </w:tc>
        <w:tc>
          <w:tcPr>
            <w:tcW w:w="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lastRenderedPageBreak/>
              <w:t>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套</w:t>
            </w:r>
          </w:p>
        </w:tc>
      </w:tr>
      <w:tr w:rsidR="00BB0433" w:rsidTr="00F91803">
        <w:trPr>
          <w:trHeight w:val="602"/>
          <w:jc w:val="center"/>
        </w:trPr>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rPr>
              <w:lastRenderedPageBreak/>
              <w:t>16</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屏体运输</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FF0000"/>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rPr>
              <w:t>运输</w:t>
            </w:r>
          </w:p>
        </w:tc>
        <w:tc>
          <w:tcPr>
            <w:tcW w:w="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项</w:t>
            </w:r>
          </w:p>
        </w:tc>
      </w:tr>
      <w:tr w:rsidR="00BB0433" w:rsidTr="00F91803">
        <w:trPr>
          <w:trHeight w:val="746"/>
          <w:jc w:val="center"/>
        </w:trPr>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rPr>
              <w:t>17</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承重圆柱</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定做</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630*630*10mm，现场定做</w:t>
            </w:r>
          </w:p>
        </w:tc>
        <w:tc>
          <w:tcPr>
            <w:tcW w:w="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根</w:t>
            </w:r>
          </w:p>
        </w:tc>
      </w:tr>
      <w:tr w:rsidR="00BB0433" w:rsidTr="00F91803">
        <w:trPr>
          <w:trHeight w:val="746"/>
          <w:jc w:val="center"/>
        </w:trPr>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rPr>
              <w:t>18</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固定铁板</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定做</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180*180*20mm，现场定做</w:t>
            </w:r>
          </w:p>
        </w:tc>
        <w:tc>
          <w:tcPr>
            <w:tcW w:w="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块</w:t>
            </w:r>
          </w:p>
        </w:tc>
      </w:tr>
      <w:tr w:rsidR="00BB0433" w:rsidTr="00F91803">
        <w:trPr>
          <w:trHeight w:val="746"/>
          <w:jc w:val="center"/>
        </w:trPr>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19</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固定锚杆</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定做</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M40，现场定做</w:t>
            </w:r>
          </w:p>
        </w:tc>
        <w:tc>
          <w:tcPr>
            <w:tcW w:w="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根</w:t>
            </w:r>
          </w:p>
        </w:tc>
      </w:tr>
      <w:tr w:rsidR="00BB0433" w:rsidTr="00F91803">
        <w:trPr>
          <w:trHeight w:val="602"/>
          <w:jc w:val="center"/>
        </w:trPr>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rPr>
              <w:t>20</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角板</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定做</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15*25*30mm，现场定做</w:t>
            </w:r>
          </w:p>
        </w:tc>
        <w:tc>
          <w:tcPr>
            <w:tcW w:w="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24</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块</w:t>
            </w:r>
          </w:p>
        </w:tc>
      </w:tr>
      <w:tr w:rsidR="00BB0433" w:rsidTr="00F91803">
        <w:trPr>
          <w:trHeight w:val="746"/>
          <w:jc w:val="center"/>
        </w:trPr>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rPr>
              <w:t>21</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基础开挖</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定做</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2000*2000*2500mm，现场定做</w:t>
            </w:r>
          </w:p>
        </w:tc>
        <w:tc>
          <w:tcPr>
            <w:tcW w:w="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个</w:t>
            </w:r>
          </w:p>
        </w:tc>
      </w:tr>
      <w:tr w:rsidR="00BB0433" w:rsidTr="00F91803">
        <w:trPr>
          <w:trHeight w:val="602"/>
          <w:jc w:val="center"/>
        </w:trPr>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rPr>
              <w:t>22</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混凝土</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定做</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2000*2000*2500mm，现场定做</w:t>
            </w:r>
          </w:p>
        </w:tc>
        <w:tc>
          <w:tcPr>
            <w:tcW w:w="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m³</w:t>
            </w:r>
          </w:p>
        </w:tc>
      </w:tr>
      <w:tr w:rsidR="00BB0433" w:rsidTr="00F91803">
        <w:trPr>
          <w:trHeight w:val="746"/>
          <w:jc w:val="center"/>
        </w:trPr>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rPr>
              <w:t>23</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预埋钢板</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定做</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2000*2000*100mm，现场定做</w:t>
            </w:r>
          </w:p>
        </w:tc>
        <w:tc>
          <w:tcPr>
            <w:tcW w:w="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40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根</w:t>
            </w:r>
          </w:p>
        </w:tc>
      </w:tr>
      <w:tr w:rsidR="00BB0433" w:rsidTr="00F91803">
        <w:trPr>
          <w:trHeight w:val="746"/>
          <w:jc w:val="center"/>
        </w:trPr>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rPr>
              <w:t>24</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预埋钢筋</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定做</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14#，现场定做</w:t>
            </w:r>
          </w:p>
        </w:tc>
        <w:tc>
          <w:tcPr>
            <w:tcW w:w="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根</w:t>
            </w:r>
          </w:p>
        </w:tc>
      </w:tr>
      <w:tr w:rsidR="00BB0433" w:rsidTr="00F91803">
        <w:trPr>
          <w:trHeight w:val="602"/>
          <w:jc w:val="center"/>
        </w:trPr>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rPr>
              <w:t>25</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主结构</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定做</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定制，现场定做</w:t>
            </w:r>
          </w:p>
        </w:tc>
        <w:tc>
          <w:tcPr>
            <w:tcW w:w="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45.88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平米</w:t>
            </w:r>
          </w:p>
        </w:tc>
      </w:tr>
      <w:tr w:rsidR="00BB0433" w:rsidTr="00F91803">
        <w:trPr>
          <w:trHeight w:val="746"/>
          <w:jc w:val="center"/>
        </w:trPr>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rPr>
              <w:t>26</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钢架装饰</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定做</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铝塑板、彩钢，现场定做</w:t>
            </w:r>
          </w:p>
        </w:tc>
        <w:tc>
          <w:tcPr>
            <w:tcW w:w="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67.38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平米</w:t>
            </w:r>
          </w:p>
        </w:tc>
      </w:tr>
      <w:tr w:rsidR="00BB0433" w:rsidTr="00F91803">
        <w:trPr>
          <w:trHeight w:val="602"/>
          <w:jc w:val="center"/>
        </w:trPr>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rPr>
              <w:t>27</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吊车</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FF0000"/>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使用吊车</w:t>
            </w:r>
          </w:p>
        </w:tc>
        <w:tc>
          <w:tcPr>
            <w:tcW w:w="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项</w:t>
            </w:r>
          </w:p>
        </w:tc>
      </w:tr>
      <w:tr w:rsidR="00BB0433" w:rsidTr="00F91803">
        <w:trPr>
          <w:trHeight w:val="746"/>
          <w:jc w:val="center"/>
        </w:trPr>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rPr>
              <w:t>28</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垃圾清运</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FF0000"/>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倒垃圾，垃圾清运。</w:t>
            </w:r>
          </w:p>
        </w:tc>
        <w:tc>
          <w:tcPr>
            <w:tcW w:w="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项</w:t>
            </w:r>
          </w:p>
        </w:tc>
      </w:tr>
      <w:tr w:rsidR="00BB0433" w:rsidTr="00F91803">
        <w:trPr>
          <w:trHeight w:val="602"/>
          <w:jc w:val="center"/>
        </w:trPr>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29</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辅料</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FF0000"/>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线鼻子及附件等</w:t>
            </w:r>
          </w:p>
        </w:tc>
        <w:tc>
          <w:tcPr>
            <w:tcW w:w="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批</w:t>
            </w:r>
          </w:p>
        </w:tc>
      </w:tr>
      <w:tr w:rsidR="00BB0433" w:rsidTr="00F91803">
        <w:trPr>
          <w:trHeight w:val="602"/>
          <w:jc w:val="center"/>
        </w:trPr>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30</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主电缆</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FF0000"/>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从主变压器或电箱引线到大屏4*50+16</w:t>
            </w:r>
          </w:p>
        </w:tc>
        <w:tc>
          <w:tcPr>
            <w:tcW w:w="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米</w:t>
            </w:r>
          </w:p>
        </w:tc>
      </w:tr>
      <w:tr w:rsidR="00BB0433" w:rsidTr="00F91803">
        <w:trPr>
          <w:trHeight w:val="111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rPr>
              <w:lastRenderedPageBreak/>
              <w:t>31</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安装调试及售后</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FF0000"/>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安装调试及售后服务，1年质保。</w:t>
            </w:r>
          </w:p>
        </w:tc>
        <w:tc>
          <w:tcPr>
            <w:tcW w:w="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45.88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平米</w:t>
            </w:r>
          </w:p>
        </w:tc>
      </w:tr>
      <w:tr w:rsidR="00BB0433" w:rsidTr="00F91803">
        <w:trPr>
          <w:trHeight w:val="746"/>
          <w:jc w:val="center"/>
        </w:trPr>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rPr>
              <w:t>32</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布线人工费</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FF0000"/>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布线、打洞挖槽埋线</w:t>
            </w:r>
          </w:p>
        </w:tc>
        <w:tc>
          <w:tcPr>
            <w:tcW w:w="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套</w:t>
            </w:r>
          </w:p>
        </w:tc>
      </w:tr>
      <w:tr w:rsidR="00BB0433" w:rsidTr="00F91803">
        <w:trPr>
          <w:trHeight w:val="112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rPr>
              <w:t>33</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挖坑混凝土人工费</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FF0000"/>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挖坑、打洞、混凝土、埋钢筋、埋钢板3人，3天</w:t>
            </w:r>
          </w:p>
        </w:tc>
        <w:tc>
          <w:tcPr>
            <w:tcW w:w="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0433" w:rsidRDefault="00BB0433" w:rsidP="00F91803">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套</w:t>
            </w:r>
          </w:p>
        </w:tc>
      </w:tr>
    </w:tbl>
    <w:p w:rsidR="00BB0433" w:rsidRDefault="00BB0433" w:rsidP="00BB0433">
      <w:pPr>
        <w:adjustRightInd w:val="0"/>
        <w:spacing w:line="360" w:lineRule="auto"/>
        <w:textAlignment w:val="baseline"/>
        <w:outlineLvl w:val="0"/>
        <w:rPr>
          <w:rFonts w:ascii="仿宋" w:eastAsia="仿宋" w:hAnsi="仿宋" w:cs="仿宋"/>
          <w:b/>
          <w:bCs/>
        </w:rPr>
      </w:pPr>
      <w:bookmarkStart w:id="7" w:name="_Toc482890393"/>
      <w:bookmarkStart w:id="8" w:name="_Toc28624"/>
      <w:r>
        <w:rPr>
          <w:rFonts w:ascii="仿宋" w:eastAsia="仿宋" w:hAnsi="仿宋" w:cs="仿宋" w:hint="eastAsia"/>
          <w:b/>
          <w:bCs/>
        </w:rPr>
        <w:t>（三）技术要求</w:t>
      </w:r>
      <w:bookmarkEnd w:id="7"/>
      <w:bookmarkEnd w:id="8"/>
    </w:p>
    <w:p w:rsidR="00BB0433" w:rsidRDefault="00BB0433" w:rsidP="00BB0433">
      <w:pPr>
        <w:spacing w:line="440" w:lineRule="exact"/>
        <w:ind w:firstLineChars="200" w:firstLine="560"/>
      </w:pPr>
      <w:bookmarkStart w:id="9" w:name="_Toc6629"/>
      <w:r>
        <w:rPr>
          <w:rFonts w:hint="eastAsia"/>
          <w:lang w:val="en-AU"/>
        </w:rPr>
        <w:t>文件所提出的</w:t>
      </w:r>
      <w:r>
        <w:rPr>
          <w:rFonts w:hint="eastAsia"/>
        </w:rPr>
        <w:t>技术要求为</w:t>
      </w:r>
      <w:r>
        <w:rPr>
          <w:rFonts w:hint="eastAsia"/>
          <w:lang w:val="en-AU"/>
        </w:rPr>
        <w:t>最低的技术要求</w:t>
      </w:r>
      <w:r>
        <w:rPr>
          <w:rFonts w:hint="eastAsia"/>
          <w:lang w:val="en-AU"/>
        </w:rPr>
        <w:t>,</w:t>
      </w:r>
      <w:r>
        <w:rPr>
          <w:rFonts w:hint="eastAsia"/>
        </w:rPr>
        <w:t>不接受负偏离。</w:t>
      </w:r>
    </w:p>
    <w:p w:rsidR="00BB0433" w:rsidRDefault="00BB0433" w:rsidP="00BB0433">
      <w:pPr>
        <w:spacing w:line="440" w:lineRule="exact"/>
        <w:ind w:firstLineChars="200" w:firstLine="560"/>
        <w:rPr>
          <w:lang w:val="en-AU"/>
        </w:rPr>
      </w:pPr>
      <w:r>
        <w:rPr>
          <w:rFonts w:hint="eastAsia"/>
          <w:lang w:val="en-AU"/>
        </w:rPr>
        <w:t>属于系统正常运行所必须的产品和</w:t>
      </w:r>
      <w:r>
        <w:rPr>
          <w:rFonts w:hint="eastAsia"/>
        </w:rPr>
        <w:t>配件</w:t>
      </w:r>
      <w:r>
        <w:rPr>
          <w:rFonts w:hint="eastAsia"/>
          <w:lang w:val="en-AU"/>
        </w:rPr>
        <w:t>,</w:t>
      </w:r>
      <w:r>
        <w:rPr>
          <w:rFonts w:hint="eastAsia"/>
          <w:lang w:val="en-AU"/>
        </w:rPr>
        <w:t>均包括在</w:t>
      </w:r>
      <w:r>
        <w:rPr>
          <w:rFonts w:hint="eastAsia"/>
        </w:rPr>
        <w:t>本次</w:t>
      </w:r>
      <w:r>
        <w:rPr>
          <w:rFonts w:hint="eastAsia"/>
          <w:lang w:val="en-AU"/>
        </w:rPr>
        <w:t>供货范围内。</w:t>
      </w:r>
      <w:r>
        <w:rPr>
          <w:rFonts w:hint="eastAsia"/>
        </w:rPr>
        <w:t>供应商</w:t>
      </w:r>
      <w:r>
        <w:rPr>
          <w:rFonts w:hint="eastAsia"/>
          <w:lang w:val="en-AU"/>
        </w:rPr>
        <w:t>对所提供的成套产品及附加技术、服务及性能指标负全责。具体要求如下：</w:t>
      </w:r>
    </w:p>
    <w:p w:rsidR="00BB0433" w:rsidRDefault="00BB0433" w:rsidP="00BB0433">
      <w:pPr>
        <w:spacing w:line="440" w:lineRule="exact"/>
        <w:ind w:firstLineChars="200" w:firstLine="560"/>
        <w:rPr>
          <w:lang w:val="en-AU"/>
        </w:rPr>
      </w:pPr>
      <w:r>
        <w:rPr>
          <w:rFonts w:hint="eastAsia"/>
        </w:rPr>
        <w:t>1.</w:t>
      </w:r>
      <w:r>
        <w:rPr>
          <w:rFonts w:hint="eastAsia"/>
          <w:lang w:val="en-AU"/>
        </w:rPr>
        <w:t>所投产品须为当前主流产品，有稳定的生命周期、发展策略，中标后不得以任何理由更换产品品牌型号。</w:t>
      </w:r>
    </w:p>
    <w:p w:rsidR="00BB0433" w:rsidRDefault="00BB0433" w:rsidP="00BB0433">
      <w:pPr>
        <w:spacing w:line="440" w:lineRule="exact"/>
        <w:ind w:firstLineChars="200" w:firstLine="560"/>
        <w:rPr>
          <w:lang w:val="en-AU"/>
        </w:rPr>
      </w:pPr>
      <w:r>
        <w:rPr>
          <w:rFonts w:hint="eastAsia"/>
        </w:rPr>
        <w:t>2.</w:t>
      </w:r>
      <w:r>
        <w:rPr>
          <w:rFonts w:hint="eastAsia"/>
        </w:rPr>
        <w:t>供应商</w:t>
      </w:r>
      <w:r>
        <w:rPr>
          <w:rFonts w:hint="eastAsia"/>
          <w:lang w:val="en-AU"/>
        </w:rPr>
        <w:t>提供的产品必须满足</w:t>
      </w:r>
      <w:r>
        <w:rPr>
          <w:rFonts w:hint="eastAsia"/>
        </w:rPr>
        <w:t>技术规格</w:t>
      </w:r>
      <w:r>
        <w:rPr>
          <w:rFonts w:hint="eastAsia"/>
          <w:lang w:val="en-AU"/>
        </w:rPr>
        <w:t>要求。</w:t>
      </w:r>
    </w:p>
    <w:p w:rsidR="00BB0433" w:rsidRDefault="00BB0433" w:rsidP="00BB0433">
      <w:pPr>
        <w:spacing w:line="440" w:lineRule="exact"/>
        <w:ind w:firstLineChars="200" w:firstLine="560"/>
      </w:pPr>
      <w:r>
        <w:rPr>
          <w:rFonts w:hint="eastAsia"/>
        </w:rPr>
        <w:t>3.</w:t>
      </w:r>
      <w:r>
        <w:rPr>
          <w:rFonts w:hint="eastAsia"/>
        </w:rPr>
        <w:t>供应商应保证所提供的系统及系统的使用将不违反任何工业所有权和知识产权或任何第三方的知识产权问题。</w:t>
      </w:r>
    </w:p>
    <w:p w:rsidR="00BB0433" w:rsidRDefault="00BB0433" w:rsidP="00BB0433">
      <w:pPr>
        <w:spacing w:line="440" w:lineRule="exact"/>
        <w:ind w:firstLineChars="200" w:firstLine="560"/>
      </w:pPr>
      <w:r>
        <w:rPr>
          <w:rFonts w:hint="eastAsia"/>
        </w:rPr>
        <w:t>4.</w:t>
      </w:r>
      <w:r>
        <w:rPr>
          <w:rFonts w:hint="eastAsia"/>
        </w:rPr>
        <w:t>清单中产品所列为本项目主要产品技术规格要求，供应商应提供包括但不限于清单所列出的货物和支持服务项目，配件、线材等均应按照工程实际需要配置，保证项目建成后正常运行。</w:t>
      </w:r>
      <w:bookmarkEnd w:id="9"/>
    </w:p>
    <w:p w:rsidR="00BB0433" w:rsidRDefault="00BB0433" w:rsidP="00BB0433">
      <w:pPr>
        <w:spacing w:line="440" w:lineRule="exact"/>
        <w:ind w:firstLineChars="200" w:firstLine="560"/>
        <w:rPr>
          <w:rFonts w:hint="eastAsia"/>
        </w:rPr>
      </w:pPr>
      <w:r>
        <w:rPr>
          <w:rFonts w:hint="eastAsia"/>
        </w:rPr>
        <w:t>5.</w:t>
      </w:r>
      <w:r>
        <w:rPr>
          <w:rFonts w:hint="eastAsia"/>
        </w:rPr>
        <w:t>户外</w:t>
      </w:r>
      <w:r>
        <w:rPr>
          <w:rFonts w:hint="eastAsia"/>
        </w:rPr>
        <w:t>LED</w:t>
      </w:r>
      <w:r>
        <w:rPr>
          <w:rFonts w:hint="eastAsia"/>
        </w:rPr>
        <w:t>显示屏、</w:t>
      </w:r>
      <w:r>
        <w:rPr>
          <w:rFonts w:hint="eastAsia"/>
        </w:rPr>
        <w:t>LED</w:t>
      </w:r>
      <w:r>
        <w:rPr>
          <w:rFonts w:hint="eastAsia"/>
        </w:rPr>
        <w:t>视频处理器、散热系统为本项目核心产品。</w:t>
      </w:r>
    </w:p>
    <w:p w:rsidR="00BB0433" w:rsidRDefault="00BB0433" w:rsidP="00BB0433">
      <w:pPr>
        <w:spacing w:line="440" w:lineRule="exact"/>
        <w:ind w:firstLineChars="200" w:firstLine="560"/>
      </w:pPr>
      <w:r>
        <w:rPr>
          <w:rFonts w:hint="eastAsia"/>
        </w:rPr>
        <w:t>供应商投标时需提供“带</w:t>
      </w:r>
      <w:r>
        <w:rPr>
          <w:rFonts w:ascii="仿宋" w:eastAsia="仿宋" w:hAnsi="仿宋" w:cs="仿宋" w:hint="eastAsia"/>
          <w:color w:val="000000"/>
          <w:kern w:val="0"/>
          <w:sz w:val="24"/>
          <w:szCs w:val="24"/>
        </w:rPr>
        <w:t>★</w:t>
      </w:r>
      <w:r>
        <w:rPr>
          <w:rFonts w:hint="eastAsia"/>
        </w:rPr>
        <w:t>”核心产品的能满足产品技术参数的证明材料，包括但不限于检测报告、功能截图、产品说明书、彩页及证明。</w:t>
      </w:r>
    </w:p>
    <w:p w:rsidR="00BB0433" w:rsidRDefault="00BB0433" w:rsidP="00BB0433">
      <w:pPr>
        <w:spacing w:line="440" w:lineRule="exact"/>
        <w:ind w:firstLineChars="200" w:firstLine="560"/>
        <w:rPr>
          <w:rFonts w:hint="eastAsia"/>
        </w:rPr>
      </w:pPr>
      <w:r>
        <w:rPr>
          <w:rFonts w:hint="eastAsia"/>
        </w:rPr>
        <w:t>6.</w:t>
      </w:r>
      <w:r>
        <w:rPr>
          <w:rFonts w:hint="eastAsia"/>
        </w:rPr>
        <w:t>质量标准：满足国内最新技术标准和规范以及国家强制认证证书。</w:t>
      </w:r>
    </w:p>
    <w:p w:rsidR="002F5038" w:rsidRPr="00BB0433" w:rsidRDefault="002F5038"/>
    <w:sectPr w:rsidR="002F5038" w:rsidRPr="00BB04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038" w:rsidRDefault="002F5038" w:rsidP="00BB0433">
      <w:pPr>
        <w:spacing w:line="240" w:lineRule="auto"/>
      </w:pPr>
      <w:r>
        <w:separator/>
      </w:r>
    </w:p>
  </w:endnote>
  <w:endnote w:type="continuationSeparator" w:id="1">
    <w:p w:rsidR="002F5038" w:rsidRDefault="002F5038" w:rsidP="00BB04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038" w:rsidRDefault="002F5038" w:rsidP="00BB0433">
      <w:pPr>
        <w:spacing w:line="240" w:lineRule="auto"/>
      </w:pPr>
      <w:r>
        <w:separator/>
      </w:r>
    </w:p>
  </w:footnote>
  <w:footnote w:type="continuationSeparator" w:id="1">
    <w:p w:rsidR="002F5038" w:rsidRDefault="002F5038" w:rsidP="00BB043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singleLevel"/>
    <w:tmpl w:val="0053208E"/>
    <w:lvl w:ilvl="0">
      <w:start w:val="1"/>
      <w:numFmt w:val="upperLetter"/>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0433"/>
    <w:rsid w:val="002F5038"/>
    <w:rsid w:val="00BB04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BB0433"/>
    <w:pPr>
      <w:spacing w:line="400" w:lineRule="exact"/>
      <w:jc w:val="both"/>
    </w:pPr>
    <w:rPr>
      <w:rFonts w:ascii="Calibri Light" w:eastAsia="华文仿宋" w:hAnsi="Calibri Light" w:cs="Calibri Light"/>
      <w:sz w:val="28"/>
      <w:szCs w:val="28"/>
    </w:rPr>
  </w:style>
  <w:style w:type="paragraph" w:styleId="4">
    <w:name w:val="heading 4"/>
    <w:basedOn w:val="a"/>
    <w:next w:val="a"/>
    <w:link w:val="4Char"/>
    <w:uiPriority w:val="9"/>
    <w:semiHidden/>
    <w:unhideWhenUsed/>
    <w:qFormat/>
    <w:rsid w:val="00BB0433"/>
    <w:pPr>
      <w:keepNext/>
      <w:keepLines/>
      <w:spacing w:before="280" w:after="290" w:line="376" w:lineRule="atLeast"/>
      <w:outlineLvl w:val="3"/>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04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0433"/>
    <w:rPr>
      <w:sz w:val="18"/>
      <w:szCs w:val="18"/>
    </w:rPr>
  </w:style>
  <w:style w:type="paragraph" w:styleId="a4">
    <w:name w:val="footer"/>
    <w:basedOn w:val="a"/>
    <w:link w:val="Char0"/>
    <w:uiPriority w:val="99"/>
    <w:semiHidden/>
    <w:unhideWhenUsed/>
    <w:rsid w:val="00BB04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0433"/>
    <w:rPr>
      <w:sz w:val="18"/>
      <w:szCs w:val="18"/>
    </w:rPr>
  </w:style>
  <w:style w:type="paragraph" w:styleId="a5">
    <w:name w:val="Body Text"/>
    <w:basedOn w:val="a"/>
    <w:link w:val="Char1"/>
    <w:uiPriority w:val="99"/>
    <w:semiHidden/>
    <w:unhideWhenUsed/>
    <w:rsid w:val="00BB0433"/>
    <w:pPr>
      <w:spacing w:after="120"/>
    </w:pPr>
  </w:style>
  <w:style w:type="character" w:customStyle="1" w:styleId="Char1">
    <w:name w:val="正文文本 Char"/>
    <w:basedOn w:val="a0"/>
    <w:link w:val="a5"/>
    <w:uiPriority w:val="99"/>
    <w:semiHidden/>
    <w:rsid w:val="00BB0433"/>
    <w:rPr>
      <w:rFonts w:ascii="Calibri Light" w:eastAsia="华文仿宋" w:hAnsi="Calibri Light" w:cs="Calibri Light"/>
      <w:sz w:val="28"/>
      <w:szCs w:val="28"/>
    </w:rPr>
  </w:style>
  <w:style w:type="paragraph" w:styleId="a6">
    <w:name w:val="Body Text First Indent"/>
    <w:basedOn w:val="a5"/>
    <w:link w:val="Char2"/>
    <w:unhideWhenUsed/>
    <w:qFormat/>
    <w:rsid w:val="00BB0433"/>
    <w:pPr>
      <w:spacing w:after="0" w:line="240" w:lineRule="auto"/>
      <w:ind w:firstLineChars="100" w:firstLine="420"/>
    </w:pPr>
    <w:rPr>
      <w:rFonts w:ascii="Times New Roman" w:hAnsi="Times New Roman"/>
      <w:sz w:val="18"/>
      <w:szCs w:val="18"/>
    </w:rPr>
  </w:style>
  <w:style w:type="character" w:customStyle="1" w:styleId="Char2">
    <w:name w:val="正文首行缩进 Char"/>
    <w:basedOn w:val="Char1"/>
    <w:link w:val="a6"/>
    <w:rsid w:val="00BB0433"/>
    <w:rPr>
      <w:rFonts w:ascii="Times New Roman" w:hAnsi="Times New Roman"/>
      <w:sz w:val="18"/>
      <w:szCs w:val="18"/>
    </w:rPr>
  </w:style>
  <w:style w:type="paragraph" w:customStyle="1" w:styleId="2">
    <w:name w:val="正文（缩进 2 字符）"/>
    <w:basedOn w:val="a"/>
    <w:qFormat/>
    <w:rsid w:val="00BB0433"/>
    <w:pPr>
      <w:ind w:firstLineChars="200" w:firstLine="200"/>
    </w:pPr>
  </w:style>
  <w:style w:type="character" w:customStyle="1" w:styleId="4Char">
    <w:name w:val="标题 4 Char"/>
    <w:basedOn w:val="a0"/>
    <w:link w:val="4"/>
    <w:uiPriority w:val="9"/>
    <w:semiHidden/>
    <w:rsid w:val="00BB0433"/>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576</Words>
  <Characters>3284</Characters>
  <Application>Microsoft Office Word</Application>
  <DocSecurity>0</DocSecurity>
  <Lines>27</Lines>
  <Paragraphs>7</Paragraphs>
  <ScaleCrop>false</ScaleCrop>
  <Company>Microsoft</Company>
  <LinksUpToDate>false</LinksUpToDate>
  <CharactersWithSpaces>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2024-10-23T01:08:00Z</dcterms:created>
  <dcterms:modified xsi:type="dcterms:W3CDTF">2024-10-23T01:09:00Z</dcterms:modified>
</cp:coreProperties>
</file>