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F14C1">
      <w:pPr>
        <w:pStyle w:val="2"/>
        <w:keepLines w:val="0"/>
        <w:pageBreakBefore w:val="0"/>
        <w:shd w:val="clear" w:color="auto" w:fill="FFFFFF"/>
        <w:kinsoku/>
        <w:wordWrap/>
        <w:overflowPunct/>
        <w:topLinePunct w:val="0"/>
        <w:bidi w:val="0"/>
        <w:snapToGrid/>
        <w:spacing w:before="0" w:beforeAutospacing="0" w:after="0" w:afterAutospacing="0" w:line="500" w:lineRule="exact"/>
        <w:ind w:firstLine="420"/>
        <w:textAlignment w:val="auto"/>
        <w:rPr>
          <w:rFonts w:hint="eastAsia" w:eastAsia="宋体"/>
          <w:color w:val="auto"/>
          <w:highlight w:val="none"/>
        </w:rPr>
      </w:pPr>
      <w:r>
        <w:rPr>
          <w:rFonts w:hint="eastAsia" w:eastAsia="宋体"/>
          <w:color w:val="auto"/>
          <w:highlight w:val="none"/>
          <w:shd w:val="clear" w:color="auto" w:fill="FFFFFF"/>
        </w:rPr>
        <w:t>开展国土调查与林草湿调查地类专项对接(以下简称地类对接)，全面解决我县林草湿调查监测植被覆盖类型与国土调查二级地类不一致问题。坚持统一底版，统一标准、统一时点，查清全县范围内森林草原湿地资源的数量、质量、结构及其管理等情况，进一步丰富自然资源调查成果，深化完善“三调”一张图，为森林草原湿地管理、造林绿化适宜空间评估、林草地耕地空间布局优化、编制“十五五”规划、支撑森林草原湿地保护发展、推动林草事业高质量发展等提供基础数据。</w:t>
      </w:r>
    </w:p>
    <w:p w14:paraId="36D025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03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2024-11-28T01:43:28Z</dcterms:created>
  <dc:creator>Administrator</dc:creator>
  <cp:lastModifiedBy>吃葡萄要吐菠萝皮</cp:lastModifiedBy>
  <dcterms:modified xsi:type="dcterms:W3CDTF">2024-11-28T01:43:29Z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E8F82BEB74A44EA1A956DDCCBB6091A0_12</vt:lpwstr>
  </property>
</Properties>
</file>