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版本号：HZJZS2025-005120250314001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西安北站和西安绕城高速汉中文旅宣传项目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HZJZS2025-0051</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西安北站和西安绕城高速汉中文旅宣传项目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西安北站和西安绕城高速汉中文旅宣传项目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为充分发挥汉中资源优势，推动汉中文化旅游产业高质量发展，进一步扩大汉中知名度和美誉度，提升汉中文旅资源的品牌形象和市场影响力，拟在 2025年采购西安高铁北站南北廊道东南西北和西安绕城高速Led屏汉中对外形象宣传广告，深度覆盖从高铁和高速自驾两个核心交通来陕的游客，吸引全国各地游客来汉中旅游观光，将汉中建设成为国内知名旅游目的地和世界旅游目的地城市之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采购包1（西安北站和西安绕城高速汉中文旅宣传项目）：属于专门面向小微企业采购。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汉中市汉台区北关街道办事处留侯路东方明珠小区南门临街商铺2层#1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0916-3792520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 0165 0042 0000 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联系人：王宁</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地址：汉中市汉台区北关街道办事处留侯路东方明珠小区南门临街商铺2层#1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为充分发挥汉中资源优势，推动汉中文化旅游产业高质量发展，进一步扩大汉中知名度和美誉度，提升汉中文旅资源的品牌形象和市场影响力，拟在 2025年采购西安高铁北站南北廊道东南西北和西安绕城高速Led屏汉中对外形象宣传广告，深度覆盖从高铁和高速自驾两个核心交通来陕的游客，吸引全国各地游客来汉中旅游观光，将汉中建设成为国内知名旅游目的地和世界旅游目的地城市之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西安北站和西安绕城高速汉中文旅宣传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标的名称：西安北站和西安绕城高速汉中文旅宣传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项目位置要求</w:t>
            </w:r>
          </w:p>
        </w:tc>
        <w:tc>
          <w:tcPr>
            <w:tcW w:type="dxa" w:w="2076"/>
          </w:tcPr>
          <w:p>
            <w:pPr>
              <w:pStyle w:val="null3"/>
              <w:jc w:val="both"/>
            </w:pPr>
            <w:r>
              <w:rPr>
                <w:rFonts w:ascii="仿宋_GB2312" w:hAnsi="仿宋_GB2312" w:cs="仿宋_GB2312" w:eastAsia="仿宋_GB2312"/>
                <w:sz w:val="28"/>
                <w:color w:val="5B9BD5"/>
              </w:rPr>
              <w:t>媒体一位置：西安北站南北廊道东南西北角</w:t>
            </w:r>
          </w:p>
          <w:p>
            <w:pPr>
              <w:pStyle w:val="null3"/>
              <w:jc w:val="both"/>
            </w:pPr>
            <w:r>
              <w:rPr>
                <w:rFonts w:ascii="仿宋_GB2312" w:hAnsi="仿宋_GB2312" w:cs="仿宋_GB2312" w:eastAsia="仿宋_GB2312"/>
                <w:sz w:val="28"/>
                <w:color w:val="5B9BD5"/>
              </w:rPr>
              <w:t>媒体二位置：西安绕城高速收费口</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媒体材质要求</w:t>
            </w:r>
          </w:p>
        </w:tc>
        <w:tc>
          <w:tcPr>
            <w:tcW w:type="dxa" w:w="2076"/>
          </w:tcPr>
          <w:p>
            <w:pPr>
              <w:pStyle w:val="null3"/>
              <w:jc w:val="both"/>
            </w:pPr>
            <w:r>
              <w:rPr>
                <w:rFonts w:ascii="仿宋_GB2312" w:hAnsi="仿宋_GB2312" w:cs="仿宋_GB2312" w:eastAsia="仿宋_GB2312"/>
                <w:sz w:val="28"/>
                <w:color w:val="5B9BD5"/>
              </w:rPr>
              <w:t>高清</w:t>
            </w:r>
            <w:r>
              <w:rPr>
                <w:rFonts w:ascii="仿宋_GB2312" w:hAnsi="仿宋_GB2312" w:cs="仿宋_GB2312" w:eastAsia="仿宋_GB2312"/>
                <w:sz w:val="28"/>
                <w:color w:val="5B9BD5"/>
              </w:rPr>
              <w:t>led</w:t>
            </w:r>
            <w:r>
              <w:rPr>
                <w:rFonts w:ascii="仿宋_GB2312" w:hAnsi="仿宋_GB2312" w:cs="仿宋_GB2312" w:eastAsia="仿宋_GB2312"/>
                <w:sz w:val="28"/>
                <w:color w:val="5B9BD5"/>
              </w:rPr>
              <w:t>屏</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数量尺寸</w:t>
            </w:r>
          </w:p>
        </w:tc>
        <w:tc>
          <w:tcPr>
            <w:tcW w:type="dxa" w:w="2076"/>
          </w:tcPr>
          <w:p>
            <w:pPr>
              <w:pStyle w:val="null3"/>
              <w:jc w:val="both"/>
            </w:pPr>
            <w:r>
              <w:rPr>
                <w:rFonts w:ascii="仿宋_GB2312" w:hAnsi="仿宋_GB2312" w:cs="仿宋_GB2312" w:eastAsia="仿宋_GB2312"/>
                <w:sz w:val="28"/>
              </w:rPr>
              <w:t>媒体一数量：</w:t>
            </w:r>
            <w:r>
              <w:rPr>
                <w:rFonts w:ascii="仿宋_GB2312" w:hAnsi="仿宋_GB2312" w:cs="仿宋_GB2312" w:eastAsia="仿宋_GB2312"/>
                <w:sz w:val="28"/>
              </w:rPr>
              <w:t>4块L</w:t>
            </w:r>
            <w:r>
              <w:rPr>
                <w:rFonts w:ascii="仿宋_GB2312" w:hAnsi="仿宋_GB2312" w:cs="仿宋_GB2312" w:eastAsia="仿宋_GB2312"/>
                <w:sz w:val="28"/>
              </w:rPr>
              <w:t>ed</w:t>
            </w:r>
          </w:p>
          <w:p>
            <w:pPr>
              <w:pStyle w:val="null3"/>
              <w:jc w:val="both"/>
            </w:pPr>
            <w:r>
              <w:rPr>
                <w:rFonts w:ascii="仿宋_GB2312" w:hAnsi="仿宋_GB2312" w:cs="仿宋_GB2312" w:eastAsia="仿宋_GB2312"/>
                <w:sz w:val="28"/>
              </w:rPr>
              <w:t>尺寸：宽</w:t>
            </w:r>
            <w:r>
              <w:rPr>
                <w:rFonts w:ascii="仿宋_GB2312" w:hAnsi="仿宋_GB2312" w:cs="仿宋_GB2312" w:eastAsia="仿宋_GB2312"/>
                <w:sz w:val="28"/>
              </w:rPr>
              <w:t>4.1m*高5m</w:t>
            </w:r>
          </w:p>
          <w:p>
            <w:pPr>
              <w:pStyle w:val="null3"/>
              <w:jc w:val="both"/>
            </w:pPr>
            <w:r>
              <w:rPr>
                <w:rFonts w:ascii="仿宋_GB2312" w:hAnsi="仿宋_GB2312" w:cs="仿宋_GB2312" w:eastAsia="仿宋_GB2312"/>
                <w:sz w:val="28"/>
              </w:rPr>
              <w:t>媒体二数量：</w:t>
            </w:r>
            <w:r>
              <w:rPr>
                <w:rFonts w:ascii="仿宋_GB2312" w:hAnsi="仿宋_GB2312" w:cs="仿宋_GB2312" w:eastAsia="仿宋_GB2312"/>
                <w:sz w:val="28"/>
              </w:rPr>
              <w:t>10个收费站L</w:t>
            </w:r>
            <w:r>
              <w:rPr>
                <w:rFonts w:ascii="仿宋_GB2312" w:hAnsi="仿宋_GB2312" w:cs="仿宋_GB2312" w:eastAsia="仿宋_GB2312"/>
                <w:sz w:val="28"/>
              </w:rPr>
              <w:t>ed</w:t>
            </w:r>
          </w:p>
          <w:p>
            <w:pPr>
              <w:pStyle w:val="null3"/>
              <w:jc w:val="both"/>
            </w:pPr>
            <w:r>
              <w:rPr>
                <w:rFonts w:ascii="仿宋_GB2312" w:hAnsi="仿宋_GB2312" w:cs="仿宋_GB2312" w:eastAsia="仿宋_GB2312"/>
                <w:sz w:val="28"/>
              </w:rPr>
              <w:t>尺寸：宽</w:t>
            </w:r>
            <w:r>
              <w:rPr>
                <w:rFonts w:ascii="仿宋_GB2312" w:hAnsi="仿宋_GB2312" w:cs="仿宋_GB2312" w:eastAsia="仿宋_GB2312"/>
                <w:sz w:val="28"/>
              </w:rPr>
              <w:t>100*高160cm</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投放频次要求</w:t>
            </w:r>
          </w:p>
        </w:tc>
        <w:tc>
          <w:tcPr>
            <w:tcW w:type="dxa" w:w="2076"/>
          </w:tcPr>
          <w:p>
            <w:pPr>
              <w:pStyle w:val="null3"/>
              <w:jc w:val="both"/>
            </w:pPr>
            <w:r>
              <w:rPr>
                <w:rFonts w:ascii="仿宋_GB2312" w:hAnsi="仿宋_GB2312" w:cs="仿宋_GB2312" w:eastAsia="仿宋_GB2312"/>
                <w:sz w:val="28"/>
              </w:rPr>
              <w:t>媒体一：</w:t>
            </w:r>
            <w:r>
              <w:rPr>
                <w:rFonts w:ascii="仿宋_GB2312" w:hAnsi="仿宋_GB2312" w:cs="仿宋_GB2312" w:eastAsia="仿宋_GB2312"/>
                <w:sz w:val="28"/>
              </w:rPr>
              <w:t>30秒300次/日</w:t>
            </w:r>
          </w:p>
          <w:p>
            <w:pPr>
              <w:pStyle w:val="null3"/>
              <w:jc w:val="both"/>
            </w:pPr>
            <w:r>
              <w:rPr>
                <w:rFonts w:ascii="仿宋_GB2312" w:hAnsi="仿宋_GB2312" w:cs="仿宋_GB2312" w:eastAsia="仿宋_GB2312"/>
                <w:sz w:val="28"/>
              </w:rPr>
              <w:t>媒体二：</w:t>
            </w:r>
            <w:r>
              <w:rPr>
                <w:rFonts w:ascii="仿宋_GB2312" w:hAnsi="仿宋_GB2312" w:cs="仿宋_GB2312" w:eastAsia="仿宋_GB2312"/>
                <w:sz w:val="28"/>
              </w:rPr>
              <w:t>10秒300次/日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投放时长</w:t>
            </w:r>
          </w:p>
        </w:tc>
        <w:tc>
          <w:tcPr>
            <w:tcW w:type="dxa" w:w="2076"/>
          </w:tcPr>
          <w:p>
            <w:pPr>
              <w:pStyle w:val="null3"/>
              <w:jc w:val="both"/>
            </w:pPr>
            <w:r>
              <w:rPr>
                <w:rFonts w:ascii="仿宋_GB2312" w:hAnsi="仿宋_GB2312" w:cs="仿宋_GB2312" w:eastAsia="仿宋_GB2312"/>
                <w:sz w:val="28"/>
              </w:rPr>
              <w:t>媒体一：</w:t>
            </w:r>
            <w:r>
              <w:rPr>
                <w:rFonts w:ascii="仿宋_GB2312" w:hAnsi="仿宋_GB2312" w:cs="仿宋_GB2312" w:eastAsia="仿宋_GB2312"/>
                <w:sz w:val="28"/>
              </w:rPr>
              <w:t>3个月</w:t>
            </w:r>
          </w:p>
          <w:p>
            <w:pPr>
              <w:pStyle w:val="null3"/>
              <w:jc w:val="both"/>
            </w:pPr>
            <w:r>
              <w:rPr>
                <w:rFonts w:ascii="仿宋_GB2312" w:hAnsi="仿宋_GB2312" w:cs="仿宋_GB2312" w:eastAsia="仿宋_GB2312"/>
                <w:sz w:val="28"/>
              </w:rPr>
              <w:t>媒体二：</w:t>
            </w:r>
            <w:r>
              <w:rPr>
                <w:rFonts w:ascii="仿宋_GB2312" w:hAnsi="仿宋_GB2312" w:cs="仿宋_GB2312" w:eastAsia="仿宋_GB2312"/>
                <w:sz w:val="28"/>
              </w:rPr>
              <w:t>2个月</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投放内容</w:t>
            </w:r>
          </w:p>
        </w:tc>
        <w:tc>
          <w:tcPr>
            <w:tcW w:type="dxa" w:w="2076"/>
          </w:tcPr>
          <w:p>
            <w:pPr>
              <w:pStyle w:val="null3"/>
              <w:jc w:val="both"/>
            </w:pPr>
            <w:r>
              <w:rPr>
                <w:rFonts w:ascii="仿宋_GB2312" w:hAnsi="仿宋_GB2312" w:cs="仿宋_GB2312" w:eastAsia="仿宋_GB2312"/>
                <w:sz w:val="28"/>
              </w:rPr>
              <w:t>全面展示汉中深厚的文化底蕴、自然生态、历史人文、非遗传承等汉中境内特色、优质文化旅游资源，彰显新形势下汉中环境优美、绿色低碳、宜居宜游的城市风貌，助力全市千亿级文化旅游产业集群发展；</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要求（本项目为服务，不涉及核心产品）</w:t>
            </w:r>
          </w:p>
        </w:tc>
        <w:tc>
          <w:tcPr>
            <w:tcW w:type="dxa" w:w="2076"/>
          </w:tcPr>
          <w:p>
            <w:pPr>
              <w:pStyle w:val="null3"/>
              <w:jc w:val="both"/>
            </w:pPr>
            <w:r>
              <w:rPr>
                <w:rFonts w:ascii="仿宋_GB2312" w:hAnsi="仿宋_GB2312" w:cs="仿宋_GB2312" w:eastAsia="仿宋_GB2312"/>
              </w:rPr>
              <w:t>须具有指定区域所需广告资源发布的发布权或代理权(须提供在有效期内的资源租用合同或代理合同等相关授权证明文件)若因相关授权等问题导致不能及时投放或停止投放等均由供应商承担全部责任。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合同签订，乙方提供展示方案经甲方同意后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合同期限结束，经甲方验收合格后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1.为保证项目顺利备案，在开标当日，需提供印章齐全的纸质版响应文件一正一副，电子版一份。（评审以线上投标文件为准，纸质版只作为备案存档） 2.供应商若因区域所需广告资源发布的发布权或代理授权、广告内容问题导致不能及时投放或停止投放等均由供应商承担全部责任。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汉中市政府采购供应商资格承诺函.pdf 供应商应提交的相关资格证明材料.docx 技术偏离表.docx 残疾人福利性单位声明函 服务方案 标的清单 供应商拒绝政府采购领域商业贿赂承诺书.docx 业绩相关证明材料.docx 项目拟派人员情况表.docx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供应商近三年（即2022年1月1日之后）拥有执行类似项目。（以合同签订时间为准），项目业绩，每个得2.5分，最高得5.0分。 备注：以合同协议书或中标/成交通知书的复印件为准，如合同中无法体现合同签订时间、项目类型等评审因素的，须另提供业主单位证明等相关证明材料复印件。[0-5]分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拟投入本项目的项目负责人外，拟配备的专业服务人员数量超过5人的（含）以上得分5分，不足5人的每少1人扣1分，直至扣完为止。[0-5]分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针对本项目作出具有实质性的后期服务承诺，对采购人提出的服务要求和成果问题能得到及时解决，具有可行性和可信度，根据优劣计[0-5]分。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根据供应商提供的总体服务方案，包括但不限于基本考虑项目服务定位和目标，各阶段服务的实施安排等;从以下方面进行横向比较综合评分: 1.项目整体构思贴合汉中文旅品牌定位;投放内容需符合文旅打造热点门户城市的诉求;2、广告牌的位置醒目、大小、尺寸符合要求；3、布置附间，满足采购人的发布时限要求。按其响应程度赋分[0-30]分。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服务岗位及工作职责</w:t>
            </w:r>
          </w:p>
        </w:tc>
        <w:tc>
          <w:tcPr>
            <w:tcW w:type="dxa" w:w="2492"/>
          </w:tcPr>
          <w:p>
            <w:pPr>
              <w:pStyle w:val="null3"/>
            </w:pPr>
            <w:r>
              <w:rPr>
                <w:rFonts w:ascii="仿宋_GB2312" w:hAnsi="仿宋_GB2312" w:cs="仿宋_GB2312" w:eastAsia="仿宋_GB2312"/>
              </w:rPr>
              <w:t>针对项目提供岗位分布方案，岗位分布计划、岗位职责分工情况安排等，分析其分工是否合理，职责是否明确，是否能最大限度保障项目服务要求，进行综合比较与评价； 根据投标供应商的具体响应情况打分。各项描述内容中不完整、不合理之处，有一处扣1分，直至扣完为止;不提供的不得分。[0-5]分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项目实施进度及交付保障措施</w:t>
            </w:r>
          </w:p>
        </w:tc>
        <w:tc>
          <w:tcPr>
            <w:tcW w:type="dxa" w:w="2492"/>
          </w:tcPr>
          <w:p>
            <w:pPr>
              <w:pStyle w:val="null3"/>
            </w:pPr>
            <w:r>
              <w:rPr>
                <w:rFonts w:ascii="仿宋_GB2312" w:hAnsi="仿宋_GB2312" w:cs="仿宋_GB2312" w:eastAsia="仿宋_GB2312"/>
              </w:rPr>
              <w:t>实施进度及交付保障措施以实施时间进度表体现，进度安排紧凑、时序节点完整，措施全面、应急交付保障措施等内容项内容全面进行综合比较与评价； 各项描述内容中不完整、不合理之处，根据投标供应商的具体响应情况打分。[0-10]分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对突发事件具有完善合理的应急预案，有明确的响应时间，有效的处理措施，进行综合比较与评价。根据投标供应商的具体响应情况打分。各项描述内容中不完整、不合理之处，有一处扣分，不提供的不得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周期保证方案</w:t>
            </w:r>
          </w:p>
        </w:tc>
        <w:tc>
          <w:tcPr>
            <w:tcW w:type="dxa" w:w="2492"/>
          </w:tcPr>
          <w:p>
            <w:pPr>
              <w:pStyle w:val="null3"/>
            </w:pPr>
            <w:r>
              <w:rPr>
                <w:rFonts w:ascii="仿宋_GB2312" w:hAnsi="仿宋_GB2312" w:cs="仿宋_GB2312" w:eastAsia="仿宋_GB2312"/>
              </w:rPr>
              <w:t>项目实施进度计划内容详细、工作节点安排清晰、科学合理可行，可以确保工作优质、高效、顺利完成。 根据响应程度酌情给分[0-10]分。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服务质量及保障措施</w:t>
            </w:r>
          </w:p>
        </w:tc>
        <w:tc>
          <w:tcPr>
            <w:tcW w:type="dxa" w:w="2492"/>
          </w:tcPr>
          <w:p>
            <w:pPr>
              <w:pStyle w:val="null3"/>
            </w:pPr>
            <w:r>
              <w:rPr>
                <w:rFonts w:ascii="仿宋_GB2312" w:hAnsi="仿宋_GB2312" w:cs="仿宋_GB2312" w:eastAsia="仿宋_GB2312"/>
              </w:rPr>
              <w:t>质量管理组织方面，针对本项目设置的质量保证措施，可行性、合理性，符合相关规范及地方法规要求,按其响应程度赋分[0-10]分；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