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CFD45">
      <w:pPr>
        <w:ind w:firstLine="630" w:firstLineChars="300"/>
        <w:rPr>
          <w:rFonts w:hint="eastAsia"/>
        </w:rPr>
      </w:pPr>
      <w:r>
        <w:rPr>
          <w:rFonts w:hint="eastAsia"/>
        </w:rPr>
        <w:t>主要采购在线调解系统、互联网法庭、信息发布系统、法院信息展示系统、</w:t>
      </w:r>
      <w:bookmarkStart w:id="0" w:name="_GoBack"/>
      <w:bookmarkEnd w:id="0"/>
      <w:r>
        <w:rPr>
          <w:rFonts w:hint="eastAsia"/>
        </w:rPr>
        <w:t>液晶显示器、彩色打印机、保密柜、条码打印机、刻录机、录音笔、便携式电脑、执法记录仪等，具体参数等详见采购文件</w:t>
      </w:r>
    </w:p>
    <w:p w14:paraId="3762D5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643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2024-10-08T07:36:34Z</dcterms:created>
  <dc:creator>79218</dc:creator>
  <cp:lastModifiedBy>79218</cp:lastModifiedBy>
  <dcterms:modified xsi:type="dcterms:W3CDTF">2024-10-08T07:38:08Z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CB32E2EA25C046D6BAECCA7AF2033E67_12</vt:lpwstr>
  </property>
</Properties>
</file>