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CF95">
      <w:pPr>
        <w:pStyle w:val="3"/>
        <w:keepNext w:val="0"/>
        <w:pageBreakBefore/>
        <w:numPr>
          <w:numId w:val="0"/>
        </w:numPr>
        <w:jc w:val="center"/>
        <w:rPr>
          <w:rFonts w:hint="default" w:ascii="宋体" w:hAnsi="宋体" w:cs="宋体"/>
          <w:color w:val="000000"/>
          <w:sz w:val="24"/>
          <w:szCs w:val="24"/>
        </w:rPr>
      </w:pPr>
      <w:bookmarkStart w:id="15" w:name="_GoBack"/>
      <w:bookmarkEnd w:id="15"/>
      <w:bookmarkStart w:id="0" w:name="_Toc3740"/>
      <w:r>
        <w:rPr>
          <w:rFonts w:ascii="宋体" w:hAnsi="宋体" w:cs="宋体"/>
          <w:color w:val="000000"/>
          <w:sz w:val="24"/>
          <w:szCs w:val="24"/>
        </w:rPr>
        <w:t>采购内容和技术要求</w:t>
      </w:r>
      <w:bookmarkEnd w:id="0"/>
    </w:p>
    <w:p w14:paraId="227343D3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1、项目招标内容</w:t>
      </w:r>
    </w:p>
    <w:p w14:paraId="3AFDAE13">
      <w:pPr>
        <w:spacing w:after="156" w:afterLines="5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基于北斗的120急救指挥系统托管运维服务项目，提供的运行维护服务包括：相关硬件设备保修与更换，软件的运行维护，业务系统托管，云计算资源的提供，车载终端的安装及SIM卡的更换和续费，驻场工程师现场运维服务。保证用户的信息系统的正常运行，降低整体管理成本，提高网络信息系统的整体服务水平。同时根据日常维护的数据和记录，提供用户信息系统的整体优化建设规划和建议，更好的为用户的信息化发展提供有力的保障。</w:t>
      </w:r>
    </w:p>
    <w:p w14:paraId="310BE020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2、服务方式</w:t>
      </w:r>
    </w:p>
    <w:p w14:paraId="2FA20192">
      <w:pPr>
        <w:spacing w:after="156" w:afterLines="5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1）北斗云数据中心7×24小时现场服务。</w:t>
      </w:r>
    </w:p>
    <w:p w14:paraId="7522FEA0">
      <w:pPr>
        <w:spacing w:after="156" w:afterLines="5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2）5×8小时延安现场运维服务。</w:t>
      </w:r>
    </w:p>
    <w:p w14:paraId="5A8F2FFE">
      <w:pPr>
        <w:spacing w:after="156" w:afterLines="5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3）7×24小时电话支持服务。</w:t>
      </w:r>
    </w:p>
    <w:p w14:paraId="42310475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3．服务期限</w:t>
      </w:r>
    </w:p>
    <w:p w14:paraId="6D84C68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合同生效起一年。</w:t>
      </w:r>
    </w:p>
    <w:p w14:paraId="19C13AEE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4、服务地点</w:t>
      </w:r>
    </w:p>
    <w:p w14:paraId="24FE891D">
      <w:pPr>
        <w:spacing w:after="156" w:afterLines="5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延安市急救指挥中心，北斗云数据中心（西安），延安市区内急救调度指挥系统机构，延安各县城内急救调度指挥系统机构。</w:t>
      </w:r>
    </w:p>
    <w:p w14:paraId="53DEF068">
      <w:pPr>
        <w:spacing w:after="312" w:afterLines="10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其中,延安市区使用基于北斗的120急救调度指挥系统的机构有: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88"/>
        <w:gridCol w:w="5295"/>
      </w:tblGrid>
      <w:tr w14:paraId="0275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2AB99B93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序号</w:t>
            </w:r>
          </w:p>
        </w:tc>
        <w:tc>
          <w:tcPr>
            <w:tcW w:w="2188" w:type="dxa"/>
            <w:vAlign w:val="center"/>
          </w:tcPr>
          <w:p w14:paraId="2D922F6B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单位</w:t>
            </w:r>
          </w:p>
        </w:tc>
        <w:tc>
          <w:tcPr>
            <w:tcW w:w="5295" w:type="dxa"/>
            <w:vAlign w:val="center"/>
          </w:tcPr>
          <w:p w14:paraId="5C31ED9E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地址</w:t>
            </w:r>
          </w:p>
        </w:tc>
      </w:tr>
      <w:tr w14:paraId="1813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768B2A94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53ED6242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延安大学附属医院</w:t>
            </w:r>
          </w:p>
        </w:tc>
        <w:tc>
          <w:tcPr>
            <w:tcW w:w="5295" w:type="dxa"/>
            <w:vAlign w:val="center"/>
          </w:tcPr>
          <w:p w14:paraId="54DF5D82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sz w:val="22"/>
                <w:szCs w:val="21"/>
              </w:rPr>
              <w:t>延安市宝塔区北大街43号</w:t>
            </w:r>
          </w:p>
        </w:tc>
      </w:tr>
      <w:tr w14:paraId="3407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33DC3CAA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2</w:t>
            </w:r>
          </w:p>
        </w:tc>
        <w:tc>
          <w:tcPr>
            <w:tcW w:w="2188" w:type="dxa"/>
            <w:vAlign w:val="center"/>
          </w:tcPr>
          <w:p w14:paraId="23100A18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延安市人民医院</w:t>
            </w:r>
          </w:p>
        </w:tc>
        <w:tc>
          <w:tcPr>
            <w:tcW w:w="5295" w:type="dxa"/>
            <w:vAlign w:val="center"/>
          </w:tcPr>
          <w:p w14:paraId="3960075F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bCs/>
                <w:sz w:val="22"/>
                <w:szCs w:val="21"/>
                <w:lang w:bidi="ar"/>
              </w:rPr>
              <w:t>延安市七里铺大街57号</w:t>
            </w:r>
          </w:p>
        </w:tc>
      </w:tr>
      <w:tr w14:paraId="0C4C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22BA7766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3</w:t>
            </w:r>
          </w:p>
        </w:tc>
        <w:tc>
          <w:tcPr>
            <w:tcW w:w="2188" w:type="dxa"/>
            <w:vAlign w:val="center"/>
          </w:tcPr>
          <w:p w14:paraId="668336B4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延安市博爱医院</w:t>
            </w:r>
          </w:p>
        </w:tc>
        <w:tc>
          <w:tcPr>
            <w:tcW w:w="5295" w:type="dxa"/>
            <w:vAlign w:val="center"/>
          </w:tcPr>
          <w:p w14:paraId="52D68F80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延安市百米大道中段博爱医院</w:t>
            </w:r>
          </w:p>
        </w:tc>
      </w:tr>
      <w:tr w14:paraId="3B85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5AF01F06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4</w:t>
            </w:r>
          </w:p>
        </w:tc>
        <w:tc>
          <w:tcPr>
            <w:tcW w:w="2188" w:type="dxa"/>
            <w:vAlign w:val="center"/>
          </w:tcPr>
          <w:p w14:paraId="48E31BAB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延安市中医医院</w:t>
            </w:r>
          </w:p>
        </w:tc>
        <w:tc>
          <w:tcPr>
            <w:tcW w:w="5295" w:type="dxa"/>
            <w:vAlign w:val="center"/>
          </w:tcPr>
          <w:p w14:paraId="4BA95DF1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延安市宝塔区南大街72号</w:t>
            </w:r>
          </w:p>
        </w:tc>
      </w:tr>
      <w:tr w14:paraId="77B6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132A4569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5</w:t>
            </w:r>
          </w:p>
        </w:tc>
        <w:tc>
          <w:tcPr>
            <w:tcW w:w="2188" w:type="dxa"/>
            <w:vAlign w:val="center"/>
          </w:tcPr>
          <w:p w14:paraId="57B5912E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宝塔区人民医院</w:t>
            </w:r>
          </w:p>
        </w:tc>
        <w:tc>
          <w:tcPr>
            <w:tcW w:w="5295" w:type="dxa"/>
            <w:vAlign w:val="center"/>
          </w:tcPr>
          <w:p w14:paraId="6B8F68DA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延安市宝塔区嘉岭路23号</w:t>
            </w:r>
          </w:p>
        </w:tc>
      </w:tr>
      <w:tr w14:paraId="3BD3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3" w:type="dxa"/>
            <w:vAlign w:val="center"/>
          </w:tcPr>
          <w:p w14:paraId="321B1266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hint="default" w:ascii="宋体" w:hAnsi="宋体" w:cs="宋体"/>
                <w:sz w:val="22"/>
                <w:szCs w:val="21"/>
              </w:rPr>
              <w:t>6</w:t>
            </w:r>
          </w:p>
        </w:tc>
        <w:tc>
          <w:tcPr>
            <w:tcW w:w="2188" w:type="dxa"/>
            <w:vAlign w:val="center"/>
          </w:tcPr>
          <w:p w14:paraId="539DA600"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延安大学附属医院东关分院</w:t>
            </w:r>
          </w:p>
        </w:tc>
        <w:tc>
          <w:tcPr>
            <w:tcW w:w="5295" w:type="dxa"/>
            <w:vAlign w:val="center"/>
          </w:tcPr>
          <w:p w14:paraId="61F62AC2">
            <w:pPr>
              <w:pStyle w:val="15"/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延安市宝塔区桥儿沟路</w:t>
            </w:r>
          </w:p>
        </w:tc>
      </w:tr>
    </w:tbl>
    <w:p w14:paraId="34A6B16B">
      <w:pPr>
        <w:spacing w:before="312" w:beforeLines="100" w:after="312" w:afterLines="100" w:line="360" w:lineRule="auto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延安各县城使用基于北斗的120急救调度指挥系统的机构有：</w:t>
      </w:r>
    </w:p>
    <w:tbl>
      <w:tblPr>
        <w:tblStyle w:val="8"/>
        <w:tblW w:w="82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07"/>
        <w:gridCol w:w="5295"/>
      </w:tblGrid>
      <w:tr w14:paraId="041D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32B4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序号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3259E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单位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6EC8D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地址</w:t>
            </w:r>
          </w:p>
        </w:tc>
      </w:tr>
      <w:tr w14:paraId="14B1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F6D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DD29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吴起县人民医院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245F0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延安市吴起县吴华路东50米</w:t>
            </w:r>
          </w:p>
        </w:tc>
      </w:tr>
      <w:tr w14:paraId="6DC8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BE1C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FD67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志丹县人民医院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95254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</w:t>
            </w:r>
            <w:r>
              <w:rPr>
                <w:rFonts w:ascii="宋体" w:hAnsi="宋体" w:cs="宋体"/>
                <w:color w:val="333333"/>
                <w:kern w:val="0"/>
                <w:sz w:val="22"/>
                <w:szCs w:val="21"/>
              </w:rPr>
              <w:t>保安镇红都街018号</w:t>
            </w:r>
          </w:p>
        </w:tc>
      </w:tr>
      <w:tr w14:paraId="76E9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A5C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147B7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安塞县人民医院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90675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延安市安塞县真郊政村</w:t>
            </w:r>
          </w:p>
        </w:tc>
      </w:tr>
      <w:tr w14:paraId="57EC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B61C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F34CE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子长县人民医院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97437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延安市子长县地区子长县冯家屯乡秀延街29号</w:t>
            </w:r>
          </w:p>
        </w:tc>
      </w:tr>
      <w:tr w14:paraId="1161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ECC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2457D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延川县人民医院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087AE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延安市延川县南大街三雄大酒店附近</w:t>
            </w:r>
          </w:p>
        </w:tc>
      </w:tr>
      <w:tr w14:paraId="36923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91B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2A820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延长县人民医院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88A66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延安市延长西大街</w:t>
            </w:r>
          </w:p>
        </w:tc>
      </w:tr>
      <w:tr w14:paraId="2197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057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F807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甘泉县人民医院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B1529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延安市甘泉县康乐路与美水巷交叉口北50米</w:t>
            </w:r>
          </w:p>
        </w:tc>
      </w:tr>
      <w:tr w14:paraId="17C4E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609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60128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洛川县人民医院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2AE1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延安市洛川县凤栖镇府前街8号</w:t>
            </w:r>
          </w:p>
        </w:tc>
      </w:tr>
      <w:tr w14:paraId="193D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AEE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A61CF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黄陵县人民医院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72688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延安市黄陵县土德路96号</w:t>
            </w:r>
          </w:p>
        </w:tc>
      </w:tr>
      <w:tr w14:paraId="7F20D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DB6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2742E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宜川县人民医院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00086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延安市宜川县南大街</w:t>
            </w:r>
          </w:p>
        </w:tc>
      </w:tr>
      <w:tr w14:paraId="42853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FAD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2189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黄龙县人民医院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66248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延安市黄龙县中心街39号</w:t>
            </w:r>
          </w:p>
        </w:tc>
      </w:tr>
      <w:tr w14:paraId="0DE6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460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64E95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富县人民医院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18924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延安市富县人民医院富城镇正街84号</w:t>
            </w:r>
          </w:p>
        </w:tc>
      </w:tr>
    </w:tbl>
    <w:p w14:paraId="6EA5CD0C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szCs w:val="24"/>
        </w:rPr>
      </w:pPr>
    </w:p>
    <w:p w14:paraId="69B82D6F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5、服务职责</w:t>
      </w:r>
    </w:p>
    <w:p w14:paraId="59B3E0B3">
      <w:pPr>
        <w:pStyle w:val="6"/>
        <w:snapToGrid w:val="0"/>
        <w:spacing w:after="156" w:afterLines="50" w:line="360" w:lineRule="auto"/>
        <w:ind w:firstLine="480" w:firstLineChars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中标方确保所有服务范围内各系统的安全稳定运行，并对此负相应责任。</w:t>
      </w:r>
    </w:p>
    <w:p w14:paraId="64C02A03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中标方应根据招标方的实际情况和要求，对服务范围内硬件提供保修服务。如出现硬件故障，中标方应提供备品备件予以更换，中标方所提供的备件应为全新、未使用的正品备件。硬件清单见</w:t>
      </w:r>
      <w:r>
        <w:rPr>
          <w:rFonts w:hAnsi="宋体" w:cs="宋体"/>
          <w:b/>
          <w:kern w:val="0"/>
          <w:sz w:val="24"/>
          <w:szCs w:val="24"/>
        </w:rPr>
        <w:t>附件一</w:t>
      </w:r>
      <w:r>
        <w:rPr>
          <w:rFonts w:hAnsi="宋体" w:cs="宋体"/>
          <w:kern w:val="0"/>
          <w:sz w:val="24"/>
          <w:szCs w:val="24"/>
        </w:rPr>
        <w:t>。</w:t>
      </w:r>
    </w:p>
    <w:p w14:paraId="3B18A003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对于硬件产品有定期保养需求的，应依照产品使用手册规定的保养期限进行定期保养并做好记录，并提供相关耗材。对于经统计为易损备件的，应拟定替换计划，经招标方批准后，及时更换易损关键备件，防止单点故障造成业务系统停顿。</w:t>
      </w:r>
    </w:p>
    <w:p w14:paraId="3ABF74A6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中标方应根据招标方的实际情况和要求，对服务范围内软件提供维护服务，北斗云中心及</w:t>
      </w:r>
      <w:r>
        <w:rPr>
          <w:rFonts w:hAnsi="宋体" w:cs="宋体"/>
          <w:color w:val="000000"/>
          <w:sz w:val="24"/>
          <w:szCs w:val="24"/>
        </w:rPr>
        <w:t>延安市急救指挥中心</w:t>
      </w:r>
      <w:r>
        <w:rPr>
          <w:rFonts w:hAnsi="宋体" w:cs="宋体"/>
          <w:kern w:val="0"/>
          <w:sz w:val="24"/>
          <w:szCs w:val="24"/>
        </w:rPr>
        <w:t>各系统每日进行一次巡检，按月提交巡检报告。具体的运维监控指标、监控内容、优化措施等均由投标方自行拟定，中标后经招标方审批后执行。中标方应确保监控指标全面、详细、无遗漏，能确保招标方系统连续、稳定、流畅运行。软件清单见</w:t>
      </w:r>
      <w:r>
        <w:rPr>
          <w:rFonts w:hAnsi="宋体" w:cs="宋体"/>
          <w:b/>
          <w:kern w:val="0"/>
          <w:sz w:val="24"/>
          <w:szCs w:val="24"/>
        </w:rPr>
        <w:t>附件二</w:t>
      </w:r>
      <w:r>
        <w:rPr>
          <w:rFonts w:hAnsi="宋体" w:cs="宋体"/>
          <w:kern w:val="0"/>
          <w:sz w:val="24"/>
          <w:szCs w:val="24"/>
        </w:rPr>
        <w:t>。</w:t>
      </w:r>
    </w:p>
    <w:p w14:paraId="5DEACAD0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中标方应对系统提供优化服务，包括性能优化与功能优化。</w:t>
      </w:r>
    </w:p>
    <w:p w14:paraId="1373647B">
      <w:pPr>
        <w:spacing w:after="312" w:afterLines="10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按照延安市急救指挥中心要求进行其他功能和性能的优化，确保整体系统运行流畅。</w:t>
      </w:r>
    </w:p>
    <w:p w14:paraId="4CE29122">
      <w:pPr>
        <w:spacing w:after="312" w:afterLines="100" w:line="360" w:lineRule="auto"/>
        <w:ind w:firstLine="480" w:firstLineChars="200"/>
        <w:rPr>
          <w:rFonts w:hint="default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系统优化不得对现有业务系统的正常处理产生不良影响，中标方应自行搭建测试环境，不得使用招标方已有生产环境作为测试环境。</w:t>
      </w:r>
    </w:p>
    <w:p w14:paraId="2AE6A603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对系统故障在限定时间内处理并提交故障处理报告。</w:t>
      </w:r>
    </w:p>
    <w:p w14:paraId="6D7B80B4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提供系统运行所需的云环境，包括：网络、计算、存储、安全设备等。中标方应无条件保障系统稳定、流畅运行所需的资源，如出现因资源不足导致系统反应缓慢、程序错误等问题，应立即增加系统资源，直到满足系统稳定要求。所需费用由中标方承担，云系统资源清单如</w:t>
      </w:r>
      <w:r>
        <w:rPr>
          <w:rFonts w:hAnsi="宋体" w:cs="宋体"/>
          <w:b/>
          <w:kern w:val="0"/>
          <w:sz w:val="24"/>
          <w:szCs w:val="24"/>
        </w:rPr>
        <w:t>附件三</w:t>
      </w:r>
      <w:r>
        <w:rPr>
          <w:rFonts w:hAnsi="宋体" w:cs="宋体"/>
          <w:kern w:val="0"/>
          <w:sz w:val="24"/>
          <w:szCs w:val="24"/>
        </w:rPr>
        <w:t>。</w:t>
      </w:r>
    </w:p>
    <w:p w14:paraId="36055B66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color w:val="000000"/>
          <w:kern w:val="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对车载终端进行软硬件升级，更换无法使用的车载终端设备，并优化调度流程和音视频传输和存储，以及SIM卡更换和续费，保证车载终端的使用。</w:t>
      </w:r>
    </w:p>
    <w:p w14:paraId="06902203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color w:val="000000"/>
          <w:kern w:val="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提供不少于4人运维工程师现场运维服务，其中两人在延安市急救指挥中心驻场服务，另外两人在北斗云中心驻场服务。运维人员知识技能需满足系统稳定运行要求。</w:t>
      </w:r>
    </w:p>
    <w:p w14:paraId="62758B47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color w:val="000000"/>
          <w:kern w:val="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出现安全事件时，中标方应第一时间处理，必要时配合公安机关取证。</w:t>
      </w:r>
    </w:p>
    <w:p w14:paraId="526D19DA">
      <w:pPr>
        <w:pStyle w:val="6"/>
        <w:numPr>
          <w:ilvl w:val="0"/>
          <w:numId w:val="1"/>
        </w:numPr>
        <w:snapToGrid w:val="0"/>
        <w:spacing w:after="156" w:afterLines="50" w:line="360" w:lineRule="auto"/>
        <w:ind w:left="0" w:firstLine="200"/>
        <w:rPr>
          <w:rFonts w:hint="default" w:hAnsi="宋体" w:cs="宋体"/>
          <w:sz w:val="22"/>
        </w:rPr>
      </w:pPr>
      <w:r>
        <w:rPr>
          <w:rFonts w:hAnsi="宋体" w:cs="宋体"/>
          <w:sz w:val="24"/>
          <w:szCs w:val="24"/>
        </w:rPr>
        <w:t>中标方应采取措施，对招标方的所有相关数据保密，不得外泄。</w:t>
      </w:r>
    </w:p>
    <w:p w14:paraId="3E85B216">
      <w:pPr>
        <w:autoSpaceDE w:val="0"/>
        <w:autoSpaceDN w:val="0"/>
        <w:adjustRightInd w:val="0"/>
        <w:snapToGrid w:val="0"/>
        <w:spacing w:line="360" w:lineRule="auto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6、服务考核</w:t>
      </w:r>
    </w:p>
    <w:p w14:paraId="2A0DD36E">
      <w:pPr>
        <w:spacing w:line="360" w:lineRule="auto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按照以下要求进行服务考核：</w:t>
      </w:r>
    </w:p>
    <w:tbl>
      <w:tblPr>
        <w:tblStyle w:val="8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411"/>
        <w:gridCol w:w="1779"/>
      </w:tblGrid>
      <w:tr w14:paraId="1F84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E9D7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故障级别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D6DC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响应时间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AEBC91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故障解决时间</w:t>
            </w:r>
          </w:p>
        </w:tc>
      </w:tr>
      <w:tr w14:paraId="7495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E77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I级：属于紧急问题；其具体现象为：系统崩溃导致业务停止、数据丢失。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9258E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立即响应，2小时内提交故障处理方案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288C3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24小时以内</w:t>
            </w:r>
          </w:p>
        </w:tc>
      </w:tr>
      <w:tr w14:paraId="6423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A190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II级：属于严重问题；其具体现象为：出现部分部件失效、系统性能下降但能正常运行，不影响正常业务运作。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D1D594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立即响应，2小时内提交故障处理方案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B2E15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48小时以内</w:t>
            </w:r>
          </w:p>
        </w:tc>
      </w:tr>
      <w:tr w14:paraId="24D1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27F8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III级：属于较严重问题；其具体现象为：出现系统报错或警告，但业务系统能继续运行且性能不受影响。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2890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立即响应，4小时内提交故障处理方案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B037D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48小时以内</w:t>
            </w:r>
          </w:p>
        </w:tc>
      </w:tr>
      <w:tr w14:paraId="4823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3D09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IV级：属于普通问题；其具体现象为：系统技术功能、安装或配置咨询，或其他显然不影响业务的预约服务。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74675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30分钟内响应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6B539">
            <w:pPr>
              <w:spacing w:line="360" w:lineRule="auto"/>
              <w:rPr>
                <w:rFonts w:hint="default"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72小时以内</w:t>
            </w:r>
          </w:p>
        </w:tc>
      </w:tr>
    </w:tbl>
    <w:p w14:paraId="01D55D8D">
      <w:pPr>
        <w:spacing w:before="312" w:beforeLines="100"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中标方考核满分为100分，当出现I级、II级故障时，未按照上述时限要求的响应或解决故障的每出现一次扣2分；当出现III级、IV级故障时，未按照上述时限要求的响应或解决故障的每出现一次扣1分。</w:t>
      </w:r>
    </w:p>
    <w:p w14:paraId="7172A3EA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服务期满进行服务考核，高于90分可考虑续签；70至90分之间不考虑续签；低于70分，予以经济处罚。</w:t>
      </w:r>
    </w:p>
    <w:p w14:paraId="560742F7">
      <w:pPr>
        <w:autoSpaceDE w:val="0"/>
        <w:autoSpaceDN w:val="0"/>
        <w:adjustRightInd w:val="0"/>
        <w:snapToGrid w:val="0"/>
        <w:spacing w:line="360" w:lineRule="auto"/>
        <w:rPr>
          <w:rFonts w:hint="default"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/>
          <w:b/>
          <w:sz w:val="24"/>
          <w:szCs w:val="24"/>
          <w:lang w:val="zh-CN"/>
        </w:rPr>
        <w:t>7、服务技术标准</w:t>
      </w:r>
    </w:p>
    <w:p w14:paraId="6FA0F158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本项目应遵照ITSS、ISO27001、I</w:t>
      </w:r>
      <w:r>
        <w:rPr>
          <w:rFonts w:hint="default" w:ascii="宋体" w:hAnsi="宋体" w:cs="宋体"/>
          <w:sz w:val="24"/>
          <w:szCs w:val="24"/>
        </w:rPr>
        <w:t>SO20000</w:t>
      </w:r>
      <w:r>
        <w:rPr>
          <w:rFonts w:ascii="宋体" w:hAnsi="宋体" w:cs="宋体"/>
          <w:sz w:val="24"/>
          <w:szCs w:val="24"/>
        </w:rPr>
        <w:t>等标准，按照运维方案要求，开展运维服务工作。</w:t>
      </w:r>
    </w:p>
    <w:p w14:paraId="0C57A13A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bookmarkStart w:id="1" w:name="_Toc239492900"/>
      <w:bookmarkEnd w:id="1"/>
      <w:bookmarkStart w:id="2" w:name="_Toc235530026"/>
      <w:bookmarkEnd w:id="2"/>
      <w:bookmarkStart w:id="3" w:name="_Toc232781455"/>
      <w:bookmarkEnd w:id="3"/>
      <w:r>
        <w:rPr>
          <w:rFonts w:ascii="宋体" w:hAnsi="宋体" w:cs="宋体"/>
          <w:sz w:val="24"/>
          <w:szCs w:val="24"/>
        </w:rPr>
        <w:t>1、项目组织</w:t>
      </w:r>
    </w:p>
    <w:p w14:paraId="18D0E30C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双方委派指定人员分别组成项目组。其中，中标方委派人员应当与本项目的实施要求相适应，并符合本项目招标文件有关人员的能力要求，以及中标方在投标文件中对各岗位的人员安排。</w:t>
      </w:r>
    </w:p>
    <w:p w14:paraId="20A306F2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bookmarkStart w:id="4" w:name="_Toc239492901"/>
      <w:bookmarkEnd w:id="4"/>
      <w:bookmarkStart w:id="5" w:name="_Toc235530027"/>
      <w:bookmarkEnd w:id="5"/>
      <w:bookmarkStart w:id="6" w:name="_Toc232781456"/>
      <w:bookmarkEnd w:id="6"/>
      <w:r>
        <w:rPr>
          <w:rFonts w:ascii="宋体" w:hAnsi="宋体" w:cs="宋体"/>
          <w:sz w:val="24"/>
          <w:szCs w:val="24"/>
        </w:rPr>
        <w:t>2、信息与资料提供</w:t>
      </w:r>
    </w:p>
    <w:p w14:paraId="294E459C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（1）中标方指导协助招标方建立相应的基础数据档案，帮助建立相关文档资料。</w:t>
      </w:r>
    </w:p>
    <w:p w14:paraId="3AD14764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（2）中标方积极配合招标方组织的项目验收活动，提供符合规范的项目文档。</w:t>
      </w:r>
    </w:p>
    <w:p w14:paraId="09AC9961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bookmarkStart w:id="7" w:name="_Toc232781458"/>
      <w:bookmarkEnd w:id="7"/>
      <w:bookmarkStart w:id="8" w:name="_Toc232781457"/>
      <w:bookmarkEnd w:id="8"/>
      <w:bookmarkStart w:id="9" w:name="_Toc235530029"/>
      <w:bookmarkEnd w:id="9"/>
      <w:bookmarkStart w:id="10" w:name="_Toc235530028"/>
      <w:bookmarkEnd w:id="10"/>
      <w:bookmarkStart w:id="11" w:name="_Toc239492902"/>
      <w:bookmarkEnd w:id="11"/>
      <w:bookmarkStart w:id="12" w:name="_Toc239492903"/>
      <w:bookmarkEnd w:id="12"/>
      <w:r>
        <w:rPr>
          <w:rFonts w:ascii="宋体" w:hAnsi="宋体" w:cs="宋体"/>
          <w:sz w:val="24"/>
          <w:szCs w:val="24"/>
        </w:rPr>
        <w:t>3、运维服务报告</w:t>
      </w:r>
    </w:p>
    <w:p w14:paraId="3D84CDBE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中标方应当按照以下方式向招标方提交书面服务报告：</w:t>
      </w:r>
    </w:p>
    <w:p w14:paraId="2AD5D202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于每月结束后5个工作日内提交服务报告，运维服务报告的内容包括：设备巡检记录、故障处理报告、设备维修更换报告等。</w:t>
      </w:r>
    </w:p>
    <w:p w14:paraId="67E6645A">
      <w:pPr>
        <w:spacing w:after="156" w:afterLines="50"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软件系统每季度进行一次全面检查并出具报告，硬件设备每半年进行一次全面检查并出具报告。</w:t>
      </w:r>
    </w:p>
    <w:p w14:paraId="0CA4B16E">
      <w:pPr>
        <w:pStyle w:val="4"/>
        <w:spacing w:line="240" w:lineRule="auto"/>
        <w:rPr>
          <w:rFonts w:hint="default" w:ascii="宋体" w:hAnsi="宋体" w:cs="宋体"/>
          <w:sz w:val="28"/>
          <w:szCs w:val="24"/>
        </w:rPr>
      </w:pPr>
      <w:r>
        <w:rPr>
          <w:rFonts w:ascii="宋体" w:hAnsi="宋体" w:cs="宋体"/>
          <w:sz w:val="28"/>
          <w:szCs w:val="24"/>
        </w:rPr>
        <w:t>附件一</w:t>
      </w:r>
      <w:bookmarkStart w:id="13" w:name="_Toc458085811"/>
      <w:bookmarkStart w:id="14" w:name="_Toc458086215"/>
      <w:r>
        <w:rPr>
          <w:rFonts w:ascii="宋体" w:hAnsi="宋体" w:cs="宋体"/>
          <w:sz w:val="28"/>
          <w:szCs w:val="24"/>
        </w:rPr>
        <w:t xml:space="preserve"> 硬件系统清单</w:t>
      </w:r>
    </w:p>
    <w:bookmarkEnd w:id="13"/>
    <w:bookmarkEnd w:id="14"/>
    <w:tbl>
      <w:tblPr>
        <w:tblStyle w:val="8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275"/>
        <w:gridCol w:w="3402"/>
        <w:gridCol w:w="851"/>
        <w:gridCol w:w="879"/>
      </w:tblGrid>
      <w:tr w14:paraId="6334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78F8C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A561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资产名称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76AEE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品牌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E0D7F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7D3B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单位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90DD7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数量</w:t>
            </w:r>
          </w:p>
        </w:tc>
      </w:tr>
      <w:tr w14:paraId="1CD1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AA4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69B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电话录音系统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D72E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申瓯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E739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SOC19008进8出500G硬盘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4657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5F76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18</w:t>
            </w:r>
          </w:p>
        </w:tc>
      </w:tr>
      <w:tr w14:paraId="44643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B00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867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电话会议系统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1294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好会通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8E07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HHT-HC-B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8B34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3DBC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0DA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99D4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8D3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高清数字投影机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F950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NEC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5DE2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PA651X+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59A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2D7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B54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EEC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08C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投影升降幕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389A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红叶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4402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150寸4:3白塑电动幕布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D0CE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3D3E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7E9F2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479A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E9E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UPS电源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88AB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艾特网能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AC3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昆仑UE-0300KVA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12E4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9C03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28D7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8BD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F43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机房精密空调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9F42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艾特网能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7B19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CS020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B82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60A5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1441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78CC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A42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配电柜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3B9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艾特网能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1D84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壁挂式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31B4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9189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6D3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F48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D17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七氟丙烷灭火装置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0837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赛福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FA0D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120L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AAF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6CA1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1434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FB8D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A2D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点型光电感烟火灾探测器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DD55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D5BB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JTY-GD-G3T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46CD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093D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</w:tr>
      <w:tr w14:paraId="00B3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55D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1E8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点型感温火灾探测器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13A8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ADC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JTW-ZCD-G3N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994F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5798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</w:tr>
      <w:tr w14:paraId="44F93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2B4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C5B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气体灭火控制系统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2E60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FF60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GST-QKP04含联网卡、报警器、按钮等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EF57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C139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1156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428D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BC6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机房门禁系统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DC90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PROIS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4F73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单门门禁系统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BE5B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C42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0A80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047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AEC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机房视频监控系统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503E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469B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8路硬盘录像机和3台半球摄像机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7C04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781B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</w:tr>
      <w:tr w14:paraId="73E70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052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AD1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急救站大屏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92CB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559F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65英寸LED平板电视带挂装支架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A6CA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BE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18</w:t>
            </w:r>
          </w:p>
        </w:tc>
      </w:tr>
      <w:tr w14:paraId="54E2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9A8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0A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急救站的工作站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FDFB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联想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E87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ThinkStationP300SFF小机箱工作站(i7-4790/8G/1T/刻录光驱)，21.5寸液晶显示器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055D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9558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18</w:t>
            </w:r>
          </w:p>
        </w:tc>
      </w:tr>
      <w:tr w14:paraId="38073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EA9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D05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北斗车载终端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B7A0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定制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F47C9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D5D7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679B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80</w:t>
            </w:r>
          </w:p>
        </w:tc>
      </w:tr>
      <w:tr w14:paraId="0422F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6D23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038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视频传输终端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469A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定制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160A4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159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852F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80</w:t>
            </w:r>
          </w:p>
        </w:tc>
      </w:tr>
      <w:tr w14:paraId="20EC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F37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405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会议专用音箱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D3BD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CFA2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AT-10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55E3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D53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</w:tr>
      <w:tr w14:paraId="41DD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2798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C03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扩声功放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753E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8EC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C9.2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505D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123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</w:tr>
      <w:tr w14:paraId="5CFF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67E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6A4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数字网络音频媒体矩阵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CCE2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90E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DP48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8DD3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03E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7F8C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17C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18F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调音台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0BC5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百威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616F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PV14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04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3B52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3304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CF2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030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均衡器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941C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CAE1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GEQ230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01A9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942C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4EA33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130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E40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反馈抑制器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FCCF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百威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8194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DF224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F371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1A6A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1DFA5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E55D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DD5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鹅颈话筒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24D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DD65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5CFE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BA0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14:paraId="4925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8356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3F6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高性能网络化可编程主机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E38D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9BE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RX-M8900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5845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24B0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22D4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B84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64D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无线可编程触屏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C7F4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三星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5AE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A10E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2DD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4624B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242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24D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电源控制器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528A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6280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RX-PM8000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A4A5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2D57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857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BA4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2EA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无线接收器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095F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TP-LINK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6ABC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TL-WVR300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9CDB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58AB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7957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EF0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19D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多格式无缝切换数字矩阵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E99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ED3A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RX-MDN18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B4AB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D670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4069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915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CA1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DLP拼接大屏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B3A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EXV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5366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DMVisionE60HD2X4拼接系统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3E9A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766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CE5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D18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E98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会议专用音箱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BD6C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C72D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AT-10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031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75B4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</w:tr>
      <w:tr w14:paraId="69C37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E51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8AE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扩声功放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E74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5D98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C9.2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6978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042E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</w:tr>
      <w:tr w14:paraId="087E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0E2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9BA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数字网络音频媒体矩阵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390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C959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DP48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2C07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E07D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2F62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20EA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BF8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调音台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EFE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百威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F29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PV14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6AF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88F8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761F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380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31A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均衡器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35D4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906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GEQ230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C10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FA5F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7302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258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B49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反馈抑制器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F64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39B9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DF224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51C3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754F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3C9A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32B7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981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数字会议系统主机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DA7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2CEF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RX-V3.1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B5A4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379F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578E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E09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82E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电子桌牌会议主席单元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AEE0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9492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RX-C6641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8E84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4276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4C5C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1E6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806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电子桌牌会议代表单元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6B67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3F4E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RX-D6641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67EA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4E25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9</w:t>
            </w:r>
          </w:p>
        </w:tc>
      </w:tr>
      <w:tr w14:paraId="6DF2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5D3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D94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高性能网络化可编程主机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510C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25A4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RX-M8900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ED6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A8B6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5FA3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BD8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C21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无线可编程触屏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3519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三星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E871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764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5AF1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35F6A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7ED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12C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无线接收器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1D13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TP-LINK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4BC5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TL-WVR300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9613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5DF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0DD3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90AD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B14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电源控制器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E5B0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6A14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RX-PM8000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753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777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069D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25B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DBB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电源时序器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8718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7A8B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SC802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9E0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BE7E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06120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94D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AE7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多格式无缝切换数字矩阵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9AB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雷蒙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C358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RX-MDN18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D5E7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FBC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3D3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0FB7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6DC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多媒体桌插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723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力美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76D2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包含HDMI、VGA、话筒、电话、网络、电源接口、3.5mm音频接口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3F0C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7BF5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</w:tr>
      <w:tr w14:paraId="0330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432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458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火灾报警控制系统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3FAE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D681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指挥大厅消防报警系统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F94C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B35E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69E7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4C8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8EB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调度客户端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AF1C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联想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9227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ThinkStationP300SFF小机箱工作站(i7-4790/8G/1T/刻录光驱)，21.5寸液晶显示器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C5FF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B333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9</w:t>
            </w:r>
          </w:p>
        </w:tc>
      </w:tr>
      <w:tr w14:paraId="23DA7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A3E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AC35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接入交换机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5E9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中兴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3CCD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5250-28TC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6D84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328A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14:paraId="1262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4E3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6CF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北斗指挥机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6446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北京星桥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A43F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SN2Z13FC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DFE7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8341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77512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200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8F7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LED条屏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25C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洲明光电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3BAE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P3双色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722A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平米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A44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3.3</w:t>
            </w:r>
          </w:p>
        </w:tc>
      </w:tr>
      <w:tr w14:paraId="5EFF2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3848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4E8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柜式空调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E25C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CE91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海尔（Haier）5匹柜机适用46-70㎡含人工费6年包修380V商用中央空调二级能效KFRd-120L/BAC12乳白色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6D2F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70F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</w:tr>
      <w:tr w14:paraId="7F8E2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59FB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B6B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服务器交换机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6F54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中兴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C6F3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5928E，双电源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2B93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93E7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14:paraId="598DB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E12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29C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存储服务器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268E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曙光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EFC7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DS600-G20，3U16盘位设计，2个存储控制器，32GBCache，8个1GbISCSI主机接口+8个8GbFC主机接口，25块4TB3.5吋6GbSATA企业级热插拔SAS硬盘，128个用户授权许可，冗余电源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7B4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E64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1DDB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DD09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B8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互联网接入第二代防火墙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A27B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迪普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88B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FW1000-GE-N，标准2U机架设备,标配8个千兆电口，2个千兆光口，并含2个高速USB2.0接口，1个RJ45串口；整机吞吐量14Gbps，并发连接数1800000；标配冗余电源；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7B9E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323A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769F1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7774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D85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视频服务器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2D9F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曙光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D58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I620-G20，2U机架式服务器；2颗XeonE5-2609v3主频：1.9G处理器：6核，共计12个物理计算核心；2*16GBECCDDR42133内存；2块300GB10K2.5寸SAS热插拔硬盘；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DC05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7B67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7875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7B73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8BA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接入交换机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560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中兴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F284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5250-28TC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8163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9E6B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2F199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9EFE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2E1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UAP3300排队机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2FDC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华为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E717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UAP3300通用接入平台交流一体化机框组件(含电源，双主控板，媒体资源子系统，4E1数字中继);15坐席用户端口许可;UAP3300通用接入平台交流一体化机框组件(含电源)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3C89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DA9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43308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49D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960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eSpaceIAD综合接入设备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FEF0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华为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25FD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综合接入设备主机(16口,含电源模块、16路用户电缆2根);综合接入设备主机(16口,含电源模块）硬件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4D6E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58DD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337B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6B9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46D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呼叫中心专用耳麦话机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39A0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国产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88BA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7DB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D3BC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9</w:t>
            </w:r>
          </w:p>
        </w:tc>
      </w:tr>
      <w:tr w14:paraId="0B54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CAB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096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路由平台服务器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57BD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曙光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D518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型号：I620-G20，2U机架式服务器；2颗XeonE5-2609v3；2*8GBECCDDR42133内存；2块300GB10K2.5寸SAS热插拔硬盘；配置6口千兆网卡；冗余热插拔高效能服务器专用电源；超薄DVD-RW光驱；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9BF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05D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50B1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E06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B67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数据库服务器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129F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曙光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5CD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型号：I620-G20，2U机架式服务器；2颗XeonE5-2609v3处理器；2*8GBECCDDR42133内存；8块300GB10K2.5寸SAS热插拔硬盘；配置6口千兆网卡；冗余热插拔高效能服务器专用电源；超薄DVD-RW光驱；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AC26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1C86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</w:tbl>
    <w:p w14:paraId="61EC2622">
      <w:pPr>
        <w:pStyle w:val="4"/>
        <w:spacing w:line="240" w:lineRule="auto"/>
        <w:rPr>
          <w:rFonts w:ascii="宋体" w:hAnsi="宋体" w:cs="宋体"/>
          <w:sz w:val="28"/>
          <w:szCs w:val="24"/>
        </w:rPr>
      </w:pPr>
    </w:p>
    <w:p w14:paraId="37A31AA8">
      <w:pPr>
        <w:pStyle w:val="4"/>
        <w:spacing w:line="240" w:lineRule="auto"/>
        <w:rPr>
          <w:rFonts w:hint="default" w:ascii="宋体" w:hAnsi="宋体" w:cs="宋体"/>
          <w:sz w:val="28"/>
          <w:szCs w:val="24"/>
        </w:rPr>
      </w:pPr>
      <w:r>
        <w:rPr>
          <w:rFonts w:ascii="宋体" w:hAnsi="宋体" w:cs="宋体"/>
          <w:sz w:val="28"/>
          <w:szCs w:val="24"/>
        </w:rPr>
        <w:t>附件二 软件系统清单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292"/>
        <w:gridCol w:w="1370"/>
        <w:gridCol w:w="963"/>
        <w:gridCol w:w="961"/>
      </w:tblGrid>
      <w:tr w14:paraId="261B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</w:tcPr>
          <w:p w14:paraId="07426E8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863" w:type="pct"/>
            <w:vAlign w:val="center"/>
          </w:tcPr>
          <w:p w14:paraId="1A97268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名称</w:t>
            </w:r>
          </w:p>
        </w:tc>
        <w:tc>
          <w:tcPr>
            <w:tcW w:w="741" w:type="pct"/>
          </w:tcPr>
          <w:p w14:paraId="33AE020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品牌</w:t>
            </w:r>
          </w:p>
        </w:tc>
        <w:tc>
          <w:tcPr>
            <w:tcW w:w="521" w:type="pct"/>
            <w:vAlign w:val="center"/>
          </w:tcPr>
          <w:p w14:paraId="359193F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单位</w:t>
            </w:r>
          </w:p>
        </w:tc>
        <w:tc>
          <w:tcPr>
            <w:tcW w:w="520" w:type="pct"/>
            <w:vAlign w:val="center"/>
          </w:tcPr>
          <w:p w14:paraId="2CE69CD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数量</w:t>
            </w:r>
          </w:p>
        </w:tc>
      </w:tr>
      <w:tr w14:paraId="291E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</w:tcPr>
          <w:p w14:paraId="0A3170B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2863" w:type="pct"/>
          </w:tcPr>
          <w:p w14:paraId="25BDB15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基于北斗的120市级指挥系统</w:t>
            </w:r>
          </w:p>
        </w:tc>
        <w:tc>
          <w:tcPr>
            <w:tcW w:w="741" w:type="pct"/>
          </w:tcPr>
          <w:p w14:paraId="7948109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北斗金控</w:t>
            </w:r>
          </w:p>
        </w:tc>
        <w:tc>
          <w:tcPr>
            <w:tcW w:w="521" w:type="pct"/>
          </w:tcPr>
          <w:p w14:paraId="5CB087F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520" w:type="pct"/>
          </w:tcPr>
          <w:p w14:paraId="7B5C907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101E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55" w:type="pct"/>
          </w:tcPr>
          <w:p w14:paraId="14F2823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2863" w:type="pct"/>
          </w:tcPr>
          <w:p w14:paraId="367B27B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基于北斗的120急救站管理系统</w:t>
            </w:r>
          </w:p>
        </w:tc>
        <w:tc>
          <w:tcPr>
            <w:tcW w:w="741" w:type="pct"/>
          </w:tcPr>
          <w:p w14:paraId="2DB065B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北斗金控</w:t>
            </w:r>
          </w:p>
        </w:tc>
        <w:tc>
          <w:tcPr>
            <w:tcW w:w="521" w:type="pct"/>
          </w:tcPr>
          <w:p w14:paraId="633BC29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520" w:type="pct"/>
          </w:tcPr>
          <w:p w14:paraId="06A5579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30CE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</w:tcPr>
          <w:p w14:paraId="7BE0164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2863" w:type="pct"/>
          </w:tcPr>
          <w:p w14:paraId="5EC49EB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基于北斗的120急救指挥车载终端软件</w:t>
            </w:r>
          </w:p>
        </w:tc>
        <w:tc>
          <w:tcPr>
            <w:tcW w:w="741" w:type="pct"/>
          </w:tcPr>
          <w:p w14:paraId="380A311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北斗金控</w:t>
            </w:r>
          </w:p>
        </w:tc>
        <w:tc>
          <w:tcPr>
            <w:tcW w:w="521" w:type="pct"/>
          </w:tcPr>
          <w:p w14:paraId="7A0A324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520" w:type="pct"/>
          </w:tcPr>
          <w:p w14:paraId="7438598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2914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</w:tcPr>
          <w:p w14:paraId="09249D7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2863" w:type="pct"/>
            <w:vAlign w:val="center"/>
          </w:tcPr>
          <w:p w14:paraId="5CB91CE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动力环境监控系统</w:t>
            </w:r>
          </w:p>
        </w:tc>
        <w:tc>
          <w:tcPr>
            <w:tcW w:w="741" w:type="pct"/>
          </w:tcPr>
          <w:p w14:paraId="4496480B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深圳计通</w:t>
            </w:r>
          </w:p>
        </w:tc>
        <w:tc>
          <w:tcPr>
            <w:tcW w:w="521" w:type="pct"/>
            <w:vAlign w:val="center"/>
          </w:tcPr>
          <w:p w14:paraId="5456B971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520" w:type="pct"/>
            <w:vAlign w:val="center"/>
          </w:tcPr>
          <w:p w14:paraId="1E151006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14:paraId="36D3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</w:tcPr>
          <w:p w14:paraId="136D526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2863" w:type="pct"/>
            <w:vAlign w:val="center"/>
          </w:tcPr>
          <w:p w14:paraId="6400221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呼叫中心软件</w:t>
            </w:r>
          </w:p>
        </w:tc>
        <w:tc>
          <w:tcPr>
            <w:tcW w:w="741" w:type="pct"/>
          </w:tcPr>
          <w:p w14:paraId="7429E922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华为</w:t>
            </w:r>
          </w:p>
        </w:tc>
        <w:tc>
          <w:tcPr>
            <w:tcW w:w="521" w:type="pct"/>
            <w:vAlign w:val="center"/>
          </w:tcPr>
          <w:p w14:paraId="06E1B072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520" w:type="pct"/>
            <w:vAlign w:val="center"/>
          </w:tcPr>
          <w:p w14:paraId="1B3AB8E4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</w:tbl>
    <w:p w14:paraId="778C0BE3">
      <w:pPr>
        <w:pStyle w:val="4"/>
        <w:spacing w:line="240" w:lineRule="auto"/>
        <w:rPr>
          <w:rFonts w:hint="default" w:ascii="宋体" w:hAnsi="宋体" w:cs="宋体"/>
          <w:sz w:val="28"/>
          <w:szCs w:val="24"/>
        </w:rPr>
      </w:pPr>
      <w:r>
        <w:rPr>
          <w:rFonts w:ascii="宋体" w:hAnsi="宋体" w:cs="宋体"/>
          <w:sz w:val="28"/>
          <w:szCs w:val="24"/>
        </w:rPr>
        <w:t>附件三 云环境资源清单</w:t>
      </w:r>
    </w:p>
    <w:tbl>
      <w:tblPr>
        <w:tblStyle w:val="8"/>
        <w:tblW w:w="88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1"/>
        <w:gridCol w:w="3870"/>
        <w:gridCol w:w="1597"/>
        <w:gridCol w:w="720"/>
      </w:tblGrid>
      <w:tr w14:paraId="7D3D6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F80D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FCD6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资源名称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89015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规格型号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C5683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FB41C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数量</w:t>
            </w:r>
          </w:p>
        </w:tc>
      </w:tr>
      <w:tr w14:paraId="081C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FC0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8C81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应用服务器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F80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8核CPU，16GB内存，200GB硬盘。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AD4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D96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</w:tr>
      <w:tr w14:paraId="3A78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FCC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10E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数据库服务器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D89A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16核CPU，64GB内存，1TB硬盘。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683A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4F85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</w:tr>
      <w:tr w14:paraId="4238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76F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454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车辆管理服务器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1CDE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4核CPU，8GB内存，500GB硬盘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57B2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2454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</w:tr>
      <w:tr w14:paraId="3DF9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25E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C59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车辆管理MongoDB数据库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608C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4核CPU，8GB内存，500GB硬盘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C887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C684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</w:tr>
    </w:tbl>
    <w:p w14:paraId="07D44686">
      <w:pPr>
        <w:rPr>
          <w:rFonts w:hint="default"/>
          <w:sz w:val="20"/>
          <w:szCs w:val="21"/>
        </w:rPr>
      </w:pPr>
    </w:p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85BEE"/>
    <w:multiLevelType w:val="multilevel"/>
    <w:tmpl w:val="39885BEE"/>
    <w:lvl w:ilvl="0" w:tentative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MmM1YjFkMzFlY2UyMWU4ODZlY2M1YzBiYzcxMmYifQ=="/>
  </w:docVars>
  <w:rsids>
    <w:rsidRoot w:val="00A16D45"/>
    <w:rsid w:val="004D768C"/>
    <w:rsid w:val="00505A29"/>
    <w:rsid w:val="00984D04"/>
    <w:rsid w:val="00A16D45"/>
    <w:rsid w:val="08B12F99"/>
    <w:rsid w:val="411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link w:val="12"/>
    <w:qFormat/>
    <w:uiPriority w:val="0"/>
    <w:pPr>
      <w:jc w:val="center"/>
    </w:pPr>
    <w:rPr>
      <w:rFonts w:hint="default"/>
    </w:rPr>
  </w:style>
  <w:style w:type="paragraph" w:styleId="6">
    <w:name w:val="Plain Text"/>
    <w:basedOn w:val="1"/>
    <w:link w:val="13"/>
    <w:qFormat/>
    <w:uiPriority w:val="0"/>
    <w:rPr>
      <w:rFonts w:ascii="宋体" w:hAnsi="Courier New"/>
    </w:rPr>
  </w:style>
  <w:style w:type="paragraph" w:styleId="7">
    <w:name w:val="Body Text Indent 2"/>
    <w:basedOn w:val="1"/>
    <w:link w:val="14"/>
    <w:qFormat/>
    <w:uiPriority w:val="0"/>
    <w:pPr>
      <w:spacing w:line="480" w:lineRule="exact"/>
      <w:ind w:left="-1"/>
    </w:pPr>
    <w:rPr>
      <w:sz w:val="24"/>
    </w:rPr>
  </w:style>
  <w:style w:type="character" w:customStyle="1" w:styleId="10">
    <w:name w:val="Heading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1">
    <w:name w:val="Heading 2 Char"/>
    <w:basedOn w:val="9"/>
    <w:link w:val="4"/>
    <w:qFormat/>
    <w:uiPriority w:val="0"/>
    <w:rPr>
      <w:rFonts w:ascii="Cambria" w:hAnsi="Cambria" w:eastAsia="宋体" w:cs="Times New Roman"/>
      <w:b/>
      <w:sz w:val="32"/>
    </w:rPr>
  </w:style>
  <w:style w:type="character" w:customStyle="1" w:styleId="12">
    <w:name w:val="Body Text Char"/>
    <w:basedOn w:val="9"/>
    <w:link w:val="5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Plain Text Char"/>
    <w:basedOn w:val="9"/>
    <w:link w:val="6"/>
    <w:qFormat/>
    <w:uiPriority w:val="0"/>
    <w:rPr>
      <w:rFonts w:ascii="宋体" w:hAnsi="Courier New" w:eastAsia="宋体" w:cs="Times New Roman"/>
    </w:rPr>
  </w:style>
  <w:style w:type="character" w:customStyle="1" w:styleId="14">
    <w:name w:val="Body Text Indent 2 Char"/>
    <w:basedOn w:val="9"/>
    <w:link w:val="7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5">
    <w:name w:val="op_mapdots_left"/>
    <w:basedOn w:val="1"/>
    <w:qFormat/>
    <w:uiPriority w:val="0"/>
    <w:pPr>
      <w:widowControl/>
      <w:jc w:val="left"/>
    </w:pPr>
    <w:rPr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SXBD</Company>
  <Pages>8</Pages>
  <Words>2062</Words>
  <Characters>2108</Characters>
  <Lines>38</Lines>
  <Paragraphs>10</Paragraphs>
  <TotalTime>11</TotalTime>
  <ScaleCrop>false</ScaleCrop>
  <LinksUpToDate>false</LinksUpToDate>
  <CharactersWithSpaces>2108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2022-11-04T00:35:00Z</dcterms:created>
  <dc:creator>Lv Burt</dc:creator>
  <cp:lastModifiedBy>陕西宸永项目管理有限公司</cp:lastModifiedBy>
  <dcterms:modified xsi:type="dcterms:W3CDTF">2024-10-30T07:10:52Z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24F1A9FD8A7C4AEDAA61BFFB2E02BD97_12</vt:lpwstr>
  </property>
</Properties>
</file>