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版本号：ZCSP-渭南市-2025-0000220250115004</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五馆一中心公众服务场所（配套服务）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ZCSP-渭南市-2025-00002</w:t>
      </w:r>
      <w:r>
        <w:br/>
      </w:r>
      <w:r>
        <w:br/>
      </w:r>
      <w:r>
        <w:br/>
      </w:r>
    </w:p>
    <w:p>
      <w:pPr>
        <w:pStyle w:val="null3"/>
        <w:jc w:val="center"/>
        <w:outlineLvl w:val="5"/>
      </w:pPr>
      <w:r>
        <w:rPr>
          <w:rFonts w:ascii="仿宋_GB2312" w:hAnsi="仿宋_GB2312" w:cs="仿宋_GB2312" w:eastAsia="仿宋_GB2312"/>
          <w:sz w:val="15"/>
          <w:b/>
        </w:rPr>
        <w:t>渭南市机关事务服务中心</w:t>
      </w:r>
    </w:p>
    <w:p>
      <w:pPr>
        <w:pStyle w:val="null3"/>
        <w:jc w:val="center"/>
        <w:outlineLvl w:val="5"/>
      </w:pPr>
      <w:r>
        <w:rPr>
          <w:rFonts w:ascii="仿宋_GB2312" w:hAnsi="仿宋_GB2312" w:cs="仿宋_GB2312" w:eastAsia="仿宋_GB2312"/>
          <w:sz w:val="15"/>
          <w:b/>
        </w:rPr>
        <w:t>渭南市政府采购中心</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2025年01月15日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渭南市机关事务服务中心</w:t>
      </w:r>
      <w:r>
        <w:rPr>
          <w:rFonts w:ascii="仿宋_GB2312" w:hAnsi="仿宋_GB2312" w:cs="仿宋_GB2312" w:eastAsia="仿宋_GB2312"/>
        </w:rPr>
        <w:t>委托，拟对</w:t>
      </w:r>
      <w:r>
        <w:rPr>
          <w:rFonts w:ascii="仿宋_GB2312" w:hAnsi="仿宋_GB2312" w:cs="仿宋_GB2312" w:eastAsia="仿宋_GB2312"/>
        </w:rPr>
        <w:t>五馆一中心公众服务场所（配套服务）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ZCSP-渭南市-2025-00002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五馆一中心公众服务场所（配套服务）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渭南市“五馆一中心”公众服务场所租赁（含相关配套服务）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1、营业执照：供应商须提供具有独立承担民事责任能力的法人、其他组织或自然人，并出具合法有效的营业执照或事业单位法人证书等国家规定的相关证明，自然人参与的提供其身份证明。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加单一来源协商全过程，其中法定代表人直接参加的，须出具法定代表人身份证，并与营业执照上信息一致。法定代表人授权代表参加的，须出具法定代表人授权书及授权代表身份证。</w:t>
      </w:r>
    </w:p>
    <w:p>
      <w:pPr>
        <w:pStyle w:val="null3"/>
      </w:pPr>
      <w:r>
        <w:rPr>
          <w:rFonts w:ascii="仿宋_GB2312" w:hAnsi="仿宋_GB2312" w:cs="仿宋_GB2312" w:eastAsia="仿宋_GB2312"/>
        </w:rPr>
        <w:t>3、无重大违法记录声明：参加政府采购活动前3年内在经营活动中没有重大违法记录的书面声明。</w:t>
      </w:r>
    </w:p>
    <w:p>
      <w:pPr>
        <w:pStyle w:val="null3"/>
      </w:pPr>
      <w:r>
        <w:rPr>
          <w:rFonts w:ascii="仿宋_GB2312" w:hAnsi="仿宋_GB2312" w:cs="仿宋_GB2312" w:eastAsia="仿宋_GB2312"/>
        </w:rPr>
        <w:t>4、税收缴纳证明及社会保障资金缴纳证明：供应商须提供2024年内任意一个月的完税证明及缴纳社会保险证明，依法免税的、依法不需要缴纳社会保障资金的应提供相关文件证明。</w:t>
      </w:r>
    </w:p>
    <w:p>
      <w:pPr>
        <w:pStyle w:val="null3"/>
      </w:pPr>
      <w:r>
        <w:rPr>
          <w:rFonts w:ascii="仿宋_GB2312" w:hAnsi="仿宋_GB2312" w:cs="仿宋_GB2312" w:eastAsia="仿宋_GB2312"/>
        </w:rPr>
        <w:t>5、财务报告或资信证明：供应商须提供具有财务审计资质单位出具的2023年度财务报告或谈判前六个月内其基本账户银行出具的资信证明。</w:t>
      </w:r>
    </w:p>
    <w:p>
      <w:pPr>
        <w:pStyle w:val="null3"/>
      </w:pPr>
      <w:r>
        <w:rPr>
          <w:rFonts w:ascii="仿宋_GB2312" w:hAnsi="仿宋_GB2312" w:cs="仿宋_GB2312" w:eastAsia="仿宋_GB2312"/>
        </w:rPr>
        <w:t>6、非联合体投标声明：本项目不接受联合体投标。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肖陆平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15609131666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13509130200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采购包1：57,000,000.00元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采购包1：57,000,000.00元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渭南市机关事务服务中心</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根据合同标准进行验收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本项目为渭南市“五馆一中心”公众服务场所租赁(含相关配套服务)项目，1批，</w:t>
      </w:r>
      <w:r>
        <w:rPr>
          <w:rFonts w:ascii="仿宋_GB2312" w:hAnsi="仿宋_GB2312" w:cs="仿宋_GB2312" w:eastAsia="仿宋_GB2312"/>
          <w:sz w:val="21"/>
        </w:rPr>
        <w:t>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57,000,000.00</w:t>
      </w:r>
    </w:p>
    <w:p>
      <w:pPr>
        <w:pStyle w:val="null3"/>
      </w:pPr>
      <w:r>
        <w:rPr>
          <w:rFonts w:ascii="仿宋_GB2312" w:hAnsi="仿宋_GB2312" w:cs="仿宋_GB2312" w:eastAsia="仿宋_GB2312"/>
        </w:rPr>
        <w:t>采购包最高限价（元）: 57,000,000.00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公众服务场所及服务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标的名称：公众服务场所及服务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jc w:val="both"/>
            </w:pPr>
            <w:r>
              <w:rPr>
                <w:rFonts w:ascii="仿宋_GB2312" w:hAnsi="仿宋_GB2312" w:cs="仿宋_GB2312" w:eastAsia="仿宋_GB2312"/>
                <w:sz w:val="32"/>
              </w:rPr>
              <w:t>1.租赁场所要求：</w:t>
            </w:r>
          </w:p>
          <w:p>
            <w:pPr>
              <w:pStyle w:val="null3"/>
              <w:ind w:firstLine="729"/>
              <w:jc w:val="left"/>
            </w:pPr>
            <w:r>
              <w:rPr>
                <w:rFonts w:ascii="仿宋_GB2312" w:hAnsi="仿宋_GB2312" w:cs="仿宋_GB2312" w:eastAsia="仿宋_GB2312"/>
                <w:sz w:val="32"/>
              </w:rPr>
              <w:t>1.1依据各场建设标准要求：市级中型科技馆建筑面积8000㎡以上至15000㎡、一级图书馆建筑面积不低于10000㎡、一类档案馆建筑面积10800㎡以上至12800㎡、青少年宫建筑面积不低于8000㎡、妇女儿童活动类展馆面积不低于8000㎡，其他配套设施建筑面积不低于15000㎡。具备场馆、展览、学术研讨、培训、会议、管理服务、停车等相应功能的综合性公众服务场所。公众服务场所的配套服务包含公共设施设备的运行和维护，环境保洁与绿化服务，秩序维护服务，礼仪接待服务（包含会议服务、讲解服务）及客户服务。</w:t>
            </w:r>
          </w:p>
          <w:p>
            <w:pPr>
              <w:pStyle w:val="null3"/>
              <w:ind w:firstLine="729"/>
              <w:jc w:val="left"/>
            </w:pPr>
            <w:r>
              <w:rPr>
                <w:rFonts w:ascii="仿宋_GB2312" w:hAnsi="仿宋_GB2312" w:cs="仿宋_GB2312" w:eastAsia="仿宋_GB2312"/>
                <w:sz w:val="32"/>
              </w:rPr>
              <w:t>1.2场馆总体抗震设计烈度不低于8度，建筑耐火等级不应低于二级，供电满足设备和照明需要，实行双路供电；档案馆、城建档案馆应具备独立的恒温恒湿空调系统，符合档案保密需求，</w:t>
            </w:r>
            <w:r>
              <w:rPr>
                <w:rFonts w:ascii="仿宋_GB2312" w:hAnsi="仿宋_GB2312" w:cs="仿宋_GB2312" w:eastAsia="仿宋_GB2312"/>
                <w:sz w:val="32"/>
              </w:rPr>
              <w:t>档案馆库房</w:t>
            </w:r>
            <w:r>
              <w:rPr>
                <w:rFonts w:ascii="仿宋_GB2312" w:hAnsi="仿宋_GB2312" w:cs="仿宋_GB2312" w:eastAsia="仿宋_GB2312"/>
                <w:sz w:val="32"/>
              </w:rPr>
              <w:t>地板设计承重容量不低于</w:t>
            </w:r>
            <w:r>
              <w:rPr>
                <w:rFonts w:ascii="仿宋_GB2312" w:hAnsi="仿宋_GB2312" w:cs="仿宋_GB2312" w:eastAsia="仿宋_GB2312"/>
                <w:sz w:val="32"/>
              </w:rPr>
              <w:t>1000</w:t>
            </w:r>
            <w:r>
              <w:rPr>
                <w:rFonts w:ascii="仿宋_GB2312" w:hAnsi="仿宋_GB2312" w:cs="仿宋_GB2312" w:eastAsia="仿宋_GB2312"/>
                <w:sz w:val="32"/>
              </w:rPr>
              <w:t>kg</w:t>
            </w:r>
            <w:r>
              <w:rPr>
                <w:rFonts w:ascii="仿宋_GB2312" w:hAnsi="仿宋_GB2312" w:cs="仿宋_GB2312" w:eastAsia="仿宋_GB2312"/>
                <w:sz w:val="32"/>
              </w:rPr>
              <w:t>/㎡；图书馆应有独立、安静的管理区域。</w:t>
            </w:r>
          </w:p>
          <w:p>
            <w:pPr>
              <w:pStyle w:val="null3"/>
              <w:ind w:firstLine="729"/>
              <w:jc w:val="left"/>
            </w:pPr>
            <w:r>
              <w:rPr>
                <w:rFonts w:ascii="仿宋_GB2312" w:hAnsi="仿宋_GB2312" w:cs="仿宋_GB2312" w:eastAsia="仿宋_GB2312"/>
                <w:sz w:val="32"/>
              </w:rPr>
              <w:t>1.3场馆应设计理念新颖、空间布局合理，建筑风格与周边建筑协调，能体现出渭南中心城市区建筑风貌和风格，场馆功能齐全、规模适中，满足国家标准与市民参观需求。</w:t>
            </w:r>
          </w:p>
          <w:p>
            <w:pPr>
              <w:pStyle w:val="null3"/>
              <w:ind w:firstLine="729"/>
              <w:jc w:val="left"/>
            </w:pPr>
            <w:r>
              <w:rPr>
                <w:rFonts w:ascii="仿宋_GB2312" w:hAnsi="仿宋_GB2312" w:cs="仿宋_GB2312" w:eastAsia="仿宋_GB2312"/>
                <w:sz w:val="32"/>
              </w:rPr>
              <w:t>1.4</w:t>
            </w:r>
            <w:r>
              <w:rPr>
                <w:rFonts w:ascii="仿宋_GB2312" w:hAnsi="仿宋_GB2312" w:cs="仿宋_GB2312" w:eastAsia="仿宋_GB2312"/>
                <w:sz w:val="32"/>
              </w:rPr>
              <w:t>具备能够开展学术研讨、培训、图书阅览、科学普及等群众文化活动及停车、会议、休闲功能的场所。</w:t>
            </w:r>
          </w:p>
          <w:p>
            <w:pPr>
              <w:pStyle w:val="null3"/>
              <w:ind w:firstLine="729"/>
              <w:jc w:val="left"/>
            </w:pPr>
            <w:r>
              <w:rPr>
                <w:rFonts w:ascii="仿宋_GB2312" w:hAnsi="仿宋_GB2312" w:cs="仿宋_GB2312" w:eastAsia="仿宋_GB2312"/>
                <w:sz w:val="32"/>
              </w:rPr>
              <w:t>1.5</w:t>
            </w:r>
            <w:r>
              <w:rPr>
                <w:rFonts w:ascii="仿宋_GB2312" w:hAnsi="仿宋_GB2312" w:cs="仿宋_GB2312" w:eastAsia="仿宋_GB2312"/>
                <w:sz w:val="32"/>
              </w:rPr>
              <w:t>场馆均需进行相应装修，配备相应的设施设备，满足会展条件，包括但不限于以下配套设施：室外景观绿化；外立面造型、泛光照明；室内公共走廊、会议室、地下设备用房、地下停车场、部分区域的陈展布设等区域装修；陈设布展等设施；水、电、暖、消防、智能化等设备。</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相关配套服务要求</w:t>
            </w:r>
            <w:r>
              <w:rPr>
                <w:rFonts w:ascii="仿宋_GB2312" w:hAnsi="仿宋_GB2312" w:cs="仿宋_GB2312" w:eastAsia="仿宋_GB2312"/>
                <w:sz w:val="32"/>
              </w:rPr>
              <w:t>。</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.1日常维修、养护管理</w:t>
            </w:r>
            <w:r>
              <w:rPr>
                <w:rFonts w:ascii="仿宋_GB2312" w:hAnsi="仿宋_GB2312" w:cs="仿宋_GB2312" w:eastAsia="仿宋_GB2312"/>
                <w:sz w:val="32"/>
              </w:rPr>
              <w:t>。</w:t>
            </w:r>
          </w:p>
          <w:p>
            <w:pPr>
              <w:pStyle w:val="null3"/>
              <w:ind w:firstLine="729"/>
              <w:jc w:val="left"/>
            </w:pPr>
            <w:r>
              <w:rPr>
                <w:rFonts w:ascii="仿宋_GB2312" w:hAnsi="仿宋_GB2312" w:cs="仿宋_GB2312" w:eastAsia="仿宋_GB2312"/>
                <w:sz w:val="32"/>
              </w:rPr>
              <w:t>场馆服务区域内的维修、养护及日常管理。包括楼外散水、楼顶、外墙、楼内门厅、楼梯间、走廊通道、会议室、开水房、卫生间、设施设备间、地下车库、地面停车场，室外人行道、行车道、栏杆、扶手等公共设施的日常管理</w:t>
            </w:r>
            <w:r>
              <w:rPr>
                <w:rFonts w:ascii="仿宋_GB2312" w:hAnsi="仿宋_GB2312" w:cs="仿宋_GB2312" w:eastAsia="仿宋_GB2312"/>
                <w:sz w:val="32"/>
              </w:rPr>
              <w:t>；</w:t>
            </w:r>
            <w:r>
              <w:rPr>
                <w:rFonts w:ascii="仿宋_GB2312" w:hAnsi="仿宋_GB2312" w:cs="仿宋_GB2312" w:eastAsia="仿宋_GB2312"/>
                <w:sz w:val="32"/>
              </w:rPr>
              <w:t>每年做好设施设备保养计划，按计划实施</w:t>
            </w:r>
            <w:r>
              <w:rPr>
                <w:rFonts w:ascii="仿宋_GB2312" w:hAnsi="仿宋_GB2312" w:cs="仿宋_GB2312" w:eastAsia="仿宋_GB2312"/>
                <w:sz w:val="32"/>
              </w:rPr>
              <w:t>；</w:t>
            </w:r>
            <w:r>
              <w:rPr>
                <w:rFonts w:ascii="仿宋_GB2312" w:hAnsi="仿宋_GB2312" w:cs="仿宋_GB2312" w:eastAsia="仿宋_GB2312"/>
                <w:sz w:val="32"/>
              </w:rPr>
              <w:t>包含电梯系统的年检、维保费及所有配件更换。车辆管理系统维修。</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.2环境保洁与服务</w:t>
            </w:r>
            <w:r>
              <w:rPr>
                <w:rFonts w:ascii="仿宋_GB2312" w:hAnsi="仿宋_GB2312" w:cs="仿宋_GB2312" w:eastAsia="仿宋_GB2312"/>
                <w:sz w:val="32"/>
              </w:rPr>
              <w:t>。</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2.1保洁服务。负责本采购项目服务区域内公共环境的清洁保洁，包括大楼屋顶、阳台，楼内楼梯间、电梯间、走廊通道，约定清洁的会议室、接待室，地下停车场、公共卫生间以及相关的人行道、行车道、室外部分及其他公共部位的清洁保洁</w:t>
            </w:r>
            <w:r>
              <w:rPr>
                <w:rFonts w:ascii="仿宋_GB2312" w:hAnsi="仿宋_GB2312" w:cs="仿宋_GB2312" w:eastAsia="仿宋_GB2312"/>
                <w:sz w:val="32"/>
              </w:rPr>
              <w:t>；</w:t>
            </w:r>
            <w:r>
              <w:rPr>
                <w:rFonts w:ascii="仿宋_GB2312" w:hAnsi="仿宋_GB2312" w:cs="仿宋_GB2312" w:eastAsia="仿宋_GB2312"/>
                <w:sz w:val="32"/>
              </w:rPr>
              <w:t>负责灭四害及卫生防疫消杀、二次水箱清洗及检测、化粪池清掏。</w:t>
            </w:r>
          </w:p>
          <w:p>
            <w:pPr>
              <w:pStyle w:val="null3"/>
              <w:ind w:firstLine="729"/>
              <w:jc w:val="left"/>
            </w:pPr>
            <w:r>
              <w:rPr>
                <w:rFonts w:ascii="仿宋_GB2312" w:hAnsi="仿宋_GB2312" w:cs="仿宋_GB2312" w:eastAsia="仿宋_GB2312"/>
                <w:sz w:val="32"/>
              </w:rPr>
              <w:t>2.2.2</w:t>
            </w:r>
            <w:r>
              <w:rPr>
                <w:rFonts w:ascii="仿宋_GB2312" w:hAnsi="仿宋_GB2312" w:cs="仿宋_GB2312" w:eastAsia="仿宋_GB2312"/>
                <w:sz w:val="32"/>
              </w:rPr>
              <w:t>所有保洁日常工具、耗材，包含卫生间厕纸和洗手液由采购人购买。</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.2.</w:t>
            </w:r>
            <w:r>
              <w:rPr>
                <w:rFonts w:ascii="仿宋_GB2312" w:hAnsi="仿宋_GB2312" w:cs="仿宋_GB2312" w:eastAsia="仿宋_GB2312"/>
                <w:sz w:val="32"/>
              </w:rPr>
              <w:t>3</w:t>
            </w:r>
            <w:r>
              <w:rPr>
                <w:rFonts w:ascii="仿宋_GB2312" w:hAnsi="仿宋_GB2312" w:cs="仿宋_GB2312" w:eastAsia="仿宋_GB2312"/>
                <w:sz w:val="32"/>
              </w:rPr>
              <w:t>绿化服务。负责多功能馆项目范围内的绿化服务，包含浇水、施肥、除草、修剪及病虫害防治等日常养护工作。</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.3秩序维护服务</w:t>
            </w:r>
            <w:r>
              <w:rPr>
                <w:rFonts w:ascii="仿宋_GB2312" w:hAnsi="仿宋_GB2312" w:cs="仿宋_GB2312" w:eastAsia="仿宋_GB2312"/>
                <w:sz w:val="32"/>
              </w:rPr>
              <w:t>。</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.3.1秩序维护。负责服务区域内的24小时秩序维护工作，包含安全防范、巡逻、访客登记、群众疏导等工作。</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.3.2消防管理。在甲方指导下负责多功能馆的消防管理工作，包含消防控制室24小时双岗值守，消防系统的日常检查、巡查、报修、灭火器换粉及消防宣传、培训和演练</w:t>
            </w:r>
            <w:r>
              <w:rPr>
                <w:rFonts w:ascii="仿宋_GB2312" w:hAnsi="仿宋_GB2312" w:cs="仿宋_GB2312" w:eastAsia="仿宋_GB2312"/>
                <w:sz w:val="32"/>
              </w:rPr>
              <w:t>；</w:t>
            </w:r>
            <w:r>
              <w:rPr>
                <w:rFonts w:ascii="仿宋_GB2312" w:hAnsi="仿宋_GB2312" w:cs="仿宋_GB2312" w:eastAsia="仿宋_GB2312"/>
                <w:sz w:val="32"/>
              </w:rPr>
              <w:t>消防系统检测</w:t>
            </w:r>
            <w:r>
              <w:rPr>
                <w:rFonts w:ascii="仿宋_GB2312" w:hAnsi="仿宋_GB2312" w:cs="仿宋_GB2312" w:eastAsia="仿宋_GB2312"/>
                <w:sz w:val="32"/>
              </w:rPr>
              <w:t>；</w:t>
            </w:r>
            <w:r>
              <w:rPr>
                <w:rFonts w:ascii="仿宋_GB2312" w:hAnsi="仿宋_GB2312" w:cs="仿宋_GB2312" w:eastAsia="仿宋_GB2312"/>
                <w:sz w:val="32"/>
              </w:rPr>
              <w:t>监控系统维保及所有配件更换。</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.3.3停车服务。负责车辆进出、停放的秩序及安全防范工作，提供场地和保洁、停放、交通疏导等配套服务。</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.4.礼仪接待服务</w:t>
            </w:r>
            <w:r>
              <w:rPr>
                <w:rFonts w:ascii="仿宋_GB2312" w:hAnsi="仿宋_GB2312" w:cs="仿宋_GB2312" w:eastAsia="仿宋_GB2312"/>
                <w:sz w:val="32"/>
              </w:rPr>
              <w:t>。</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.4.1讲解服务。负责场馆大型活动及接待的讲解服务。</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.4.2负责会议室内设施设备的管理与维护；在采购人的统一调配安排下，做好会议室的布置，会前、会中、会后服务及迎送、接待、礼仪及设备的保障等</w:t>
            </w:r>
            <w:r>
              <w:rPr>
                <w:rFonts w:ascii="仿宋_GB2312" w:hAnsi="仿宋_GB2312" w:cs="仿宋_GB2312" w:eastAsia="仿宋_GB2312"/>
                <w:sz w:val="32"/>
              </w:rPr>
              <w:t>。</w:t>
            </w:r>
          </w:p>
          <w:p>
            <w:pPr>
              <w:pStyle w:val="null3"/>
              <w:ind w:firstLine="729"/>
              <w:jc w:val="left"/>
            </w:pPr>
            <w:r>
              <w:rPr>
                <w:rFonts w:ascii="仿宋_GB2312" w:hAnsi="仿宋_GB2312" w:cs="仿宋_GB2312" w:eastAsia="仿宋_GB2312"/>
                <w:sz w:val="32"/>
              </w:rPr>
              <w:t>2.4.3</w:t>
            </w:r>
            <w:r>
              <w:rPr>
                <w:rFonts w:ascii="仿宋_GB2312" w:hAnsi="仿宋_GB2312" w:cs="仿宋_GB2312" w:eastAsia="仿宋_GB2312"/>
                <w:sz w:val="32"/>
              </w:rPr>
              <w:t>会议所用耗材如纸杯、茶叶、纸、笔等由采购人购买。</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.5客户服务</w:t>
            </w:r>
            <w:r>
              <w:rPr>
                <w:rFonts w:ascii="仿宋_GB2312" w:hAnsi="仿宋_GB2312" w:cs="仿宋_GB2312" w:eastAsia="仿宋_GB2312"/>
                <w:sz w:val="32"/>
              </w:rPr>
              <w:t>。</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.5.1负责各场馆客户接待服务，服务时间为7:30-19:30。</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.5.2负责项目客服工作，定期开展回访，处理业主报修、投诉等工作，及时跟进反馈。</w:t>
            </w:r>
          </w:p>
          <w:p>
            <w:pPr>
              <w:pStyle w:val="null3"/>
              <w:ind w:firstLine="729"/>
              <w:jc w:val="left"/>
            </w:pPr>
            <w:r>
              <w:rPr>
                <w:rFonts w:ascii="仿宋_GB2312" w:hAnsi="仿宋_GB2312" w:cs="仿宋_GB2312" w:eastAsia="仿宋_GB2312"/>
                <w:sz w:val="32"/>
              </w:rPr>
              <w:t>2</w:t>
            </w:r>
            <w:r>
              <w:rPr>
                <w:rFonts w:ascii="仿宋_GB2312" w:hAnsi="仿宋_GB2312" w:cs="仿宋_GB2312" w:eastAsia="仿宋_GB2312"/>
                <w:sz w:val="32"/>
              </w:rPr>
              <w:t>.5.3对火灾、水浸、电梯困人等突发事件制定应急预案，并定期组织演练。</w:t>
            </w:r>
          </w:p>
          <w:p>
            <w:pPr>
              <w:pStyle w:val="null3"/>
              <w:ind w:firstLine="729"/>
              <w:jc w:val="left"/>
            </w:pPr>
            <w:r>
              <w:rPr>
                <w:rFonts w:ascii="仿宋_GB2312" w:hAnsi="仿宋_GB2312" w:cs="仿宋_GB2312" w:eastAsia="仿宋_GB2312"/>
                <w:sz w:val="32"/>
              </w:rPr>
              <w:t>2.5.4配合开展文化、体育等各类活动。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配备人员共计159人，其中项目综合办公室5人，含项目经理1人、项目副经理1人、含班长1人、内勤2人；礼仪接待部7人，含班长1人、讲解员2人、会务员4人；客服部11人，含主管1人、专属客服10人；工程维修部14人，含班长1人、弱电工程师2人、运行班4人、维修班5人、空调工1人、资料员1人；保洁部62人，含主管1人、班长4人、保洁员55人、设备操作2人；秩序维护部60人，含主管1人、班长3人、形象岗4人、秩序员46人、监控与消防6人。</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1.场馆总体抗震设计烈度不低于8度，建筑耐火等级不应低于二级，供电满足设备和照明需要，实行双路供电。 2.档案馆、城建档案馆应具备独立的恒温恒湿空调系统，符合档案保密需求，档案馆库房地板设计承重容量不低于1000kg/㎡；图书馆应有独立、安静的管理区域。 3.配备相应的设施设备，满足会展条件，包括但不限于以下配套设施：室外景观绿化；外立面造型、泛光照明。 4.场馆均需进行相应装修，室内公共走廊、会议室、地下设备用房、地下停车场、部分区域的陈展布设等区域装修。 5.场馆需配备陈设布展等设施。 6.场馆需配备水、电、暖、消防、智能化等设备。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一年，以合同签订具体日期为准。签订不超过3年履约期限的合同；合同一年一签，采购内容不变，续签不超过两次。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渭南市主城区。</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合同签订后60日内支付项目采购合同总价的90%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到期前30日支付项目采购合同总价的10%。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按照本采购项目指标具体要求进行验收。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　租赁期间，出租方、承租方（采购人）都不得借故解除合同，如出租方确需解除合同，应提前两个月通知承租方；如承租方确需退房的，应提前两个月通知出租方。 ②　如发生不可抗力或意外事件，合同自动解除，因上述原因而终止合同的，租金按照实际使用时间计算，不足整月的按天计算，多退少补。 ③　租赁期间，出租方延迟交付出租场馆三个月以上，或出租方违反合同约定，使承租方无法按其用途继续使用出租场馆，承租方及使用方有权解除合同，由此造成承租方损失的，出租方应向承租方赔偿。 ④　解决争议的方法：发生争议时，双方协商解决；协商不成，向租赁场馆所在地人民法院起诉。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落实政府采购政策需满足的资格要求： 1. 《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2.国务院办公厅《关于建立政府强制采购节能产品制度的通知》（国办发〔2007〕51号）、财政部、国家发改委、生态环境部、市场监督局联合印发《关于调整优化节能产品、环境标志产品政府采购执行机制的通知》（财库〔2019〕9号）、《关于印发环境标志产品政府采购品目清单的通知》（财库〔2019〕18号）、《关于印发节能产品政府采购品目清单的通知》（财库〔2019〕19号）。 3.《财政部 农业农村部 国家乡村振兴局关于运用政府采购政策支持乡村产业振兴的通知》（财库〔2021〕19 号）、《财政部农业农村部国家乡村振兴局 中华全国供销合作总社关于印发&lt;关于深入开展政府采购脱贫地区农副产品工作推进乡村产业振兴的实施意见&gt;的通知》（财库〔2021〕20 号）。 4.《国家互联网信息办公室 工业和信息化部 公安部 财政部 国家认证认可监督管理委员会关于调整网络安全专用产品安全管理有关事项的公告》（2023年第1号）。 5. 《陕西省财政厅关于加快推进我省中小企业政府采购信用融资工作的通知》（陕财办采〔2020〕15 号）、陕西省财政厅关于印发《陕西省中小企业政府采购信用融资办法》（陕财办采〔2018〕23 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供应商须提供具有独立承担民事责任能力的法人、其他组织或自然人，并出具合法有效的营业执照或事业单位法人证书等国家规定的相关证明，自然人参与的提供其身份证明。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供应商应授权合法的人员参加单一来源协商全过程，其中法定代表人直接参加的，须出具法定代表人身份证，并与营业执照上信息一致。法定代表人授权代表参加的，须出具法定代表人授权书及授权代表身份证。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税收缴纳证明及社会保障资金缴纳证明</w:t>
            </w:r>
          </w:p>
        </w:tc>
        <w:tc>
          <w:tcPr>
            <w:tcW w:type="dxa" w:w="3322"/>
          </w:tcPr>
          <w:p>
            <w:pPr>
              <w:pStyle w:val="null3"/>
            </w:pPr>
            <w:r>
              <w:rPr>
                <w:rFonts w:ascii="仿宋_GB2312" w:hAnsi="仿宋_GB2312" w:cs="仿宋_GB2312" w:eastAsia="仿宋_GB2312"/>
              </w:rPr>
              <w:t>供应商须提供2024年内任意一个月的完税证明及缴纳社会保险证明，依法免税的、依法不需要缴纳社会保障资金的应提供相关文件证明。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供应商须提供具有财务审计资质单位出具的2023年度财务报告或谈判前六个月内其基本账户银行出具的资信证明。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投标人为中小微企业的应提供《中小企业声明函》，投标人为监狱企业的，应提供监狱企业的证明文件，投标人为残疾人福利性质单位的，应提供《残疾人福利性单位声明函》（监狱企业或残疾人福利性质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响应文件应包含以下内容： （1）响应函； （2）第一次报价表、报价明细表（招标文件未作要求的除外）； （3）资格证明文件； （4）供应商概况； （5）供应商参加政府采购活动承诺书； （6）服务方案。</w:t>
            </w:r>
          </w:p>
        </w:tc>
        <w:tc>
          <w:tcPr>
            <w:tcW w:type="dxa" w:w="1661"/>
          </w:tcPr>
          <w:p>
            <w:pPr>
              <w:pStyle w:val="null3"/>
            </w:pPr>
            <w:r>
              <w:rPr>
                <w:rFonts w:ascii="仿宋_GB2312" w:hAnsi="仿宋_GB2312" w:cs="仿宋_GB2312" w:eastAsia="仿宋_GB2312"/>
              </w:rPr>
              <w:t>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