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1ED0A">
      <w:pPr>
        <w:outlineLvl w:val="0"/>
        <w:rPr>
          <w:rFonts w:hint="eastAsia" w:ascii="宋体" w:hAnsi="宋体" w:eastAsia="宋体" w:cs="宋体"/>
          <w:kern w:val="0"/>
          <w:sz w:val="24"/>
          <w:highlight w:val="none"/>
          <w:lang w:eastAsia="zh-CN"/>
        </w:rPr>
      </w:pPr>
      <w:bookmarkStart w:id="0" w:name="_Toc19276"/>
      <w:bookmarkStart w:id="1" w:name="_Toc19986"/>
      <w:r>
        <w:rPr>
          <w:rFonts w:hint="eastAsia" w:ascii="宋体" w:hAnsi="宋体" w:cs="宋体"/>
          <w:b/>
          <w:kern w:val="0"/>
          <w:sz w:val="32"/>
          <w:szCs w:val="32"/>
          <w:highlight w:val="none"/>
        </w:rPr>
        <w:t>项目编号：</w:t>
      </w:r>
      <w:r>
        <w:rPr>
          <w:rFonts w:hint="eastAsia" w:ascii="宋体" w:hAnsi="宋体" w:cs="宋体"/>
          <w:b/>
          <w:kern w:val="0"/>
          <w:sz w:val="32"/>
          <w:szCs w:val="32"/>
          <w:highlight w:val="none"/>
          <w:lang w:eastAsia="zh-CN"/>
        </w:rPr>
        <w:t>SXZCZB2024-ZCDY-1021</w:t>
      </w:r>
      <w:bookmarkEnd w:id="0"/>
      <w:bookmarkEnd w:id="1"/>
    </w:p>
    <w:p w14:paraId="2FD56344">
      <w:pPr>
        <w:ind w:firstLine="420"/>
        <w:rPr>
          <w:rFonts w:ascii="宋体" w:hAnsi="宋体" w:cs="宋体"/>
          <w:highlight w:val="none"/>
        </w:rPr>
      </w:pPr>
    </w:p>
    <w:p w14:paraId="61F2FFE5">
      <w:pPr>
        <w:jc w:val="center"/>
        <w:rPr>
          <w:rFonts w:ascii="宋体" w:hAnsi="宋体" w:cs="宋体"/>
          <w:sz w:val="44"/>
          <w:highlight w:val="none"/>
          <w14:shadow w14:blurRad="50800" w14:dist="38100" w14:dir="2700000" w14:sx="100000" w14:sy="100000" w14:kx="0" w14:ky="0" w14:algn="tl">
            <w14:srgbClr w14:val="000000">
              <w14:alpha w14:val="60000"/>
            </w14:srgbClr>
          </w14:shadow>
        </w:rPr>
      </w:pPr>
    </w:p>
    <w:p w14:paraId="5887CD7F">
      <w:pPr>
        <w:spacing w:line="360" w:lineRule="atLeast"/>
        <w:jc w:val="center"/>
        <w:rPr>
          <w:rFonts w:ascii="宋体" w:hAnsi="宋体" w:cs="宋体"/>
          <w:b/>
          <w:sz w:val="52"/>
          <w:szCs w:val="52"/>
          <w:highlight w:val="none"/>
        </w:rPr>
      </w:pPr>
    </w:p>
    <w:p w14:paraId="3EDC3A0D">
      <w:pPr>
        <w:spacing w:line="360" w:lineRule="atLeast"/>
        <w:jc w:val="center"/>
        <w:rPr>
          <w:rFonts w:ascii="宋体" w:hAnsi="宋体" w:cs="宋体"/>
          <w:b/>
          <w:sz w:val="48"/>
          <w:szCs w:val="48"/>
          <w:highlight w:val="none"/>
        </w:rPr>
      </w:pPr>
    </w:p>
    <w:p w14:paraId="6135F3D2">
      <w:pPr>
        <w:spacing w:line="360" w:lineRule="atLeast"/>
        <w:jc w:val="center"/>
        <w:rPr>
          <w:rFonts w:hint="eastAsia" w:ascii="宋体" w:hAnsi="宋体" w:eastAsia="宋体" w:cs="宋体"/>
          <w:b/>
          <w:sz w:val="48"/>
          <w:szCs w:val="48"/>
          <w:highlight w:val="none"/>
          <w:lang w:eastAsia="zh-CN"/>
        </w:rPr>
      </w:pPr>
      <w:r>
        <w:rPr>
          <w:rFonts w:hint="eastAsia" w:ascii="宋体" w:hAnsi="宋体" w:cs="宋体"/>
          <w:b/>
          <w:sz w:val="56"/>
          <w:szCs w:val="56"/>
          <w:highlight w:val="none"/>
          <w:lang w:eastAsia="zh-CN"/>
        </w:rPr>
        <w:t>信息化升级</w:t>
      </w:r>
    </w:p>
    <w:p w14:paraId="345C4BEA">
      <w:pPr>
        <w:spacing w:line="360" w:lineRule="atLeast"/>
        <w:jc w:val="center"/>
        <w:rPr>
          <w:rFonts w:ascii="宋体" w:hAnsi="宋体" w:cs="宋体"/>
          <w:b/>
          <w:sz w:val="52"/>
          <w:szCs w:val="52"/>
          <w:highlight w:val="none"/>
        </w:rPr>
      </w:pPr>
    </w:p>
    <w:p w14:paraId="4936EC89">
      <w:pPr>
        <w:spacing w:line="360" w:lineRule="atLeast"/>
        <w:jc w:val="center"/>
        <w:rPr>
          <w:rFonts w:ascii="宋体" w:hAnsi="宋体" w:cs="宋体"/>
          <w:b/>
          <w:sz w:val="52"/>
          <w:szCs w:val="52"/>
          <w:highlight w:val="none"/>
        </w:rPr>
      </w:pPr>
    </w:p>
    <w:p w14:paraId="4D07EF05">
      <w:pPr>
        <w:spacing w:line="360" w:lineRule="atLeast"/>
        <w:jc w:val="center"/>
        <w:outlineLvl w:val="0"/>
        <w:rPr>
          <w:rFonts w:ascii="宋体" w:hAnsi="宋体" w:cs="宋体"/>
          <w:b/>
          <w:sz w:val="52"/>
          <w:szCs w:val="52"/>
          <w:highlight w:val="none"/>
          <w14:shadow w14:blurRad="50800" w14:dist="38100" w14:dir="2700000" w14:sx="100000" w14:sy="100000" w14:kx="0" w14:ky="0" w14:algn="tl">
            <w14:srgbClr w14:val="000000">
              <w14:alpha w14:val="60000"/>
            </w14:srgbClr>
          </w14:shadow>
        </w:rPr>
      </w:pPr>
      <w:bookmarkStart w:id="2" w:name="_Toc24797"/>
      <w:bookmarkStart w:id="3" w:name="_Toc20834"/>
      <w:r>
        <w:rPr>
          <w:rFonts w:hint="eastAsia" w:ascii="宋体" w:hAnsi="宋体" w:cs="宋体"/>
          <w:b/>
          <w:sz w:val="52"/>
          <w:szCs w:val="52"/>
          <w:highlight w:val="none"/>
        </w:rPr>
        <w:t>单一来源谈判文件</w:t>
      </w:r>
      <w:bookmarkEnd w:id="2"/>
      <w:bookmarkEnd w:id="3"/>
    </w:p>
    <w:p w14:paraId="371AE4ED">
      <w:pPr>
        <w:spacing w:line="360" w:lineRule="atLeast"/>
        <w:jc w:val="center"/>
        <w:rPr>
          <w:rFonts w:ascii="宋体" w:hAnsi="宋体" w:cs="宋体"/>
          <w:b/>
          <w:sz w:val="52"/>
          <w:szCs w:val="52"/>
          <w:highlight w:val="none"/>
        </w:rPr>
      </w:pPr>
    </w:p>
    <w:p w14:paraId="43D9569F">
      <w:pPr>
        <w:rPr>
          <w:rFonts w:ascii="宋体" w:hAnsi="宋体" w:cs="宋体"/>
          <w:b/>
          <w:sz w:val="30"/>
          <w:highlight w:val="none"/>
        </w:rPr>
      </w:pPr>
    </w:p>
    <w:p w14:paraId="40096934">
      <w:pPr>
        <w:rPr>
          <w:rFonts w:ascii="宋体" w:hAnsi="宋体" w:cs="宋体"/>
          <w:b/>
          <w:sz w:val="30"/>
          <w:highlight w:val="none"/>
        </w:rPr>
      </w:pPr>
    </w:p>
    <w:p w14:paraId="02D24D92">
      <w:pPr>
        <w:jc w:val="center"/>
        <w:rPr>
          <w:rFonts w:ascii="宋体" w:hAnsi="宋体" w:cs="宋体"/>
          <w:b/>
          <w:sz w:val="30"/>
          <w:highlight w:val="none"/>
        </w:rPr>
      </w:pPr>
    </w:p>
    <w:p w14:paraId="63FF15BF">
      <w:pPr>
        <w:spacing w:line="360" w:lineRule="auto"/>
        <w:jc w:val="center"/>
        <w:rPr>
          <w:rFonts w:ascii="宋体" w:hAnsi="宋体" w:cs="宋体"/>
          <w:b/>
          <w:sz w:val="32"/>
          <w:szCs w:val="32"/>
          <w:highlight w:val="none"/>
        </w:rPr>
      </w:pPr>
    </w:p>
    <w:p w14:paraId="3211F9FF">
      <w:pPr>
        <w:spacing w:line="360" w:lineRule="auto"/>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陕西至诚项目管理集团有限公司</w:t>
      </w:r>
    </w:p>
    <w:p w14:paraId="19C5F12B">
      <w:pPr>
        <w:spacing w:line="360" w:lineRule="auto"/>
        <w:jc w:val="center"/>
        <w:rPr>
          <w:rFonts w:ascii="宋体" w:hAnsi="宋体" w:cs="宋体"/>
          <w:b/>
          <w:sz w:val="32"/>
          <w:szCs w:val="32"/>
          <w:highlight w:val="none"/>
        </w:rPr>
        <w:sectPr>
          <w:headerReference r:id="rId6" w:type="first"/>
          <w:footerReference r:id="rId8" w:type="first"/>
          <w:headerReference r:id="rId5" w:type="default"/>
          <w:footerReference r:id="rId7" w:type="default"/>
          <w:pgSz w:w="11906" w:h="16838"/>
          <w:pgMar w:top="1418" w:right="1531" w:bottom="1418" w:left="1531" w:header="851" w:footer="992" w:gutter="0"/>
          <w:pgNumType w:start="1"/>
          <w:cols w:space="720" w:num="1"/>
          <w:titlePg/>
          <w:docGrid w:type="lines" w:linePitch="326" w:charSpace="0"/>
        </w:sectPr>
      </w:pPr>
      <w:r>
        <w:rPr>
          <w:rFonts w:hint="eastAsia" w:ascii="宋体" w:hAnsi="宋体" w:cs="宋体"/>
          <w:b/>
          <w:sz w:val="32"/>
          <w:szCs w:val="32"/>
          <w:highlight w:val="none"/>
        </w:rPr>
        <w:t>二〇二</w:t>
      </w:r>
      <w:r>
        <w:rPr>
          <w:rFonts w:hint="eastAsia" w:ascii="宋体" w:hAnsi="宋体" w:cs="宋体"/>
          <w:b/>
          <w:sz w:val="32"/>
          <w:szCs w:val="32"/>
          <w:highlight w:val="none"/>
          <w:lang w:val="en-US" w:eastAsia="zh-CN"/>
        </w:rPr>
        <w:t>四</w:t>
      </w:r>
      <w:r>
        <w:rPr>
          <w:rFonts w:hint="eastAsia" w:ascii="宋体" w:hAnsi="宋体" w:cs="宋体"/>
          <w:b/>
          <w:sz w:val="32"/>
          <w:szCs w:val="32"/>
          <w:highlight w:val="none"/>
        </w:rPr>
        <w:t>年</w:t>
      </w:r>
      <w:r>
        <w:rPr>
          <w:rFonts w:hint="eastAsia" w:ascii="宋体" w:hAnsi="宋体" w:cs="宋体"/>
          <w:b/>
          <w:sz w:val="32"/>
          <w:szCs w:val="32"/>
          <w:highlight w:val="none"/>
          <w:lang w:val="en-US" w:eastAsia="zh-CN"/>
        </w:rPr>
        <w:t>十</w:t>
      </w:r>
      <w:r>
        <w:rPr>
          <w:rFonts w:hint="eastAsia" w:ascii="宋体" w:hAnsi="宋体" w:cs="宋体"/>
          <w:b/>
          <w:sz w:val="32"/>
          <w:szCs w:val="32"/>
          <w:highlight w:val="none"/>
        </w:rPr>
        <w:t>月</w:t>
      </w:r>
    </w:p>
    <w:p w14:paraId="1F76A426">
      <w:pPr>
        <w:spacing w:line="360" w:lineRule="auto"/>
        <w:rPr>
          <w:rFonts w:ascii="宋体" w:hAnsi="宋体" w:cs="宋体"/>
          <w:b/>
          <w:sz w:val="30"/>
          <w:highlight w:val="none"/>
        </w:rPr>
      </w:pPr>
    </w:p>
    <w:p w14:paraId="63E0C533">
      <w:pPr>
        <w:pStyle w:val="12"/>
        <w:tabs>
          <w:tab w:val="right" w:leader="dot" w:pos="8844"/>
        </w:tabs>
        <w:spacing w:line="360" w:lineRule="auto"/>
        <w:jc w:val="center"/>
        <w:rPr>
          <w:rFonts w:hint="eastAsia" w:eastAsia="宋体"/>
          <w:highlight w:val="none"/>
          <w:lang w:val="en-US" w:eastAsia="zh-CN"/>
        </w:rPr>
      </w:pPr>
      <w:bookmarkStart w:id="4" w:name="_Toc328739376"/>
      <w:r>
        <w:rPr>
          <w:rFonts w:ascii="宋体" w:hAnsi="宋体" w:cs="宋体"/>
          <w:highlight w:val="none"/>
        </w:rPr>
        <w:fldChar w:fldCharType="begin"/>
      </w:r>
      <w:r>
        <w:rPr>
          <w:rFonts w:ascii="宋体" w:hAnsi="宋体" w:cs="宋体"/>
          <w:highlight w:val="none"/>
        </w:rPr>
        <w:instrText xml:space="preserve">TOC \o "1-1" \h \u </w:instrText>
      </w:r>
      <w:r>
        <w:rPr>
          <w:rFonts w:ascii="宋体" w:hAnsi="宋体" w:cs="宋体"/>
          <w:highlight w:val="none"/>
        </w:rPr>
        <w:fldChar w:fldCharType="separate"/>
      </w:r>
      <w:r>
        <w:rPr>
          <w:rFonts w:hint="eastAsia" w:ascii="宋体" w:hAnsi="宋体" w:cs="宋体"/>
          <w:highlight w:val="none"/>
          <w:lang w:val="en-US" w:eastAsia="zh-CN"/>
        </w:rPr>
        <w:t>目  录</w:t>
      </w:r>
    </w:p>
    <w:p w14:paraId="5CA3150B">
      <w:pPr>
        <w:pStyle w:val="12"/>
        <w:tabs>
          <w:tab w:val="right" w:leader="dot" w:pos="8844"/>
        </w:tabs>
        <w:spacing w:line="360" w:lineRule="auto"/>
        <w:rPr>
          <w:highlight w:val="none"/>
        </w:rPr>
      </w:pPr>
      <w:r>
        <w:rPr>
          <w:rFonts w:ascii="宋体" w:hAnsi="宋体" w:cs="宋体"/>
          <w:highlight w:val="none"/>
        </w:rPr>
        <w:fldChar w:fldCharType="begin"/>
      </w:r>
      <w:r>
        <w:rPr>
          <w:rFonts w:ascii="宋体" w:hAnsi="宋体" w:cs="宋体"/>
          <w:highlight w:val="none"/>
        </w:rPr>
        <w:instrText xml:space="preserve"> HYPERLINK \l _Toc2420 </w:instrText>
      </w:r>
      <w:r>
        <w:rPr>
          <w:rFonts w:ascii="宋体" w:hAnsi="宋体" w:cs="宋体"/>
          <w:highlight w:val="none"/>
        </w:rPr>
        <w:fldChar w:fldCharType="separate"/>
      </w:r>
      <w:r>
        <w:rPr>
          <w:rFonts w:hint="eastAsia" w:ascii="宋体" w:hAnsi="宋体" w:cs="宋体"/>
          <w:szCs w:val="32"/>
          <w:highlight w:val="none"/>
        </w:rPr>
        <w:t>第一章  单一来源</w:t>
      </w:r>
      <w:r>
        <w:rPr>
          <w:rFonts w:hint="eastAsia" w:ascii="宋体" w:hAnsi="宋体" w:cs="宋体"/>
          <w:szCs w:val="32"/>
          <w:highlight w:val="none"/>
          <w:lang w:val="en-US" w:eastAsia="zh-CN"/>
        </w:rPr>
        <w:t>邀请函</w:t>
      </w:r>
      <w:r>
        <w:rPr>
          <w:highlight w:val="none"/>
        </w:rPr>
        <w:tab/>
      </w:r>
      <w:r>
        <w:rPr>
          <w:highlight w:val="none"/>
        </w:rPr>
        <w:fldChar w:fldCharType="begin"/>
      </w:r>
      <w:r>
        <w:rPr>
          <w:highlight w:val="none"/>
        </w:rPr>
        <w:instrText xml:space="preserve"> PAGEREF _Toc2420 \h </w:instrText>
      </w:r>
      <w:r>
        <w:rPr>
          <w:highlight w:val="none"/>
        </w:rPr>
        <w:fldChar w:fldCharType="separate"/>
      </w:r>
      <w:r>
        <w:rPr>
          <w:highlight w:val="none"/>
        </w:rPr>
        <w:t>1</w:t>
      </w:r>
      <w:r>
        <w:rPr>
          <w:highlight w:val="none"/>
        </w:rPr>
        <w:fldChar w:fldCharType="end"/>
      </w:r>
      <w:r>
        <w:rPr>
          <w:rFonts w:ascii="宋体" w:hAnsi="宋体" w:cs="宋体"/>
          <w:highlight w:val="none"/>
        </w:rPr>
        <w:fldChar w:fldCharType="end"/>
      </w:r>
    </w:p>
    <w:p w14:paraId="14168779">
      <w:pPr>
        <w:pStyle w:val="12"/>
        <w:tabs>
          <w:tab w:val="right" w:leader="dot" w:pos="8844"/>
        </w:tabs>
        <w:spacing w:line="360" w:lineRule="auto"/>
        <w:rPr>
          <w:highlight w:val="none"/>
        </w:rPr>
      </w:pPr>
      <w:r>
        <w:rPr>
          <w:rFonts w:ascii="宋体" w:hAnsi="宋体" w:cs="宋体"/>
          <w:highlight w:val="none"/>
        </w:rPr>
        <w:fldChar w:fldCharType="begin"/>
      </w:r>
      <w:r>
        <w:rPr>
          <w:rFonts w:ascii="宋体" w:hAnsi="宋体" w:cs="宋体"/>
          <w:highlight w:val="none"/>
        </w:rPr>
        <w:instrText xml:space="preserve"> HYPERLINK \l _Toc16362 </w:instrText>
      </w:r>
      <w:r>
        <w:rPr>
          <w:rFonts w:ascii="宋体" w:hAnsi="宋体" w:cs="宋体"/>
          <w:highlight w:val="none"/>
        </w:rPr>
        <w:fldChar w:fldCharType="separate"/>
      </w:r>
      <w:r>
        <w:rPr>
          <w:rFonts w:hint="eastAsia" w:ascii="宋体" w:hAnsi="宋体" w:cs="宋体"/>
          <w:szCs w:val="32"/>
          <w:highlight w:val="none"/>
        </w:rPr>
        <w:t>第二章  谈判供应商须知</w:t>
      </w:r>
      <w:r>
        <w:rPr>
          <w:highlight w:val="none"/>
        </w:rPr>
        <w:tab/>
      </w:r>
      <w:r>
        <w:rPr>
          <w:highlight w:val="none"/>
        </w:rPr>
        <w:fldChar w:fldCharType="begin"/>
      </w:r>
      <w:r>
        <w:rPr>
          <w:highlight w:val="none"/>
        </w:rPr>
        <w:instrText xml:space="preserve"> PAGEREF _Toc16362 \h </w:instrText>
      </w:r>
      <w:r>
        <w:rPr>
          <w:highlight w:val="none"/>
        </w:rPr>
        <w:fldChar w:fldCharType="separate"/>
      </w:r>
      <w:r>
        <w:rPr>
          <w:highlight w:val="none"/>
        </w:rPr>
        <w:t>5</w:t>
      </w:r>
      <w:r>
        <w:rPr>
          <w:highlight w:val="none"/>
        </w:rPr>
        <w:fldChar w:fldCharType="end"/>
      </w:r>
      <w:r>
        <w:rPr>
          <w:rFonts w:ascii="宋体" w:hAnsi="宋体" w:cs="宋体"/>
          <w:highlight w:val="none"/>
        </w:rPr>
        <w:fldChar w:fldCharType="end"/>
      </w:r>
    </w:p>
    <w:p w14:paraId="285D0BFC">
      <w:pPr>
        <w:pStyle w:val="12"/>
        <w:tabs>
          <w:tab w:val="right" w:leader="dot" w:pos="8844"/>
        </w:tabs>
        <w:spacing w:line="360" w:lineRule="auto"/>
        <w:rPr>
          <w:highlight w:val="none"/>
        </w:rPr>
      </w:pPr>
      <w:r>
        <w:rPr>
          <w:rFonts w:ascii="宋体" w:hAnsi="宋体" w:cs="宋体"/>
          <w:highlight w:val="none"/>
        </w:rPr>
        <w:fldChar w:fldCharType="begin"/>
      </w:r>
      <w:r>
        <w:rPr>
          <w:rFonts w:ascii="宋体" w:hAnsi="宋体" w:cs="宋体"/>
          <w:highlight w:val="none"/>
        </w:rPr>
        <w:instrText xml:space="preserve"> HYPERLINK \l _Toc21109 </w:instrText>
      </w:r>
      <w:r>
        <w:rPr>
          <w:rFonts w:ascii="宋体" w:hAnsi="宋体" w:cs="宋体"/>
          <w:highlight w:val="none"/>
        </w:rPr>
        <w:fldChar w:fldCharType="separate"/>
      </w:r>
      <w:r>
        <w:rPr>
          <w:rFonts w:hint="eastAsia" w:ascii="宋体" w:hAnsi="宋体" w:cs="宋体"/>
          <w:szCs w:val="32"/>
          <w:highlight w:val="none"/>
        </w:rPr>
        <w:t>第三章  谈判内容及要求</w:t>
      </w:r>
      <w:r>
        <w:rPr>
          <w:highlight w:val="none"/>
        </w:rPr>
        <w:tab/>
      </w:r>
      <w:r>
        <w:rPr>
          <w:highlight w:val="none"/>
        </w:rPr>
        <w:fldChar w:fldCharType="begin"/>
      </w:r>
      <w:r>
        <w:rPr>
          <w:highlight w:val="none"/>
        </w:rPr>
        <w:instrText xml:space="preserve"> PAGEREF _Toc21109 \h </w:instrText>
      </w:r>
      <w:r>
        <w:rPr>
          <w:highlight w:val="none"/>
        </w:rPr>
        <w:fldChar w:fldCharType="separate"/>
      </w:r>
      <w:r>
        <w:rPr>
          <w:highlight w:val="none"/>
        </w:rPr>
        <w:t>18</w:t>
      </w:r>
      <w:r>
        <w:rPr>
          <w:highlight w:val="none"/>
        </w:rPr>
        <w:fldChar w:fldCharType="end"/>
      </w:r>
      <w:r>
        <w:rPr>
          <w:rFonts w:ascii="宋体" w:hAnsi="宋体" w:cs="宋体"/>
          <w:highlight w:val="none"/>
        </w:rPr>
        <w:fldChar w:fldCharType="end"/>
      </w:r>
    </w:p>
    <w:p w14:paraId="5ACC5DC7">
      <w:pPr>
        <w:pStyle w:val="12"/>
        <w:tabs>
          <w:tab w:val="right" w:leader="dot" w:pos="8844"/>
        </w:tabs>
        <w:spacing w:line="360" w:lineRule="auto"/>
        <w:rPr>
          <w:highlight w:val="none"/>
        </w:rPr>
      </w:pPr>
      <w:r>
        <w:rPr>
          <w:rFonts w:ascii="宋体" w:hAnsi="宋体" w:cs="宋体"/>
          <w:highlight w:val="none"/>
        </w:rPr>
        <w:fldChar w:fldCharType="begin"/>
      </w:r>
      <w:r>
        <w:rPr>
          <w:rFonts w:ascii="宋体" w:hAnsi="宋体" w:cs="宋体"/>
          <w:highlight w:val="none"/>
        </w:rPr>
        <w:instrText xml:space="preserve"> HYPERLINK \l _Toc22803 </w:instrText>
      </w:r>
      <w:r>
        <w:rPr>
          <w:rFonts w:ascii="宋体" w:hAnsi="宋体" w:cs="宋体"/>
          <w:highlight w:val="none"/>
        </w:rPr>
        <w:fldChar w:fldCharType="separate"/>
      </w:r>
      <w:r>
        <w:rPr>
          <w:rFonts w:hint="eastAsia" w:ascii="宋体" w:hAnsi="宋体" w:eastAsia="宋体" w:cs="宋体"/>
          <w:bCs/>
          <w:szCs w:val="36"/>
          <w:highlight w:val="none"/>
        </w:rPr>
        <w:t>第四章</w:t>
      </w:r>
      <w:r>
        <w:rPr>
          <w:rFonts w:hint="eastAsia" w:ascii="宋体" w:hAnsi="宋体" w:eastAsia="宋体" w:cs="宋体"/>
          <w:bCs/>
          <w:szCs w:val="36"/>
          <w:highlight w:val="none"/>
          <w:lang w:val="en-US" w:eastAsia="zh-CN"/>
        </w:rPr>
        <w:t xml:space="preserve">  </w:t>
      </w:r>
      <w:r>
        <w:rPr>
          <w:rFonts w:hint="eastAsia" w:ascii="宋体" w:hAnsi="宋体" w:eastAsia="宋体" w:cs="宋体"/>
          <w:bCs/>
          <w:szCs w:val="36"/>
          <w:highlight w:val="none"/>
        </w:rPr>
        <w:t>合同条款及格式</w:t>
      </w:r>
      <w:r>
        <w:rPr>
          <w:highlight w:val="none"/>
        </w:rPr>
        <w:tab/>
      </w:r>
      <w:r>
        <w:rPr>
          <w:highlight w:val="none"/>
        </w:rPr>
        <w:fldChar w:fldCharType="begin"/>
      </w:r>
      <w:r>
        <w:rPr>
          <w:highlight w:val="none"/>
        </w:rPr>
        <w:instrText xml:space="preserve"> PAGEREF _Toc22803 \h </w:instrText>
      </w:r>
      <w:r>
        <w:rPr>
          <w:highlight w:val="none"/>
        </w:rPr>
        <w:fldChar w:fldCharType="separate"/>
      </w:r>
      <w:r>
        <w:rPr>
          <w:highlight w:val="none"/>
        </w:rPr>
        <w:t>29</w:t>
      </w:r>
      <w:r>
        <w:rPr>
          <w:highlight w:val="none"/>
        </w:rPr>
        <w:fldChar w:fldCharType="end"/>
      </w:r>
      <w:r>
        <w:rPr>
          <w:rFonts w:ascii="宋体" w:hAnsi="宋体" w:cs="宋体"/>
          <w:highlight w:val="none"/>
        </w:rPr>
        <w:fldChar w:fldCharType="end"/>
      </w:r>
    </w:p>
    <w:p w14:paraId="635C6D5C">
      <w:pPr>
        <w:pStyle w:val="12"/>
        <w:tabs>
          <w:tab w:val="right" w:leader="dot" w:pos="8844"/>
        </w:tabs>
        <w:spacing w:line="360" w:lineRule="auto"/>
        <w:rPr>
          <w:highlight w:val="none"/>
        </w:rPr>
      </w:pPr>
      <w:r>
        <w:rPr>
          <w:rFonts w:ascii="宋体" w:hAnsi="宋体" w:cs="宋体"/>
          <w:highlight w:val="none"/>
        </w:rPr>
        <w:fldChar w:fldCharType="begin"/>
      </w:r>
      <w:r>
        <w:rPr>
          <w:rFonts w:ascii="宋体" w:hAnsi="宋体" w:cs="宋体"/>
          <w:highlight w:val="none"/>
        </w:rPr>
        <w:instrText xml:space="preserve"> HYPERLINK \l _Toc31404 </w:instrText>
      </w:r>
      <w:r>
        <w:rPr>
          <w:rFonts w:ascii="宋体" w:hAnsi="宋体" w:cs="宋体"/>
          <w:highlight w:val="none"/>
        </w:rPr>
        <w:fldChar w:fldCharType="separate"/>
      </w:r>
      <w:r>
        <w:rPr>
          <w:rFonts w:hint="eastAsia" w:ascii="宋体" w:hAnsi="宋体" w:cs="宋体"/>
          <w:bCs/>
          <w:szCs w:val="32"/>
          <w:highlight w:val="none"/>
        </w:rPr>
        <w:t>第五章  谈判响应文件格式</w:t>
      </w:r>
      <w:r>
        <w:rPr>
          <w:highlight w:val="none"/>
        </w:rPr>
        <w:tab/>
      </w:r>
      <w:r>
        <w:rPr>
          <w:highlight w:val="none"/>
        </w:rPr>
        <w:fldChar w:fldCharType="begin"/>
      </w:r>
      <w:r>
        <w:rPr>
          <w:highlight w:val="none"/>
        </w:rPr>
        <w:instrText xml:space="preserve"> PAGEREF _Toc31404 \h </w:instrText>
      </w:r>
      <w:r>
        <w:rPr>
          <w:highlight w:val="none"/>
        </w:rPr>
        <w:fldChar w:fldCharType="separate"/>
      </w:r>
      <w:r>
        <w:rPr>
          <w:highlight w:val="none"/>
        </w:rPr>
        <w:t>35</w:t>
      </w:r>
      <w:r>
        <w:rPr>
          <w:highlight w:val="none"/>
        </w:rPr>
        <w:fldChar w:fldCharType="end"/>
      </w:r>
      <w:r>
        <w:rPr>
          <w:rFonts w:ascii="宋体" w:hAnsi="宋体" w:cs="宋体"/>
          <w:highlight w:val="none"/>
        </w:rPr>
        <w:fldChar w:fldCharType="end"/>
      </w:r>
    </w:p>
    <w:p w14:paraId="19E98AAE">
      <w:pPr>
        <w:rPr>
          <w:rFonts w:ascii="宋体" w:hAnsi="宋体" w:cs="宋体"/>
          <w:highlight w:val="none"/>
        </w:rPr>
      </w:pPr>
      <w:r>
        <w:rPr>
          <w:rFonts w:ascii="宋体" w:hAnsi="宋体" w:cs="宋体"/>
          <w:highlight w:val="none"/>
        </w:rPr>
        <w:fldChar w:fldCharType="end"/>
      </w:r>
    </w:p>
    <w:p w14:paraId="4E283413">
      <w:pPr>
        <w:pStyle w:val="3"/>
        <w:keepNext w:val="0"/>
        <w:keepLines w:val="0"/>
        <w:outlineLvl w:val="9"/>
        <w:rPr>
          <w:rFonts w:ascii="宋体" w:hAnsi="宋体" w:cs="宋体"/>
          <w:sz w:val="32"/>
          <w:szCs w:val="32"/>
          <w:highlight w:val="none"/>
        </w:rPr>
        <w:sectPr>
          <w:headerReference r:id="rId9" w:type="default"/>
          <w:footerReference r:id="rId10" w:type="default"/>
          <w:footerReference r:id="rId11" w:type="even"/>
          <w:pgSz w:w="11906" w:h="16838"/>
          <w:pgMar w:top="1418" w:right="1531" w:bottom="1418" w:left="1531" w:header="851" w:footer="992" w:gutter="0"/>
          <w:cols w:space="720" w:num="1"/>
          <w:docGrid w:type="lines" w:linePitch="312" w:charSpace="0"/>
        </w:sectPr>
      </w:pPr>
      <w:bookmarkStart w:id="5" w:name="_Toc15397"/>
      <w:bookmarkStart w:id="71" w:name="_GoBack"/>
      <w:bookmarkEnd w:id="71"/>
    </w:p>
    <w:p w14:paraId="53086BC2">
      <w:pPr>
        <w:pStyle w:val="3"/>
        <w:keepNext w:val="0"/>
        <w:keepLines w:val="0"/>
        <w:outlineLvl w:val="0"/>
        <w:rPr>
          <w:rFonts w:hint="default" w:ascii="宋体" w:hAnsi="宋体" w:eastAsia="宋体" w:cs="宋体"/>
          <w:sz w:val="32"/>
          <w:szCs w:val="32"/>
          <w:highlight w:val="none"/>
          <w:lang w:val="en-US" w:eastAsia="zh-CN"/>
        </w:rPr>
      </w:pPr>
      <w:bookmarkStart w:id="6" w:name="_Toc13291"/>
      <w:bookmarkStart w:id="7" w:name="_Toc2420"/>
      <w:r>
        <w:rPr>
          <w:rFonts w:hint="eastAsia" w:ascii="宋体" w:hAnsi="宋体" w:cs="宋体"/>
          <w:sz w:val="32"/>
          <w:szCs w:val="32"/>
          <w:highlight w:val="none"/>
        </w:rPr>
        <w:t>第一章  单一来源</w:t>
      </w:r>
      <w:bookmarkEnd w:id="4"/>
      <w:bookmarkEnd w:id="5"/>
      <w:r>
        <w:rPr>
          <w:rFonts w:hint="eastAsia" w:ascii="宋体" w:hAnsi="宋体" w:cs="宋体"/>
          <w:sz w:val="32"/>
          <w:szCs w:val="32"/>
          <w:highlight w:val="none"/>
          <w:lang w:val="en-US" w:eastAsia="zh-CN"/>
        </w:rPr>
        <w:t>邀请函</w:t>
      </w:r>
      <w:bookmarkEnd w:id="6"/>
      <w:bookmarkEnd w:id="7"/>
    </w:p>
    <w:p w14:paraId="61CE311B">
      <w:pPr>
        <w:pStyle w:val="29"/>
        <w:spacing w:line="480" w:lineRule="exact"/>
        <w:jc w:val="center"/>
        <w:rPr>
          <w:highlight w:val="none"/>
        </w:rPr>
      </w:pPr>
      <w:bookmarkStart w:id="8" w:name="_Toc328739377"/>
      <w:r>
        <w:rPr>
          <w:b/>
          <w:sz w:val="36"/>
          <w:highlight w:val="none"/>
        </w:rPr>
        <w:t>长武县人民医院信息化升级单一来源公告</w:t>
      </w:r>
    </w:p>
    <w:p w14:paraId="7F1CAE47">
      <w:pPr>
        <w:pStyle w:val="29"/>
        <w:keepNext w:val="0"/>
        <w:keepLines w:val="0"/>
        <w:pageBreakBefore w:val="0"/>
        <w:widowControl/>
        <w:kinsoku/>
        <w:wordWrap/>
        <w:overflowPunct/>
        <w:topLinePunct w:val="0"/>
        <w:autoSpaceDE/>
        <w:autoSpaceDN/>
        <w:bidi w:val="0"/>
        <w:adjustRightInd/>
        <w:snapToGrid/>
        <w:spacing w:line="360" w:lineRule="auto"/>
        <w:ind w:firstLine="301" w:firstLineChars="200"/>
        <w:textAlignment w:val="auto"/>
        <w:outlineLvl w:val="5"/>
        <w:rPr>
          <w:rFonts w:hint="eastAsia" w:ascii="宋体" w:hAnsi="宋体" w:eastAsia="宋体" w:cs="宋体"/>
          <w:sz w:val="24"/>
          <w:szCs w:val="24"/>
          <w:highlight w:val="none"/>
        </w:rPr>
      </w:pPr>
      <w:r>
        <w:rPr>
          <w:b/>
          <w:sz w:val="15"/>
          <w:highlight w:val="none"/>
        </w:rPr>
        <w:t xml:space="preserve"> </w:t>
      </w:r>
      <w:r>
        <w:rPr>
          <w:rFonts w:hint="eastAsia" w:ascii="宋体" w:hAnsi="宋体" w:eastAsia="宋体" w:cs="宋体"/>
          <w:b/>
          <w:sz w:val="24"/>
          <w:szCs w:val="24"/>
          <w:highlight w:val="none"/>
        </w:rPr>
        <w:t>项目概况</w:t>
      </w:r>
    </w:p>
    <w:p w14:paraId="72FDBB50">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信息化升级采购项目的潜在供应商应在陕西省西安市经济技术开发区未央路171-1号银池道拉斯财富中心21楼获取采购文件，并于 2024年10月30日 15时30分 （北京时间）前提交响应文件。</w:t>
      </w:r>
    </w:p>
    <w:p w14:paraId="4A024D89">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一、项目基本情况</w:t>
      </w:r>
    </w:p>
    <w:p w14:paraId="70AE418D">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项目编号：SXZCZB2024-ZCDY-1021</w:t>
      </w:r>
    </w:p>
    <w:p w14:paraId="38E63E38">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项目名称：信息化升级</w:t>
      </w:r>
    </w:p>
    <w:p w14:paraId="08CBADC6">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采购方式：单一来源</w:t>
      </w:r>
    </w:p>
    <w:p w14:paraId="38D1F4F0">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预算金额：1,021,000.00元</w:t>
      </w:r>
    </w:p>
    <w:p w14:paraId="07B4A4EF">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14:paraId="09C87813">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合同包1(信息化升级):</w:t>
      </w:r>
    </w:p>
    <w:p w14:paraId="500ED013">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合同包预算金额：1,021,000.00元</w:t>
      </w:r>
    </w:p>
    <w:p w14:paraId="19707C51">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合同包最高限价：1,021,000.00元</w:t>
      </w:r>
    </w:p>
    <w:tbl>
      <w:tblPr>
        <w:tblStyle w:val="16"/>
        <w:tblW w:w="96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70"/>
        <w:gridCol w:w="947"/>
        <w:gridCol w:w="947"/>
        <w:gridCol w:w="1317"/>
        <w:gridCol w:w="1411"/>
        <w:gridCol w:w="1749"/>
        <w:gridCol w:w="2214"/>
      </w:tblGrid>
      <w:tr w14:paraId="6455D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76" w:hRule="atLeast"/>
        </w:trPr>
        <w:tc>
          <w:tcPr>
            <w:tcW w:w="1070" w:type="dxa"/>
          </w:tcPr>
          <w:p w14:paraId="56984DA1">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品目号</w:t>
            </w:r>
          </w:p>
        </w:tc>
        <w:tc>
          <w:tcPr>
            <w:tcW w:w="947" w:type="dxa"/>
          </w:tcPr>
          <w:p w14:paraId="4D493724">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品目名称</w:t>
            </w:r>
          </w:p>
        </w:tc>
        <w:tc>
          <w:tcPr>
            <w:tcW w:w="947" w:type="dxa"/>
          </w:tcPr>
          <w:p w14:paraId="1B6802B5">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采购标的</w:t>
            </w:r>
          </w:p>
        </w:tc>
        <w:tc>
          <w:tcPr>
            <w:tcW w:w="1317" w:type="dxa"/>
          </w:tcPr>
          <w:p w14:paraId="1E354E45">
            <w:pPr>
              <w:pStyle w:val="29"/>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p w14:paraId="1E99BC89">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1411" w:type="dxa"/>
          </w:tcPr>
          <w:p w14:paraId="6E272CF7">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技术规格、参数及要求</w:t>
            </w:r>
          </w:p>
        </w:tc>
        <w:tc>
          <w:tcPr>
            <w:tcW w:w="1749" w:type="dxa"/>
          </w:tcPr>
          <w:p w14:paraId="37B9CB83">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品目预算(元)</w:t>
            </w:r>
          </w:p>
        </w:tc>
        <w:tc>
          <w:tcPr>
            <w:tcW w:w="2214" w:type="dxa"/>
          </w:tcPr>
          <w:p w14:paraId="2A492DB9">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最高限价(元)</w:t>
            </w:r>
          </w:p>
        </w:tc>
      </w:tr>
      <w:tr w14:paraId="12AAE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62" w:hRule="atLeast"/>
        </w:trPr>
        <w:tc>
          <w:tcPr>
            <w:tcW w:w="1070" w:type="dxa"/>
          </w:tcPr>
          <w:p w14:paraId="14887E41">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947" w:type="dxa"/>
          </w:tcPr>
          <w:p w14:paraId="38016663">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其他系统集成实施服务</w:t>
            </w:r>
          </w:p>
        </w:tc>
        <w:tc>
          <w:tcPr>
            <w:tcW w:w="947" w:type="dxa"/>
          </w:tcPr>
          <w:p w14:paraId="57F6D036">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信息化升级</w:t>
            </w:r>
          </w:p>
        </w:tc>
        <w:tc>
          <w:tcPr>
            <w:tcW w:w="1317" w:type="dxa"/>
          </w:tcPr>
          <w:p w14:paraId="6A8AF62D">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1(批)</w:t>
            </w:r>
          </w:p>
        </w:tc>
        <w:tc>
          <w:tcPr>
            <w:tcW w:w="1411" w:type="dxa"/>
          </w:tcPr>
          <w:p w14:paraId="72F470E5">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详见采购文件</w:t>
            </w:r>
          </w:p>
        </w:tc>
        <w:tc>
          <w:tcPr>
            <w:tcW w:w="1749" w:type="dxa"/>
          </w:tcPr>
          <w:p w14:paraId="1D64FD36">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1,021,000.00</w:t>
            </w:r>
          </w:p>
        </w:tc>
        <w:tc>
          <w:tcPr>
            <w:tcW w:w="2214" w:type="dxa"/>
          </w:tcPr>
          <w:p w14:paraId="6381CFC2">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1,021,000.00</w:t>
            </w:r>
          </w:p>
        </w:tc>
      </w:tr>
    </w:tbl>
    <w:p w14:paraId="15E4F017">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本合同包不接受联合体投标</w:t>
      </w:r>
    </w:p>
    <w:p w14:paraId="35F58E3B">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合同履行期限：60天</w:t>
      </w:r>
    </w:p>
    <w:p w14:paraId="67E9AA46">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二、申请人的资格要求：</w:t>
      </w:r>
    </w:p>
    <w:p w14:paraId="492D5B31">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5A07934F">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2.落实政府采购政策需满足的资格要求：</w:t>
      </w:r>
    </w:p>
    <w:p w14:paraId="4CF0B5E6">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合同包1(信息化升级)落实政府采购政策需满足的资格要求如下:</w:t>
      </w:r>
    </w:p>
    <w:p w14:paraId="2D38A107">
      <w:pPr>
        <w:pStyle w:val="29"/>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（1）《政府采购促进中小企业发展管理办法》（财库〔2020〕46号）；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（2）《财政部司法部关于政府采购支持监狱企业发展有关问题的通知》（财库〔2014〕68号）；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（3）《关于促进残疾人就业政府采购政策的通知》（财库〔2017〕141号）；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（4）《节能产品政府采购实施意见》（财库〔2004〕185号）；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（5）《环境标志产品政府采购实施的意见》（财库〔2006〕90号）；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（6）《国务院办公厅关于建立政府强制采购节能产品制度的通知》（国办发〔2007〕51号）；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（7）财政部发展改革委生态环境部市场监管总局关于调整优化节能产品、环境标志产品政府采购执行机制的通知（财库〔2019〕9号）；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（8）《关于印发环境标志产品政府采购品目清单的通知》（财库〔2019〕18号）；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（9）《关于印发节能产品政府采购品目清单的通知》（财库〔2019〕19号）；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（10）《市场监督总局关于发布参与实施政府采购节能产品、环境标志产品认证机构名录的公告》2019年第16号；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（11）《关于运用政府采购政策支持乡村产业振兴的通知》（财库〔2021〕19号）；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（13）《陕西省财政厅关于加快推进我省中小企业政府采购信用融资工作的通知》（陕财办采〔2020〕15号）；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（14）《关于进一步加强政府绿色采购有关问题的通知》（陕财办采〔2021〕29号）；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（15）《陕西省财政厅陕西省工业和信息化厅关于运用政府采购政策支持首台（套）及创新产品有关事项的通知》（陕财办采〔2021〕17号）；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（17）其他需要落实的政府采购政策。</w:t>
      </w:r>
    </w:p>
    <w:p w14:paraId="39A942CC">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3.本项目的特定资格要求：</w:t>
      </w:r>
    </w:p>
    <w:p w14:paraId="56BC3C2B">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合同包1(信息化升级)特定资格要求如下:</w:t>
      </w:r>
    </w:p>
    <w:p w14:paraId="205EF0DD">
      <w:pPr>
        <w:pStyle w:val="29"/>
        <w:keepNext w:val="0"/>
        <w:keepLines w:val="0"/>
        <w:pageBreakBefore w:val="0"/>
        <w:widowControl/>
        <w:kinsoku/>
        <w:wordWrap/>
        <w:overflowPunct/>
        <w:topLinePunct w:val="0"/>
        <w:autoSpaceDE/>
        <w:autoSpaceDN/>
        <w:bidi w:val="0"/>
        <w:adjustRightInd/>
        <w:snapToGrid/>
        <w:spacing w:line="360" w:lineRule="auto"/>
        <w:ind w:left="48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(1)提供合格有效的法人或者其他组织的营业执照等证明文件，自然人的身份证明；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(2）提供法定代表人授权书（附法定代表人、被授权人身份证复印件）及被授权人身份证原件（法定代表人直接参加谈判，须提供法定代表人身份证明及身份证原件）；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财务状况：提供2023年度经审计的财务审计报告（成立时间至提交谈判响应文件截止时间不足一年的可提供成立后任意时段的资产负债表），或其基本存款账户开户银行出具的资信证明及基本存款账户开户许可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(4)税收缴纳证明：提供谈判响应文件递交截止时间前一年内至少一个月的纳税证明或完税证明；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(5)社会保障资金缴纳证明：提供谈判响应文件截止日前近一年内至少一个月的社会保障资金缴存单据或社保机构开具的社会保险参保情况证明，依法不需要缴纳社会保障资金的单位应提供相关证明材料；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(6)供应商通过“信用中国”网站(www.creditchina.gov.cn)、中国政府采购网(www.ccgp.gov.cn)等查询相关主体信用记录；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(7)参加政府采购活动前3年内，在经营活动中没有重大违法记录的书面声明；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(8)提供具有履行合同所必需的设备和专业技术能力的书面承诺；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(9)供应商需提供中小企业声明函；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(10)本项目不接受联合体谈判。</w:t>
      </w:r>
    </w:p>
    <w:p w14:paraId="7AD74360">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三、获取采购文件</w:t>
      </w:r>
    </w:p>
    <w:p w14:paraId="16F7C83E">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 2024年10月22日 至 2024年10月22日 ，每天上午 09:00:00 至 12:00:00 ，下午 14:00:00 至 17:00:00 （北京时间）</w:t>
      </w:r>
    </w:p>
    <w:p w14:paraId="371CB2FC">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途径：陕西省西安市经济技术开发区未央路171-1号银池道拉斯财富中心21楼</w:t>
      </w:r>
    </w:p>
    <w:p w14:paraId="6AFFEAB2">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方式：现场获取</w:t>
      </w:r>
    </w:p>
    <w:p w14:paraId="60735F2E">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 免费获取</w:t>
      </w:r>
    </w:p>
    <w:p w14:paraId="147FE7B8">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四、响应文件提交</w:t>
      </w:r>
    </w:p>
    <w:p w14:paraId="3DDCC051">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截止时间： 2024年10月30日 15时30分00秒 （北京时间）</w:t>
      </w:r>
    </w:p>
    <w:p w14:paraId="40E6CD64">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地点：陕西省西安市经济技术开发区未央路171-1号银池道拉斯财富中心21楼</w:t>
      </w:r>
    </w:p>
    <w:p w14:paraId="61351266">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五、开启</w:t>
      </w:r>
    </w:p>
    <w:p w14:paraId="17940CA8">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 2024年10月30日 15时30分00秒 （北京时间）</w:t>
      </w:r>
    </w:p>
    <w:p w14:paraId="4460CE1C">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地点：陕西省西安市经济技术开发区未央路171-1号银池道拉斯财富中心21楼</w:t>
      </w:r>
    </w:p>
    <w:p w14:paraId="7E160C1F">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六、公告期限</w:t>
      </w:r>
    </w:p>
    <w:p w14:paraId="26534571">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自本公告发布之日起3个工作日。</w:t>
      </w:r>
    </w:p>
    <w:p w14:paraId="31BD1BD0">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七、其他补充事宜</w:t>
      </w:r>
    </w:p>
    <w:p w14:paraId="46AA3377">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shd w:val="clear" w:fill="FFFFFF"/>
        </w:rPr>
        <w:t>（1）供应商领取标书时，请携带单位介绍信及经办人身份证原件及复印件加盖公章；（2）请供应商按照《陕西省财政厅关于政府采购供应商注册登记有关事项的通知》中的要求，通过陕西省政府采购网（http://www.ccgp-shaanxi.gov.cn/）注册登记加入陕西省政府采购供应商库。</w:t>
      </w:r>
    </w:p>
    <w:p w14:paraId="510EA53F">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sz w:val="24"/>
          <w:szCs w:val="24"/>
          <w:highlight w:val="none"/>
        </w:rPr>
      </w:pPr>
      <w:r>
        <w:rPr>
          <w:rFonts w:hint="eastAsia" w:ascii="宋体" w:hAnsi="宋体" w:eastAsia="宋体" w:cs="宋体"/>
          <w:b/>
          <w:sz w:val="24"/>
          <w:szCs w:val="24"/>
          <w:highlight w:val="none"/>
        </w:rPr>
        <w:t>八、对本次招标提出询问，请按以下方式联系。</w:t>
      </w:r>
    </w:p>
    <w:p w14:paraId="0E1B790F">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1.采购人信息</w:t>
      </w:r>
    </w:p>
    <w:p w14:paraId="49942A24">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名称：长武县人民医院</w:t>
      </w:r>
    </w:p>
    <w:p w14:paraId="31F39C62">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地址：长武县昭仁大街中段</w:t>
      </w:r>
    </w:p>
    <w:p w14:paraId="4F097D95">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联系方式：13402936980</w:t>
      </w:r>
    </w:p>
    <w:p w14:paraId="359BBE87">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2.采购代理机构信息</w:t>
      </w:r>
    </w:p>
    <w:p w14:paraId="70435352">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名称：陕西至诚项目管理集团有限公司</w:t>
      </w:r>
    </w:p>
    <w:p w14:paraId="2988167C">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地址：陕西省西安市经济技术开发区未央路171-1号银池道拉斯财富中心21楼</w:t>
      </w:r>
    </w:p>
    <w:p w14:paraId="128B9A30">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联系方式：029-88219779</w:t>
      </w:r>
    </w:p>
    <w:p w14:paraId="5EC95A8C">
      <w:pPr>
        <w:pStyle w:val="29"/>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5"/>
        <w:rPr>
          <w:rFonts w:hint="eastAsia" w:ascii="宋体" w:hAnsi="宋体" w:eastAsia="宋体" w:cs="宋体"/>
          <w:sz w:val="24"/>
          <w:szCs w:val="24"/>
          <w:highlight w:val="none"/>
        </w:rPr>
      </w:pPr>
      <w:r>
        <w:rPr>
          <w:rFonts w:hint="eastAsia" w:ascii="宋体" w:hAnsi="宋体" w:eastAsia="宋体" w:cs="宋体"/>
          <w:b/>
          <w:sz w:val="24"/>
          <w:szCs w:val="24"/>
          <w:highlight w:val="none"/>
        </w:rPr>
        <w:t>3.项目联系方式</w:t>
      </w:r>
    </w:p>
    <w:p w14:paraId="02EA9CF2">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项目联系人：倪沛、刘瑞琦、王欣玫</w:t>
      </w:r>
    </w:p>
    <w:p w14:paraId="2CFA3D9A">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电话：029-88219779</w:t>
      </w:r>
    </w:p>
    <w:p w14:paraId="6CBF0692">
      <w:pPr>
        <w:pStyle w:val="29"/>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ascii="宋体" w:hAnsi="宋体" w:cs="宋体"/>
          <w:sz w:val="24"/>
          <w:highlight w:val="none"/>
          <w:shd w:val="clear" w:color="auto" w:fill="FFFFFF"/>
        </w:rPr>
      </w:pPr>
      <w:r>
        <w:rPr>
          <w:rFonts w:hint="eastAsia" w:ascii="宋体" w:hAnsi="宋体" w:eastAsia="宋体" w:cs="宋体"/>
          <w:sz w:val="24"/>
          <w:szCs w:val="24"/>
          <w:highlight w:val="none"/>
        </w:rPr>
        <w:t>陕西至诚项目管理集团有限公司</w:t>
      </w:r>
      <w:r>
        <w:rPr>
          <w:rFonts w:hint="eastAsia" w:ascii="宋体" w:hAnsi="宋体" w:eastAsia="宋体" w:cs="宋体"/>
          <w:sz w:val="24"/>
          <w:szCs w:val="24"/>
          <w:highlight w:val="none"/>
        </w:rPr>
        <w:br w:type="textWrapping"/>
      </w:r>
      <w:r>
        <w:rPr>
          <w:rFonts w:hint="eastAsia" w:ascii="宋体" w:hAnsi="宋体" w:cs="宋体"/>
          <w:sz w:val="24"/>
          <w:highlight w:val="none"/>
          <w:shd w:val="clear" w:color="auto" w:fill="FFFFFF"/>
        </w:rPr>
        <w:t>20</w:t>
      </w:r>
      <w:r>
        <w:rPr>
          <w:rFonts w:hint="eastAsia" w:ascii="宋体" w:hAnsi="宋体" w:cs="宋体"/>
          <w:sz w:val="24"/>
          <w:highlight w:val="none"/>
          <w:shd w:val="clear" w:color="auto" w:fill="FFFFFF"/>
          <w:lang w:val="en-US" w:eastAsia="zh-CN"/>
        </w:rPr>
        <w:t>24</w:t>
      </w:r>
      <w:r>
        <w:rPr>
          <w:rFonts w:hint="eastAsia" w:ascii="宋体" w:hAnsi="宋体" w:cs="宋体"/>
          <w:sz w:val="24"/>
          <w:highlight w:val="none"/>
          <w:shd w:val="clear" w:color="auto" w:fill="FFFFFF"/>
        </w:rPr>
        <w:t>年</w:t>
      </w:r>
      <w:r>
        <w:rPr>
          <w:rFonts w:hint="eastAsia" w:ascii="宋体" w:hAnsi="宋体" w:cs="宋体"/>
          <w:sz w:val="24"/>
          <w:highlight w:val="none"/>
          <w:shd w:val="clear" w:color="auto" w:fill="FFFFFF"/>
          <w:lang w:val="en-US" w:eastAsia="zh-CN"/>
        </w:rPr>
        <w:t>10</w:t>
      </w:r>
      <w:r>
        <w:rPr>
          <w:rFonts w:hint="eastAsia" w:ascii="宋体" w:hAnsi="宋体" w:cs="宋体"/>
          <w:sz w:val="24"/>
          <w:highlight w:val="none"/>
          <w:shd w:val="clear" w:color="auto" w:fill="FFFFFF"/>
        </w:rPr>
        <w:t>月</w:t>
      </w:r>
      <w:r>
        <w:rPr>
          <w:rFonts w:hint="eastAsia" w:ascii="宋体" w:hAnsi="宋体" w:cs="宋体"/>
          <w:sz w:val="24"/>
          <w:highlight w:val="none"/>
          <w:shd w:val="clear" w:color="auto" w:fill="FFFFFF"/>
          <w:lang w:val="en-US" w:eastAsia="zh-CN"/>
        </w:rPr>
        <w:t>21</w:t>
      </w:r>
      <w:r>
        <w:rPr>
          <w:rFonts w:hint="eastAsia" w:ascii="宋体" w:hAnsi="宋体" w:cs="宋体"/>
          <w:sz w:val="24"/>
          <w:highlight w:val="none"/>
          <w:shd w:val="clear" w:color="auto" w:fill="FFFFFF"/>
        </w:rPr>
        <w:t>日</w:t>
      </w:r>
    </w:p>
    <w:p w14:paraId="288EA59D">
      <w:pPr>
        <w:pStyle w:val="3"/>
        <w:keepNext w:val="0"/>
        <w:keepLines w:val="0"/>
        <w:spacing w:line="500" w:lineRule="exact"/>
        <w:outlineLvl w:val="0"/>
        <w:rPr>
          <w:rFonts w:ascii="宋体" w:hAnsi="宋体" w:cs="宋体"/>
          <w:sz w:val="32"/>
          <w:szCs w:val="32"/>
          <w:highlight w:val="none"/>
        </w:rPr>
      </w:pPr>
      <w:r>
        <w:rPr>
          <w:rFonts w:hint="eastAsia" w:ascii="宋体" w:hAnsi="宋体" w:cs="宋体"/>
          <w:sz w:val="32"/>
          <w:szCs w:val="32"/>
          <w:highlight w:val="none"/>
        </w:rPr>
        <w:br w:type="page"/>
      </w:r>
      <w:bookmarkStart w:id="9" w:name="_Toc17650"/>
      <w:bookmarkStart w:id="10" w:name="_Toc27310"/>
      <w:bookmarkStart w:id="11" w:name="_Toc16362"/>
      <w:r>
        <w:rPr>
          <w:rFonts w:hint="eastAsia" w:ascii="宋体" w:hAnsi="宋体" w:cs="宋体"/>
          <w:sz w:val="32"/>
          <w:szCs w:val="32"/>
          <w:highlight w:val="none"/>
        </w:rPr>
        <w:t>第二章  谈判供应商须知</w:t>
      </w:r>
      <w:bookmarkEnd w:id="8"/>
      <w:bookmarkEnd w:id="9"/>
      <w:bookmarkEnd w:id="10"/>
      <w:bookmarkEnd w:id="11"/>
    </w:p>
    <w:p w14:paraId="2C50BBB3">
      <w:pPr>
        <w:jc w:val="center"/>
        <w:outlineLvl w:val="1"/>
        <w:rPr>
          <w:rFonts w:ascii="宋体" w:hAnsi="宋体" w:cs="宋体"/>
          <w:b/>
          <w:sz w:val="30"/>
          <w:szCs w:val="30"/>
          <w:highlight w:val="none"/>
        </w:rPr>
      </w:pPr>
      <w:r>
        <w:rPr>
          <w:rFonts w:hint="eastAsia" w:ascii="宋体" w:hAnsi="宋体" w:cs="宋体"/>
          <w:b/>
          <w:sz w:val="30"/>
          <w:szCs w:val="30"/>
          <w:highlight w:val="none"/>
        </w:rPr>
        <w:t>一．名词解释</w:t>
      </w:r>
    </w:p>
    <w:p w14:paraId="40DA4E82">
      <w:pPr>
        <w:numPr>
          <w:ilvl w:val="0"/>
          <w:numId w:val="1"/>
        </w:numPr>
        <w:tabs>
          <w:tab w:val="left" w:pos="480"/>
          <w:tab w:val="clear" w:pos="840"/>
        </w:tabs>
        <w:spacing w:line="560" w:lineRule="exact"/>
        <w:ind w:left="0" w:firstLine="114" w:firstLineChars="50"/>
        <w:rPr>
          <w:rFonts w:ascii="宋体" w:hAnsi="宋体" w:cs="宋体"/>
          <w:spacing w:val="-6"/>
          <w:sz w:val="24"/>
          <w:highlight w:val="none"/>
        </w:rPr>
      </w:pPr>
      <w:r>
        <w:rPr>
          <w:rFonts w:hint="eastAsia" w:ascii="宋体" w:hAnsi="宋体" w:cs="宋体"/>
          <w:spacing w:val="-6"/>
          <w:sz w:val="24"/>
          <w:highlight w:val="none"/>
        </w:rPr>
        <w:t>采 购 单 位：</w:t>
      </w:r>
      <w:r>
        <w:rPr>
          <w:rFonts w:hint="eastAsia"/>
          <w:sz w:val="24"/>
          <w:szCs w:val="24"/>
          <w:highlight w:val="none"/>
          <w:shd w:val="clear" w:color="auto" w:fill="FFFFFF"/>
          <w:lang w:eastAsia="zh-CN"/>
        </w:rPr>
        <w:t>长武县人民医院</w:t>
      </w:r>
    </w:p>
    <w:p w14:paraId="01FF1527">
      <w:pPr>
        <w:numPr>
          <w:ilvl w:val="0"/>
          <w:numId w:val="1"/>
        </w:numPr>
        <w:tabs>
          <w:tab w:val="left" w:pos="480"/>
          <w:tab w:val="clear" w:pos="840"/>
        </w:tabs>
        <w:spacing w:line="560" w:lineRule="exact"/>
        <w:ind w:left="0" w:firstLine="114" w:firstLineChars="50"/>
        <w:rPr>
          <w:rFonts w:ascii="宋体" w:hAnsi="宋体" w:cs="宋体"/>
          <w:spacing w:val="-6"/>
          <w:sz w:val="24"/>
          <w:highlight w:val="none"/>
        </w:rPr>
      </w:pPr>
      <w:r>
        <w:rPr>
          <w:rFonts w:hint="eastAsia" w:ascii="宋体" w:hAnsi="宋体" w:cs="宋体"/>
          <w:spacing w:val="-6"/>
          <w:sz w:val="24"/>
          <w:highlight w:val="none"/>
        </w:rPr>
        <w:t>监 督 机 构：同级人民政府财政部门</w:t>
      </w:r>
    </w:p>
    <w:p w14:paraId="6B13647E">
      <w:pPr>
        <w:numPr>
          <w:ilvl w:val="0"/>
          <w:numId w:val="1"/>
        </w:numPr>
        <w:tabs>
          <w:tab w:val="left" w:pos="480"/>
          <w:tab w:val="clear" w:pos="840"/>
        </w:tabs>
        <w:spacing w:line="560" w:lineRule="exact"/>
        <w:ind w:left="0" w:firstLine="114" w:firstLineChars="50"/>
        <w:rPr>
          <w:rFonts w:ascii="宋体" w:hAnsi="宋体" w:cs="宋体"/>
          <w:spacing w:val="-6"/>
          <w:sz w:val="24"/>
          <w:highlight w:val="none"/>
        </w:rPr>
      </w:pPr>
      <w:r>
        <w:rPr>
          <w:rFonts w:hint="eastAsia" w:ascii="宋体" w:hAnsi="宋体" w:cs="宋体"/>
          <w:spacing w:val="-6"/>
          <w:sz w:val="24"/>
          <w:highlight w:val="none"/>
        </w:rPr>
        <w:t>谈判组织机构：</w:t>
      </w:r>
      <w:r>
        <w:rPr>
          <w:rFonts w:hint="eastAsia" w:ascii="宋体" w:hAnsi="宋体" w:cs="宋体"/>
          <w:spacing w:val="-6"/>
          <w:sz w:val="24"/>
          <w:highlight w:val="none"/>
          <w:lang w:eastAsia="zh-CN"/>
        </w:rPr>
        <w:t>陕西至诚项目管理集团有限公司</w:t>
      </w:r>
    </w:p>
    <w:p w14:paraId="573B99DD">
      <w:pPr>
        <w:numPr>
          <w:ilvl w:val="0"/>
          <w:numId w:val="1"/>
        </w:numPr>
        <w:tabs>
          <w:tab w:val="left" w:pos="480"/>
          <w:tab w:val="clear" w:pos="840"/>
        </w:tabs>
        <w:spacing w:line="560" w:lineRule="exact"/>
        <w:ind w:left="0" w:firstLine="114" w:firstLineChars="50"/>
        <w:rPr>
          <w:rFonts w:ascii="宋体" w:hAnsi="宋体" w:cs="宋体"/>
          <w:spacing w:val="-6"/>
          <w:sz w:val="24"/>
          <w:highlight w:val="none"/>
        </w:rPr>
      </w:pPr>
      <w:r>
        <w:rPr>
          <w:rFonts w:hint="eastAsia" w:ascii="宋体" w:hAnsi="宋体" w:cs="宋体"/>
          <w:spacing w:val="-6"/>
          <w:sz w:val="24"/>
          <w:highlight w:val="none"/>
        </w:rPr>
        <w:t>谈判供应商：</w:t>
      </w:r>
      <w:r>
        <w:rPr>
          <w:rFonts w:hint="eastAsia" w:ascii="宋体" w:hAnsi="宋体" w:cs="宋体"/>
          <w:sz w:val="24"/>
          <w:highlight w:val="none"/>
        </w:rPr>
        <w:t>响应谈判并且符合竞单一来源采购文件规定资格条件和参加谈判竞争的法人、其他组织或自然人</w:t>
      </w:r>
    </w:p>
    <w:p w14:paraId="44D8D92F">
      <w:pPr>
        <w:numPr>
          <w:ilvl w:val="0"/>
          <w:numId w:val="1"/>
        </w:numPr>
        <w:tabs>
          <w:tab w:val="left" w:pos="480"/>
          <w:tab w:val="clear" w:pos="840"/>
        </w:tabs>
        <w:spacing w:line="560" w:lineRule="exact"/>
        <w:ind w:left="0" w:firstLine="120" w:firstLineChars="50"/>
        <w:rPr>
          <w:rFonts w:ascii="宋体" w:hAnsi="宋体" w:cs="宋体"/>
          <w:spacing w:val="-6"/>
          <w:sz w:val="24"/>
          <w:highlight w:val="none"/>
        </w:rPr>
      </w:pPr>
      <w:r>
        <w:rPr>
          <w:rFonts w:hint="eastAsia" w:ascii="宋体" w:hAnsi="宋体" w:cs="宋体"/>
          <w:sz w:val="24"/>
          <w:highlight w:val="none"/>
        </w:rPr>
        <w:t>成交供应商：由谈判小组推荐经采购人确认的谈判供应商</w:t>
      </w:r>
    </w:p>
    <w:p w14:paraId="720EBF9B">
      <w:pPr>
        <w:rPr>
          <w:rFonts w:ascii="宋体" w:hAnsi="宋体" w:cs="宋体"/>
          <w:highlight w:val="none"/>
        </w:rPr>
      </w:pPr>
    </w:p>
    <w:p w14:paraId="45EE9D12">
      <w:pPr>
        <w:jc w:val="center"/>
        <w:outlineLvl w:val="1"/>
        <w:rPr>
          <w:rFonts w:ascii="宋体" w:hAnsi="宋体" w:cs="宋体"/>
          <w:sz w:val="30"/>
          <w:szCs w:val="30"/>
          <w:highlight w:val="none"/>
        </w:rPr>
      </w:pPr>
      <w:r>
        <w:rPr>
          <w:rFonts w:hint="eastAsia" w:ascii="宋体" w:hAnsi="宋体" w:cs="宋体"/>
          <w:b/>
          <w:sz w:val="30"/>
          <w:szCs w:val="30"/>
          <w:highlight w:val="none"/>
        </w:rPr>
        <w:t>二．谈判供应商</w:t>
      </w:r>
    </w:p>
    <w:p w14:paraId="643618FD">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1、合格谈判供应商</w:t>
      </w:r>
    </w:p>
    <w:p w14:paraId="5FC5A16F">
      <w:pPr>
        <w:spacing w:line="560" w:lineRule="exact"/>
        <w:ind w:firstLine="120" w:firstLineChars="50"/>
        <w:rPr>
          <w:rFonts w:ascii="宋体" w:hAnsi="宋体" w:cs="宋体"/>
          <w:sz w:val="24"/>
          <w:highlight w:val="none"/>
        </w:rPr>
      </w:pPr>
      <w:r>
        <w:rPr>
          <w:rFonts w:hint="eastAsia" w:ascii="宋体" w:hAnsi="宋体" w:cs="宋体"/>
          <w:sz w:val="24"/>
          <w:highlight w:val="none"/>
        </w:rPr>
        <w:t>（1）具有独立承担民事责任的能力</w:t>
      </w:r>
    </w:p>
    <w:p w14:paraId="7184087C">
      <w:pPr>
        <w:spacing w:line="560" w:lineRule="exact"/>
        <w:ind w:firstLine="120" w:firstLineChars="50"/>
        <w:rPr>
          <w:rFonts w:ascii="宋体" w:hAnsi="宋体" w:cs="宋体"/>
          <w:sz w:val="24"/>
          <w:highlight w:val="none"/>
        </w:rPr>
      </w:pPr>
      <w:r>
        <w:rPr>
          <w:rFonts w:hint="eastAsia" w:ascii="宋体" w:hAnsi="宋体" w:cs="宋体"/>
          <w:sz w:val="24"/>
          <w:highlight w:val="none"/>
        </w:rPr>
        <w:t>（2）具有良好的商业信誉和健全的财务会计制度</w:t>
      </w:r>
    </w:p>
    <w:p w14:paraId="15594738">
      <w:pPr>
        <w:spacing w:line="560" w:lineRule="exact"/>
        <w:ind w:firstLine="120" w:firstLineChars="50"/>
        <w:rPr>
          <w:rFonts w:ascii="宋体" w:hAnsi="宋体" w:cs="宋体"/>
          <w:sz w:val="24"/>
          <w:highlight w:val="none"/>
        </w:rPr>
      </w:pPr>
      <w:r>
        <w:rPr>
          <w:rFonts w:hint="eastAsia" w:ascii="宋体" w:hAnsi="宋体" w:cs="宋体"/>
          <w:sz w:val="24"/>
          <w:highlight w:val="none"/>
        </w:rPr>
        <w:t>（3）具有履行合同所必需的产品和专业技术能力</w:t>
      </w:r>
    </w:p>
    <w:p w14:paraId="63057C78">
      <w:pPr>
        <w:spacing w:line="560" w:lineRule="exact"/>
        <w:ind w:firstLine="120" w:firstLineChars="50"/>
        <w:rPr>
          <w:rFonts w:ascii="宋体" w:hAnsi="宋体" w:cs="宋体"/>
          <w:sz w:val="24"/>
          <w:highlight w:val="none"/>
        </w:rPr>
      </w:pPr>
      <w:r>
        <w:rPr>
          <w:rFonts w:hint="eastAsia" w:ascii="宋体" w:hAnsi="宋体" w:cs="宋体"/>
          <w:sz w:val="24"/>
          <w:highlight w:val="none"/>
        </w:rPr>
        <w:t>（4）有依法缴纳税收和社会保障资金的良好记录</w:t>
      </w:r>
    </w:p>
    <w:p w14:paraId="2F7462E4">
      <w:pPr>
        <w:spacing w:line="560" w:lineRule="exact"/>
        <w:ind w:firstLine="120" w:firstLineChars="5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C41122F">
      <w:pPr>
        <w:spacing w:line="560" w:lineRule="exact"/>
        <w:ind w:firstLine="120" w:firstLineChars="50"/>
        <w:rPr>
          <w:rFonts w:ascii="宋体" w:hAnsi="宋体" w:cs="宋体"/>
          <w:sz w:val="24"/>
          <w:highlight w:val="none"/>
        </w:rPr>
      </w:pPr>
      <w:r>
        <w:rPr>
          <w:rFonts w:hint="eastAsia" w:ascii="宋体" w:hAnsi="宋体" w:cs="宋体"/>
          <w:sz w:val="24"/>
          <w:highlight w:val="none"/>
        </w:rPr>
        <w:t>（6）法律、行政法规规定的其它条件</w:t>
      </w:r>
    </w:p>
    <w:p w14:paraId="6B293503">
      <w:pPr>
        <w:spacing w:line="360" w:lineRule="auto"/>
        <w:ind w:firstLine="241" w:firstLineChars="100"/>
        <w:outlineLvl w:val="2"/>
        <w:rPr>
          <w:rFonts w:ascii="宋体" w:hAnsi="宋体" w:cs="宋体"/>
          <w:b/>
          <w:sz w:val="24"/>
          <w:highlight w:val="none"/>
        </w:rPr>
      </w:pPr>
      <w:r>
        <w:rPr>
          <w:rFonts w:hint="eastAsia" w:ascii="宋体" w:hAnsi="宋体" w:cs="宋体"/>
          <w:b/>
          <w:sz w:val="24"/>
          <w:highlight w:val="none"/>
        </w:rPr>
        <w:t>2、供应商信用记录查询</w:t>
      </w:r>
    </w:p>
    <w:p w14:paraId="7206EB61">
      <w:pPr>
        <w:wordWrap w:val="0"/>
        <w:topLinePunct/>
        <w:spacing w:line="360" w:lineRule="auto"/>
        <w:ind w:firstLine="480" w:firstLineChars="200"/>
        <w:rPr>
          <w:rFonts w:ascii="宋体" w:hAnsi="宋体" w:cs="宋体"/>
          <w:b/>
          <w:sz w:val="24"/>
          <w:highlight w:val="none"/>
        </w:rPr>
      </w:pPr>
      <w:r>
        <w:rPr>
          <w:rFonts w:hint="eastAsia" w:ascii="宋体" w:hAnsi="宋体" w:cs="宋体"/>
          <w:sz w:val="24"/>
          <w:highlight w:val="none"/>
        </w:rPr>
        <w:t>对列入“信用中国”网站(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21"/>
          <w:rFonts w:hint="eastAsia" w:ascii="宋体" w:hAnsi="宋体" w:cs="宋体"/>
          <w:color w:val="auto"/>
          <w:sz w:val="24"/>
          <w:highlight w:val="none"/>
        </w:rPr>
        <w:t>www.creditchina.gov.cn</w:t>
      </w:r>
      <w:r>
        <w:rPr>
          <w:rStyle w:val="21"/>
          <w:rFonts w:hint="eastAsia" w:ascii="宋体" w:hAnsi="宋体" w:cs="宋体"/>
          <w:color w:val="auto"/>
          <w:sz w:val="24"/>
          <w:highlight w:val="none"/>
        </w:rPr>
        <w:fldChar w:fldCharType="end"/>
      </w:r>
      <w:r>
        <w:rPr>
          <w:rFonts w:hint="eastAsia" w:ascii="宋体" w:hAnsi="宋体" w:cs="宋体"/>
          <w:sz w:val="24"/>
          <w:highlight w:val="none"/>
        </w:rPr>
        <w:t>)“记录失信被执行人或重大税收违法案件当事人名单或政府采购严重违法失信行为”记录名单；中国政府采购网(</w:t>
      </w:r>
      <w:r>
        <w:rPr>
          <w:highlight w:val="none"/>
        </w:rPr>
        <w:fldChar w:fldCharType="begin"/>
      </w:r>
      <w:r>
        <w:rPr>
          <w:highlight w:val="none"/>
        </w:rPr>
        <w:instrText xml:space="preserve"> HYPERLINK "http://www.ccgp.gov.cn/" </w:instrText>
      </w:r>
      <w:r>
        <w:rPr>
          <w:highlight w:val="none"/>
        </w:rPr>
        <w:fldChar w:fldCharType="separate"/>
      </w:r>
      <w:r>
        <w:rPr>
          <w:rStyle w:val="21"/>
          <w:rFonts w:hint="eastAsia" w:ascii="宋体" w:hAnsi="宋体" w:cs="宋体"/>
          <w:color w:val="auto"/>
          <w:sz w:val="24"/>
          <w:highlight w:val="none"/>
        </w:rPr>
        <w:t>www.ccgp.gov.cn</w:t>
      </w:r>
      <w:r>
        <w:rPr>
          <w:rStyle w:val="21"/>
          <w:rFonts w:hint="eastAsia" w:ascii="宋体" w:hAnsi="宋体" w:cs="宋体"/>
          <w:color w:val="auto"/>
          <w:sz w:val="24"/>
          <w:highlight w:val="none"/>
        </w:rPr>
        <w:fldChar w:fldCharType="end"/>
      </w:r>
      <w:r>
        <w:rPr>
          <w:rFonts w:hint="eastAsia" w:ascii="宋体" w:hAnsi="宋体" w:cs="宋体"/>
          <w:sz w:val="24"/>
          <w:highlight w:val="none"/>
        </w:rPr>
        <w:t xml:space="preserve">)“政府采购严重违法失信行为信息记录”的单位，应当拒绝参与政府采购活动，供应商须提供信用记录良好未失信的相关证明资料。 </w:t>
      </w:r>
    </w:p>
    <w:p w14:paraId="3CA234B0">
      <w:pPr>
        <w:ind w:firstLine="241" w:firstLineChars="100"/>
        <w:outlineLvl w:val="2"/>
        <w:rPr>
          <w:rFonts w:ascii="宋体" w:hAnsi="宋体" w:cs="宋体"/>
          <w:b/>
          <w:sz w:val="24"/>
          <w:highlight w:val="none"/>
        </w:rPr>
      </w:pPr>
      <w:r>
        <w:rPr>
          <w:rFonts w:hint="eastAsia" w:ascii="宋体" w:hAnsi="宋体" w:cs="宋体"/>
          <w:b/>
          <w:sz w:val="24"/>
          <w:highlight w:val="none"/>
        </w:rPr>
        <w:t>3、谈判费用</w:t>
      </w:r>
    </w:p>
    <w:p w14:paraId="7C364B68">
      <w:pPr>
        <w:spacing w:line="360" w:lineRule="auto"/>
        <w:ind w:firstLine="480" w:firstLineChars="200"/>
        <w:rPr>
          <w:rFonts w:ascii="宋体" w:hAnsi="宋体" w:cs="宋体"/>
          <w:color w:val="000000"/>
          <w:sz w:val="24"/>
          <w:highlight w:val="none"/>
        </w:rPr>
      </w:pPr>
      <w:r>
        <w:rPr>
          <w:rFonts w:hint="eastAsia" w:ascii="宋体" w:hAnsi="宋体" w:cs="宋体"/>
          <w:sz w:val="24"/>
          <w:highlight w:val="none"/>
        </w:rPr>
        <w:t>无论谈判的结果如何，供应商自行承担参加谈判相关的全部费用。</w:t>
      </w:r>
    </w:p>
    <w:p w14:paraId="54EDF75C">
      <w:pPr>
        <w:jc w:val="center"/>
        <w:outlineLvl w:val="1"/>
        <w:rPr>
          <w:rFonts w:ascii="宋体" w:hAnsi="宋体" w:cs="宋体"/>
          <w:sz w:val="30"/>
          <w:szCs w:val="30"/>
          <w:highlight w:val="none"/>
        </w:rPr>
      </w:pPr>
      <w:r>
        <w:rPr>
          <w:rFonts w:hint="eastAsia" w:ascii="宋体" w:hAnsi="宋体" w:cs="宋体"/>
          <w:b/>
          <w:sz w:val="30"/>
          <w:szCs w:val="30"/>
          <w:highlight w:val="none"/>
        </w:rPr>
        <w:t>三．谈判文件</w:t>
      </w:r>
    </w:p>
    <w:p w14:paraId="3EF086C3">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1、谈判文件</w:t>
      </w:r>
    </w:p>
    <w:p w14:paraId="79A3A523">
      <w:pPr>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sz w:val="24"/>
          <w:highlight w:val="none"/>
        </w:rPr>
        <w:t>谈判文件由谈判文件总目录所列内容组成；谈判供应商应详细阅读谈判文件中所有的事项、格式、条款和规范要求,在谈判响应文件中对谈判文件的各方面都应做出实质性的响应，按照谈判文件的要求提交全部资料。</w:t>
      </w:r>
    </w:p>
    <w:p w14:paraId="3A80F284">
      <w:pPr>
        <w:spacing w:line="360" w:lineRule="auto"/>
        <w:ind w:firstLine="360" w:firstLineChars="150"/>
        <w:outlineLvl w:val="3"/>
        <w:rPr>
          <w:rFonts w:ascii="宋体" w:hAnsi="宋体" w:cs="宋体"/>
          <w:sz w:val="24"/>
          <w:highlight w:val="none"/>
        </w:rPr>
      </w:pPr>
      <w:r>
        <w:rPr>
          <w:rFonts w:hint="eastAsia" w:ascii="宋体" w:hAnsi="宋体" w:cs="宋体"/>
          <w:sz w:val="24"/>
          <w:highlight w:val="none"/>
        </w:rPr>
        <w:t>（2）</w:t>
      </w:r>
      <w:bookmarkStart w:id="12" w:name="_Toc3633"/>
      <w:r>
        <w:rPr>
          <w:rFonts w:hint="eastAsia" w:ascii="宋体" w:hAnsi="宋体" w:cs="宋体"/>
          <w:sz w:val="24"/>
          <w:highlight w:val="none"/>
        </w:rPr>
        <w:t>适用范围</w:t>
      </w:r>
      <w:bookmarkEnd w:id="12"/>
    </w:p>
    <w:p w14:paraId="17233AD8">
      <w:pPr>
        <w:spacing w:line="336" w:lineRule="auto"/>
        <w:ind w:firstLine="480" w:firstLineChars="200"/>
        <w:rPr>
          <w:rFonts w:ascii="宋体" w:hAnsi="宋体" w:cs="宋体"/>
          <w:sz w:val="24"/>
          <w:highlight w:val="none"/>
        </w:rPr>
      </w:pPr>
      <w:r>
        <w:rPr>
          <w:rFonts w:hint="eastAsia" w:ascii="宋体" w:hAnsi="宋体" w:cs="宋体"/>
          <w:sz w:val="24"/>
          <w:highlight w:val="none"/>
        </w:rPr>
        <w:t>本次谈判依据采购人的采购计划，仅适用于本谈判文件中所叙述的项目。</w:t>
      </w:r>
    </w:p>
    <w:p w14:paraId="7731B5E2">
      <w:pPr>
        <w:spacing w:line="560" w:lineRule="exact"/>
        <w:ind w:firstLine="120" w:firstLineChars="50"/>
        <w:outlineLvl w:val="2"/>
        <w:rPr>
          <w:rFonts w:ascii="宋体" w:hAnsi="宋体" w:cs="宋体"/>
          <w:sz w:val="24"/>
          <w:highlight w:val="none"/>
        </w:rPr>
      </w:pPr>
      <w:r>
        <w:rPr>
          <w:rFonts w:hint="eastAsia" w:ascii="宋体" w:hAnsi="宋体" w:cs="宋体"/>
          <w:b/>
          <w:sz w:val="24"/>
          <w:highlight w:val="none"/>
        </w:rPr>
        <w:t>2、谈判文件的澄清</w:t>
      </w:r>
    </w:p>
    <w:p w14:paraId="0B93E981">
      <w:pPr>
        <w:spacing w:line="560" w:lineRule="exact"/>
        <w:ind w:firstLine="480" w:firstLineChars="200"/>
        <w:rPr>
          <w:rFonts w:ascii="宋体" w:hAnsi="宋体" w:cs="宋体"/>
          <w:sz w:val="24"/>
          <w:highlight w:val="none"/>
        </w:rPr>
      </w:pPr>
      <w:r>
        <w:rPr>
          <w:rFonts w:hint="eastAsia" w:ascii="宋体" w:hAnsi="宋体" w:cs="宋体"/>
          <w:sz w:val="24"/>
          <w:highlight w:val="none"/>
        </w:rPr>
        <w:t>任何要求对谈判文件进行澄清的谈判供应商，均应在谈判截止期二日前按谈判文件中的通讯地址以书面形式通知谈判组织机构，谈判组织机构对收到的书面澄清将以书面形式在谈判截止期一日前予以答复。对文件中有关表述不准确或难以理解或有疑义的内容，谈判供应商应及时与有关部门人员联系；否则，因此带来的一切不利后果由谈判供应商自负。</w:t>
      </w:r>
    </w:p>
    <w:p w14:paraId="208D7D4E">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3、谈判文件的修改</w:t>
      </w:r>
    </w:p>
    <w:p w14:paraId="3FF4230A">
      <w:pPr>
        <w:spacing w:line="560" w:lineRule="exact"/>
        <w:ind w:firstLine="240" w:firstLineChars="100"/>
        <w:rPr>
          <w:rFonts w:ascii="宋体" w:hAnsi="宋体" w:cs="宋体"/>
          <w:sz w:val="24"/>
          <w:highlight w:val="none"/>
        </w:rPr>
      </w:pPr>
      <w:r>
        <w:rPr>
          <w:rFonts w:hint="eastAsia" w:ascii="宋体" w:hAnsi="宋体" w:cs="宋体"/>
          <w:sz w:val="24"/>
          <w:highlight w:val="none"/>
        </w:rPr>
        <w:t>（1）谈判组织机构对已发出的谈判文件进行必要澄清或者修改的，在谈判文件要求提交谈判响应文件截止时间2日前，以书面形式通知谈判供应商，该澄清或者修改的内容作为谈判文件的组成部分，与其具有同等法律效力；</w:t>
      </w:r>
    </w:p>
    <w:p w14:paraId="1EBA344C">
      <w:pPr>
        <w:spacing w:line="560" w:lineRule="exact"/>
        <w:ind w:firstLine="240" w:firstLineChars="100"/>
        <w:rPr>
          <w:rFonts w:ascii="宋体" w:hAnsi="宋体" w:cs="宋体"/>
          <w:sz w:val="24"/>
          <w:highlight w:val="none"/>
        </w:rPr>
      </w:pPr>
      <w:r>
        <w:rPr>
          <w:rFonts w:hint="eastAsia" w:ascii="宋体" w:hAnsi="宋体" w:cs="宋体"/>
          <w:sz w:val="24"/>
          <w:highlight w:val="none"/>
        </w:rPr>
        <w:t>（2）为方便谈判供应商对谈判文件修改或澄清内容有充分的时间进行补充修改，谈判组织机构可延长谈判截止时间和谈判时间，均应在谈判文件要求提交谈判响应文件的截止时间2日前，将变更时间书面通知谈判供应商。</w:t>
      </w:r>
    </w:p>
    <w:p w14:paraId="6C34ABBD">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4、谈判文件的购买</w:t>
      </w:r>
    </w:p>
    <w:p w14:paraId="74E4159F">
      <w:pPr>
        <w:spacing w:line="560" w:lineRule="exact"/>
        <w:ind w:firstLine="480" w:firstLineChars="200"/>
        <w:rPr>
          <w:rFonts w:ascii="宋体" w:hAnsi="宋体" w:cs="宋体"/>
          <w:sz w:val="24"/>
          <w:highlight w:val="none"/>
        </w:rPr>
      </w:pPr>
      <w:r>
        <w:rPr>
          <w:rFonts w:hint="eastAsia" w:ascii="宋体" w:hAnsi="宋体" w:cs="宋体"/>
          <w:sz w:val="24"/>
          <w:highlight w:val="none"/>
        </w:rPr>
        <w:t>谈判供应商必须从谈判组织机构购买谈判文件，谈判供应商自行转让或复制的谈判文件视为无效文件；谈判文件一经售出，一律不退，仅作为本次谈判使用。</w:t>
      </w:r>
    </w:p>
    <w:p w14:paraId="73319D71">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5、谈判的处理依据</w:t>
      </w:r>
    </w:p>
    <w:p w14:paraId="5B3FF699">
      <w:pPr>
        <w:spacing w:line="560" w:lineRule="exact"/>
        <w:ind w:firstLine="480" w:firstLineChars="200"/>
        <w:rPr>
          <w:rFonts w:ascii="宋体" w:hAnsi="宋体" w:cs="宋体"/>
          <w:sz w:val="24"/>
          <w:highlight w:val="none"/>
        </w:rPr>
      </w:pPr>
      <w:r>
        <w:rPr>
          <w:rFonts w:hint="eastAsia" w:ascii="宋体" w:hAnsi="宋体" w:cs="宋体"/>
          <w:sz w:val="24"/>
          <w:highlight w:val="none"/>
        </w:rPr>
        <w:t>谈判小组有权对在谈判过程中出现的一切问题，根据《中华人民共和国政府采购法》和《政府采购货物和服务招标投标管理办法》、《政府采购非招标采购方式管理办法》的条款，本着公开、公平、公正的原则进行处理。</w:t>
      </w:r>
    </w:p>
    <w:p w14:paraId="744254C1">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6、解释权归属</w:t>
      </w:r>
    </w:p>
    <w:p w14:paraId="0CF9D51E">
      <w:p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本谈判文件的解释权归谈判组织机构。</w:t>
      </w:r>
    </w:p>
    <w:p w14:paraId="31983F18">
      <w:pPr>
        <w:pStyle w:val="2"/>
        <w:jc w:val="cente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本项目所属行业：软件和信息技术服务业</w:t>
      </w:r>
    </w:p>
    <w:p w14:paraId="4D9BDF38">
      <w:pPr>
        <w:jc w:val="center"/>
        <w:outlineLvl w:val="1"/>
        <w:rPr>
          <w:rFonts w:ascii="宋体" w:hAnsi="宋体" w:cs="宋体"/>
          <w:sz w:val="30"/>
          <w:szCs w:val="30"/>
          <w:highlight w:val="none"/>
        </w:rPr>
      </w:pPr>
      <w:r>
        <w:rPr>
          <w:rFonts w:hint="eastAsia" w:ascii="宋体" w:hAnsi="宋体" w:cs="宋体"/>
          <w:b/>
          <w:sz w:val="30"/>
          <w:szCs w:val="30"/>
          <w:highlight w:val="none"/>
        </w:rPr>
        <w:t>四．谈判要求</w:t>
      </w:r>
    </w:p>
    <w:p w14:paraId="19E9B619">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1、谈判内容</w:t>
      </w:r>
    </w:p>
    <w:p w14:paraId="5B16174D">
      <w:pPr>
        <w:numPr>
          <w:ilvl w:val="0"/>
          <w:numId w:val="2"/>
        </w:num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lang w:eastAsia="zh-CN"/>
        </w:rPr>
        <w:t>长武县人民医院</w:t>
      </w:r>
    </w:p>
    <w:p w14:paraId="324069B9">
      <w:pPr>
        <w:numPr>
          <w:ilvl w:val="0"/>
          <w:numId w:val="2"/>
        </w:num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采购项目名称：</w:t>
      </w:r>
      <w:r>
        <w:rPr>
          <w:rFonts w:hint="eastAsia" w:ascii="宋体" w:hAnsi="宋体" w:cs="宋体"/>
          <w:sz w:val="24"/>
          <w:highlight w:val="none"/>
          <w:lang w:eastAsia="zh-CN"/>
        </w:rPr>
        <w:t>信息化升级</w:t>
      </w:r>
    </w:p>
    <w:p w14:paraId="5B0C5218">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2、谈判供应商须提交以下资格证明文件</w:t>
      </w:r>
    </w:p>
    <w:p w14:paraId="61356B96">
      <w:pPr>
        <w:pStyle w:val="13"/>
        <w:wordWrap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1、提供合格有效的法人或者其他组织的营业执照等证明文件，自然人的身份证明；</w:t>
      </w:r>
    </w:p>
    <w:p w14:paraId="085BA312">
      <w:pPr>
        <w:pStyle w:val="13"/>
        <w:wordWrap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2、提供法定代表人授权书（附法定代表人、被授权人身份证复印件）及被授权人身份证原件（法定代表人直接参加谈判，须提供法定代表人身份证明及身份证原件）；</w:t>
      </w:r>
    </w:p>
    <w:p w14:paraId="4E5D52C7">
      <w:pPr>
        <w:pStyle w:val="13"/>
        <w:wordWrap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3、财务状况：提供2023年度经审计的财务审计报告（成立时间至提交谈判响应文件截止时间不足一年的可提供成立后任意时段的资产负债表），或其基本存款账户开户银行出具的资信证明及基本存款账户开户许可证；</w:t>
      </w:r>
    </w:p>
    <w:p w14:paraId="35890DE7">
      <w:pPr>
        <w:pStyle w:val="13"/>
        <w:wordWrap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4、税收缴纳证明：提供谈判响应文件递交截止时间前一年内至少一个月的纳税证明或完税证明；</w:t>
      </w:r>
    </w:p>
    <w:p w14:paraId="1C50CEE1">
      <w:pPr>
        <w:pStyle w:val="13"/>
        <w:wordWrap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5、社会保障资金缴纳证明：提供谈判响应文件截止日前近一年内至少一个月的社会保障资金缴存单据或社保机构开具的社会保险参保情况证明，依法不需要缴纳社会保障资金的单位应提供相关证明材料；</w:t>
      </w:r>
    </w:p>
    <w:p w14:paraId="5A2901DA">
      <w:pPr>
        <w:pStyle w:val="13"/>
        <w:wordWrap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6、供应商通过“信用中国”网站(www.creditchina.gov.cn)、中国政府采购网(www.ccgp.gov.cn)等查询相关主体信用记录；</w:t>
      </w:r>
    </w:p>
    <w:p w14:paraId="30822EF7">
      <w:pPr>
        <w:pStyle w:val="13"/>
        <w:wordWrap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7、参加政府采购活动前3年内，在经营活动中没有重大违法记录的书面声明；</w:t>
      </w:r>
    </w:p>
    <w:p w14:paraId="262F0201">
      <w:pPr>
        <w:pStyle w:val="13"/>
        <w:wordWrap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8、提供具有履行合同所必需的设备和专业技术能力的书面承诺；</w:t>
      </w:r>
    </w:p>
    <w:p w14:paraId="7E2D7E10">
      <w:pPr>
        <w:pStyle w:val="13"/>
        <w:wordWrap w:val="0"/>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9、供应商需提供中小企业声明函；</w:t>
      </w:r>
    </w:p>
    <w:p w14:paraId="5C75095B">
      <w:pPr>
        <w:pStyle w:val="13"/>
        <w:wordWrap w:val="0"/>
        <w:spacing w:line="360" w:lineRule="auto"/>
        <w:ind w:firstLine="480" w:firstLineChars="200"/>
        <w:jc w:val="both"/>
        <w:rPr>
          <w:rFonts w:ascii="宋体" w:hAnsi="宋体" w:cs="宋体"/>
          <w:sz w:val="24"/>
          <w:highlight w:val="none"/>
        </w:rPr>
      </w:pPr>
      <w:r>
        <w:rPr>
          <w:rFonts w:hint="eastAsia" w:ascii="宋体" w:hAnsi="宋体" w:cs="宋体"/>
          <w:sz w:val="24"/>
          <w:highlight w:val="none"/>
        </w:rPr>
        <w:t>10、本项目不接受联合体谈判。</w:t>
      </w:r>
    </w:p>
    <w:p w14:paraId="5727AD4A">
      <w:pPr>
        <w:spacing w:line="560" w:lineRule="exact"/>
        <w:ind w:firstLine="482" w:firstLineChars="200"/>
        <w:rPr>
          <w:rFonts w:ascii="宋体" w:hAnsi="宋体" w:cs="宋体"/>
          <w:b/>
          <w:bCs/>
          <w:sz w:val="24"/>
          <w:highlight w:val="none"/>
        </w:rPr>
      </w:pPr>
      <w:r>
        <w:rPr>
          <w:rFonts w:hint="eastAsia" w:ascii="宋体" w:hAnsi="宋体" w:cs="宋体"/>
          <w:b/>
          <w:bCs/>
          <w:sz w:val="24"/>
          <w:highlight w:val="none"/>
        </w:rPr>
        <w:t>以上1-</w:t>
      </w:r>
      <w:r>
        <w:rPr>
          <w:rFonts w:hint="eastAsia" w:ascii="宋体" w:hAnsi="宋体" w:cs="宋体"/>
          <w:b/>
          <w:bCs/>
          <w:sz w:val="24"/>
          <w:highlight w:val="none"/>
          <w:lang w:val="en-US" w:eastAsia="zh-CN"/>
        </w:rPr>
        <w:t>10</w:t>
      </w:r>
      <w:r>
        <w:rPr>
          <w:rFonts w:hint="eastAsia" w:ascii="宋体" w:hAnsi="宋体" w:cs="宋体"/>
          <w:b/>
          <w:bCs/>
          <w:sz w:val="24"/>
          <w:highlight w:val="none"/>
        </w:rPr>
        <w:t>为必备资格证明文件，缺一项或某项达不到要求，按无效文件处理；</w:t>
      </w:r>
    </w:p>
    <w:p w14:paraId="2C2FF240">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3、谈判响应文件的编制</w:t>
      </w:r>
    </w:p>
    <w:p w14:paraId="29D684C2">
      <w:pPr>
        <w:spacing w:line="560" w:lineRule="exact"/>
        <w:ind w:firstLine="480" w:firstLineChars="200"/>
        <w:rPr>
          <w:rFonts w:ascii="宋体" w:hAnsi="宋体" w:cs="宋体"/>
          <w:sz w:val="24"/>
          <w:highlight w:val="none"/>
        </w:rPr>
      </w:pPr>
      <w:r>
        <w:rPr>
          <w:rFonts w:hint="eastAsia" w:ascii="宋体" w:hAnsi="宋体" w:cs="宋体"/>
          <w:sz w:val="24"/>
          <w:highlight w:val="none"/>
        </w:rPr>
        <w:t>谈判响应文件必须根据谈判文件提供的内容及格式编制，并对谈判文件做出实质性响应；具体内容包括：</w:t>
      </w:r>
    </w:p>
    <w:p w14:paraId="7DF74DC4">
      <w:pPr>
        <w:tabs>
          <w:tab w:val="left" w:pos="1080"/>
        </w:tabs>
        <w:spacing w:line="560" w:lineRule="exact"/>
        <w:ind w:firstLine="360" w:firstLineChars="150"/>
        <w:rPr>
          <w:rFonts w:ascii="宋体" w:hAnsi="宋体" w:cs="宋体"/>
          <w:sz w:val="24"/>
          <w:highlight w:val="none"/>
        </w:rPr>
      </w:pPr>
      <w:r>
        <w:rPr>
          <w:rFonts w:hint="eastAsia" w:ascii="宋体" w:hAnsi="宋体" w:cs="宋体"/>
          <w:sz w:val="24"/>
          <w:highlight w:val="none"/>
        </w:rPr>
        <w:t>（1）按照格式要求填写的谈判响应函；</w:t>
      </w:r>
    </w:p>
    <w:p w14:paraId="133C6BC0">
      <w:pPr>
        <w:spacing w:line="560" w:lineRule="exact"/>
        <w:ind w:firstLine="360" w:firstLineChars="150"/>
        <w:rPr>
          <w:rFonts w:ascii="宋体" w:hAnsi="宋体" w:cs="宋体"/>
          <w:sz w:val="24"/>
          <w:highlight w:val="none"/>
        </w:rPr>
      </w:pPr>
      <w:r>
        <w:rPr>
          <w:rFonts w:hint="eastAsia" w:ascii="宋体" w:hAnsi="宋体" w:cs="宋体"/>
          <w:sz w:val="24"/>
          <w:highlight w:val="none"/>
        </w:rPr>
        <w:t>（2）报价一览表；</w:t>
      </w:r>
    </w:p>
    <w:p w14:paraId="146497FE">
      <w:pPr>
        <w:tabs>
          <w:tab w:val="left" w:pos="1080"/>
        </w:tabs>
        <w:spacing w:line="560" w:lineRule="exact"/>
        <w:ind w:firstLine="360" w:firstLineChars="150"/>
        <w:rPr>
          <w:rFonts w:ascii="宋体" w:hAnsi="宋体" w:cs="宋体"/>
          <w:sz w:val="24"/>
          <w:highlight w:val="none"/>
        </w:rPr>
      </w:pPr>
      <w:r>
        <w:rPr>
          <w:rFonts w:hint="eastAsia" w:ascii="宋体" w:hAnsi="宋体" w:cs="宋体"/>
          <w:sz w:val="24"/>
          <w:highlight w:val="none"/>
        </w:rPr>
        <w:t>（3）谈判供应商的响应方案。</w:t>
      </w:r>
    </w:p>
    <w:p w14:paraId="00EF1E23">
      <w:pPr>
        <w:tabs>
          <w:tab w:val="left" w:pos="1080"/>
        </w:tabs>
        <w:spacing w:line="560" w:lineRule="exact"/>
        <w:ind w:firstLine="360" w:firstLineChars="150"/>
        <w:rPr>
          <w:rFonts w:ascii="宋体" w:hAnsi="宋体" w:cs="宋体"/>
          <w:sz w:val="24"/>
          <w:highlight w:val="none"/>
        </w:rPr>
      </w:pPr>
      <w:r>
        <w:rPr>
          <w:rFonts w:hint="eastAsia" w:ascii="宋体" w:hAnsi="宋体" w:cs="宋体"/>
          <w:sz w:val="24"/>
          <w:highlight w:val="none"/>
        </w:rPr>
        <w:t>（4）供应商拒绝政府采购领域商业贿赂承诺书。</w:t>
      </w:r>
    </w:p>
    <w:p w14:paraId="065FABD1">
      <w:pPr>
        <w:tabs>
          <w:tab w:val="left" w:pos="1080"/>
        </w:tabs>
        <w:spacing w:line="560" w:lineRule="exact"/>
        <w:ind w:firstLine="360" w:firstLineChars="150"/>
        <w:rPr>
          <w:rFonts w:ascii="宋体" w:hAnsi="宋体" w:cs="宋体"/>
          <w:sz w:val="24"/>
          <w:highlight w:val="none"/>
        </w:rPr>
      </w:pPr>
      <w:r>
        <w:rPr>
          <w:rFonts w:hint="eastAsia" w:ascii="宋体" w:hAnsi="宋体" w:cs="宋体"/>
          <w:sz w:val="24"/>
          <w:highlight w:val="none"/>
        </w:rPr>
        <w:t>（5）按要求出具的资质文件；</w:t>
      </w:r>
    </w:p>
    <w:p w14:paraId="6428CE70">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4、谈判报价</w:t>
      </w:r>
    </w:p>
    <w:p w14:paraId="6D6B5692">
      <w:pPr>
        <w:spacing w:line="560" w:lineRule="exact"/>
        <w:ind w:firstLine="360" w:firstLineChars="150"/>
        <w:rPr>
          <w:rFonts w:ascii="宋体" w:hAnsi="宋体" w:cs="宋体"/>
          <w:sz w:val="24"/>
          <w:highlight w:val="none"/>
        </w:rPr>
      </w:pPr>
      <w:r>
        <w:rPr>
          <w:rFonts w:hint="eastAsia" w:ascii="宋体" w:hAnsi="宋体" w:cs="宋体"/>
          <w:sz w:val="24"/>
          <w:highlight w:val="none"/>
        </w:rPr>
        <w:t>（1）谈判报价是指完成此次项目的所有费用，以谈判文件的内容和要求作为依据；</w:t>
      </w:r>
    </w:p>
    <w:p w14:paraId="628C8824">
      <w:pPr>
        <w:spacing w:line="560" w:lineRule="exact"/>
        <w:ind w:firstLine="360" w:firstLineChars="150"/>
        <w:rPr>
          <w:rFonts w:ascii="宋体" w:hAnsi="宋体" w:cs="宋体"/>
          <w:sz w:val="24"/>
          <w:highlight w:val="none"/>
        </w:rPr>
      </w:pPr>
      <w:r>
        <w:rPr>
          <w:rFonts w:hint="eastAsia" w:ascii="宋体" w:hAnsi="宋体" w:cs="宋体"/>
          <w:sz w:val="24"/>
          <w:highlight w:val="none"/>
        </w:rPr>
        <w:t>（2）谈判供应商应在谈判响应文件中的报价一览表上，标明完成本次谈判响应服务的所有费用。</w:t>
      </w:r>
    </w:p>
    <w:p w14:paraId="3013F3B9">
      <w:pPr>
        <w:spacing w:line="560" w:lineRule="exact"/>
        <w:ind w:firstLine="360" w:firstLineChars="150"/>
        <w:rPr>
          <w:rFonts w:ascii="宋体" w:hAnsi="宋体" w:cs="宋体"/>
          <w:sz w:val="24"/>
          <w:highlight w:val="none"/>
        </w:rPr>
      </w:pPr>
      <w:r>
        <w:rPr>
          <w:rFonts w:hint="eastAsia" w:ascii="宋体" w:hAnsi="宋体" w:cs="宋体"/>
          <w:sz w:val="24"/>
          <w:highlight w:val="none"/>
        </w:rPr>
        <w:t>（3）谈判货币：人民币；单位： 元（精确到小数点后两位）；</w:t>
      </w:r>
    </w:p>
    <w:p w14:paraId="2CEA3691">
      <w:pPr>
        <w:spacing w:line="560" w:lineRule="exact"/>
        <w:ind w:firstLine="360" w:firstLineChars="150"/>
        <w:rPr>
          <w:rFonts w:ascii="宋体" w:hAnsi="宋体" w:cs="宋体"/>
          <w:sz w:val="24"/>
          <w:highlight w:val="none"/>
        </w:rPr>
      </w:pPr>
      <w:r>
        <w:rPr>
          <w:rFonts w:hint="eastAsia" w:ascii="宋体" w:hAnsi="宋体" w:cs="宋体"/>
          <w:sz w:val="24"/>
          <w:highlight w:val="none"/>
        </w:rPr>
        <w:t>（4）报价一览表应有法定代表人或被授权人签字；</w:t>
      </w:r>
    </w:p>
    <w:p w14:paraId="23AC240E">
      <w:pPr>
        <w:spacing w:line="560" w:lineRule="exact"/>
        <w:ind w:firstLine="360" w:firstLineChars="150"/>
        <w:rPr>
          <w:rFonts w:ascii="宋体" w:hAnsi="宋体" w:cs="宋体"/>
          <w:sz w:val="24"/>
          <w:highlight w:val="none"/>
        </w:rPr>
      </w:pPr>
      <w:r>
        <w:rPr>
          <w:rFonts w:hint="eastAsia" w:ascii="宋体" w:hAnsi="宋体" w:cs="宋体"/>
          <w:sz w:val="24"/>
          <w:highlight w:val="none"/>
        </w:rPr>
        <w:t>（5）合同价格：经谈判小组确认的谈判供应商的最终报价，在合同执行过程中是固定不变的，不受外汇汇率及市场价格变化的影响；</w:t>
      </w:r>
    </w:p>
    <w:p w14:paraId="782CDD93">
      <w:pPr>
        <w:spacing w:line="560" w:lineRule="exact"/>
        <w:ind w:firstLine="360" w:firstLineChars="150"/>
        <w:rPr>
          <w:rFonts w:ascii="宋体" w:hAnsi="宋体" w:cs="宋体"/>
          <w:sz w:val="24"/>
          <w:highlight w:val="none"/>
        </w:rPr>
      </w:pPr>
      <w:r>
        <w:rPr>
          <w:rFonts w:hint="eastAsia" w:ascii="宋体" w:hAnsi="宋体" w:cs="宋体"/>
          <w:sz w:val="24"/>
          <w:highlight w:val="none"/>
        </w:rPr>
        <w:t>（6）凡因谈判供应商对谈判文件阅读不深、理解不透、误解、疏漏、或因市场行情了解不清造成的后果和风险均由谈判供应商自负；</w:t>
      </w:r>
    </w:p>
    <w:p w14:paraId="158FFB81">
      <w:pPr>
        <w:spacing w:line="560" w:lineRule="exact"/>
        <w:ind w:firstLine="360" w:firstLineChars="150"/>
        <w:rPr>
          <w:rFonts w:ascii="宋体" w:hAnsi="宋体" w:cs="宋体"/>
          <w:sz w:val="24"/>
          <w:highlight w:val="none"/>
        </w:rPr>
      </w:pPr>
      <w:r>
        <w:rPr>
          <w:rFonts w:hint="eastAsia" w:ascii="宋体" w:hAnsi="宋体" w:cs="宋体"/>
          <w:sz w:val="24"/>
          <w:highlight w:val="none"/>
        </w:rPr>
        <w:t>（7）谈判供应商不得以低于成本的报价参加谈判。当谈判小组认为谈判供应商的谈判价或者某些分项报价明显不合理或者低于成本，有可能影响服务质量和不能诚信履约的，可要求谈判供应商在规定的期限内提供书面文件予以解释说明，并提交相关证明材料；否则，谈判小组可以取消谈判供应商的成交资格。</w:t>
      </w:r>
    </w:p>
    <w:p w14:paraId="0343CF48">
      <w:pPr>
        <w:spacing w:line="560" w:lineRule="exact"/>
        <w:outlineLvl w:val="2"/>
        <w:rPr>
          <w:rFonts w:ascii="宋体" w:hAnsi="宋体" w:cs="宋体"/>
          <w:b/>
          <w:sz w:val="24"/>
          <w:highlight w:val="none"/>
        </w:rPr>
      </w:pPr>
      <w:r>
        <w:rPr>
          <w:rFonts w:hint="eastAsia" w:ascii="宋体" w:hAnsi="宋体" w:cs="宋体"/>
          <w:b/>
          <w:sz w:val="24"/>
          <w:highlight w:val="none"/>
        </w:rPr>
        <w:t>5、谈判保证金</w:t>
      </w:r>
    </w:p>
    <w:p w14:paraId="76D9691C">
      <w:pPr>
        <w:spacing w:line="560" w:lineRule="exact"/>
        <w:ind w:firstLine="361" w:firstLineChars="150"/>
        <w:rPr>
          <w:rFonts w:ascii="宋体" w:hAnsi="宋体" w:cs="宋体"/>
          <w:b/>
          <w:bCs/>
          <w:sz w:val="24"/>
          <w:highlight w:val="none"/>
        </w:rPr>
      </w:pPr>
      <w:r>
        <w:rPr>
          <w:rFonts w:hint="eastAsia" w:ascii="宋体" w:hAnsi="宋体" w:cs="宋体"/>
          <w:b/>
          <w:bCs/>
          <w:sz w:val="24"/>
          <w:highlight w:val="none"/>
        </w:rPr>
        <w:t>本次谈判不缴纳保证金。</w:t>
      </w:r>
    </w:p>
    <w:p w14:paraId="5CFF9688">
      <w:pPr>
        <w:spacing w:line="560" w:lineRule="exact"/>
        <w:outlineLvl w:val="2"/>
        <w:rPr>
          <w:rFonts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、谈判响应文件的有效期</w:t>
      </w:r>
    </w:p>
    <w:p w14:paraId="545E8935">
      <w:pPr>
        <w:pStyle w:val="22"/>
        <w:spacing w:line="560" w:lineRule="exact"/>
        <w:ind w:firstLine="480"/>
        <w:rPr>
          <w:rFonts w:ascii="宋体" w:hAnsi="宋体" w:cs="宋体"/>
          <w:kern w:val="2"/>
          <w:sz w:val="24"/>
          <w:szCs w:val="24"/>
          <w:highlight w:val="none"/>
        </w:rPr>
      </w:pPr>
      <w:r>
        <w:rPr>
          <w:rFonts w:hint="eastAsia" w:ascii="宋体" w:hAnsi="宋体" w:cs="宋体"/>
          <w:sz w:val="24"/>
          <w:szCs w:val="24"/>
          <w:highlight w:val="none"/>
        </w:rPr>
        <w:t>谈判响应文件有效期为</w:t>
      </w:r>
      <w:r>
        <w:rPr>
          <w:rFonts w:hint="eastAsia" w:ascii="宋体" w:hAnsi="宋体" w:cs="宋体"/>
          <w:kern w:val="2"/>
          <w:sz w:val="24"/>
          <w:szCs w:val="24"/>
          <w:highlight w:val="none"/>
        </w:rPr>
        <w:t>自谈判之日起算</w:t>
      </w:r>
      <w:r>
        <w:rPr>
          <w:rFonts w:hint="eastAsia" w:ascii="宋体" w:hAnsi="宋体" w:cs="宋体"/>
          <w:kern w:val="2"/>
          <w:sz w:val="24"/>
          <w:szCs w:val="24"/>
          <w:highlight w:val="none"/>
          <w:u w:val="single"/>
        </w:rPr>
        <w:t>90</w:t>
      </w:r>
      <w:r>
        <w:rPr>
          <w:rFonts w:hint="eastAsia" w:ascii="宋体" w:hAnsi="宋体" w:cs="宋体"/>
          <w:kern w:val="2"/>
          <w:sz w:val="24"/>
          <w:szCs w:val="24"/>
          <w:highlight w:val="none"/>
        </w:rPr>
        <w:t>个日历日；有效期短于规定的谈判有效期，视为无效文件。成交供应商的谈判响应文件有效期延长至合同执行完毕。</w:t>
      </w:r>
    </w:p>
    <w:p w14:paraId="0B8947EB">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lang w:val="en-US" w:eastAsia="zh-CN"/>
        </w:rPr>
        <w:t>7</w:t>
      </w:r>
      <w:r>
        <w:rPr>
          <w:rFonts w:hint="eastAsia" w:ascii="宋体" w:hAnsi="宋体" w:cs="宋体"/>
          <w:b/>
          <w:sz w:val="24"/>
          <w:highlight w:val="none"/>
        </w:rPr>
        <w:t>、谈判响应文件的签署及规定</w:t>
      </w:r>
    </w:p>
    <w:p w14:paraId="634A0161">
      <w:pPr>
        <w:spacing w:line="560" w:lineRule="exact"/>
        <w:ind w:firstLine="240" w:firstLineChars="100"/>
        <w:rPr>
          <w:rFonts w:ascii="宋体" w:hAnsi="宋体" w:cs="宋体"/>
          <w:sz w:val="24"/>
          <w:highlight w:val="none"/>
        </w:rPr>
      </w:pPr>
      <w:r>
        <w:rPr>
          <w:rFonts w:hint="eastAsia" w:ascii="宋体" w:hAnsi="宋体" w:cs="宋体"/>
          <w:sz w:val="24"/>
          <w:highlight w:val="none"/>
        </w:rPr>
        <w:t>（1）谈判供应商须依据谈判文件内容和谈判响应文件格式的要求编制谈判响应文件；</w:t>
      </w:r>
    </w:p>
    <w:p w14:paraId="178524DC">
      <w:pPr>
        <w:spacing w:line="560" w:lineRule="exact"/>
        <w:ind w:firstLine="240" w:firstLineChars="100"/>
        <w:rPr>
          <w:rFonts w:ascii="宋体" w:hAnsi="宋体" w:cs="宋体"/>
          <w:sz w:val="24"/>
          <w:highlight w:val="none"/>
        </w:rPr>
      </w:pPr>
      <w:r>
        <w:rPr>
          <w:rFonts w:hint="eastAsia" w:ascii="宋体" w:hAnsi="宋体" w:cs="宋体"/>
          <w:sz w:val="24"/>
          <w:highlight w:val="none"/>
        </w:rPr>
        <w:t>（2）谈判响应文件的正本和所有的副本均需打印或用不褪色的蓝（黑）墨水填写，注明“正本”“副本”字样。统一装订、编码，在每一页的正下方清楚标明共几页、第几页等字样；</w:t>
      </w:r>
    </w:p>
    <w:p w14:paraId="36CD642A">
      <w:pPr>
        <w:spacing w:line="560" w:lineRule="exact"/>
        <w:ind w:firstLine="240" w:firstLineChars="100"/>
        <w:rPr>
          <w:rFonts w:ascii="宋体" w:hAnsi="宋体" w:cs="宋体"/>
          <w:sz w:val="24"/>
          <w:highlight w:val="none"/>
        </w:rPr>
      </w:pPr>
      <w:r>
        <w:rPr>
          <w:rFonts w:hint="eastAsia" w:ascii="宋体" w:hAnsi="宋体" w:cs="宋体"/>
          <w:sz w:val="24"/>
          <w:highlight w:val="none"/>
        </w:rPr>
        <w:t xml:space="preserve">（3）谈判响应文件份数，本次谈判需提交谈判响应文件共 </w:t>
      </w:r>
      <w:r>
        <w:rPr>
          <w:rFonts w:hint="eastAsia" w:ascii="宋体" w:hAnsi="宋体" w:cs="宋体"/>
          <w:b/>
          <w:bCs/>
          <w:sz w:val="24"/>
          <w:highlight w:val="none"/>
          <w:u w:val="single"/>
        </w:rPr>
        <w:t xml:space="preserve">叁 </w:t>
      </w:r>
      <w:r>
        <w:rPr>
          <w:rFonts w:hint="eastAsia" w:ascii="宋体" w:hAnsi="宋体" w:cs="宋体"/>
          <w:sz w:val="24"/>
          <w:highlight w:val="none"/>
        </w:rPr>
        <w:t>份，其中正本</w:t>
      </w:r>
      <w:r>
        <w:rPr>
          <w:rFonts w:hint="eastAsia" w:ascii="宋体" w:hAnsi="宋体" w:cs="宋体"/>
          <w:b/>
          <w:bCs/>
          <w:sz w:val="24"/>
          <w:highlight w:val="none"/>
          <w:u w:val="single"/>
        </w:rPr>
        <w:t xml:space="preserve"> 壹 </w:t>
      </w:r>
      <w:r>
        <w:rPr>
          <w:rFonts w:hint="eastAsia" w:ascii="宋体" w:hAnsi="宋体" w:cs="宋体"/>
          <w:sz w:val="24"/>
          <w:highlight w:val="none"/>
        </w:rPr>
        <w:t xml:space="preserve">份，副本 </w:t>
      </w:r>
      <w:r>
        <w:rPr>
          <w:rFonts w:hint="eastAsia" w:ascii="宋体" w:hAnsi="宋体" w:cs="宋体"/>
          <w:b/>
          <w:bCs/>
          <w:sz w:val="24"/>
          <w:highlight w:val="none"/>
          <w:u w:val="single"/>
        </w:rPr>
        <w:t>贰</w:t>
      </w:r>
      <w:r>
        <w:rPr>
          <w:rFonts w:hint="eastAsia" w:ascii="宋体" w:hAnsi="宋体" w:cs="宋体"/>
          <w:sz w:val="24"/>
          <w:highlight w:val="none"/>
        </w:rPr>
        <w:t xml:space="preserve"> 份，在封面标明“正本”和“副本”字样；同时提供与正本内容一致的U盘</w:t>
      </w:r>
      <w:r>
        <w:rPr>
          <w:rFonts w:hint="eastAsia" w:ascii="宋体" w:hAnsi="宋体" w:cs="宋体"/>
          <w:b/>
          <w:bCs/>
          <w:sz w:val="24"/>
          <w:highlight w:val="none"/>
          <w:u w:val="single"/>
        </w:rPr>
        <w:t>壹</w:t>
      </w:r>
      <w:r>
        <w:rPr>
          <w:rFonts w:hint="eastAsia" w:ascii="宋体" w:hAnsi="宋体" w:cs="宋体"/>
          <w:sz w:val="24"/>
          <w:highlight w:val="none"/>
        </w:rPr>
        <w:t>份（电子版为正本签字盖章后的PDF格式扫描件，与正本具有同等法律效力）及报价一览表</w:t>
      </w:r>
      <w:r>
        <w:rPr>
          <w:rFonts w:hint="eastAsia" w:ascii="宋体" w:hAnsi="宋体" w:cs="宋体"/>
          <w:b/>
          <w:bCs/>
          <w:sz w:val="24"/>
          <w:highlight w:val="none"/>
          <w:u w:val="single"/>
        </w:rPr>
        <w:t>壹</w:t>
      </w:r>
      <w:r>
        <w:rPr>
          <w:rFonts w:hint="eastAsia" w:ascii="宋体" w:hAnsi="宋体" w:cs="宋体"/>
          <w:sz w:val="24"/>
          <w:highlight w:val="none"/>
        </w:rPr>
        <w:t>份，并在封袋上标注谈判供应商全称、项目名称，并与单一来源谈判响应文件同时递交。如果发生正本与副本或电子版本不一致的情况，以正本为准。</w:t>
      </w:r>
    </w:p>
    <w:p w14:paraId="511BD6E3">
      <w:pPr>
        <w:spacing w:line="560" w:lineRule="exact"/>
        <w:ind w:firstLine="480" w:firstLineChars="200"/>
        <w:rPr>
          <w:rFonts w:ascii="宋体" w:hAnsi="宋体" w:cs="宋体"/>
          <w:sz w:val="24"/>
          <w:highlight w:val="none"/>
        </w:rPr>
      </w:pPr>
      <w:r>
        <w:rPr>
          <w:rFonts w:hint="eastAsia" w:ascii="宋体" w:hAnsi="宋体" w:cs="宋体"/>
          <w:sz w:val="24"/>
          <w:highlight w:val="none"/>
        </w:rPr>
        <w:t>（4）谈判供应商在谈判响应文件中指定的页面落款处，必须按谈判文件要求加盖谈判供应商盖章或签字。</w:t>
      </w:r>
    </w:p>
    <w:p w14:paraId="38035396">
      <w:pPr>
        <w:spacing w:line="560" w:lineRule="exact"/>
        <w:ind w:firstLine="480" w:firstLineChars="200"/>
        <w:outlineLvl w:val="3"/>
        <w:rPr>
          <w:rFonts w:ascii="宋体" w:hAnsi="宋体" w:cs="宋体"/>
          <w:sz w:val="24"/>
          <w:highlight w:val="none"/>
        </w:rPr>
      </w:pPr>
      <w:r>
        <w:rPr>
          <w:rFonts w:hint="eastAsia" w:ascii="宋体" w:hAnsi="宋体" w:cs="宋体"/>
          <w:sz w:val="24"/>
          <w:highlight w:val="none"/>
        </w:rPr>
        <w:t>（5）供应商应填写全称，同时加盖公章；</w:t>
      </w:r>
    </w:p>
    <w:p w14:paraId="649F9837">
      <w:pPr>
        <w:spacing w:line="560" w:lineRule="exact"/>
        <w:ind w:firstLine="480" w:firstLineChars="200"/>
        <w:rPr>
          <w:rFonts w:ascii="宋体" w:hAnsi="宋体" w:cs="宋体"/>
          <w:sz w:val="24"/>
          <w:highlight w:val="none"/>
        </w:rPr>
      </w:pPr>
      <w:r>
        <w:rPr>
          <w:rFonts w:hint="eastAsia" w:ascii="宋体" w:hAnsi="宋体" w:cs="宋体"/>
          <w:sz w:val="24"/>
          <w:highlight w:val="none"/>
        </w:rPr>
        <w:t>（6）谈判响应文件的任何行间插字、涂改和增删，必须由法定代表人或被授权人在改动处旁签字方为有效；</w:t>
      </w:r>
    </w:p>
    <w:p w14:paraId="39C6BAD9">
      <w:pPr>
        <w:spacing w:line="560" w:lineRule="exact"/>
        <w:ind w:firstLine="480" w:firstLineChars="200"/>
        <w:rPr>
          <w:rFonts w:ascii="宋体" w:hAnsi="宋体" w:cs="宋体"/>
          <w:sz w:val="24"/>
          <w:highlight w:val="none"/>
        </w:rPr>
      </w:pPr>
      <w:r>
        <w:rPr>
          <w:rFonts w:hint="eastAsia" w:ascii="宋体" w:hAnsi="宋体" w:cs="宋体"/>
          <w:sz w:val="24"/>
          <w:highlight w:val="none"/>
        </w:rPr>
        <w:t>（7）谈判响应文件因字迹潦草或表达不清所引起的后果由谈判供应商负责。</w:t>
      </w:r>
    </w:p>
    <w:p w14:paraId="2AF4A57E">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、文字要求</w:t>
      </w:r>
    </w:p>
    <w:p w14:paraId="4E4E91C7">
      <w:pPr>
        <w:spacing w:line="560" w:lineRule="exact"/>
        <w:ind w:firstLine="480" w:firstLineChars="200"/>
        <w:rPr>
          <w:rFonts w:ascii="宋体" w:hAnsi="宋体" w:cs="宋体"/>
          <w:sz w:val="24"/>
          <w:highlight w:val="none"/>
        </w:rPr>
      </w:pPr>
      <w:r>
        <w:rPr>
          <w:rFonts w:hint="eastAsia" w:ascii="宋体" w:hAnsi="宋体" w:cs="宋体"/>
          <w:sz w:val="24"/>
          <w:highlight w:val="none"/>
        </w:rPr>
        <w:t>本次谈判只接受简体中文文字的谈判响应文件。</w:t>
      </w:r>
    </w:p>
    <w:p w14:paraId="7144F492">
      <w:pPr>
        <w:rPr>
          <w:rFonts w:ascii="宋体" w:hAnsi="宋体" w:cs="宋体"/>
          <w:b/>
          <w:sz w:val="30"/>
          <w:szCs w:val="30"/>
          <w:highlight w:val="none"/>
        </w:rPr>
      </w:pPr>
      <w:r>
        <w:rPr>
          <w:rFonts w:hint="eastAsia" w:ascii="宋体" w:hAnsi="宋体" w:cs="宋体"/>
          <w:b/>
          <w:sz w:val="30"/>
          <w:szCs w:val="30"/>
          <w:highlight w:val="none"/>
        </w:rPr>
        <w:br w:type="page"/>
      </w:r>
    </w:p>
    <w:p w14:paraId="623B77B8">
      <w:pPr>
        <w:spacing w:line="560" w:lineRule="exact"/>
        <w:jc w:val="center"/>
        <w:outlineLvl w:val="1"/>
        <w:rPr>
          <w:rFonts w:ascii="宋体" w:hAnsi="宋体" w:cs="宋体"/>
          <w:sz w:val="30"/>
          <w:szCs w:val="30"/>
          <w:highlight w:val="none"/>
        </w:rPr>
      </w:pPr>
      <w:r>
        <w:rPr>
          <w:rFonts w:hint="eastAsia" w:ascii="宋体" w:hAnsi="宋体" w:cs="宋体"/>
          <w:b/>
          <w:sz w:val="30"/>
          <w:szCs w:val="30"/>
          <w:highlight w:val="none"/>
        </w:rPr>
        <w:t>五．谈判响应文件封装、递交</w:t>
      </w:r>
    </w:p>
    <w:p w14:paraId="3942E918">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1、谈判响应文件的封装及标记</w:t>
      </w:r>
    </w:p>
    <w:p w14:paraId="277A7580">
      <w:pPr>
        <w:spacing w:line="560" w:lineRule="exact"/>
        <w:ind w:firstLine="240" w:firstLineChars="100"/>
        <w:outlineLvl w:val="3"/>
        <w:rPr>
          <w:rFonts w:ascii="宋体" w:hAnsi="宋体" w:cs="宋体"/>
          <w:sz w:val="24"/>
          <w:highlight w:val="none"/>
        </w:rPr>
      </w:pPr>
      <w:r>
        <w:rPr>
          <w:rFonts w:hint="eastAsia" w:ascii="宋体" w:hAnsi="宋体" w:cs="宋体"/>
          <w:sz w:val="24"/>
          <w:highlight w:val="none"/>
        </w:rPr>
        <w:t>（1）</w:t>
      </w:r>
      <w:r>
        <w:rPr>
          <w:rFonts w:hint="eastAsia" w:ascii="宋体" w:hAnsi="宋体" w:cs="宋体"/>
          <w:spacing w:val="6"/>
          <w:sz w:val="24"/>
          <w:highlight w:val="none"/>
        </w:rPr>
        <w:t>谈判响应文件</w:t>
      </w:r>
      <w:r>
        <w:rPr>
          <w:rFonts w:hint="eastAsia" w:ascii="宋体" w:hAnsi="宋体" w:cs="宋体"/>
          <w:sz w:val="24"/>
          <w:highlight w:val="none"/>
        </w:rPr>
        <w:t>封装：</w:t>
      </w:r>
    </w:p>
    <w:p w14:paraId="34F14E19">
      <w:pPr>
        <w:spacing w:line="560" w:lineRule="exact"/>
        <w:ind w:firstLine="480" w:firstLineChars="200"/>
        <w:rPr>
          <w:rFonts w:ascii="宋体" w:hAnsi="宋体" w:cs="宋体"/>
          <w:sz w:val="24"/>
          <w:highlight w:val="none"/>
        </w:rPr>
      </w:pPr>
      <w:r>
        <w:rPr>
          <w:rFonts w:hint="eastAsia" w:ascii="宋体" w:hAnsi="宋体" w:cs="宋体"/>
          <w:sz w:val="24"/>
          <w:highlight w:val="none"/>
        </w:rPr>
        <w:t>A、谈判供应商应将谈判响应文件正本、电子版本及报价一览表密封装在单独的信封中（封袋不得有破损），所有的副本密封装在单独的信封中（封袋不得有破损）且在信封上标明“正本”“电子版本”“报价一览表”</w:t>
      </w:r>
      <w:r>
        <w:rPr>
          <w:rFonts w:hint="eastAsia" w:ascii="宋体" w:hAnsi="宋体" w:cs="宋体"/>
          <w:sz w:val="24"/>
          <w:highlight w:val="none"/>
          <w:lang w:val="en-US" w:eastAsia="zh-CN"/>
        </w:rPr>
        <w:t>或</w:t>
      </w:r>
      <w:r>
        <w:rPr>
          <w:rFonts w:hint="eastAsia" w:ascii="宋体" w:hAnsi="宋体" w:cs="宋体"/>
          <w:sz w:val="24"/>
          <w:highlight w:val="none"/>
        </w:rPr>
        <w:t>“副本”字样。</w:t>
      </w:r>
    </w:p>
    <w:p w14:paraId="684AC574">
      <w:pPr>
        <w:spacing w:line="560" w:lineRule="exact"/>
        <w:ind w:firstLine="480" w:firstLineChars="200"/>
        <w:rPr>
          <w:rFonts w:ascii="宋体" w:hAnsi="宋体" w:cs="宋体"/>
          <w:sz w:val="24"/>
          <w:highlight w:val="none"/>
        </w:rPr>
      </w:pPr>
      <w:r>
        <w:rPr>
          <w:rFonts w:hint="eastAsia" w:ascii="宋体" w:hAnsi="宋体" w:cs="宋体"/>
          <w:sz w:val="24"/>
          <w:highlight w:val="none"/>
        </w:rPr>
        <w:t>B、报价一览表除在谈判响应文件内装订外，应再制作一份单独密封在封袋中。封线处加贴封条，封袋正面要粘贴标识，单独递交（该单独密封报价一览表的谈判报价必须与单一来源谈判响应文件正本中的报价一览表报价一致，若不一致，则按单独密封的报价一览表为准。）</w:t>
      </w:r>
    </w:p>
    <w:p w14:paraId="72A29B4B">
      <w:pPr>
        <w:spacing w:line="560" w:lineRule="exact"/>
        <w:ind w:left="283" w:leftChars="135"/>
        <w:rPr>
          <w:rFonts w:ascii="宋体" w:hAnsi="宋体" w:cs="宋体"/>
          <w:sz w:val="24"/>
          <w:highlight w:val="none"/>
        </w:rPr>
      </w:pPr>
      <w:r>
        <w:rPr>
          <w:rFonts w:hint="eastAsia" w:ascii="宋体" w:hAnsi="宋体" w:cs="宋体"/>
          <w:sz w:val="24"/>
          <w:highlight w:val="none"/>
        </w:rPr>
        <w:t>（2）如果谈判响应文件未按上述要求封装及加写标记、误投或过早启封，谈判组织机构将拒绝接收，并退回给谈判供应商。谈判组织机构对谈判响应文件的误投和提前启封概不负责。</w:t>
      </w:r>
    </w:p>
    <w:p w14:paraId="26B6A5F8">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2、谈判响应文件递交</w:t>
      </w:r>
    </w:p>
    <w:p w14:paraId="2486BDF7">
      <w:pPr>
        <w:spacing w:line="560" w:lineRule="exact"/>
        <w:ind w:firstLine="240" w:firstLineChars="100"/>
        <w:rPr>
          <w:rFonts w:ascii="宋体" w:hAnsi="宋体" w:cs="宋体"/>
          <w:sz w:val="24"/>
          <w:highlight w:val="none"/>
        </w:rPr>
      </w:pPr>
      <w:r>
        <w:rPr>
          <w:rFonts w:hint="eastAsia" w:ascii="宋体" w:hAnsi="宋体" w:cs="宋体"/>
          <w:sz w:val="24"/>
          <w:highlight w:val="none"/>
        </w:rPr>
        <w:t>（1）谈判供应商必须在谈判文件规定的时间和地点，将全部谈判响应文件递交至谈判组织机构；</w:t>
      </w:r>
    </w:p>
    <w:p w14:paraId="75AE9A52">
      <w:pPr>
        <w:spacing w:line="560" w:lineRule="exact"/>
        <w:ind w:firstLine="240" w:firstLineChars="100"/>
        <w:rPr>
          <w:rFonts w:ascii="宋体" w:hAnsi="宋体" w:cs="宋体"/>
          <w:sz w:val="24"/>
          <w:highlight w:val="none"/>
        </w:rPr>
      </w:pPr>
      <w:r>
        <w:rPr>
          <w:rFonts w:hint="eastAsia" w:ascii="宋体" w:hAnsi="宋体" w:cs="宋体"/>
          <w:sz w:val="24"/>
          <w:highlight w:val="none"/>
        </w:rPr>
        <w:t>（2）谈判组织机构在谈判文件规定的谈判响应文件递交截止时间前，只负责谈判响应文件的接收、清点、造册登记工作，并请递交人签字确认，对其有效性不负任何责任；</w:t>
      </w:r>
    </w:p>
    <w:p w14:paraId="3AF03256">
      <w:pPr>
        <w:spacing w:line="560" w:lineRule="exact"/>
        <w:ind w:firstLine="240" w:firstLineChars="100"/>
        <w:rPr>
          <w:rFonts w:ascii="宋体" w:hAnsi="宋体" w:cs="宋体"/>
          <w:sz w:val="24"/>
          <w:highlight w:val="none"/>
        </w:rPr>
      </w:pPr>
      <w:r>
        <w:rPr>
          <w:rFonts w:hint="eastAsia" w:ascii="宋体" w:hAnsi="宋体" w:cs="宋体"/>
          <w:sz w:val="24"/>
          <w:highlight w:val="none"/>
        </w:rPr>
        <w:t>（3）谈判组织机构在宣布递交谈判响应文件时间截止之后，拒绝接收任何人送达、递交的谈判响应文件；</w:t>
      </w:r>
    </w:p>
    <w:p w14:paraId="3A302667">
      <w:pPr>
        <w:spacing w:line="560" w:lineRule="exact"/>
        <w:ind w:firstLine="240" w:firstLineChars="100"/>
        <w:outlineLvl w:val="3"/>
        <w:rPr>
          <w:rFonts w:ascii="宋体" w:hAnsi="宋体" w:cs="宋体"/>
          <w:sz w:val="24"/>
          <w:highlight w:val="none"/>
        </w:rPr>
      </w:pPr>
      <w:r>
        <w:rPr>
          <w:rFonts w:hint="eastAsia" w:ascii="宋体" w:hAnsi="宋体" w:cs="宋体"/>
          <w:sz w:val="24"/>
          <w:highlight w:val="none"/>
        </w:rPr>
        <w:t>（4）无论谈判供应商成交与否，其谈判响应文件恕不退还。</w:t>
      </w:r>
    </w:p>
    <w:p w14:paraId="7ADDB4BA">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3、谈判响应文件递交截止时间</w:t>
      </w:r>
    </w:p>
    <w:p w14:paraId="442C6AAF">
      <w:pPr>
        <w:kinsoku w:val="0"/>
        <w:spacing w:line="560" w:lineRule="exact"/>
        <w:ind w:firstLine="240" w:firstLineChars="100"/>
        <w:rPr>
          <w:rFonts w:ascii="宋体" w:hAnsi="宋体" w:cs="宋体"/>
          <w:sz w:val="24"/>
          <w:highlight w:val="none"/>
        </w:rPr>
      </w:pPr>
      <w:r>
        <w:rPr>
          <w:rFonts w:hint="eastAsia" w:ascii="宋体" w:hAnsi="宋体" w:cs="宋体"/>
          <w:sz w:val="24"/>
          <w:highlight w:val="none"/>
        </w:rPr>
        <w:t>（1）谈判供应商</w:t>
      </w:r>
      <w:r>
        <w:rPr>
          <w:rFonts w:hint="eastAsia" w:ascii="宋体" w:hAnsi="宋体" w:cs="宋体"/>
          <w:spacing w:val="6"/>
          <w:sz w:val="24"/>
          <w:highlight w:val="none"/>
        </w:rPr>
        <w:t>必须在谈判文件规定的递交截止时间之前递交谈判响应文件，</w:t>
      </w:r>
      <w:r>
        <w:rPr>
          <w:rFonts w:hint="eastAsia" w:ascii="宋体" w:hAnsi="宋体" w:cs="宋体"/>
          <w:sz w:val="24"/>
          <w:highlight w:val="none"/>
        </w:rPr>
        <w:t>谈判组织机构在截止时间后拒绝接收任何谈判响应文件。</w:t>
      </w:r>
    </w:p>
    <w:p w14:paraId="75DD63FA">
      <w:pPr>
        <w:kinsoku w:val="0"/>
        <w:spacing w:line="560" w:lineRule="exact"/>
        <w:ind w:firstLine="240" w:firstLineChars="100"/>
        <w:rPr>
          <w:rFonts w:ascii="宋体" w:hAnsi="宋体" w:cs="宋体"/>
          <w:sz w:val="24"/>
          <w:highlight w:val="none"/>
        </w:rPr>
      </w:pPr>
      <w:r>
        <w:rPr>
          <w:rFonts w:hint="eastAsia" w:ascii="宋体" w:hAnsi="宋体" w:cs="宋体"/>
          <w:sz w:val="24"/>
          <w:highlight w:val="none"/>
        </w:rPr>
        <w:t>（2）谈判组织机构因采购人推迟谈判截止时间时，应以书面（或传真）的形式，通知谈判供应商；在这种情况下，谈判组织机构和谈判供应商的权利和义务将受到新的截止期的约束。</w:t>
      </w:r>
    </w:p>
    <w:p w14:paraId="62573A77">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4、谈判响应文件的修改和撤回</w:t>
      </w:r>
    </w:p>
    <w:p w14:paraId="4CD4DEEE">
      <w:pPr>
        <w:spacing w:line="560" w:lineRule="exact"/>
        <w:ind w:firstLine="240" w:firstLineChars="100"/>
        <w:rPr>
          <w:rFonts w:ascii="宋体" w:hAnsi="宋体" w:cs="宋体"/>
          <w:sz w:val="24"/>
          <w:highlight w:val="none"/>
        </w:rPr>
      </w:pPr>
      <w:r>
        <w:rPr>
          <w:rFonts w:hint="eastAsia" w:ascii="宋体" w:hAnsi="宋体" w:cs="宋体"/>
          <w:sz w:val="24"/>
          <w:highlight w:val="none"/>
        </w:rPr>
        <w:t>（1）谈判响应文件递交后，如果谈判供应商提出书面修改和撤回谈判响应文件要求，应在谈判截止时间前以书面形式送达谈判组织机构；</w:t>
      </w:r>
    </w:p>
    <w:p w14:paraId="21C81121">
      <w:pPr>
        <w:spacing w:line="560" w:lineRule="exact"/>
        <w:ind w:firstLine="240" w:firstLineChars="100"/>
        <w:rPr>
          <w:rFonts w:ascii="宋体" w:hAnsi="宋体" w:cs="宋体"/>
          <w:sz w:val="24"/>
          <w:highlight w:val="none"/>
        </w:rPr>
      </w:pPr>
      <w:r>
        <w:rPr>
          <w:rFonts w:hint="eastAsia" w:ascii="宋体" w:hAnsi="宋体" w:cs="宋体"/>
          <w:sz w:val="24"/>
          <w:highlight w:val="none"/>
        </w:rPr>
        <w:t>（2）谈判供应商修改谈判响应文件的书面材料，须密封送达谈判组织机构，修改或补充的内容应按谈判文件要求签署、盖章、密封、标记，并作为谈判响应文件的组成部分；</w:t>
      </w:r>
    </w:p>
    <w:p w14:paraId="7B2DF4F0">
      <w:pPr>
        <w:spacing w:line="560" w:lineRule="exact"/>
        <w:ind w:firstLine="240" w:firstLineChars="100"/>
        <w:rPr>
          <w:rFonts w:ascii="宋体" w:hAnsi="宋体" w:cs="宋体"/>
          <w:sz w:val="24"/>
          <w:highlight w:val="none"/>
        </w:rPr>
      </w:pPr>
      <w:r>
        <w:rPr>
          <w:rFonts w:hint="eastAsia" w:ascii="宋体" w:hAnsi="宋体" w:cs="宋体"/>
          <w:sz w:val="24"/>
          <w:highlight w:val="none"/>
        </w:rPr>
        <w:t>（3）撤回谈判响应文件应以书面（或传真）的形式通知谈判组织机构。如采取传真形式撤回谈判响应文件，随后必须补充有法定代表人或被授权人签署的要求撤回谈判响应文件的正式文件；撤回谈判响应文件的时间以送达谈判组织机构到达日戳为准；</w:t>
      </w:r>
    </w:p>
    <w:p w14:paraId="0327066C">
      <w:pPr>
        <w:spacing w:line="560" w:lineRule="exact"/>
        <w:ind w:firstLine="240" w:firstLineChars="100"/>
        <w:rPr>
          <w:rFonts w:ascii="宋体" w:hAnsi="宋体" w:cs="宋体"/>
          <w:sz w:val="24"/>
          <w:highlight w:val="none"/>
        </w:rPr>
      </w:pPr>
      <w:r>
        <w:rPr>
          <w:rFonts w:hint="eastAsia" w:ascii="宋体" w:hAnsi="宋体" w:cs="宋体"/>
          <w:sz w:val="24"/>
          <w:highlight w:val="none"/>
        </w:rPr>
        <w:t>（4）在谈判截止时间后到谈判文件规定的谈判有效期满期间，谈判供应商不得撤回其谈判响应文件；</w:t>
      </w:r>
    </w:p>
    <w:p w14:paraId="79C10780">
      <w:pPr>
        <w:spacing w:line="560" w:lineRule="exact"/>
        <w:ind w:firstLine="240" w:firstLineChars="100"/>
        <w:rPr>
          <w:rFonts w:ascii="宋体" w:hAnsi="宋体" w:cs="宋体"/>
          <w:sz w:val="24"/>
          <w:highlight w:val="none"/>
        </w:rPr>
      </w:pPr>
      <w:r>
        <w:rPr>
          <w:rFonts w:hint="eastAsia" w:ascii="宋体" w:hAnsi="宋体" w:cs="宋体"/>
          <w:sz w:val="24"/>
          <w:highlight w:val="none"/>
        </w:rPr>
        <w:t>（5）谈判供应商在谈判响应文件递交截止时间后，不得对其谈判响应文件做任何修改。</w:t>
      </w:r>
    </w:p>
    <w:p w14:paraId="0B80181F">
      <w:pPr>
        <w:spacing w:line="560" w:lineRule="exact"/>
        <w:jc w:val="center"/>
        <w:outlineLvl w:val="1"/>
        <w:rPr>
          <w:rFonts w:ascii="宋体" w:hAnsi="宋体" w:cs="宋体"/>
          <w:sz w:val="30"/>
          <w:szCs w:val="30"/>
          <w:highlight w:val="none"/>
        </w:rPr>
      </w:pPr>
      <w:r>
        <w:rPr>
          <w:rFonts w:hint="eastAsia" w:ascii="宋体" w:hAnsi="宋体" w:cs="宋体"/>
          <w:b/>
          <w:sz w:val="30"/>
          <w:szCs w:val="30"/>
          <w:highlight w:val="none"/>
        </w:rPr>
        <w:t>六．谈判、澄清、成交</w:t>
      </w:r>
    </w:p>
    <w:p w14:paraId="66504AF8">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1、谈判</w:t>
      </w:r>
    </w:p>
    <w:p w14:paraId="6AEA58A0">
      <w:pPr>
        <w:spacing w:line="560" w:lineRule="exact"/>
        <w:rPr>
          <w:rFonts w:ascii="宋体" w:hAnsi="宋体" w:cs="宋体"/>
          <w:sz w:val="24"/>
          <w:highlight w:val="none"/>
        </w:rPr>
      </w:pPr>
      <w:r>
        <w:rPr>
          <w:rFonts w:hint="eastAsia" w:ascii="宋体" w:hAnsi="宋体" w:cs="宋体"/>
          <w:sz w:val="24"/>
          <w:highlight w:val="none"/>
        </w:rPr>
        <w:t>（1）谈判组织机构按谈判文件规定的时间、地点组织谈判；谈判大会由谈判组织机构主持，谈判小组、采购人代表、监督机构及有关工作人员参加，响应参加谈判的代表应签名报到以证明其出席；谈判供应商派代表参加谈判大会；</w:t>
      </w:r>
    </w:p>
    <w:p w14:paraId="0F16FC19">
      <w:pPr>
        <w:tabs>
          <w:tab w:val="left" w:pos="1200"/>
        </w:tabs>
        <w:spacing w:line="560" w:lineRule="exact"/>
        <w:rPr>
          <w:rFonts w:ascii="宋体" w:hAnsi="宋体" w:cs="宋体"/>
          <w:sz w:val="24"/>
          <w:highlight w:val="none"/>
        </w:rPr>
      </w:pPr>
      <w:r>
        <w:rPr>
          <w:rFonts w:hint="eastAsia" w:ascii="宋体" w:hAnsi="宋体" w:cs="宋体"/>
          <w:sz w:val="24"/>
          <w:highlight w:val="none"/>
        </w:rPr>
        <w:t>（2）为确保谈判工作公开、公平、公正，依法成立谈判小组。谈判小组由采购人及有关专家组成，其中技术、经济等方面的专家不少于谈判小组成员总数的三分之二，专家名单由有关人员在政府采购专家库中随机抽取，谈判小组成员应当遵守并履行下列责任和义务：</w:t>
      </w:r>
    </w:p>
    <w:p w14:paraId="29FF1534">
      <w:pPr>
        <w:tabs>
          <w:tab w:val="left" w:pos="1200"/>
        </w:tabs>
        <w:spacing w:line="560" w:lineRule="exact"/>
        <w:ind w:firstLine="360" w:firstLineChars="150"/>
        <w:rPr>
          <w:rFonts w:ascii="宋体" w:hAnsi="宋体" w:cs="宋体"/>
          <w:sz w:val="24"/>
          <w:highlight w:val="none"/>
        </w:rPr>
      </w:pPr>
      <w:r>
        <w:rPr>
          <w:rFonts w:hint="eastAsia" w:ascii="宋体" w:hAnsi="宋体" w:cs="宋体"/>
          <w:sz w:val="24"/>
          <w:highlight w:val="none"/>
        </w:rPr>
        <w:t>A、遵纪守法，客观、公正、认真负责地履行职责，审查谈判响应文件是否符合谈判文件的要求，并做出评价；</w:t>
      </w:r>
    </w:p>
    <w:p w14:paraId="6746CD42">
      <w:pPr>
        <w:tabs>
          <w:tab w:val="left" w:pos="1200"/>
        </w:tabs>
        <w:spacing w:line="560" w:lineRule="exact"/>
        <w:ind w:firstLine="360" w:firstLineChars="150"/>
        <w:rPr>
          <w:rFonts w:ascii="宋体" w:hAnsi="宋体" w:cs="宋体"/>
          <w:sz w:val="24"/>
          <w:highlight w:val="none"/>
        </w:rPr>
      </w:pPr>
      <w:r>
        <w:rPr>
          <w:rFonts w:hint="eastAsia" w:ascii="宋体" w:hAnsi="宋体" w:cs="宋体"/>
          <w:sz w:val="24"/>
          <w:highlight w:val="none"/>
        </w:rPr>
        <w:t>B、要求谈判供应商对谈判响应文件有关事项作出解释或澄清；</w:t>
      </w:r>
    </w:p>
    <w:p w14:paraId="186AB8AC">
      <w:pPr>
        <w:tabs>
          <w:tab w:val="left" w:pos="1200"/>
        </w:tabs>
        <w:spacing w:line="560" w:lineRule="exact"/>
        <w:ind w:firstLine="360" w:firstLineChars="150"/>
        <w:rPr>
          <w:rFonts w:ascii="宋体" w:hAnsi="宋体" w:cs="宋体"/>
          <w:sz w:val="24"/>
          <w:highlight w:val="none"/>
        </w:rPr>
      </w:pPr>
      <w:r>
        <w:rPr>
          <w:rFonts w:hint="eastAsia" w:ascii="宋体" w:hAnsi="宋体" w:cs="宋体"/>
          <w:sz w:val="24"/>
          <w:highlight w:val="none"/>
        </w:rPr>
        <w:t>C、按照谈判文件的要求和谈判标准进行谈判，推荐成交候选供应商名单，对评审意见承担个人责任；</w:t>
      </w:r>
    </w:p>
    <w:p w14:paraId="45DF4AB8">
      <w:pPr>
        <w:tabs>
          <w:tab w:val="left" w:pos="1200"/>
        </w:tabs>
        <w:spacing w:line="560" w:lineRule="exact"/>
        <w:ind w:firstLine="360" w:firstLineChars="150"/>
        <w:rPr>
          <w:rFonts w:ascii="宋体" w:hAnsi="宋体" w:cs="宋体"/>
          <w:sz w:val="24"/>
          <w:highlight w:val="none"/>
        </w:rPr>
      </w:pPr>
      <w:r>
        <w:rPr>
          <w:rFonts w:hint="eastAsia" w:ascii="宋体" w:hAnsi="宋体" w:cs="宋体"/>
          <w:sz w:val="24"/>
          <w:highlight w:val="none"/>
        </w:rPr>
        <w:t>D、对谈判过程和结果以及谈判供应商的商业秘密保密；</w:t>
      </w:r>
    </w:p>
    <w:p w14:paraId="5F267CEA">
      <w:pPr>
        <w:tabs>
          <w:tab w:val="left" w:pos="1200"/>
        </w:tabs>
        <w:spacing w:line="560" w:lineRule="exact"/>
        <w:rPr>
          <w:rFonts w:ascii="宋体" w:hAnsi="宋体" w:cs="宋体"/>
          <w:sz w:val="24"/>
          <w:highlight w:val="none"/>
        </w:rPr>
      </w:pPr>
      <w:r>
        <w:rPr>
          <w:rFonts w:hint="eastAsia" w:ascii="宋体" w:hAnsi="宋体" w:cs="宋体"/>
          <w:sz w:val="24"/>
          <w:highlight w:val="none"/>
        </w:rPr>
        <w:t>（3）本次谈判小组成员共</w:t>
      </w:r>
      <w:r>
        <w:rPr>
          <w:rFonts w:hint="eastAsia" w:ascii="宋体" w:hAnsi="宋体" w:cs="宋体"/>
          <w:sz w:val="24"/>
          <w:highlight w:val="none"/>
          <w:u w:val="single"/>
        </w:rPr>
        <w:t xml:space="preserve"> 3</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人，其中采购人代表须持有本单位法人授权委托书。谈判小组按照单一来源谈判文件规定的评审方法独立进行评审工作。</w:t>
      </w:r>
    </w:p>
    <w:p w14:paraId="68052A14">
      <w:pPr>
        <w:spacing w:line="560" w:lineRule="exact"/>
        <w:rPr>
          <w:rFonts w:ascii="宋体" w:hAnsi="宋体" w:cs="宋体"/>
          <w:sz w:val="24"/>
          <w:highlight w:val="none"/>
        </w:rPr>
      </w:pPr>
      <w:r>
        <w:rPr>
          <w:rFonts w:hint="eastAsia" w:ascii="宋体" w:hAnsi="宋体" w:cs="宋体"/>
          <w:sz w:val="24"/>
          <w:highlight w:val="none"/>
        </w:rPr>
        <w:t>（4）由供应商代表和监标人共同查验谈判响应文件密封情况，确认无误后拆封，谈判组织机构指定专人负责将谈判供应商的名称、谈判项目名称、谈判价格记录，并存档备案。</w:t>
      </w:r>
    </w:p>
    <w:p w14:paraId="1440DA57">
      <w:pPr>
        <w:spacing w:line="560" w:lineRule="exact"/>
        <w:ind w:firstLine="480" w:firstLineChars="200"/>
        <w:rPr>
          <w:rFonts w:ascii="宋体" w:hAnsi="宋体" w:cs="宋体"/>
          <w:sz w:val="24"/>
          <w:highlight w:val="none"/>
        </w:rPr>
      </w:pPr>
      <w:r>
        <w:rPr>
          <w:rFonts w:hint="eastAsia" w:ascii="宋体" w:hAnsi="宋体" w:cs="宋体"/>
          <w:sz w:val="24"/>
          <w:highlight w:val="none"/>
        </w:rPr>
        <w:t>当第二次报价全部超过财政预算限额或均低于公认的制作成本时，谈判小组有权决定是否谈判失败或进行第三次报价。当第三次报价若超出财政预算，且采购人又无力支付，谈判小组有权决定谈判失败。</w:t>
      </w:r>
    </w:p>
    <w:p w14:paraId="36422553">
      <w:pPr>
        <w:spacing w:line="560" w:lineRule="exact"/>
        <w:ind w:left="141" w:leftChars="67"/>
        <w:outlineLvl w:val="3"/>
        <w:rPr>
          <w:rFonts w:ascii="宋体" w:hAnsi="宋体" w:cs="宋体"/>
          <w:sz w:val="24"/>
          <w:highlight w:val="none"/>
        </w:rPr>
      </w:pPr>
      <w:r>
        <w:rPr>
          <w:rFonts w:hint="eastAsia" w:ascii="宋体" w:hAnsi="宋体" w:cs="宋体"/>
          <w:sz w:val="24"/>
          <w:highlight w:val="none"/>
        </w:rPr>
        <w:t>（5）评审时，谈判响应文件中出现下列情况，修正原则为：</w:t>
      </w:r>
    </w:p>
    <w:p w14:paraId="5BC63E83">
      <w:pPr>
        <w:spacing w:line="500" w:lineRule="exact"/>
        <w:ind w:firstLine="480" w:firstLineChars="200"/>
        <w:rPr>
          <w:rFonts w:ascii="宋体" w:hAnsi="宋体" w:cs="宋体"/>
          <w:sz w:val="24"/>
          <w:highlight w:val="none"/>
        </w:rPr>
      </w:pPr>
      <w:r>
        <w:rPr>
          <w:rFonts w:hint="eastAsia" w:ascii="宋体" w:hAnsi="宋体" w:cs="宋体"/>
          <w:sz w:val="24"/>
          <w:highlight w:val="none"/>
        </w:rPr>
        <w:t>A、报价一览表内容与谈判响应文件中明细表内容不一致的，以报价一览表为准；单独密封的报价一览表与响应文件正本的报价一览表(报价表)不一致，以单独密封的报价一览表(报价表)为准。</w:t>
      </w:r>
    </w:p>
    <w:p w14:paraId="56973A65">
      <w:pPr>
        <w:spacing w:line="560" w:lineRule="exact"/>
        <w:ind w:firstLine="480" w:firstLineChars="200"/>
        <w:rPr>
          <w:rFonts w:ascii="宋体" w:hAnsi="宋体" w:cs="宋体"/>
          <w:sz w:val="24"/>
          <w:highlight w:val="none"/>
        </w:rPr>
      </w:pPr>
      <w:r>
        <w:rPr>
          <w:rFonts w:hint="eastAsia" w:ascii="宋体" w:hAnsi="宋体" w:cs="宋体"/>
          <w:sz w:val="24"/>
          <w:highlight w:val="none"/>
        </w:rPr>
        <w:t>B、谈判报价的大写金额和小写金额不一致的，以大写金额为准；</w:t>
      </w:r>
    </w:p>
    <w:p w14:paraId="6FB76497">
      <w:pPr>
        <w:spacing w:line="560" w:lineRule="exact"/>
        <w:ind w:firstLine="480" w:firstLineChars="200"/>
        <w:rPr>
          <w:rFonts w:ascii="宋体" w:hAnsi="宋体" w:cs="宋体"/>
          <w:sz w:val="24"/>
          <w:highlight w:val="none"/>
        </w:rPr>
      </w:pPr>
      <w:r>
        <w:rPr>
          <w:rFonts w:hint="eastAsia" w:ascii="宋体" w:hAnsi="宋体" w:cs="宋体"/>
          <w:sz w:val="24"/>
          <w:highlight w:val="none"/>
        </w:rPr>
        <w:t>C、单价金额小数点或者百分比有明显错位的，以单独密封的报价一览表的总价为准，并修改单价；</w:t>
      </w:r>
    </w:p>
    <w:p w14:paraId="6D78B8E1">
      <w:pPr>
        <w:spacing w:line="560" w:lineRule="exact"/>
        <w:ind w:firstLine="480" w:firstLineChars="200"/>
        <w:rPr>
          <w:rFonts w:ascii="宋体" w:hAnsi="宋体" w:cs="宋体"/>
          <w:sz w:val="24"/>
          <w:highlight w:val="none"/>
        </w:rPr>
      </w:pPr>
      <w:r>
        <w:rPr>
          <w:rFonts w:hint="eastAsia" w:ascii="宋体" w:hAnsi="宋体" w:cs="宋体"/>
          <w:sz w:val="24"/>
          <w:highlight w:val="none"/>
        </w:rPr>
        <w:t>D、总价金额与按单价汇总金额不一致的，以单价金额计算结果为准；</w:t>
      </w:r>
    </w:p>
    <w:p w14:paraId="0DAFEFA4">
      <w:pPr>
        <w:spacing w:line="560" w:lineRule="exact"/>
        <w:ind w:left="120" w:leftChars="57" w:firstLine="480" w:firstLineChars="200"/>
        <w:rPr>
          <w:rFonts w:ascii="宋体" w:hAnsi="宋体" w:cs="宋体"/>
          <w:sz w:val="24"/>
          <w:highlight w:val="none"/>
        </w:rPr>
      </w:pPr>
      <w:r>
        <w:rPr>
          <w:rFonts w:hint="eastAsia" w:ascii="宋体" w:hAnsi="宋体" w:cs="宋体"/>
          <w:sz w:val="24"/>
          <w:highlight w:val="none"/>
        </w:rPr>
        <w:t>按上述修正错误的原则及方法调整或修正谈判响应文件的报价，谈判供应商同意后，调整后的报价对谈判供应商起约束作用。如果谈判供应商不接受修正后的报价，则其谈判响应文件将被拒绝。</w:t>
      </w:r>
    </w:p>
    <w:p w14:paraId="36EFF6F0">
      <w:pPr>
        <w:spacing w:line="560" w:lineRule="exact"/>
        <w:ind w:firstLine="141" w:firstLineChars="59"/>
        <w:rPr>
          <w:rFonts w:ascii="宋体" w:hAnsi="宋体" w:cs="宋体"/>
          <w:sz w:val="24"/>
          <w:highlight w:val="none"/>
        </w:rPr>
      </w:pPr>
      <w:r>
        <w:rPr>
          <w:rFonts w:hint="eastAsia" w:ascii="宋体" w:hAnsi="宋体" w:cs="宋体"/>
          <w:sz w:val="24"/>
          <w:highlight w:val="none"/>
        </w:rPr>
        <w:t>（6）报价后，直到向成交的供应商授予合同为止，凡审查、澄清、评价和比较谈判的有关资料及被授权文件等内容，谈判小组成员均不得向谈判供应商及与谈判无关的其他人透露。</w:t>
      </w:r>
    </w:p>
    <w:p w14:paraId="3374AFEB">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2、谈判响应文件的初审</w:t>
      </w:r>
    </w:p>
    <w:p w14:paraId="4D5808E3">
      <w:pPr>
        <w:spacing w:line="560" w:lineRule="exact"/>
        <w:ind w:firstLine="240" w:firstLineChars="100"/>
        <w:rPr>
          <w:rFonts w:ascii="宋体" w:hAnsi="宋体" w:cs="宋体"/>
          <w:sz w:val="24"/>
          <w:highlight w:val="none"/>
        </w:rPr>
      </w:pPr>
      <w:r>
        <w:rPr>
          <w:rFonts w:hint="eastAsia" w:ascii="宋体" w:hAnsi="宋体" w:cs="宋体"/>
          <w:sz w:val="24"/>
          <w:highlight w:val="none"/>
        </w:rPr>
        <w:t>（1）初审内容为谈判响应文件的完整性、响应性、有效性是否符合谈判文件的要求，对供应商文件中的资格证明、谈判保证金等进行审查，以确定供应商是否具备谈判资格；</w:t>
      </w:r>
    </w:p>
    <w:p w14:paraId="0A2E5B29">
      <w:pPr>
        <w:spacing w:line="560" w:lineRule="exact"/>
        <w:ind w:firstLine="240" w:firstLineChars="100"/>
        <w:rPr>
          <w:rFonts w:ascii="宋体" w:hAnsi="宋体" w:cs="宋体"/>
          <w:sz w:val="24"/>
          <w:highlight w:val="none"/>
        </w:rPr>
      </w:pPr>
      <w:r>
        <w:rPr>
          <w:rFonts w:hint="eastAsia" w:ascii="宋体" w:hAnsi="宋体" w:cs="宋体"/>
          <w:sz w:val="24"/>
          <w:highlight w:val="none"/>
        </w:rPr>
        <w:t>（2）谈判供应商及谈判响应文件有效性和符合性审查，出现下列情况之一者（但不限于），按无效文件处理：</w:t>
      </w:r>
    </w:p>
    <w:p w14:paraId="531AE32C">
      <w:pPr>
        <w:kinsoku w:val="0"/>
        <w:spacing w:line="560" w:lineRule="exact"/>
        <w:ind w:left="1" w:firstLine="480" w:firstLineChars="200"/>
        <w:rPr>
          <w:rFonts w:ascii="宋体" w:hAnsi="宋体" w:cs="宋体"/>
          <w:sz w:val="24"/>
          <w:highlight w:val="none"/>
        </w:rPr>
      </w:pPr>
      <w:r>
        <w:rPr>
          <w:rFonts w:hint="eastAsia" w:ascii="宋体" w:hAnsi="宋体" w:cs="宋体"/>
          <w:sz w:val="24"/>
          <w:highlight w:val="none"/>
        </w:rPr>
        <w:t>A、谈判供应商未经过正常渠道购买谈判文件，或谈判供应商名称与购买谈判文件时登记的谈判供应商名称不符的；</w:t>
      </w:r>
    </w:p>
    <w:p w14:paraId="55ABF1EA">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B、必备资质的有效性和和符合性不符合要求；</w:t>
      </w:r>
    </w:p>
    <w:p w14:paraId="5C4DE373">
      <w:pPr>
        <w:kinsoku w:val="0"/>
        <w:spacing w:line="560" w:lineRule="exact"/>
        <w:ind w:firstLine="480" w:firstLineChars="200"/>
        <w:rPr>
          <w:rFonts w:ascii="宋体" w:hAnsi="宋体" w:cs="宋体"/>
          <w:spacing w:val="-6"/>
          <w:sz w:val="24"/>
          <w:highlight w:val="none"/>
        </w:rPr>
      </w:pPr>
      <w:r>
        <w:rPr>
          <w:rFonts w:hint="eastAsia" w:ascii="宋体" w:hAnsi="宋体" w:cs="宋体"/>
          <w:sz w:val="24"/>
          <w:highlight w:val="none"/>
        </w:rPr>
        <w:t>C、谈判响应</w:t>
      </w:r>
      <w:r>
        <w:rPr>
          <w:rFonts w:hint="eastAsia" w:ascii="宋体" w:hAnsi="宋体" w:cs="宋体"/>
          <w:spacing w:val="-6"/>
          <w:sz w:val="24"/>
          <w:highlight w:val="none"/>
        </w:rPr>
        <w:t>文件</w:t>
      </w:r>
      <w:r>
        <w:rPr>
          <w:rFonts w:hint="eastAsia" w:ascii="宋体" w:hAnsi="宋体" w:cs="宋体"/>
          <w:sz w:val="24"/>
          <w:highlight w:val="none"/>
        </w:rPr>
        <w:t>未按谈判文件要求密封、签署、盖章的；</w:t>
      </w:r>
      <w:r>
        <w:rPr>
          <w:rFonts w:hint="eastAsia" w:ascii="宋体" w:hAnsi="宋体" w:cs="宋体"/>
          <w:spacing w:val="-6"/>
          <w:sz w:val="24"/>
          <w:highlight w:val="none"/>
        </w:rPr>
        <w:t>无谈判有效期或有效期达不到谈判文件要求的；</w:t>
      </w:r>
    </w:p>
    <w:p w14:paraId="3497FA7B">
      <w:pPr>
        <w:kinsoku w:val="0"/>
        <w:spacing w:line="560" w:lineRule="exact"/>
        <w:ind w:left="1" w:firstLine="480" w:firstLineChars="200"/>
        <w:rPr>
          <w:rFonts w:ascii="宋体" w:hAnsi="宋体" w:cs="宋体"/>
          <w:sz w:val="24"/>
          <w:highlight w:val="none"/>
        </w:rPr>
      </w:pPr>
      <w:r>
        <w:rPr>
          <w:rFonts w:hint="eastAsia" w:ascii="宋体" w:hAnsi="宋体" w:cs="宋体"/>
          <w:sz w:val="24"/>
          <w:highlight w:val="none"/>
        </w:rPr>
        <w:t>D、未按谈判文件要求提交谈判保证金的；</w:t>
      </w:r>
    </w:p>
    <w:p w14:paraId="18AC8430">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E、谈判供应商未按照谈判文件格式及内容要求填写的 ；</w:t>
      </w:r>
    </w:p>
    <w:p w14:paraId="37358D9C">
      <w:pPr>
        <w:kinsoku w:val="0"/>
        <w:spacing w:line="560" w:lineRule="exact"/>
        <w:ind w:left="1" w:firstLine="480" w:firstLineChars="200"/>
        <w:rPr>
          <w:rFonts w:ascii="宋体" w:hAnsi="宋体" w:cs="宋体"/>
          <w:sz w:val="24"/>
          <w:highlight w:val="none"/>
        </w:rPr>
      </w:pPr>
      <w:r>
        <w:rPr>
          <w:rFonts w:hint="eastAsia" w:ascii="宋体" w:hAnsi="宋体" w:cs="宋体"/>
          <w:sz w:val="24"/>
          <w:highlight w:val="none"/>
        </w:rPr>
        <w:t>F、谈判供应商针对同一项目递交两份或多份内容不同的谈判响应文件，未书面声明哪一份是有效的或出现选择性报价的；</w:t>
      </w:r>
    </w:p>
    <w:p w14:paraId="09DB968A">
      <w:pPr>
        <w:kinsoku w:val="0"/>
        <w:spacing w:line="500" w:lineRule="exact"/>
        <w:ind w:left="1" w:firstLine="480" w:firstLineChars="200"/>
        <w:rPr>
          <w:rFonts w:ascii="宋体" w:hAnsi="宋体" w:cs="宋体"/>
          <w:sz w:val="24"/>
          <w:highlight w:val="none"/>
        </w:rPr>
      </w:pPr>
      <w:r>
        <w:rPr>
          <w:rFonts w:hint="eastAsia" w:ascii="宋体" w:hAnsi="宋体" w:cs="宋体"/>
          <w:sz w:val="24"/>
          <w:highlight w:val="none"/>
        </w:rPr>
        <w:t>G、提供虚假证明（包括第三方提供的虚假证明），开具虚假资质，出现虚假应答的，除按无效文件处理外，还将按照政府采购的有关规定进行处罚；</w:t>
      </w:r>
    </w:p>
    <w:p w14:paraId="5127C194">
      <w:pPr>
        <w:kinsoku w:val="0"/>
        <w:spacing w:line="560" w:lineRule="exact"/>
        <w:ind w:firstLine="456" w:firstLineChars="200"/>
        <w:rPr>
          <w:rFonts w:ascii="宋体" w:hAnsi="宋体" w:cs="宋体"/>
          <w:sz w:val="24"/>
          <w:highlight w:val="none"/>
        </w:rPr>
      </w:pPr>
      <w:r>
        <w:rPr>
          <w:rFonts w:hint="eastAsia" w:ascii="宋体" w:hAnsi="宋体" w:cs="宋体"/>
          <w:spacing w:val="-6"/>
          <w:sz w:val="24"/>
          <w:highlight w:val="none"/>
        </w:rPr>
        <w:t>H</w:t>
      </w:r>
      <w:r>
        <w:rPr>
          <w:rFonts w:hint="eastAsia" w:ascii="宋体" w:hAnsi="宋体" w:cs="宋体"/>
          <w:sz w:val="24"/>
          <w:highlight w:val="none"/>
        </w:rPr>
        <w:t>、谈判响应文件在商务响应方面附加了采购人难以接受的条件和条款的；</w:t>
      </w:r>
    </w:p>
    <w:p w14:paraId="748310C9">
      <w:pPr>
        <w:kinsoku w:val="0"/>
        <w:spacing w:line="560" w:lineRule="exact"/>
        <w:ind w:firstLine="456" w:firstLineChars="200"/>
        <w:rPr>
          <w:rFonts w:ascii="宋体" w:hAnsi="宋体" w:cs="宋体"/>
          <w:spacing w:val="-6"/>
          <w:sz w:val="24"/>
          <w:highlight w:val="none"/>
        </w:rPr>
      </w:pPr>
      <w:r>
        <w:rPr>
          <w:rFonts w:hint="eastAsia" w:ascii="宋体" w:hAnsi="宋体" w:cs="宋体"/>
          <w:spacing w:val="-6"/>
          <w:sz w:val="24"/>
          <w:highlight w:val="none"/>
        </w:rPr>
        <w:t>I、在政府采购或其它重大项目履约过程中有不良记录，不能按期履约的；</w:t>
      </w:r>
    </w:p>
    <w:p w14:paraId="0747D791">
      <w:pPr>
        <w:kinsoku w:val="0"/>
        <w:spacing w:line="560" w:lineRule="exact"/>
        <w:ind w:firstLine="456" w:firstLineChars="200"/>
        <w:rPr>
          <w:rFonts w:ascii="宋体" w:hAnsi="宋体" w:cs="宋体"/>
          <w:spacing w:val="-6"/>
          <w:sz w:val="24"/>
          <w:highlight w:val="none"/>
        </w:rPr>
      </w:pPr>
      <w:r>
        <w:rPr>
          <w:rFonts w:hint="eastAsia" w:ascii="宋体" w:hAnsi="宋体" w:cs="宋体"/>
          <w:spacing w:val="-6"/>
          <w:sz w:val="24"/>
          <w:highlight w:val="none"/>
        </w:rPr>
        <w:t>G、谈判报价与市场价偏离较大，形成不正当竞争的；</w:t>
      </w:r>
    </w:p>
    <w:p w14:paraId="467F5A9F">
      <w:pPr>
        <w:kinsoku w:val="0"/>
        <w:spacing w:line="560" w:lineRule="exact"/>
        <w:ind w:firstLine="456" w:firstLineChars="200"/>
        <w:rPr>
          <w:rFonts w:ascii="宋体" w:hAnsi="宋体" w:cs="宋体"/>
          <w:spacing w:val="-6"/>
          <w:sz w:val="24"/>
          <w:highlight w:val="none"/>
        </w:rPr>
      </w:pPr>
      <w:r>
        <w:rPr>
          <w:rFonts w:hint="eastAsia" w:ascii="宋体" w:hAnsi="宋体" w:cs="宋体"/>
          <w:spacing w:val="-6"/>
          <w:sz w:val="24"/>
          <w:highlight w:val="none"/>
        </w:rPr>
        <w:t>K、谈判报价子目出现漏项或报价数量与要求不符的；</w:t>
      </w:r>
    </w:p>
    <w:p w14:paraId="4BE70E4A">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L、提供虚假技术性能指标。</w:t>
      </w:r>
    </w:p>
    <w:p w14:paraId="159F20E0">
      <w:pPr>
        <w:spacing w:line="560" w:lineRule="exact"/>
        <w:ind w:firstLine="120" w:firstLineChars="50"/>
        <w:outlineLvl w:val="2"/>
        <w:rPr>
          <w:rFonts w:ascii="宋体" w:hAnsi="宋体" w:cs="宋体"/>
          <w:b/>
          <w:sz w:val="24"/>
          <w:highlight w:val="none"/>
        </w:rPr>
      </w:pPr>
      <w:r>
        <w:rPr>
          <w:rFonts w:hint="eastAsia" w:ascii="宋体" w:hAnsi="宋体" w:cs="宋体"/>
          <w:b/>
          <w:sz w:val="24"/>
          <w:highlight w:val="none"/>
        </w:rPr>
        <w:t>3、澄清</w:t>
      </w:r>
    </w:p>
    <w:p w14:paraId="0F5E3A0B">
      <w:pPr>
        <w:spacing w:line="560" w:lineRule="exact"/>
        <w:ind w:firstLine="240" w:firstLineChars="100"/>
        <w:rPr>
          <w:rFonts w:ascii="宋体" w:hAnsi="宋体" w:cs="宋体"/>
          <w:sz w:val="24"/>
          <w:highlight w:val="none"/>
        </w:rPr>
      </w:pPr>
      <w:r>
        <w:rPr>
          <w:rFonts w:hint="eastAsia" w:ascii="宋体" w:hAnsi="宋体" w:cs="宋体"/>
          <w:sz w:val="24"/>
          <w:highlight w:val="none"/>
        </w:rPr>
        <w:t>（1）谈判小组有权就谈判响应文件中含义不明确、同类问题表述不一致、或者有明显文字和计算错误的内容等要求上述步骤评审合格的供应商作出必要的澄清、说明或者更正；谈判供应商将有关澄清、补正、说明的内容应以书面形式提交；</w:t>
      </w:r>
    </w:p>
    <w:p w14:paraId="47C07BA7">
      <w:pPr>
        <w:spacing w:line="560" w:lineRule="exact"/>
        <w:ind w:firstLine="240" w:firstLineChars="100"/>
        <w:rPr>
          <w:rFonts w:ascii="宋体" w:hAnsi="宋体" w:cs="宋体"/>
          <w:sz w:val="24"/>
          <w:highlight w:val="none"/>
        </w:rPr>
      </w:pPr>
      <w:r>
        <w:rPr>
          <w:rFonts w:hint="eastAsia" w:ascii="宋体" w:hAnsi="宋体" w:cs="宋体"/>
          <w:sz w:val="24"/>
          <w:highlight w:val="none"/>
        </w:rPr>
        <w:t>（2）谈判文件、谈判响应文件作为谈判的依据，澄清、补正、说明的内容只作为谈判参考。谈判澄清时谈判供应商只作说明和解释，不得借此对谈判报价、交货期、主要技术指标等实质性内容做任何修改；如澄清、补正、说明的内容与谈判响应文件内容有重大相悖或矛盾，将被认定为无效文件；</w:t>
      </w:r>
    </w:p>
    <w:p w14:paraId="61533E7B">
      <w:pPr>
        <w:spacing w:line="560" w:lineRule="exact"/>
        <w:ind w:firstLine="240" w:firstLineChars="100"/>
        <w:rPr>
          <w:rFonts w:ascii="宋体" w:hAnsi="宋体" w:cs="宋体"/>
          <w:sz w:val="24"/>
          <w:highlight w:val="none"/>
        </w:rPr>
      </w:pPr>
      <w:r>
        <w:rPr>
          <w:rFonts w:hint="eastAsia" w:ascii="宋体" w:hAnsi="宋体" w:cs="宋体"/>
          <w:sz w:val="24"/>
          <w:highlight w:val="none"/>
        </w:rPr>
        <w:t>（3）谈判供应商对谈判响应文件的澄清不得改变谈判价格及实质内容。</w:t>
      </w:r>
    </w:p>
    <w:p w14:paraId="212DD794">
      <w:pPr>
        <w:kinsoku w:val="0"/>
        <w:spacing w:line="560" w:lineRule="exact"/>
        <w:ind w:firstLine="482" w:firstLineChars="200"/>
        <w:outlineLvl w:val="2"/>
        <w:rPr>
          <w:rFonts w:ascii="宋体" w:hAnsi="宋体" w:cs="宋体"/>
          <w:b/>
          <w:sz w:val="24"/>
          <w:highlight w:val="none"/>
        </w:rPr>
      </w:pPr>
      <w:r>
        <w:rPr>
          <w:rFonts w:hint="eastAsia" w:ascii="宋体" w:hAnsi="宋体" w:cs="宋体"/>
          <w:b/>
          <w:sz w:val="24"/>
          <w:highlight w:val="none"/>
        </w:rPr>
        <w:t>4、谈判方法</w:t>
      </w:r>
    </w:p>
    <w:p w14:paraId="3C9B0316">
      <w:pPr>
        <w:spacing w:line="560" w:lineRule="exact"/>
        <w:ind w:firstLine="360" w:firstLineChars="150"/>
        <w:rPr>
          <w:rFonts w:ascii="宋体" w:hAnsi="宋体" w:cs="宋体"/>
          <w:sz w:val="24"/>
          <w:highlight w:val="none"/>
        </w:rPr>
      </w:pPr>
      <w:r>
        <w:rPr>
          <w:rFonts w:hint="eastAsia" w:ascii="宋体" w:hAnsi="宋体" w:cs="宋体"/>
          <w:sz w:val="24"/>
          <w:highlight w:val="none"/>
        </w:rPr>
        <w:t>（1）谈判原则：谈判小组根据符合单一来源采购的技术要求、质量和服务的要求，且报价合理的原则确定成交供应商。</w:t>
      </w:r>
    </w:p>
    <w:p w14:paraId="16538256">
      <w:pPr>
        <w:spacing w:line="560" w:lineRule="exact"/>
        <w:ind w:firstLine="360" w:firstLineChars="150"/>
        <w:rPr>
          <w:rFonts w:ascii="宋体" w:hAnsi="宋体" w:cs="宋体"/>
          <w:sz w:val="24"/>
          <w:highlight w:val="none"/>
        </w:rPr>
      </w:pPr>
      <w:r>
        <w:rPr>
          <w:rFonts w:hint="eastAsia" w:ascii="宋体" w:hAnsi="宋体" w:cs="宋体"/>
          <w:sz w:val="24"/>
          <w:highlight w:val="none"/>
        </w:rPr>
        <w:t>（2）谈判程序：谈判开始前将由供应商代表或其推选的代表当众检验谈判文件的密封情况，确认无误后方可进行拆封、谈判。由谈判小组成员与谈判供应商进行谈判。</w:t>
      </w:r>
    </w:p>
    <w:p w14:paraId="5511C1F8">
      <w:pPr>
        <w:tabs>
          <w:tab w:val="left" w:pos="1200"/>
        </w:tabs>
        <w:spacing w:line="560" w:lineRule="exact"/>
        <w:ind w:firstLine="360" w:firstLineChars="150"/>
        <w:rPr>
          <w:rFonts w:ascii="宋体" w:hAnsi="宋体" w:cs="宋体"/>
          <w:sz w:val="24"/>
          <w:highlight w:val="none"/>
        </w:rPr>
      </w:pPr>
      <w:r>
        <w:rPr>
          <w:rFonts w:hint="eastAsia" w:ascii="宋体" w:hAnsi="宋体" w:cs="宋体"/>
          <w:sz w:val="24"/>
          <w:highlight w:val="none"/>
        </w:rPr>
        <w:t>（3）谈判步骤为：第一次报价---谈判---第二次报价---评审推荐成交供应商。</w:t>
      </w:r>
    </w:p>
    <w:p w14:paraId="1F2B7CC9">
      <w:pPr>
        <w:spacing w:line="560" w:lineRule="exact"/>
        <w:ind w:firstLine="360" w:firstLineChars="150"/>
        <w:rPr>
          <w:rFonts w:ascii="宋体" w:hAnsi="宋体" w:cs="宋体"/>
          <w:sz w:val="24"/>
          <w:highlight w:val="none"/>
        </w:rPr>
      </w:pPr>
      <w:r>
        <w:rPr>
          <w:rFonts w:hint="eastAsia" w:ascii="宋体" w:hAnsi="宋体" w:cs="宋体"/>
          <w:sz w:val="24"/>
          <w:highlight w:val="none"/>
        </w:rPr>
        <w:t>（4）谈判说明：采购人、采购代理机构应当组织专家和采购人代表成立单一来源谈判小组与供应商确定合理的成交价格并保证采购项目质量。采购情况记录应当由单一来源谈判小组签字认可。</w:t>
      </w:r>
    </w:p>
    <w:p w14:paraId="7D02905F">
      <w:pPr>
        <w:kinsoku w:val="0"/>
        <w:spacing w:line="560" w:lineRule="exact"/>
        <w:ind w:firstLine="482" w:firstLineChars="200"/>
        <w:outlineLvl w:val="2"/>
        <w:rPr>
          <w:rFonts w:ascii="宋体" w:hAnsi="宋体" w:cs="宋体"/>
          <w:b/>
          <w:sz w:val="24"/>
          <w:highlight w:val="none"/>
        </w:rPr>
      </w:pPr>
      <w:r>
        <w:rPr>
          <w:rFonts w:hint="eastAsia" w:ascii="宋体" w:hAnsi="宋体" w:cs="宋体"/>
          <w:b/>
          <w:sz w:val="24"/>
          <w:highlight w:val="none"/>
        </w:rPr>
        <w:t>5、谈判内容</w:t>
      </w:r>
    </w:p>
    <w:p w14:paraId="425E8DE7">
      <w:pPr>
        <w:kinsoku w:val="0"/>
        <w:spacing w:line="560" w:lineRule="exact"/>
        <w:ind w:firstLine="360"/>
        <w:outlineLvl w:val="3"/>
        <w:rPr>
          <w:rFonts w:ascii="宋体" w:hAnsi="宋体" w:cs="宋体"/>
          <w:sz w:val="24"/>
          <w:highlight w:val="none"/>
        </w:rPr>
      </w:pPr>
      <w:r>
        <w:rPr>
          <w:rFonts w:hint="eastAsia" w:ascii="宋体" w:hAnsi="宋体" w:cs="宋体"/>
          <w:sz w:val="24"/>
          <w:highlight w:val="none"/>
        </w:rPr>
        <w:t>（1）谈判小组在评定时，将主要考虑下列因素：</w:t>
      </w:r>
    </w:p>
    <w:p w14:paraId="5F6C9C36">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A、谈判供应商最终报价；</w:t>
      </w:r>
    </w:p>
    <w:p w14:paraId="2692E767">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B、响应服务方案、响应时效性、指标的质量、技术参数；</w:t>
      </w:r>
    </w:p>
    <w:p w14:paraId="67544E39">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C、谈判供应商完成项目的组织机构、实施计划。</w:t>
      </w:r>
    </w:p>
    <w:p w14:paraId="34338825">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D、谈判供应商售后服务的承诺；</w:t>
      </w:r>
    </w:p>
    <w:p w14:paraId="5159970B">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E、谈判供应商商务响应；</w:t>
      </w:r>
    </w:p>
    <w:p w14:paraId="77295DE7">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F、谈判供应商完成项目的保障能力；</w:t>
      </w:r>
    </w:p>
    <w:p w14:paraId="193F8E5D">
      <w:pPr>
        <w:kinsoku w:val="0"/>
        <w:spacing w:line="560" w:lineRule="exact"/>
        <w:ind w:firstLine="480" w:firstLineChars="200"/>
        <w:rPr>
          <w:rFonts w:ascii="宋体" w:hAnsi="宋体" w:cs="宋体"/>
          <w:sz w:val="24"/>
          <w:highlight w:val="none"/>
        </w:rPr>
      </w:pPr>
      <w:r>
        <w:rPr>
          <w:rFonts w:hint="eastAsia" w:ascii="宋体" w:hAnsi="宋体" w:cs="宋体"/>
          <w:sz w:val="24"/>
          <w:highlight w:val="none"/>
        </w:rPr>
        <w:t>G、谈判供应商的业绩、信誉；</w:t>
      </w:r>
    </w:p>
    <w:p w14:paraId="662CEE9E">
      <w:pPr>
        <w:kinsoku w:val="0"/>
        <w:spacing w:line="560" w:lineRule="exact"/>
        <w:ind w:firstLine="360" w:firstLineChars="150"/>
        <w:rPr>
          <w:rFonts w:ascii="宋体" w:hAnsi="宋体" w:cs="宋体"/>
          <w:sz w:val="24"/>
          <w:highlight w:val="none"/>
        </w:rPr>
      </w:pPr>
      <w:r>
        <w:rPr>
          <w:rFonts w:hint="eastAsia" w:ascii="宋体" w:hAnsi="宋体" w:cs="宋体"/>
          <w:sz w:val="24"/>
          <w:highlight w:val="none"/>
        </w:rPr>
        <w:t>（2）谈判确定的最终价格及服务等仍不能满足采购人的要求，采购人及谈判小组将保留最终放弃本次谈判的权利。</w:t>
      </w:r>
    </w:p>
    <w:p w14:paraId="46294A8A">
      <w:pPr>
        <w:spacing w:line="560" w:lineRule="exact"/>
        <w:ind w:firstLine="361" w:firstLineChars="150"/>
        <w:outlineLvl w:val="2"/>
        <w:rPr>
          <w:rFonts w:ascii="宋体" w:hAnsi="宋体" w:cs="宋体"/>
          <w:b/>
          <w:sz w:val="24"/>
          <w:highlight w:val="none"/>
        </w:rPr>
      </w:pPr>
      <w:r>
        <w:rPr>
          <w:rFonts w:hint="eastAsia" w:ascii="宋体" w:hAnsi="宋体" w:cs="宋体"/>
          <w:b/>
          <w:sz w:val="24"/>
          <w:highlight w:val="none"/>
        </w:rPr>
        <w:t>6、成交</w:t>
      </w:r>
    </w:p>
    <w:p w14:paraId="41C3A3EB">
      <w:pPr>
        <w:spacing w:line="560" w:lineRule="exact"/>
        <w:ind w:firstLine="240" w:firstLineChars="100"/>
        <w:rPr>
          <w:rFonts w:ascii="宋体" w:hAnsi="宋体" w:cs="宋体"/>
          <w:sz w:val="24"/>
          <w:highlight w:val="none"/>
        </w:rPr>
      </w:pPr>
      <w:r>
        <w:rPr>
          <w:rFonts w:hint="eastAsia" w:ascii="宋体" w:hAnsi="宋体" w:cs="宋体"/>
          <w:sz w:val="24"/>
          <w:highlight w:val="none"/>
        </w:rPr>
        <w:t>（1）谈判组织机构在谈判结束后二个工作日内将谈判报告送达采购人，采购人在收到谈判报告后五个工作日内，按照谈判报告中推荐的成交候选供应商顺序确定成交供应商，同时书面复函谈判组织机构；</w:t>
      </w:r>
    </w:p>
    <w:p w14:paraId="628E7EE8">
      <w:pPr>
        <w:spacing w:line="560" w:lineRule="exact"/>
        <w:ind w:firstLine="240" w:firstLineChars="100"/>
        <w:rPr>
          <w:rFonts w:ascii="宋体" w:hAnsi="宋体" w:cs="宋体"/>
          <w:sz w:val="24"/>
          <w:highlight w:val="none"/>
        </w:rPr>
      </w:pPr>
      <w:r>
        <w:rPr>
          <w:rFonts w:hint="eastAsia" w:ascii="宋体" w:hAnsi="宋体" w:cs="宋体"/>
          <w:sz w:val="24"/>
          <w:highlight w:val="none"/>
        </w:rPr>
        <w:t>（2）谈判组织机构收到采购人“成交复函”后，发布“成交公告”并向成交供应商发出“成交通知书”。</w:t>
      </w:r>
    </w:p>
    <w:p w14:paraId="200E58B3">
      <w:pPr>
        <w:spacing w:line="560" w:lineRule="exact"/>
        <w:jc w:val="center"/>
        <w:outlineLvl w:val="1"/>
        <w:rPr>
          <w:rFonts w:ascii="宋体" w:hAnsi="宋体" w:cs="宋体"/>
          <w:b/>
          <w:sz w:val="30"/>
          <w:szCs w:val="30"/>
          <w:highlight w:val="none"/>
        </w:rPr>
      </w:pPr>
      <w:r>
        <w:rPr>
          <w:rFonts w:hint="eastAsia" w:ascii="宋体" w:hAnsi="宋体" w:cs="宋体"/>
          <w:b/>
          <w:sz w:val="30"/>
          <w:szCs w:val="30"/>
          <w:highlight w:val="none"/>
        </w:rPr>
        <w:t>七．签订合同</w:t>
      </w:r>
    </w:p>
    <w:p w14:paraId="4246FB4C">
      <w:pPr>
        <w:spacing w:line="560" w:lineRule="exact"/>
        <w:ind w:firstLine="600" w:firstLineChars="250"/>
        <w:rPr>
          <w:rFonts w:ascii="宋体" w:hAnsi="宋体" w:cs="宋体"/>
          <w:sz w:val="24"/>
          <w:highlight w:val="none"/>
        </w:rPr>
      </w:pPr>
      <w:r>
        <w:rPr>
          <w:rFonts w:hint="eastAsia" w:ascii="宋体" w:hAnsi="宋体" w:cs="宋体"/>
          <w:sz w:val="24"/>
          <w:highlight w:val="none"/>
        </w:rPr>
        <w:t>1、成交后，成交供应商与采购人洽谈合同条款，并签订供货合同，同时送监督机构备案，谈判文件及成交供应商谈判响应文件均作为合同的组成部分；</w:t>
      </w:r>
    </w:p>
    <w:p w14:paraId="0EC6B529">
      <w:pPr>
        <w:spacing w:line="560" w:lineRule="exact"/>
        <w:ind w:firstLine="600" w:firstLineChars="250"/>
        <w:rPr>
          <w:rFonts w:ascii="宋体" w:hAnsi="宋体" w:cs="宋体"/>
          <w:sz w:val="24"/>
          <w:highlight w:val="none"/>
        </w:rPr>
      </w:pPr>
      <w:r>
        <w:rPr>
          <w:rFonts w:hint="eastAsia" w:ascii="宋体" w:hAnsi="宋体" w:cs="宋体"/>
          <w:sz w:val="24"/>
          <w:highlight w:val="none"/>
        </w:rPr>
        <w:t>2、政府采购合同履行中，单位需追加与合同标的相同的货物、工程或者服务的，在不改变合同其他条款的前提下，可以与供应商协商签订补充合同，但所有补充合同的采购金额不得超过原合同采购金额的百分之十；</w:t>
      </w:r>
    </w:p>
    <w:p w14:paraId="5884D0F6">
      <w:pPr>
        <w:spacing w:line="560" w:lineRule="exact"/>
        <w:jc w:val="center"/>
        <w:outlineLvl w:val="1"/>
        <w:rPr>
          <w:rFonts w:ascii="宋体" w:hAnsi="宋体" w:cs="宋体"/>
          <w:b/>
          <w:sz w:val="30"/>
          <w:szCs w:val="30"/>
          <w:highlight w:val="none"/>
        </w:rPr>
      </w:pPr>
      <w:r>
        <w:rPr>
          <w:rFonts w:hint="eastAsia" w:ascii="宋体" w:hAnsi="宋体" w:cs="宋体"/>
          <w:b/>
          <w:sz w:val="30"/>
          <w:szCs w:val="30"/>
          <w:highlight w:val="none"/>
        </w:rPr>
        <w:t>八．招标代理服务费</w:t>
      </w:r>
    </w:p>
    <w:p w14:paraId="64D96954">
      <w:pPr>
        <w:spacing w:line="560" w:lineRule="exact"/>
        <w:ind w:firstLine="602" w:firstLineChars="250"/>
        <w:rPr>
          <w:rFonts w:ascii="宋体" w:hAnsi="宋体" w:cs="宋体"/>
          <w:b/>
          <w:bCs/>
          <w:sz w:val="24"/>
          <w:highlight w:val="none"/>
        </w:rPr>
      </w:pPr>
      <w:r>
        <w:rPr>
          <w:rFonts w:hint="eastAsia" w:ascii="宋体" w:hAnsi="宋体" w:cs="宋体"/>
          <w:b/>
          <w:bCs/>
          <w:sz w:val="24"/>
          <w:highlight w:val="none"/>
        </w:rPr>
        <w:t>1、本项目代理服务费由成交供应商支付，成交供应商应依据中标金额向招标代理机构交纳招标代理服务费。</w:t>
      </w:r>
    </w:p>
    <w:p w14:paraId="09B6A026">
      <w:pPr>
        <w:spacing w:line="560" w:lineRule="exact"/>
        <w:ind w:firstLine="602" w:firstLineChars="250"/>
        <w:rPr>
          <w:rFonts w:ascii="宋体" w:hAnsi="宋体" w:cs="宋体"/>
          <w:b/>
          <w:bCs/>
          <w:sz w:val="24"/>
          <w:highlight w:val="none"/>
        </w:rPr>
      </w:pPr>
      <w:r>
        <w:rPr>
          <w:rFonts w:hint="eastAsia" w:ascii="宋体" w:hAnsi="宋体" w:cs="宋体"/>
          <w:b/>
          <w:bCs/>
          <w:sz w:val="24"/>
          <w:highlight w:val="none"/>
        </w:rPr>
        <w:t>2、收费标准：按国家计委颁发的《招标代理服务收费管理暂行办法》（计价格[2002]1980号）和国家发展改革委员会办公厅颁发的《关于招标代理服务收费有关问题的通知》（发改办价格[2003]857号）的有关标准执行。</w:t>
      </w:r>
    </w:p>
    <w:p w14:paraId="21908C57">
      <w:pPr>
        <w:spacing w:line="560" w:lineRule="exact"/>
        <w:ind w:firstLine="602" w:firstLineChars="250"/>
        <w:outlineLvl w:val="2"/>
        <w:rPr>
          <w:rFonts w:ascii="宋体" w:hAnsi="宋体" w:cs="宋体"/>
          <w:b/>
          <w:bCs/>
          <w:sz w:val="24"/>
          <w:highlight w:val="none"/>
        </w:rPr>
      </w:pPr>
      <w:r>
        <w:rPr>
          <w:rFonts w:hint="eastAsia" w:ascii="宋体" w:hAnsi="宋体" w:cs="宋体"/>
          <w:b/>
          <w:bCs/>
          <w:sz w:val="24"/>
          <w:highlight w:val="none"/>
        </w:rPr>
        <w:t>3、招标代理服务费账户信息：</w:t>
      </w:r>
    </w:p>
    <w:p w14:paraId="58589AA5">
      <w:pPr>
        <w:spacing w:line="560" w:lineRule="exact"/>
        <w:ind w:firstLine="602" w:firstLineChars="250"/>
        <w:rPr>
          <w:rFonts w:hint="eastAsia" w:ascii="宋体" w:hAnsi="宋体" w:eastAsia="宋体" w:cs="宋体"/>
          <w:b/>
          <w:bCs/>
          <w:sz w:val="24"/>
          <w:highlight w:val="none"/>
          <w:lang w:eastAsia="zh-CN"/>
        </w:rPr>
      </w:pPr>
      <w:r>
        <w:rPr>
          <w:rFonts w:hint="eastAsia" w:ascii="宋体" w:hAnsi="宋体" w:cs="宋体"/>
          <w:b/>
          <w:bCs/>
          <w:sz w:val="24"/>
          <w:highlight w:val="none"/>
        </w:rPr>
        <w:t>（1）采购代理机构开户名称:</w:t>
      </w:r>
      <w:r>
        <w:rPr>
          <w:rFonts w:hint="eastAsia" w:ascii="宋体" w:hAnsi="宋体" w:cs="宋体"/>
          <w:b/>
          <w:bCs/>
          <w:sz w:val="24"/>
          <w:highlight w:val="none"/>
          <w:lang w:eastAsia="zh-CN"/>
        </w:rPr>
        <w:t>陕西至诚项目管理集团有限公司</w:t>
      </w:r>
    </w:p>
    <w:p w14:paraId="4ACE0EA8">
      <w:pPr>
        <w:spacing w:line="560" w:lineRule="exact"/>
        <w:ind w:firstLine="602" w:firstLineChars="250"/>
        <w:rPr>
          <w:rFonts w:ascii="宋体" w:hAnsi="宋体" w:cs="宋体"/>
          <w:b/>
          <w:bCs/>
          <w:sz w:val="24"/>
          <w:highlight w:val="none"/>
        </w:rPr>
      </w:pPr>
      <w:r>
        <w:rPr>
          <w:rFonts w:hint="eastAsia" w:ascii="宋体" w:hAnsi="宋体" w:cs="宋体"/>
          <w:b/>
          <w:bCs/>
          <w:sz w:val="24"/>
          <w:highlight w:val="none"/>
        </w:rPr>
        <w:t>（2）开户行名称：中国建设银行股份有限公司西安高新技术产业开发区支行</w:t>
      </w:r>
    </w:p>
    <w:p w14:paraId="0D95992E">
      <w:pPr>
        <w:spacing w:line="560" w:lineRule="exact"/>
        <w:ind w:firstLine="602" w:firstLineChars="250"/>
        <w:rPr>
          <w:rFonts w:ascii="宋体" w:hAnsi="宋体" w:cs="宋体"/>
          <w:b/>
          <w:bCs/>
          <w:sz w:val="24"/>
          <w:highlight w:val="none"/>
        </w:rPr>
      </w:pPr>
      <w:r>
        <w:rPr>
          <w:rFonts w:hint="eastAsia" w:ascii="宋体" w:hAnsi="宋体" w:cs="宋体"/>
          <w:b/>
          <w:bCs/>
          <w:sz w:val="24"/>
          <w:highlight w:val="none"/>
        </w:rPr>
        <w:t xml:space="preserve">（3）账号：61050192090000002152 </w:t>
      </w:r>
    </w:p>
    <w:p w14:paraId="2E537E00">
      <w:pPr>
        <w:spacing w:line="560" w:lineRule="exact"/>
        <w:jc w:val="center"/>
        <w:outlineLvl w:val="1"/>
        <w:rPr>
          <w:rFonts w:ascii="宋体" w:hAnsi="宋体" w:cs="宋体"/>
          <w:b/>
          <w:sz w:val="30"/>
          <w:szCs w:val="30"/>
          <w:highlight w:val="none"/>
        </w:rPr>
      </w:pPr>
      <w:r>
        <w:rPr>
          <w:rFonts w:hint="eastAsia" w:ascii="宋体" w:hAnsi="宋体" w:cs="宋体"/>
          <w:b/>
          <w:sz w:val="30"/>
          <w:szCs w:val="30"/>
          <w:highlight w:val="none"/>
        </w:rPr>
        <w:t>九.质疑</w:t>
      </w:r>
    </w:p>
    <w:p w14:paraId="1196FB68">
      <w:pPr>
        <w:spacing w:line="560" w:lineRule="exact"/>
        <w:rPr>
          <w:rFonts w:ascii="宋体" w:hAnsi="宋体" w:cs="宋体"/>
          <w:b/>
          <w:sz w:val="30"/>
          <w:szCs w:val="30"/>
          <w:highlight w:val="none"/>
        </w:rPr>
      </w:pPr>
    </w:p>
    <w:p w14:paraId="7FBE1CD1">
      <w:pPr>
        <w:spacing w:line="500" w:lineRule="exact"/>
        <w:ind w:right="12" w:firstLine="480"/>
        <w:rPr>
          <w:rFonts w:ascii="宋体" w:hAnsi="宋体" w:cs="宋体"/>
          <w:sz w:val="24"/>
          <w:highlight w:val="none"/>
        </w:rPr>
      </w:pPr>
      <w:r>
        <w:rPr>
          <w:rFonts w:hint="eastAsia" w:ascii="宋体" w:hAnsi="宋体" w:cs="宋体"/>
          <w:sz w:val="24"/>
          <w:highlight w:val="none"/>
        </w:rPr>
        <w:t>1、供应商认为谈判文件、采购过程、成交结果使自己的权益受到损害的，可以在知道或者应知其权益受到损害之日起7个工作日内，以书面形式向采购人、采购代理机构提出质疑。</w:t>
      </w:r>
    </w:p>
    <w:p w14:paraId="2BE79CD3">
      <w:pPr>
        <w:spacing w:line="500" w:lineRule="exact"/>
        <w:ind w:right="12" w:firstLine="480"/>
        <w:rPr>
          <w:rStyle w:val="19"/>
          <w:rFonts w:ascii="宋体" w:hAnsi="宋体" w:cs="宋体"/>
          <w:bCs w:val="0"/>
          <w:color w:val="0000FF"/>
          <w:sz w:val="24"/>
          <w:highlight w:val="none"/>
          <w:shd w:val="clear" w:color="auto" w:fill="FFFFFF"/>
        </w:rPr>
      </w:pPr>
      <w:r>
        <w:rPr>
          <w:rFonts w:hint="eastAsia" w:ascii="宋体" w:hAnsi="宋体" w:cs="宋体"/>
          <w:sz w:val="24"/>
          <w:highlight w:val="none"/>
        </w:rPr>
        <w:t>2、供应商必须在法定质疑期内一次性提出针对同一采购程序环节的质疑。</w:t>
      </w:r>
    </w:p>
    <w:p w14:paraId="6EB40DBA">
      <w:pPr>
        <w:spacing w:line="500" w:lineRule="exact"/>
        <w:ind w:left="3" w:firstLine="518" w:firstLineChars="216"/>
        <w:rPr>
          <w:rStyle w:val="19"/>
          <w:rFonts w:ascii="宋体" w:hAnsi="宋体" w:cs="宋体"/>
          <w:b w:val="0"/>
          <w:color w:val="000000"/>
          <w:sz w:val="24"/>
          <w:highlight w:val="none"/>
          <w:shd w:val="clear" w:color="auto" w:fill="FFFFFF"/>
        </w:rPr>
      </w:pPr>
      <w:r>
        <w:rPr>
          <w:rStyle w:val="19"/>
          <w:rFonts w:hint="eastAsia" w:ascii="宋体" w:hAnsi="宋体" w:cs="宋体"/>
          <w:b w:val="0"/>
          <w:color w:val="000000"/>
          <w:sz w:val="24"/>
          <w:highlight w:val="none"/>
          <w:shd w:val="clear" w:color="auto" w:fill="FFFFFF"/>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w:t>
      </w:r>
    </w:p>
    <w:p w14:paraId="2935D161">
      <w:pPr>
        <w:spacing w:line="500" w:lineRule="exact"/>
        <w:ind w:left="3" w:firstLine="518" w:firstLineChars="216"/>
        <w:rPr>
          <w:rStyle w:val="19"/>
          <w:rFonts w:ascii="宋体" w:hAnsi="宋体" w:cs="宋体"/>
          <w:b w:val="0"/>
          <w:color w:val="000000"/>
          <w:sz w:val="24"/>
          <w:highlight w:val="none"/>
          <w:shd w:val="clear" w:color="auto" w:fill="FFFFFF"/>
        </w:rPr>
      </w:pPr>
      <w:r>
        <w:rPr>
          <w:rStyle w:val="19"/>
          <w:rFonts w:hint="eastAsia" w:ascii="宋体" w:hAnsi="宋体" w:cs="宋体"/>
          <w:b w:val="0"/>
          <w:color w:val="000000"/>
          <w:sz w:val="24"/>
          <w:highlight w:val="none"/>
          <w:shd w:val="clear" w:color="auto" w:fill="FFFFFF"/>
        </w:rPr>
        <w:t>4、以联合体形式参加政府采购活动的，其质疑应当由组成联合体的所有供应商共同提出。</w:t>
      </w:r>
    </w:p>
    <w:p w14:paraId="0353F4E4">
      <w:pPr>
        <w:spacing w:line="500" w:lineRule="exact"/>
        <w:ind w:right="12" w:firstLine="480" w:firstLineChars="200"/>
        <w:rPr>
          <w:rFonts w:ascii="宋体" w:hAnsi="宋体" w:cs="宋体"/>
          <w:sz w:val="24"/>
          <w:highlight w:val="none"/>
        </w:rPr>
      </w:pPr>
      <w:r>
        <w:rPr>
          <w:rFonts w:hint="eastAsia" w:ascii="宋体" w:hAnsi="宋体" w:cs="宋体"/>
          <w:sz w:val="24"/>
          <w:highlight w:val="none"/>
        </w:rPr>
        <w:t>5、供应商提出质疑应当提交质疑函和必要的证明材料。质疑函应当包括下列内容：</w:t>
      </w:r>
    </w:p>
    <w:p w14:paraId="1A8D19B3">
      <w:pPr>
        <w:spacing w:line="500" w:lineRule="exact"/>
        <w:ind w:right="12" w:firstLine="480" w:firstLineChars="200"/>
        <w:rPr>
          <w:rFonts w:ascii="宋体" w:hAnsi="宋体" w:cs="宋体"/>
          <w:sz w:val="24"/>
          <w:highlight w:val="none"/>
        </w:rPr>
      </w:pPr>
      <w:r>
        <w:rPr>
          <w:rFonts w:hint="eastAsia" w:ascii="宋体" w:hAnsi="宋体" w:cs="宋体"/>
          <w:sz w:val="24"/>
          <w:highlight w:val="none"/>
        </w:rPr>
        <w:t>5.1供应商的姓名或者名称、地址、邮编、联系人及联系电话；</w:t>
      </w:r>
    </w:p>
    <w:p w14:paraId="67B0CCF7">
      <w:pPr>
        <w:spacing w:line="500" w:lineRule="exact"/>
        <w:ind w:right="12" w:firstLine="480" w:firstLineChars="200"/>
        <w:rPr>
          <w:rFonts w:ascii="宋体" w:hAnsi="宋体" w:cs="宋体"/>
          <w:sz w:val="24"/>
          <w:highlight w:val="none"/>
        </w:rPr>
      </w:pPr>
      <w:r>
        <w:rPr>
          <w:rFonts w:hint="eastAsia" w:ascii="宋体" w:hAnsi="宋体" w:cs="宋体"/>
          <w:sz w:val="24"/>
          <w:highlight w:val="none"/>
        </w:rPr>
        <w:t>5.2质疑项目的名称、编号；</w:t>
      </w:r>
    </w:p>
    <w:p w14:paraId="5271B79F">
      <w:pPr>
        <w:spacing w:line="500" w:lineRule="exact"/>
        <w:ind w:right="12" w:firstLine="480" w:firstLineChars="200"/>
        <w:rPr>
          <w:rFonts w:ascii="宋体" w:hAnsi="宋体" w:cs="宋体"/>
          <w:sz w:val="24"/>
          <w:highlight w:val="none"/>
        </w:rPr>
      </w:pPr>
      <w:r>
        <w:rPr>
          <w:rFonts w:hint="eastAsia" w:ascii="宋体" w:hAnsi="宋体" w:cs="宋体"/>
          <w:sz w:val="24"/>
          <w:highlight w:val="none"/>
        </w:rPr>
        <w:t>5.3具体、明确的质疑事项和与质疑事项相关的请求；</w:t>
      </w:r>
    </w:p>
    <w:p w14:paraId="1993A314">
      <w:pPr>
        <w:spacing w:line="500" w:lineRule="exact"/>
        <w:ind w:right="12" w:firstLine="480" w:firstLineChars="200"/>
        <w:rPr>
          <w:rFonts w:ascii="宋体" w:hAnsi="宋体" w:cs="宋体"/>
          <w:sz w:val="24"/>
          <w:highlight w:val="none"/>
        </w:rPr>
      </w:pPr>
      <w:r>
        <w:rPr>
          <w:rFonts w:hint="eastAsia" w:ascii="宋体" w:hAnsi="宋体" w:cs="宋体"/>
          <w:sz w:val="24"/>
          <w:highlight w:val="none"/>
        </w:rPr>
        <w:t>5.4事实依据；</w:t>
      </w:r>
    </w:p>
    <w:p w14:paraId="33B7BF77">
      <w:pPr>
        <w:spacing w:line="500" w:lineRule="exact"/>
        <w:ind w:right="12" w:firstLine="480" w:firstLineChars="200"/>
        <w:rPr>
          <w:rFonts w:ascii="宋体" w:hAnsi="宋体" w:cs="宋体"/>
          <w:sz w:val="24"/>
          <w:highlight w:val="none"/>
        </w:rPr>
      </w:pPr>
      <w:r>
        <w:rPr>
          <w:rFonts w:hint="eastAsia" w:ascii="宋体" w:hAnsi="宋体" w:cs="宋体"/>
          <w:sz w:val="24"/>
          <w:highlight w:val="none"/>
        </w:rPr>
        <w:t>5.5必要的法律依据；</w:t>
      </w:r>
    </w:p>
    <w:p w14:paraId="39318F48">
      <w:pPr>
        <w:spacing w:line="500" w:lineRule="exact"/>
        <w:ind w:right="12" w:firstLine="480" w:firstLineChars="200"/>
        <w:rPr>
          <w:rStyle w:val="19"/>
          <w:rFonts w:ascii="宋体" w:hAnsi="宋体" w:cs="宋体"/>
          <w:b w:val="0"/>
          <w:color w:val="000000"/>
          <w:sz w:val="24"/>
          <w:highlight w:val="none"/>
          <w:shd w:val="clear" w:color="auto" w:fill="FFFFFF"/>
        </w:rPr>
      </w:pPr>
      <w:r>
        <w:rPr>
          <w:rFonts w:hint="eastAsia" w:ascii="宋体" w:hAnsi="宋体" w:cs="宋体"/>
          <w:sz w:val="24"/>
          <w:highlight w:val="none"/>
        </w:rPr>
        <w:t>5.6提出质疑的日期。</w:t>
      </w:r>
    </w:p>
    <w:p w14:paraId="3A52BF10">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6、有下列情形之一的，属于无效质疑，采购代理机构和采购人不予受理：</w:t>
      </w:r>
    </w:p>
    <w:p w14:paraId="17EAA5E6">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6.1质疑供应商不是参与本次政府采购项目的供应商；</w:t>
      </w:r>
    </w:p>
    <w:p w14:paraId="64549DCC">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6.2质疑供应商与质疑事项不存在利害关系的；</w:t>
      </w:r>
    </w:p>
    <w:p w14:paraId="1499BD41">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6.3未在法定期限内提出质疑的；</w:t>
      </w:r>
    </w:p>
    <w:p w14:paraId="4C496028">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6.4质疑未以书面形式提出，或质疑函主要内容构成不完整的；</w:t>
      </w:r>
    </w:p>
    <w:p w14:paraId="17350F56">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6.5应当提交授权书而未提交的；</w:t>
      </w:r>
    </w:p>
    <w:p w14:paraId="4B61D36E">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6.6以非法手段取得证据、材料的；</w:t>
      </w:r>
    </w:p>
    <w:p w14:paraId="364F5B64">
      <w:pPr>
        <w:spacing w:line="560" w:lineRule="exact"/>
        <w:ind w:firstLine="600" w:firstLineChars="250"/>
        <w:rPr>
          <w:rFonts w:ascii="宋体" w:hAnsi="宋体" w:cs="宋体"/>
          <w:sz w:val="24"/>
          <w:highlight w:val="none"/>
        </w:rPr>
      </w:pPr>
      <w:r>
        <w:rPr>
          <w:rFonts w:hint="eastAsia" w:ascii="宋体" w:hAnsi="宋体" w:cs="宋体"/>
          <w:sz w:val="24"/>
          <w:highlight w:val="none"/>
        </w:rPr>
        <w:t>6.7质疑答复后，同一质疑人就同一事项或同一采购程序环节再次提出质疑的；</w:t>
      </w:r>
    </w:p>
    <w:p w14:paraId="4243BE91">
      <w:pPr>
        <w:spacing w:line="560" w:lineRule="exact"/>
        <w:ind w:firstLine="600" w:firstLineChars="250"/>
        <w:rPr>
          <w:rFonts w:ascii="宋体" w:hAnsi="宋体" w:cs="宋体"/>
          <w:sz w:val="24"/>
          <w:highlight w:val="none"/>
        </w:rPr>
      </w:pPr>
      <w:r>
        <w:rPr>
          <w:rFonts w:hint="eastAsia" w:ascii="宋体" w:hAnsi="宋体" w:cs="宋体"/>
          <w:sz w:val="24"/>
          <w:highlight w:val="none"/>
        </w:rPr>
        <w:t>6.8不符合法律、法规、规章和政府采购监管机构规定的其他条件的。</w:t>
      </w:r>
    </w:p>
    <w:p w14:paraId="20623583">
      <w:pPr>
        <w:spacing w:line="560" w:lineRule="exact"/>
        <w:ind w:firstLine="600" w:firstLineChars="250"/>
        <w:outlineLvl w:val="2"/>
        <w:rPr>
          <w:rFonts w:ascii="宋体" w:hAnsi="宋体" w:cs="宋体"/>
          <w:sz w:val="24"/>
          <w:highlight w:val="none"/>
        </w:rPr>
      </w:pPr>
      <w:r>
        <w:rPr>
          <w:rFonts w:hint="eastAsia" w:ascii="宋体" w:hAnsi="宋体" w:cs="宋体"/>
          <w:sz w:val="24"/>
          <w:highlight w:val="none"/>
        </w:rPr>
        <w:t>7、质疑答复</w:t>
      </w:r>
    </w:p>
    <w:p w14:paraId="5D3EA548">
      <w:pPr>
        <w:spacing w:line="560" w:lineRule="exact"/>
        <w:ind w:firstLine="600" w:firstLineChars="250"/>
        <w:rPr>
          <w:rFonts w:ascii="宋体" w:hAnsi="宋体" w:cs="宋体"/>
          <w:sz w:val="24"/>
          <w:highlight w:val="none"/>
        </w:rPr>
      </w:pPr>
      <w:r>
        <w:rPr>
          <w:rFonts w:hint="eastAsia" w:ascii="宋体" w:hAnsi="宋体" w:cs="宋体"/>
          <w:sz w:val="24"/>
          <w:highlight w:val="none"/>
        </w:rPr>
        <w:t>7.1采购人或采购代理机构在收到质疑函后7个工作日内作出答复，并以书面形式通知质疑供应商和其他有关供应商。</w:t>
      </w:r>
    </w:p>
    <w:p w14:paraId="035A38C4">
      <w:pPr>
        <w:spacing w:line="560" w:lineRule="exact"/>
        <w:ind w:firstLine="600" w:firstLineChars="250"/>
        <w:rPr>
          <w:rFonts w:ascii="宋体" w:hAnsi="宋体" w:cs="宋体"/>
          <w:sz w:val="24"/>
          <w:highlight w:val="none"/>
        </w:rPr>
      </w:pPr>
      <w:r>
        <w:rPr>
          <w:rFonts w:hint="eastAsia" w:ascii="宋体" w:hAnsi="宋体" w:cs="宋体"/>
          <w:sz w:val="24"/>
          <w:highlight w:val="none"/>
        </w:rPr>
        <w:t>7.2质疑供应商对采购人、采购代理机构的答复不满意，或者采购人、采购代理机构未在规定时间内作出答复的，可以在答复期满后15个工作日内向陕西省财政厅提起投诉。</w:t>
      </w:r>
    </w:p>
    <w:p w14:paraId="1920528C">
      <w:pPr>
        <w:spacing w:line="560" w:lineRule="exact"/>
        <w:ind w:firstLine="600" w:firstLineChars="250"/>
        <w:outlineLvl w:val="2"/>
        <w:rPr>
          <w:rFonts w:ascii="宋体" w:hAnsi="宋体" w:cs="宋体"/>
          <w:sz w:val="24"/>
          <w:highlight w:val="none"/>
        </w:rPr>
      </w:pPr>
      <w:r>
        <w:rPr>
          <w:rFonts w:hint="eastAsia" w:ascii="宋体" w:hAnsi="宋体" w:cs="宋体"/>
          <w:sz w:val="24"/>
          <w:highlight w:val="none"/>
        </w:rPr>
        <w:t>8、其他需要说明的事项</w:t>
      </w:r>
    </w:p>
    <w:p w14:paraId="2F91180A">
      <w:pPr>
        <w:spacing w:line="560" w:lineRule="exact"/>
        <w:ind w:firstLine="600" w:firstLineChars="250"/>
        <w:rPr>
          <w:rFonts w:ascii="宋体" w:hAnsi="宋体" w:cs="宋体"/>
          <w:sz w:val="24"/>
          <w:highlight w:val="none"/>
        </w:rPr>
      </w:pPr>
      <w:r>
        <w:rPr>
          <w:rFonts w:hint="eastAsia" w:ascii="宋体" w:hAnsi="宋体" w:cs="宋体"/>
          <w:sz w:val="24"/>
          <w:highlight w:val="none"/>
        </w:rPr>
        <w:t>8.1接收质疑函的方式：书面形式</w:t>
      </w:r>
    </w:p>
    <w:p w14:paraId="04A4E5B8">
      <w:pPr>
        <w:spacing w:line="560" w:lineRule="exact"/>
        <w:ind w:firstLine="600" w:firstLineChars="250"/>
        <w:rPr>
          <w:rFonts w:ascii="宋体" w:hAnsi="宋体" w:cs="宋体"/>
          <w:sz w:val="24"/>
          <w:highlight w:val="none"/>
        </w:rPr>
      </w:pPr>
      <w:r>
        <w:rPr>
          <w:rFonts w:hint="eastAsia" w:ascii="宋体" w:hAnsi="宋体" w:cs="宋体"/>
          <w:sz w:val="24"/>
          <w:highlight w:val="none"/>
        </w:rPr>
        <w:t>8.2联系部门：</w:t>
      </w:r>
      <w:r>
        <w:rPr>
          <w:rFonts w:hint="eastAsia" w:ascii="宋体" w:hAnsi="宋体" w:cs="宋体"/>
          <w:sz w:val="24"/>
          <w:highlight w:val="none"/>
          <w:lang w:eastAsia="zh-CN"/>
        </w:rPr>
        <w:t>陕西至诚项目管理集团有限公司</w:t>
      </w:r>
      <w:r>
        <w:rPr>
          <w:rFonts w:hint="eastAsia" w:ascii="宋体" w:hAnsi="宋体" w:cs="宋体"/>
          <w:sz w:val="24"/>
          <w:highlight w:val="none"/>
        </w:rPr>
        <w:t>前台</w:t>
      </w:r>
    </w:p>
    <w:p w14:paraId="47DD4F02">
      <w:pPr>
        <w:spacing w:line="560" w:lineRule="exact"/>
        <w:ind w:firstLine="600" w:firstLineChars="250"/>
        <w:rPr>
          <w:rFonts w:ascii="宋体" w:hAnsi="宋体" w:cs="宋体"/>
          <w:sz w:val="24"/>
          <w:highlight w:val="none"/>
        </w:rPr>
      </w:pPr>
      <w:r>
        <w:rPr>
          <w:rFonts w:hint="eastAsia" w:ascii="宋体" w:hAnsi="宋体" w:cs="宋体"/>
          <w:sz w:val="24"/>
          <w:highlight w:val="none"/>
        </w:rPr>
        <w:t>8.3联系电话：029-88219779</w:t>
      </w:r>
    </w:p>
    <w:p w14:paraId="4C8A4E35">
      <w:pPr>
        <w:spacing w:line="560" w:lineRule="exact"/>
        <w:ind w:firstLine="600" w:firstLineChars="250"/>
        <w:rPr>
          <w:rFonts w:ascii="宋体" w:hAnsi="宋体" w:cs="宋体"/>
          <w:sz w:val="24"/>
          <w:highlight w:val="none"/>
        </w:rPr>
      </w:pPr>
      <w:r>
        <w:rPr>
          <w:rFonts w:hint="eastAsia" w:ascii="宋体" w:hAnsi="宋体" w:cs="宋体"/>
          <w:sz w:val="24"/>
          <w:highlight w:val="none"/>
        </w:rPr>
        <w:t xml:space="preserve">8.4通讯地址：陕西省西安市经济技术开发区未央路171-1号银池道拉斯财富中心21楼 </w:t>
      </w:r>
    </w:p>
    <w:p w14:paraId="0EAADB6A">
      <w:pPr>
        <w:spacing w:line="560" w:lineRule="exact"/>
        <w:jc w:val="center"/>
        <w:outlineLvl w:val="1"/>
        <w:rPr>
          <w:rFonts w:ascii="宋体" w:hAnsi="宋体" w:cs="宋体"/>
          <w:b/>
          <w:sz w:val="30"/>
          <w:szCs w:val="30"/>
          <w:highlight w:val="none"/>
        </w:rPr>
      </w:pPr>
      <w:r>
        <w:rPr>
          <w:rFonts w:hint="eastAsia" w:ascii="宋体" w:hAnsi="宋体" w:cs="宋体"/>
          <w:b/>
          <w:sz w:val="30"/>
          <w:szCs w:val="30"/>
          <w:highlight w:val="none"/>
        </w:rPr>
        <w:t>十.其它事项</w:t>
      </w:r>
    </w:p>
    <w:p w14:paraId="46015F57">
      <w:pPr>
        <w:spacing w:line="560" w:lineRule="exact"/>
        <w:ind w:firstLine="600" w:firstLineChars="250"/>
        <w:rPr>
          <w:rFonts w:ascii="宋体" w:hAnsi="宋体" w:cs="宋体"/>
          <w:sz w:val="24"/>
          <w:highlight w:val="none"/>
        </w:rPr>
      </w:pPr>
      <w:r>
        <w:rPr>
          <w:rFonts w:hint="eastAsia" w:ascii="宋体" w:hAnsi="宋体" w:cs="宋体"/>
          <w:sz w:val="24"/>
          <w:highlight w:val="none"/>
        </w:rPr>
        <w:t>1、当最终报价若超出财政预算，且采购人又无力支付，谈判小组有权决定谈判失败。</w:t>
      </w:r>
    </w:p>
    <w:p w14:paraId="21269859">
      <w:pPr>
        <w:spacing w:line="560" w:lineRule="exact"/>
        <w:ind w:firstLine="600" w:firstLineChars="250"/>
        <w:rPr>
          <w:rFonts w:ascii="宋体" w:hAnsi="宋体" w:cs="宋体"/>
          <w:sz w:val="24"/>
          <w:highlight w:val="none"/>
        </w:rPr>
      </w:pPr>
      <w:bookmarkStart w:id="13" w:name="_Toc8969"/>
      <w:r>
        <w:rPr>
          <w:rFonts w:hint="eastAsia" w:ascii="宋体" w:hAnsi="宋体" w:cs="宋体"/>
          <w:sz w:val="24"/>
          <w:highlight w:val="none"/>
        </w:rPr>
        <w:t>2、成交供应商确定后，成交供应商无正当理由拖延或拒签合同的，采购人有权取消其成交资格，并承担由此引起采购人的一切损失及后果。同时报请监督机构予以通报，禁止其进入政府采购市场，并没收其保证金。</w:t>
      </w:r>
      <w:bookmarkEnd w:id="13"/>
      <w:bookmarkStart w:id="14" w:name="_Toc328739378"/>
    </w:p>
    <w:p w14:paraId="63D351C6">
      <w:pPr>
        <w:spacing w:line="560" w:lineRule="exact"/>
        <w:ind w:firstLine="600" w:firstLineChars="250"/>
        <w:rPr>
          <w:rFonts w:ascii="宋体" w:hAnsi="宋体" w:cs="宋体"/>
          <w:sz w:val="24"/>
          <w:highlight w:val="none"/>
        </w:rPr>
      </w:pPr>
      <w:r>
        <w:rPr>
          <w:rFonts w:hint="eastAsia" w:ascii="宋体" w:hAnsi="宋体" w:cs="宋体"/>
          <w:sz w:val="24"/>
          <w:highlight w:val="none"/>
        </w:rPr>
        <w:t>3、采购人与成交供应商应当在成交通知书发出之日起三十日内，按照采购文件确定的事项签订政府采购合同。</w:t>
      </w:r>
    </w:p>
    <w:p w14:paraId="376B2038">
      <w:pPr>
        <w:pStyle w:val="3"/>
        <w:keepNext w:val="0"/>
        <w:keepLines w:val="0"/>
        <w:outlineLvl w:val="0"/>
        <w:rPr>
          <w:rFonts w:hint="eastAsia" w:ascii="宋体" w:hAnsi="宋体" w:cs="宋体"/>
          <w:sz w:val="32"/>
          <w:szCs w:val="32"/>
          <w:highlight w:val="none"/>
        </w:rPr>
      </w:pPr>
      <w:r>
        <w:rPr>
          <w:rFonts w:hint="eastAsia" w:ascii="宋体" w:hAnsi="宋体" w:cs="宋体"/>
          <w:sz w:val="32"/>
          <w:szCs w:val="32"/>
          <w:highlight w:val="none"/>
        </w:rPr>
        <w:br w:type="page"/>
      </w:r>
      <w:bookmarkStart w:id="15" w:name="_Toc18189"/>
      <w:bookmarkStart w:id="16" w:name="_Toc13583"/>
      <w:bookmarkStart w:id="17" w:name="_Toc21109"/>
      <w:r>
        <w:rPr>
          <w:rFonts w:hint="eastAsia" w:ascii="宋体" w:hAnsi="宋体" w:cs="宋体"/>
          <w:sz w:val="32"/>
          <w:szCs w:val="32"/>
          <w:highlight w:val="none"/>
        </w:rPr>
        <w:t>第三章  谈判内容及</w:t>
      </w:r>
      <w:bookmarkEnd w:id="14"/>
      <w:r>
        <w:rPr>
          <w:rFonts w:hint="eastAsia" w:ascii="宋体" w:hAnsi="宋体" w:cs="宋体"/>
          <w:sz w:val="32"/>
          <w:szCs w:val="32"/>
          <w:highlight w:val="none"/>
        </w:rPr>
        <w:t>要求</w:t>
      </w:r>
      <w:bookmarkEnd w:id="15"/>
      <w:bookmarkEnd w:id="16"/>
      <w:bookmarkEnd w:id="17"/>
    </w:p>
    <w:p w14:paraId="228F7415">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一、项目概况：</w:t>
      </w:r>
    </w:p>
    <w:p w14:paraId="7F36D08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医院HIS系统与医保系统对接。</w:t>
      </w:r>
    </w:p>
    <w:p w14:paraId="78FA4A0E">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二、服务要求：</w:t>
      </w:r>
    </w:p>
    <w:p w14:paraId="57C390D8">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outlineLvl w:val="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服务期（合同履行期）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60天</w:t>
      </w:r>
    </w:p>
    <w:p w14:paraId="6059A306">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rPr>
        <w:t>。</w:t>
      </w:r>
    </w:p>
    <w:p w14:paraId="2D92120C">
      <w:pPr>
        <w:keepNext w:val="0"/>
        <w:keepLines w:val="0"/>
        <w:pageBreakBefore w:val="0"/>
        <w:kinsoku/>
        <w:wordWrap/>
        <w:overflowPunct/>
        <w:topLinePunct w:val="0"/>
        <w:autoSpaceDE/>
        <w:autoSpaceDN/>
        <w:bidi w:val="0"/>
        <w:adjustRightInd/>
        <w:snapToGrid/>
        <w:spacing w:line="480" w:lineRule="auto"/>
        <w:ind w:firstLine="480" w:firstLineChars="200"/>
        <w:textAlignment w:val="auto"/>
        <w:outlineLvl w:val="1"/>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项目技术参数</w:t>
      </w:r>
    </w:p>
    <w:p w14:paraId="5F8A7CB6">
      <w:pPr>
        <w:pStyle w:val="3"/>
        <w:bidi w:val="0"/>
        <w:rPr>
          <w:rFonts w:hint="default"/>
          <w:color w:val="auto"/>
          <w:highlight w:val="none"/>
          <w:lang w:val="en-US" w:eastAsia="zh-CN"/>
        </w:rPr>
      </w:pPr>
      <w:bookmarkStart w:id="18" w:name="_Toc20128"/>
      <w:bookmarkStart w:id="19" w:name="_Toc17215"/>
      <w:bookmarkStart w:id="20" w:name="_Toc8788"/>
      <w:bookmarkStart w:id="21" w:name="_Toc10029"/>
      <w:r>
        <w:rPr>
          <w:rFonts w:hint="eastAsia"/>
          <w:color w:val="auto"/>
          <w:highlight w:val="none"/>
          <w:lang w:val="en-US" w:eastAsia="zh-CN"/>
        </w:rPr>
        <w:t>一、项目总预算表：</w:t>
      </w:r>
      <w:bookmarkEnd w:id="18"/>
      <w:bookmarkEnd w:id="19"/>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1"/>
        <w:gridCol w:w="6483"/>
      </w:tblGrid>
      <w:tr w14:paraId="1A79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shd w:val="clear" w:color="auto" w:fill="F1F1F1" w:themeFill="background1" w:themeFillShade="F2"/>
            <w:vAlign w:val="center"/>
          </w:tcPr>
          <w:p w14:paraId="515CB59D">
            <w:pPr>
              <w:jc w:val="center"/>
              <w:rPr>
                <w:b/>
                <w:bCs/>
                <w:color w:val="auto"/>
                <w:sz w:val="21"/>
                <w:szCs w:val="21"/>
                <w:highlight w:val="none"/>
              </w:rPr>
            </w:pPr>
            <w:r>
              <w:rPr>
                <w:rFonts w:hint="eastAsia"/>
                <w:b/>
                <w:bCs/>
                <w:color w:val="auto"/>
                <w:sz w:val="21"/>
                <w:szCs w:val="21"/>
                <w:highlight w:val="none"/>
              </w:rPr>
              <w:t>类别</w:t>
            </w:r>
          </w:p>
        </w:tc>
        <w:tc>
          <w:tcPr>
            <w:tcW w:w="420" w:type="pct"/>
            <w:shd w:val="clear" w:color="auto" w:fill="F1F1F1" w:themeFill="background1" w:themeFillShade="F2"/>
            <w:vAlign w:val="center"/>
          </w:tcPr>
          <w:p w14:paraId="1D345BAF">
            <w:pPr>
              <w:jc w:val="center"/>
              <w:rPr>
                <w:b/>
                <w:bCs/>
                <w:color w:val="auto"/>
                <w:sz w:val="21"/>
                <w:szCs w:val="21"/>
                <w:highlight w:val="none"/>
              </w:rPr>
            </w:pPr>
            <w:r>
              <w:rPr>
                <w:rFonts w:hint="eastAsia"/>
                <w:b/>
                <w:bCs/>
                <w:color w:val="auto"/>
                <w:sz w:val="21"/>
                <w:szCs w:val="21"/>
                <w:highlight w:val="none"/>
              </w:rPr>
              <w:t>序号</w:t>
            </w:r>
          </w:p>
        </w:tc>
        <w:tc>
          <w:tcPr>
            <w:tcW w:w="3578" w:type="pct"/>
            <w:shd w:val="clear" w:color="auto" w:fill="F1F1F1" w:themeFill="background1" w:themeFillShade="F2"/>
            <w:vAlign w:val="center"/>
          </w:tcPr>
          <w:p w14:paraId="7A12E717">
            <w:pPr>
              <w:jc w:val="center"/>
              <w:rPr>
                <w:b/>
                <w:bCs/>
                <w:color w:val="auto"/>
                <w:sz w:val="21"/>
                <w:szCs w:val="21"/>
                <w:highlight w:val="none"/>
              </w:rPr>
            </w:pPr>
            <w:r>
              <w:rPr>
                <w:rFonts w:hint="eastAsia"/>
                <w:b/>
                <w:bCs/>
                <w:color w:val="auto"/>
                <w:sz w:val="21"/>
                <w:szCs w:val="21"/>
                <w:highlight w:val="none"/>
              </w:rPr>
              <w:t>系统名称</w:t>
            </w:r>
          </w:p>
        </w:tc>
      </w:tr>
      <w:tr w14:paraId="15FF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restart"/>
            <w:vAlign w:val="center"/>
          </w:tcPr>
          <w:p w14:paraId="49E53267">
            <w:pPr>
              <w:jc w:val="center"/>
              <w:rPr>
                <w:rFonts w:ascii="宋体" w:hAnsi="宋体" w:cs="宋体"/>
                <w:color w:val="auto"/>
                <w:sz w:val="21"/>
                <w:szCs w:val="21"/>
                <w:highlight w:val="none"/>
              </w:rPr>
            </w:pPr>
            <w:r>
              <w:rPr>
                <w:rFonts w:hint="eastAsia" w:ascii="宋体" w:hAnsi="宋体" w:cs="宋体"/>
                <w:color w:val="auto"/>
                <w:sz w:val="21"/>
                <w:szCs w:val="21"/>
                <w:highlight w:val="none"/>
              </w:rPr>
              <w:t>临床应用系统</w:t>
            </w:r>
          </w:p>
        </w:tc>
        <w:tc>
          <w:tcPr>
            <w:tcW w:w="420" w:type="pct"/>
            <w:vAlign w:val="center"/>
          </w:tcPr>
          <w:p w14:paraId="5B6E824B">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3578" w:type="pct"/>
            <w:vAlign w:val="center"/>
          </w:tcPr>
          <w:p w14:paraId="2477974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全新HIS升级（含电子健康卡线下</w:t>
            </w:r>
            <w:r>
              <w:rPr>
                <w:rFonts w:hint="eastAsia" w:ascii="宋体" w:hAnsi="宋体" w:cs="宋体"/>
                <w:color w:val="auto"/>
                <w:sz w:val="21"/>
                <w:szCs w:val="21"/>
                <w:highlight w:val="none"/>
                <w:lang w:val="en-US" w:eastAsia="zh-CN"/>
              </w:rPr>
              <w:t>改造</w:t>
            </w:r>
            <w:r>
              <w:rPr>
                <w:rFonts w:hint="eastAsia" w:ascii="宋体" w:hAnsi="宋体" w:cs="宋体"/>
                <w:color w:val="auto"/>
                <w:sz w:val="21"/>
                <w:szCs w:val="21"/>
                <w:highlight w:val="none"/>
              </w:rPr>
              <w:t>）</w:t>
            </w:r>
          </w:p>
        </w:tc>
      </w:tr>
      <w:tr w14:paraId="389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58729129">
            <w:pPr>
              <w:rPr>
                <w:rFonts w:ascii="宋体" w:hAnsi="宋体" w:cs="宋体"/>
                <w:color w:val="auto"/>
                <w:sz w:val="21"/>
                <w:szCs w:val="21"/>
                <w:highlight w:val="none"/>
              </w:rPr>
            </w:pPr>
          </w:p>
        </w:tc>
        <w:tc>
          <w:tcPr>
            <w:tcW w:w="420" w:type="pct"/>
            <w:vAlign w:val="center"/>
          </w:tcPr>
          <w:p w14:paraId="6D8323F8">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3578" w:type="pct"/>
            <w:vAlign w:val="center"/>
          </w:tcPr>
          <w:p w14:paraId="68EB6AA9">
            <w:pPr>
              <w:jc w:val="center"/>
              <w:rPr>
                <w:rFonts w:ascii="宋体" w:hAnsi="宋体" w:cs="宋体"/>
                <w:color w:val="auto"/>
                <w:sz w:val="21"/>
                <w:szCs w:val="21"/>
                <w:highlight w:val="none"/>
              </w:rPr>
            </w:pPr>
            <w:r>
              <w:rPr>
                <w:rFonts w:hint="eastAsia" w:ascii="宋体" w:hAnsi="宋体" w:cs="宋体"/>
                <w:color w:val="auto"/>
                <w:sz w:val="21"/>
                <w:szCs w:val="21"/>
                <w:highlight w:val="none"/>
              </w:rPr>
              <w:t>结构化电子病历升级</w:t>
            </w:r>
          </w:p>
        </w:tc>
      </w:tr>
      <w:tr w14:paraId="458A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679813A2">
            <w:pPr>
              <w:rPr>
                <w:rFonts w:ascii="宋体" w:hAnsi="宋体" w:cs="宋体"/>
                <w:color w:val="auto"/>
                <w:sz w:val="21"/>
                <w:szCs w:val="21"/>
                <w:highlight w:val="none"/>
              </w:rPr>
            </w:pPr>
          </w:p>
        </w:tc>
        <w:tc>
          <w:tcPr>
            <w:tcW w:w="420" w:type="pct"/>
            <w:vAlign w:val="center"/>
          </w:tcPr>
          <w:p w14:paraId="2F0548D1">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3578" w:type="pct"/>
            <w:vAlign w:val="center"/>
          </w:tcPr>
          <w:p w14:paraId="7A0886EE">
            <w:pPr>
              <w:jc w:val="center"/>
              <w:rPr>
                <w:rFonts w:ascii="宋体" w:hAnsi="宋体" w:cs="宋体"/>
                <w:color w:val="auto"/>
                <w:sz w:val="21"/>
                <w:szCs w:val="21"/>
                <w:highlight w:val="none"/>
              </w:rPr>
            </w:pPr>
            <w:r>
              <w:rPr>
                <w:rFonts w:hint="eastAsia" w:ascii="宋体" w:hAnsi="宋体" w:cs="宋体"/>
                <w:color w:val="auto"/>
                <w:sz w:val="21"/>
                <w:szCs w:val="21"/>
                <w:highlight w:val="none"/>
              </w:rPr>
              <w:t>临床集成视图</w:t>
            </w:r>
          </w:p>
        </w:tc>
      </w:tr>
      <w:tr w14:paraId="1A0E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24391DF9">
            <w:pPr>
              <w:rPr>
                <w:rFonts w:ascii="宋体" w:hAnsi="宋体" w:cs="宋体"/>
                <w:color w:val="auto"/>
                <w:sz w:val="21"/>
                <w:szCs w:val="21"/>
                <w:highlight w:val="none"/>
              </w:rPr>
            </w:pPr>
          </w:p>
        </w:tc>
        <w:tc>
          <w:tcPr>
            <w:tcW w:w="420" w:type="pct"/>
            <w:vAlign w:val="center"/>
          </w:tcPr>
          <w:p w14:paraId="4BA04100">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3578" w:type="pct"/>
            <w:vAlign w:val="center"/>
          </w:tcPr>
          <w:p w14:paraId="11AB1E20">
            <w:pPr>
              <w:jc w:val="center"/>
              <w:rPr>
                <w:rFonts w:ascii="宋体" w:hAnsi="宋体" w:cs="宋体"/>
                <w:color w:val="auto"/>
                <w:sz w:val="21"/>
                <w:szCs w:val="21"/>
                <w:highlight w:val="none"/>
              </w:rPr>
            </w:pPr>
            <w:r>
              <w:rPr>
                <w:rFonts w:hint="eastAsia" w:ascii="宋体" w:hAnsi="宋体" w:cs="宋体"/>
                <w:color w:val="auto"/>
                <w:sz w:val="21"/>
                <w:szCs w:val="21"/>
                <w:highlight w:val="none"/>
              </w:rPr>
              <w:t>电子病历质控系统</w:t>
            </w:r>
          </w:p>
        </w:tc>
      </w:tr>
      <w:tr w14:paraId="1438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restart"/>
            <w:vAlign w:val="center"/>
          </w:tcPr>
          <w:p w14:paraId="33E3B641">
            <w:pPr>
              <w:jc w:val="center"/>
              <w:rPr>
                <w:rFonts w:ascii="宋体" w:hAnsi="宋体" w:cs="宋体"/>
                <w:color w:val="auto"/>
                <w:sz w:val="21"/>
                <w:szCs w:val="21"/>
                <w:highlight w:val="none"/>
              </w:rPr>
            </w:pPr>
            <w:r>
              <w:rPr>
                <w:rFonts w:hint="eastAsia" w:ascii="宋体" w:hAnsi="宋体" w:cs="宋体"/>
                <w:color w:val="auto"/>
                <w:sz w:val="21"/>
                <w:szCs w:val="21"/>
                <w:highlight w:val="none"/>
              </w:rPr>
              <w:t>原有系统接口无缝对接</w:t>
            </w:r>
          </w:p>
        </w:tc>
        <w:tc>
          <w:tcPr>
            <w:tcW w:w="420" w:type="pct"/>
            <w:vAlign w:val="center"/>
          </w:tcPr>
          <w:p w14:paraId="5AE0306C">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3578" w:type="pct"/>
            <w:vAlign w:val="center"/>
          </w:tcPr>
          <w:p w14:paraId="6BED639E">
            <w:pPr>
              <w:jc w:val="center"/>
              <w:rPr>
                <w:rFonts w:ascii="宋体" w:hAnsi="宋体" w:cs="宋体"/>
                <w:color w:val="auto"/>
                <w:sz w:val="21"/>
                <w:szCs w:val="21"/>
                <w:highlight w:val="none"/>
              </w:rPr>
            </w:pPr>
            <w:r>
              <w:rPr>
                <w:rFonts w:hint="eastAsia" w:ascii="宋体" w:hAnsi="宋体" w:cs="宋体"/>
                <w:color w:val="auto"/>
                <w:sz w:val="21"/>
                <w:szCs w:val="21"/>
                <w:highlight w:val="none"/>
              </w:rPr>
              <w:t>PACS系统接口</w:t>
            </w:r>
          </w:p>
        </w:tc>
      </w:tr>
      <w:tr w14:paraId="4D86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350B831D">
            <w:pPr>
              <w:jc w:val="center"/>
              <w:rPr>
                <w:rFonts w:ascii="宋体" w:hAnsi="宋体" w:cs="宋体"/>
                <w:color w:val="auto"/>
                <w:sz w:val="21"/>
                <w:szCs w:val="21"/>
                <w:highlight w:val="none"/>
              </w:rPr>
            </w:pPr>
          </w:p>
        </w:tc>
        <w:tc>
          <w:tcPr>
            <w:tcW w:w="420" w:type="pct"/>
            <w:vAlign w:val="center"/>
          </w:tcPr>
          <w:p w14:paraId="23D54D9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578" w:type="pct"/>
            <w:vAlign w:val="center"/>
          </w:tcPr>
          <w:p w14:paraId="4806D795">
            <w:pPr>
              <w:jc w:val="center"/>
              <w:rPr>
                <w:rFonts w:ascii="宋体" w:hAnsi="宋体" w:cs="宋体"/>
                <w:color w:val="auto"/>
                <w:sz w:val="21"/>
                <w:szCs w:val="21"/>
                <w:highlight w:val="none"/>
              </w:rPr>
            </w:pPr>
            <w:r>
              <w:rPr>
                <w:rFonts w:hint="eastAsia" w:ascii="宋体" w:hAnsi="宋体" w:cs="宋体"/>
                <w:color w:val="auto"/>
                <w:sz w:val="21"/>
                <w:szCs w:val="21"/>
                <w:highlight w:val="none"/>
              </w:rPr>
              <w:t>LIS系统接口</w:t>
            </w:r>
          </w:p>
        </w:tc>
      </w:tr>
      <w:tr w14:paraId="6FA8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454F96B4">
            <w:pPr>
              <w:jc w:val="center"/>
              <w:rPr>
                <w:rFonts w:ascii="宋体" w:hAnsi="宋体" w:cs="宋体"/>
                <w:color w:val="auto"/>
                <w:sz w:val="21"/>
                <w:szCs w:val="21"/>
                <w:highlight w:val="none"/>
              </w:rPr>
            </w:pPr>
          </w:p>
        </w:tc>
        <w:tc>
          <w:tcPr>
            <w:tcW w:w="420" w:type="pct"/>
            <w:vAlign w:val="center"/>
          </w:tcPr>
          <w:p w14:paraId="49755EF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3578" w:type="pct"/>
            <w:vAlign w:val="center"/>
          </w:tcPr>
          <w:p w14:paraId="378DDA48">
            <w:pPr>
              <w:jc w:val="center"/>
              <w:rPr>
                <w:rFonts w:ascii="宋体" w:hAnsi="宋体" w:cs="宋体"/>
                <w:color w:val="auto"/>
                <w:sz w:val="21"/>
                <w:szCs w:val="21"/>
                <w:highlight w:val="none"/>
              </w:rPr>
            </w:pPr>
            <w:r>
              <w:rPr>
                <w:rFonts w:hint="eastAsia" w:ascii="宋体" w:hAnsi="宋体" w:cs="宋体"/>
                <w:color w:val="auto"/>
                <w:sz w:val="21"/>
                <w:szCs w:val="21"/>
                <w:highlight w:val="none"/>
              </w:rPr>
              <w:t>银医通接口</w:t>
            </w:r>
          </w:p>
        </w:tc>
      </w:tr>
      <w:tr w14:paraId="2ECE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0EE649D1">
            <w:pPr>
              <w:jc w:val="center"/>
              <w:rPr>
                <w:rFonts w:ascii="宋体" w:hAnsi="宋体" w:cs="宋体"/>
                <w:color w:val="auto"/>
                <w:sz w:val="21"/>
                <w:szCs w:val="21"/>
                <w:highlight w:val="none"/>
              </w:rPr>
            </w:pPr>
          </w:p>
        </w:tc>
        <w:tc>
          <w:tcPr>
            <w:tcW w:w="420" w:type="pct"/>
            <w:vAlign w:val="center"/>
          </w:tcPr>
          <w:p w14:paraId="7AED30A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578" w:type="pct"/>
            <w:vAlign w:val="center"/>
          </w:tcPr>
          <w:p w14:paraId="7EFE213B">
            <w:pPr>
              <w:jc w:val="center"/>
              <w:rPr>
                <w:rFonts w:ascii="宋体" w:hAnsi="宋体" w:cs="宋体"/>
                <w:color w:val="auto"/>
                <w:sz w:val="21"/>
                <w:szCs w:val="21"/>
                <w:highlight w:val="none"/>
              </w:rPr>
            </w:pPr>
            <w:r>
              <w:rPr>
                <w:rFonts w:hint="eastAsia" w:ascii="宋体" w:hAnsi="宋体" w:cs="宋体"/>
                <w:color w:val="auto"/>
                <w:sz w:val="21"/>
                <w:szCs w:val="21"/>
                <w:highlight w:val="none"/>
              </w:rPr>
              <w:t>手术麻醉系统接口</w:t>
            </w:r>
          </w:p>
        </w:tc>
      </w:tr>
      <w:tr w14:paraId="3E51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6D32D73C">
            <w:pPr>
              <w:jc w:val="center"/>
              <w:rPr>
                <w:rFonts w:ascii="宋体" w:hAnsi="宋体" w:cs="宋体"/>
                <w:color w:val="auto"/>
                <w:sz w:val="21"/>
                <w:szCs w:val="21"/>
                <w:highlight w:val="none"/>
              </w:rPr>
            </w:pPr>
          </w:p>
        </w:tc>
        <w:tc>
          <w:tcPr>
            <w:tcW w:w="420" w:type="pct"/>
            <w:vAlign w:val="center"/>
          </w:tcPr>
          <w:p w14:paraId="0CD74C9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3578" w:type="pct"/>
            <w:vAlign w:val="center"/>
          </w:tcPr>
          <w:p w14:paraId="7617D5C4">
            <w:pPr>
              <w:jc w:val="center"/>
              <w:rPr>
                <w:rFonts w:ascii="宋体" w:hAnsi="宋体" w:cs="宋体"/>
                <w:color w:val="auto"/>
                <w:sz w:val="21"/>
                <w:szCs w:val="21"/>
                <w:highlight w:val="none"/>
              </w:rPr>
            </w:pPr>
            <w:r>
              <w:rPr>
                <w:rFonts w:hint="eastAsia" w:ascii="宋体" w:hAnsi="宋体" w:cs="宋体"/>
                <w:color w:val="auto"/>
                <w:sz w:val="21"/>
                <w:szCs w:val="21"/>
                <w:highlight w:val="none"/>
              </w:rPr>
              <w:t>合理用药接口</w:t>
            </w:r>
          </w:p>
        </w:tc>
      </w:tr>
      <w:tr w14:paraId="22EC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5C3634C8">
            <w:pPr>
              <w:jc w:val="center"/>
              <w:rPr>
                <w:rFonts w:ascii="宋体" w:hAnsi="宋体" w:cs="宋体"/>
                <w:color w:val="auto"/>
                <w:sz w:val="21"/>
                <w:szCs w:val="21"/>
                <w:highlight w:val="none"/>
              </w:rPr>
            </w:pPr>
          </w:p>
        </w:tc>
        <w:tc>
          <w:tcPr>
            <w:tcW w:w="420" w:type="pct"/>
            <w:vAlign w:val="center"/>
          </w:tcPr>
          <w:p w14:paraId="73DE57E2">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3578" w:type="pct"/>
            <w:vAlign w:val="center"/>
          </w:tcPr>
          <w:p w14:paraId="007A3DE8">
            <w:pPr>
              <w:jc w:val="center"/>
              <w:rPr>
                <w:rFonts w:ascii="宋体" w:hAnsi="宋体" w:cs="宋体"/>
                <w:color w:val="auto"/>
                <w:sz w:val="21"/>
                <w:szCs w:val="21"/>
                <w:highlight w:val="none"/>
              </w:rPr>
            </w:pPr>
            <w:r>
              <w:rPr>
                <w:rFonts w:hint="eastAsia" w:ascii="宋体" w:hAnsi="宋体" w:cs="宋体"/>
                <w:color w:val="auto"/>
                <w:sz w:val="21"/>
                <w:szCs w:val="21"/>
                <w:highlight w:val="none"/>
              </w:rPr>
              <w:t>临床药学接口</w:t>
            </w:r>
          </w:p>
        </w:tc>
      </w:tr>
      <w:tr w14:paraId="1DCC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04934ECA">
            <w:pPr>
              <w:jc w:val="center"/>
              <w:rPr>
                <w:rFonts w:ascii="宋体" w:hAnsi="宋体" w:cs="宋体"/>
                <w:color w:val="auto"/>
                <w:sz w:val="21"/>
                <w:szCs w:val="21"/>
                <w:highlight w:val="none"/>
              </w:rPr>
            </w:pPr>
          </w:p>
        </w:tc>
        <w:tc>
          <w:tcPr>
            <w:tcW w:w="420" w:type="pct"/>
            <w:vAlign w:val="center"/>
          </w:tcPr>
          <w:p w14:paraId="0C89CDB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w:t>
            </w:r>
          </w:p>
        </w:tc>
        <w:tc>
          <w:tcPr>
            <w:tcW w:w="3578" w:type="pct"/>
            <w:vAlign w:val="center"/>
          </w:tcPr>
          <w:p w14:paraId="292FBC8B">
            <w:pPr>
              <w:jc w:val="center"/>
              <w:rPr>
                <w:rFonts w:ascii="宋体" w:hAnsi="宋体" w:cs="宋体"/>
                <w:color w:val="auto"/>
                <w:sz w:val="21"/>
                <w:szCs w:val="21"/>
                <w:highlight w:val="none"/>
              </w:rPr>
            </w:pPr>
            <w:r>
              <w:rPr>
                <w:rFonts w:hint="eastAsia" w:ascii="宋体" w:hAnsi="宋体" w:cs="宋体"/>
                <w:color w:val="auto"/>
                <w:sz w:val="21"/>
                <w:szCs w:val="21"/>
                <w:highlight w:val="none"/>
              </w:rPr>
              <w:t>新医保嵌入式接口</w:t>
            </w:r>
          </w:p>
        </w:tc>
      </w:tr>
      <w:tr w14:paraId="6F13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40BEBC52">
            <w:pPr>
              <w:jc w:val="center"/>
              <w:rPr>
                <w:rFonts w:ascii="宋体" w:hAnsi="宋体" w:cs="宋体"/>
                <w:color w:val="auto"/>
                <w:sz w:val="21"/>
                <w:szCs w:val="21"/>
                <w:highlight w:val="none"/>
              </w:rPr>
            </w:pPr>
          </w:p>
        </w:tc>
        <w:tc>
          <w:tcPr>
            <w:tcW w:w="420" w:type="pct"/>
            <w:vAlign w:val="center"/>
          </w:tcPr>
          <w:p w14:paraId="4FCCB074">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3578" w:type="pct"/>
            <w:vAlign w:val="center"/>
          </w:tcPr>
          <w:p w14:paraId="75AA9488">
            <w:pPr>
              <w:jc w:val="center"/>
              <w:rPr>
                <w:rFonts w:ascii="宋体" w:hAnsi="宋体" w:cs="宋体"/>
                <w:color w:val="auto"/>
                <w:sz w:val="21"/>
                <w:szCs w:val="21"/>
                <w:highlight w:val="none"/>
              </w:rPr>
            </w:pPr>
            <w:r>
              <w:rPr>
                <w:rFonts w:hint="eastAsia" w:ascii="宋体" w:hAnsi="宋体" w:cs="宋体"/>
                <w:color w:val="auto"/>
                <w:sz w:val="21"/>
                <w:szCs w:val="21"/>
                <w:highlight w:val="none"/>
              </w:rPr>
              <w:t>自助发药机接口</w:t>
            </w:r>
          </w:p>
        </w:tc>
      </w:tr>
      <w:tr w14:paraId="733A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74C480C8">
            <w:pPr>
              <w:jc w:val="center"/>
              <w:rPr>
                <w:rFonts w:ascii="宋体" w:hAnsi="宋体" w:cs="宋体"/>
                <w:color w:val="auto"/>
                <w:sz w:val="21"/>
                <w:szCs w:val="21"/>
                <w:highlight w:val="none"/>
              </w:rPr>
            </w:pPr>
          </w:p>
        </w:tc>
        <w:tc>
          <w:tcPr>
            <w:tcW w:w="420" w:type="pct"/>
            <w:vAlign w:val="center"/>
          </w:tcPr>
          <w:p w14:paraId="11BA9CB9">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3578" w:type="pct"/>
            <w:vAlign w:val="center"/>
          </w:tcPr>
          <w:p w14:paraId="0BA270B8">
            <w:pPr>
              <w:jc w:val="center"/>
              <w:rPr>
                <w:rFonts w:ascii="宋体" w:hAnsi="宋体" w:cs="宋体"/>
                <w:color w:val="auto"/>
                <w:sz w:val="21"/>
                <w:szCs w:val="21"/>
                <w:highlight w:val="none"/>
              </w:rPr>
            </w:pPr>
            <w:r>
              <w:rPr>
                <w:rFonts w:hint="eastAsia" w:ascii="宋体" w:hAnsi="宋体" w:cs="宋体"/>
                <w:color w:val="auto"/>
                <w:sz w:val="21"/>
                <w:szCs w:val="21"/>
                <w:highlight w:val="none"/>
              </w:rPr>
              <w:t>分诊叫号接口</w:t>
            </w:r>
          </w:p>
        </w:tc>
      </w:tr>
      <w:tr w14:paraId="24BE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388E7309">
            <w:pPr>
              <w:jc w:val="center"/>
              <w:rPr>
                <w:rFonts w:ascii="宋体" w:hAnsi="宋体" w:cs="宋体"/>
                <w:color w:val="auto"/>
                <w:sz w:val="21"/>
                <w:szCs w:val="21"/>
                <w:highlight w:val="none"/>
              </w:rPr>
            </w:pPr>
          </w:p>
        </w:tc>
        <w:tc>
          <w:tcPr>
            <w:tcW w:w="420" w:type="pct"/>
            <w:vAlign w:val="center"/>
          </w:tcPr>
          <w:p w14:paraId="2E5682DD">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3578" w:type="pct"/>
            <w:vAlign w:val="center"/>
          </w:tcPr>
          <w:p w14:paraId="156827AA">
            <w:pPr>
              <w:jc w:val="center"/>
              <w:rPr>
                <w:rFonts w:ascii="宋体" w:hAnsi="宋体" w:cs="宋体"/>
                <w:color w:val="auto"/>
                <w:sz w:val="21"/>
                <w:szCs w:val="21"/>
                <w:highlight w:val="none"/>
              </w:rPr>
            </w:pPr>
            <w:r>
              <w:rPr>
                <w:rFonts w:hint="eastAsia" w:ascii="宋体" w:hAnsi="宋体" w:cs="宋体"/>
                <w:color w:val="auto"/>
                <w:sz w:val="21"/>
                <w:szCs w:val="21"/>
                <w:highlight w:val="none"/>
              </w:rPr>
              <w:t>省药采平台接口</w:t>
            </w:r>
          </w:p>
        </w:tc>
      </w:tr>
      <w:tr w14:paraId="24D2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0E90A193">
            <w:pPr>
              <w:jc w:val="center"/>
              <w:rPr>
                <w:rFonts w:ascii="宋体" w:hAnsi="宋体" w:cs="宋体"/>
                <w:color w:val="auto"/>
                <w:sz w:val="21"/>
                <w:szCs w:val="21"/>
                <w:highlight w:val="none"/>
              </w:rPr>
            </w:pPr>
          </w:p>
        </w:tc>
        <w:tc>
          <w:tcPr>
            <w:tcW w:w="420" w:type="pct"/>
            <w:vAlign w:val="center"/>
          </w:tcPr>
          <w:p w14:paraId="4A46A9BC">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3578" w:type="pct"/>
            <w:vAlign w:val="center"/>
          </w:tcPr>
          <w:p w14:paraId="7C06152B">
            <w:pPr>
              <w:jc w:val="center"/>
              <w:rPr>
                <w:rFonts w:ascii="宋体" w:hAnsi="宋体" w:cs="宋体"/>
                <w:color w:val="auto"/>
                <w:sz w:val="21"/>
                <w:szCs w:val="21"/>
                <w:highlight w:val="none"/>
              </w:rPr>
            </w:pPr>
            <w:r>
              <w:rPr>
                <w:rFonts w:hint="eastAsia" w:ascii="宋体" w:hAnsi="宋体" w:cs="宋体"/>
                <w:color w:val="auto"/>
                <w:sz w:val="21"/>
                <w:szCs w:val="21"/>
                <w:highlight w:val="none"/>
              </w:rPr>
              <w:t>智能采血流水线接口</w:t>
            </w:r>
          </w:p>
        </w:tc>
      </w:tr>
      <w:tr w14:paraId="4CD2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1C76C388">
            <w:pPr>
              <w:jc w:val="center"/>
              <w:rPr>
                <w:rFonts w:ascii="宋体" w:hAnsi="宋体" w:cs="宋体"/>
                <w:color w:val="auto"/>
                <w:sz w:val="21"/>
                <w:szCs w:val="21"/>
                <w:highlight w:val="none"/>
              </w:rPr>
            </w:pPr>
          </w:p>
        </w:tc>
        <w:tc>
          <w:tcPr>
            <w:tcW w:w="420" w:type="pct"/>
            <w:vAlign w:val="center"/>
          </w:tcPr>
          <w:p w14:paraId="221C25E0">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c>
          <w:tcPr>
            <w:tcW w:w="3578" w:type="pct"/>
            <w:vAlign w:val="center"/>
          </w:tcPr>
          <w:p w14:paraId="7803BB5F">
            <w:pPr>
              <w:jc w:val="center"/>
              <w:rPr>
                <w:rFonts w:ascii="宋体" w:hAnsi="宋体" w:cs="宋体"/>
                <w:color w:val="auto"/>
                <w:sz w:val="21"/>
                <w:szCs w:val="21"/>
                <w:highlight w:val="none"/>
              </w:rPr>
            </w:pPr>
            <w:r>
              <w:rPr>
                <w:rFonts w:hint="eastAsia" w:ascii="宋体" w:hAnsi="宋体" w:cs="宋体"/>
                <w:color w:val="auto"/>
                <w:sz w:val="21"/>
                <w:szCs w:val="21"/>
                <w:highlight w:val="none"/>
              </w:rPr>
              <w:t>区域健康档案平台接口</w:t>
            </w:r>
          </w:p>
        </w:tc>
      </w:tr>
      <w:tr w14:paraId="172A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6E15323F">
            <w:pPr>
              <w:jc w:val="center"/>
              <w:rPr>
                <w:rFonts w:ascii="宋体" w:hAnsi="宋体" w:cs="宋体"/>
                <w:color w:val="auto"/>
                <w:sz w:val="21"/>
                <w:szCs w:val="21"/>
                <w:highlight w:val="none"/>
              </w:rPr>
            </w:pPr>
          </w:p>
        </w:tc>
        <w:tc>
          <w:tcPr>
            <w:tcW w:w="420" w:type="pct"/>
            <w:vAlign w:val="center"/>
          </w:tcPr>
          <w:p w14:paraId="3435FB27">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17</w:t>
            </w:r>
          </w:p>
        </w:tc>
        <w:tc>
          <w:tcPr>
            <w:tcW w:w="3578" w:type="pct"/>
            <w:vAlign w:val="center"/>
          </w:tcPr>
          <w:p w14:paraId="121FE9F9">
            <w:pPr>
              <w:jc w:val="center"/>
              <w:rPr>
                <w:rFonts w:ascii="宋体" w:hAnsi="宋体" w:cs="宋体"/>
                <w:color w:val="auto"/>
                <w:sz w:val="21"/>
                <w:szCs w:val="21"/>
                <w:highlight w:val="none"/>
              </w:rPr>
            </w:pPr>
            <w:r>
              <w:rPr>
                <w:rFonts w:hint="eastAsia" w:ascii="宋体" w:hAnsi="宋体" w:cs="宋体"/>
                <w:color w:val="auto"/>
                <w:sz w:val="21"/>
                <w:szCs w:val="21"/>
                <w:highlight w:val="none"/>
              </w:rPr>
              <w:t>公立医院绩效考核上报系统接口</w:t>
            </w:r>
          </w:p>
        </w:tc>
      </w:tr>
      <w:tr w14:paraId="381F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71C5B5FD">
            <w:pPr>
              <w:jc w:val="center"/>
              <w:rPr>
                <w:rFonts w:ascii="宋体" w:hAnsi="宋体" w:cs="宋体"/>
                <w:color w:val="auto"/>
                <w:sz w:val="21"/>
                <w:szCs w:val="21"/>
                <w:highlight w:val="none"/>
              </w:rPr>
            </w:pPr>
          </w:p>
        </w:tc>
        <w:tc>
          <w:tcPr>
            <w:tcW w:w="420" w:type="pct"/>
            <w:vAlign w:val="center"/>
          </w:tcPr>
          <w:p w14:paraId="16D7977C">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3578" w:type="pct"/>
            <w:vAlign w:val="center"/>
          </w:tcPr>
          <w:p w14:paraId="27F0A96A">
            <w:pPr>
              <w:jc w:val="center"/>
              <w:rPr>
                <w:rFonts w:ascii="宋体" w:hAnsi="宋体" w:cs="宋体"/>
                <w:color w:val="auto"/>
                <w:sz w:val="21"/>
                <w:szCs w:val="21"/>
                <w:highlight w:val="none"/>
              </w:rPr>
            </w:pPr>
            <w:r>
              <w:rPr>
                <w:rFonts w:hint="eastAsia" w:ascii="宋体" w:hAnsi="宋体" w:cs="宋体"/>
                <w:color w:val="auto"/>
                <w:sz w:val="21"/>
                <w:szCs w:val="21"/>
                <w:highlight w:val="none"/>
              </w:rPr>
              <w:t>智慧护理系统接口</w:t>
            </w:r>
          </w:p>
        </w:tc>
      </w:tr>
      <w:tr w14:paraId="0758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Merge w:val="continue"/>
            <w:vAlign w:val="center"/>
          </w:tcPr>
          <w:p w14:paraId="78D95DBF">
            <w:pPr>
              <w:jc w:val="center"/>
              <w:rPr>
                <w:rFonts w:ascii="宋体" w:hAnsi="宋体" w:cs="宋体"/>
                <w:color w:val="auto"/>
                <w:sz w:val="21"/>
                <w:szCs w:val="21"/>
                <w:highlight w:val="none"/>
              </w:rPr>
            </w:pPr>
          </w:p>
        </w:tc>
        <w:tc>
          <w:tcPr>
            <w:tcW w:w="420" w:type="pct"/>
            <w:vAlign w:val="center"/>
          </w:tcPr>
          <w:p w14:paraId="0F3BD5CC">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3578" w:type="pct"/>
            <w:vAlign w:val="center"/>
          </w:tcPr>
          <w:p w14:paraId="1FD4C928">
            <w:pPr>
              <w:jc w:val="center"/>
              <w:rPr>
                <w:rFonts w:ascii="宋体" w:hAnsi="宋体" w:cs="宋体"/>
                <w:color w:val="auto"/>
                <w:sz w:val="21"/>
                <w:szCs w:val="21"/>
                <w:highlight w:val="none"/>
              </w:rPr>
            </w:pPr>
            <w:r>
              <w:rPr>
                <w:rFonts w:hint="eastAsia" w:ascii="宋体" w:hAnsi="宋体" w:cs="宋体"/>
                <w:color w:val="auto"/>
                <w:sz w:val="21"/>
                <w:szCs w:val="21"/>
                <w:highlight w:val="none"/>
              </w:rPr>
              <w:t>防统方系统接口</w:t>
            </w:r>
          </w:p>
        </w:tc>
      </w:tr>
      <w:tr w14:paraId="3384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1" w:type="pct"/>
            <w:vAlign w:val="center"/>
          </w:tcPr>
          <w:p w14:paraId="018468D3">
            <w:pPr>
              <w:rPr>
                <w:rFonts w:ascii="宋体" w:hAnsi="宋体" w:cs="宋体"/>
                <w:color w:val="auto"/>
                <w:sz w:val="21"/>
                <w:szCs w:val="21"/>
                <w:highlight w:val="none"/>
              </w:rPr>
            </w:pPr>
            <w:r>
              <w:rPr>
                <w:rFonts w:hint="eastAsia" w:ascii="宋体" w:hAnsi="宋体" w:cs="宋体"/>
                <w:color w:val="auto"/>
                <w:sz w:val="21"/>
                <w:szCs w:val="21"/>
                <w:highlight w:val="none"/>
              </w:rPr>
              <w:t>历史数据迁移</w:t>
            </w:r>
          </w:p>
        </w:tc>
        <w:tc>
          <w:tcPr>
            <w:tcW w:w="420" w:type="pct"/>
            <w:vAlign w:val="center"/>
          </w:tcPr>
          <w:p w14:paraId="5408EE68">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3578" w:type="pct"/>
            <w:vAlign w:val="center"/>
          </w:tcPr>
          <w:p w14:paraId="5E7DBDB8">
            <w:pPr>
              <w:jc w:val="center"/>
              <w:rPr>
                <w:rFonts w:ascii="宋体" w:hAnsi="宋体" w:cs="宋体"/>
                <w:color w:val="auto"/>
                <w:sz w:val="21"/>
                <w:szCs w:val="21"/>
                <w:highlight w:val="none"/>
              </w:rPr>
            </w:pPr>
            <w:r>
              <w:rPr>
                <w:rFonts w:hint="eastAsia" w:ascii="宋体" w:hAnsi="宋体" w:cs="宋体"/>
                <w:color w:val="auto"/>
                <w:sz w:val="21"/>
                <w:szCs w:val="21"/>
                <w:highlight w:val="none"/>
              </w:rPr>
              <w:t>HIS+电子病历（EMR）原有数据迁移至新系统</w:t>
            </w:r>
          </w:p>
        </w:tc>
      </w:tr>
    </w:tbl>
    <w:p w14:paraId="7A97ED02">
      <w:pPr>
        <w:bidi w:val="0"/>
        <w:rPr>
          <w:b/>
          <w:bCs/>
          <w:color w:val="auto"/>
          <w:highlight w:val="none"/>
        </w:rPr>
      </w:pPr>
    </w:p>
    <w:p w14:paraId="0C3B5974">
      <w:pPr>
        <w:pStyle w:val="5"/>
        <w:numPr>
          <w:ilvl w:val="0"/>
          <w:numId w:val="0"/>
        </w:numPr>
        <w:bidi w:val="0"/>
        <w:ind w:leftChars="0"/>
        <w:rPr>
          <w:rFonts w:hint="eastAsia" w:ascii="宋体" w:hAnsi="宋体" w:eastAsia="宋体" w:cs="宋体"/>
          <w:color w:val="auto"/>
          <w:highlight w:val="none"/>
        </w:rPr>
      </w:pPr>
      <w:r>
        <w:rPr>
          <w:rFonts w:hint="eastAsia" w:cs="宋体"/>
          <w:color w:val="auto"/>
          <w:highlight w:val="none"/>
          <w:lang w:eastAsia="zh-CN"/>
        </w:rPr>
        <w:t>（</w:t>
      </w:r>
      <w:r>
        <w:rPr>
          <w:rFonts w:hint="eastAsia" w:cs="宋体"/>
          <w:color w:val="auto"/>
          <w:highlight w:val="none"/>
          <w:lang w:val="en-US" w:eastAsia="zh-CN"/>
        </w:rPr>
        <w:t>1</w:t>
      </w:r>
      <w:r>
        <w:rPr>
          <w:rFonts w:hint="eastAsia" w:cs="宋体"/>
          <w:color w:val="auto"/>
          <w:highlight w:val="none"/>
          <w:lang w:eastAsia="zh-CN"/>
        </w:rPr>
        <w:t>）</w:t>
      </w:r>
      <w:r>
        <w:rPr>
          <w:rFonts w:hint="eastAsia" w:ascii="宋体" w:hAnsi="宋体" w:eastAsia="宋体" w:cs="宋体"/>
          <w:color w:val="auto"/>
          <w:highlight w:val="none"/>
        </w:rPr>
        <w:t>全新HIS升级（含电子健康卡</w:t>
      </w:r>
      <w:r>
        <w:rPr>
          <w:rFonts w:hint="eastAsia" w:ascii="宋体" w:hAnsi="宋体" w:eastAsia="宋体" w:cs="宋体"/>
          <w:color w:val="auto"/>
          <w:highlight w:val="none"/>
          <w:lang w:val="en-US" w:eastAsia="zh-CN"/>
        </w:rPr>
        <w:t>HIS用卡环境</w:t>
      </w:r>
      <w:r>
        <w:rPr>
          <w:rFonts w:hint="eastAsia" w:ascii="宋体" w:hAnsi="宋体" w:eastAsia="宋体" w:cs="宋体"/>
          <w:color w:val="auto"/>
          <w:highlight w:val="none"/>
        </w:rPr>
        <w:t>线下</w:t>
      </w:r>
      <w:r>
        <w:rPr>
          <w:rFonts w:hint="eastAsia" w:ascii="宋体" w:hAnsi="宋体" w:eastAsia="宋体" w:cs="宋体"/>
          <w:color w:val="auto"/>
          <w:highlight w:val="none"/>
          <w:lang w:val="en-US" w:eastAsia="zh-CN"/>
        </w:rPr>
        <w:t>改造</w:t>
      </w:r>
      <w:r>
        <w:rPr>
          <w:rFonts w:hint="eastAsia" w:ascii="宋体" w:hAnsi="宋体" w:eastAsia="宋体" w:cs="宋体"/>
          <w:color w:val="auto"/>
          <w:highlight w:val="none"/>
        </w:rPr>
        <w:t>）</w:t>
      </w:r>
    </w:p>
    <w:tbl>
      <w:tblPr>
        <w:tblStyle w:val="17"/>
        <w:tblpPr w:leftFromText="180" w:rightFromText="180" w:vertAnchor="text" w:horzAnchor="page" w:tblpX="1522" w:tblpY="200"/>
        <w:tblOverlap w:val="never"/>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2173"/>
        <w:gridCol w:w="4743"/>
      </w:tblGrid>
      <w:tr w14:paraId="0226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6" w:type="pct"/>
            <w:shd w:val="clear" w:color="auto" w:fill="F1F1F1" w:themeFill="background1" w:themeFillShade="F2"/>
            <w:vAlign w:val="center"/>
          </w:tcPr>
          <w:p w14:paraId="2F90027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模块名称</w:t>
            </w:r>
          </w:p>
        </w:tc>
        <w:tc>
          <w:tcPr>
            <w:tcW w:w="1198" w:type="pct"/>
            <w:shd w:val="clear" w:color="auto" w:fill="F1F1F1" w:themeFill="background1" w:themeFillShade="F2"/>
            <w:vAlign w:val="center"/>
          </w:tcPr>
          <w:p w14:paraId="149F36A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功能模块</w:t>
            </w:r>
          </w:p>
        </w:tc>
        <w:tc>
          <w:tcPr>
            <w:tcW w:w="2615" w:type="pct"/>
            <w:shd w:val="clear" w:color="auto" w:fill="F1F1F1" w:themeFill="background1" w:themeFillShade="F2"/>
            <w:vAlign w:val="center"/>
          </w:tcPr>
          <w:p w14:paraId="74CC03D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模块概述</w:t>
            </w:r>
          </w:p>
        </w:tc>
      </w:tr>
      <w:tr w14:paraId="6A89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86" w:type="pct"/>
            <w:vMerge w:val="restart"/>
            <w:vAlign w:val="center"/>
          </w:tcPr>
          <w:p w14:paraId="0DE48B25">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基础信息维护系统</w:t>
            </w:r>
          </w:p>
        </w:tc>
        <w:tc>
          <w:tcPr>
            <w:tcW w:w="1198" w:type="pct"/>
            <w:vAlign w:val="center"/>
          </w:tcPr>
          <w:p w14:paraId="78E4D59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诊疗及物品项目维护</w:t>
            </w:r>
          </w:p>
        </w:tc>
        <w:tc>
          <w:tcPr>
            <w:tcW w:w="2615" w:type="pct"/>
            <w:vMerge w:val="restart"/>
          </w:tcPr>
          <w:p w14:paraId="0E62716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诊疗项目、库房物品编码、库房信息、库房物品、收费种类、挂号项目、组合项目、标准统计项目分类、人员档案、登录信息、权限设置、科室维护、床位维护、基础字典、用药途径、执行频次、药品供应商维护、药品生产商维护、卫材供应商维护、物资供应商维护、设备供应商维护、疾病分类、参</w:t>
            </w:r>
            <w:r>
              <w:rPr>
                <w:rFonts w:hint="eastAsia" w:ascii="宋体" w:hAnsi="宋体" w:cs="宋体"/>
                <w:color w:val="auto"/>
                <w:sz w:val="21"/>
                <w:szCs w:val="21"/>
                <w:highlight w:val="none"/>
              </w:rPr>
              <w:t>数控制、系统模块注册、自动发布更新、签名维护、任务调度、密码修改</w:t>
            </w:r>
          </w:p>
        </w:tc>
      </w:tr>
      <w:tr w14:paraId="4ED7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186" w:type="pct"/>
            <w:vMerge w:val="continue"/>
            <w:vAlign w:val="center"/>
          </w:tcPr>
          <w:p w14:paraId="3C060AFE">
            <w:pPr>
              <w:spacing w:line="240" w:lineRule="atLeast"/>
              <w:jc w:val="left"/>
              <w:rPr>
                <w:rFonts w:ascii="宋体" w:hAnsi="宋体" w:cs="宋体"/>
                <w:color w:val="auto"/>
                <w:sz w:val="21"/>
                <w:szCs w:val="21"/>
                <w:highlight w:val="none"/>
              </w:rPr>
            </w:pPr>
          </w:p>
        </w:tc>
        <w:tc>
          <w:tcPr>
            <w:tcW w:w="1198" w:type="pct"/>
            <w:vAlign w:val="center"/>
          </w:tcPr>
          <w:p w14:paraId="2AF1C6B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收费项目种类维护</w:t>
            </w:r>
          </w:p>
        </w:tc>
        <w:tc>
          <w:tcPr>
            <w:tcW w:w="2615" w:type="pct"/>
            <w:vMerge w:val="continue"/>
            <w:vAlign w:val="center"/>
          </w:tcPr>
          <w:p w14:paraId="5569C2AF">
            <w:pPr>
              <w:spacing w:line="240" w:lineRule="atLeast"/>
              <w:rPr>
                <w:rFonts w:ascii="宋体" w:hAnsi="宋体" w:cs="宋体"/>
                <w:color w:val="auto"/>
                <w:sz w:val="21"/>
                <w:szCs w:val="21"/>
                <w:highlight w:val="none"/>
              </w:rPr>
            </w:pPr>
          </w:p>
        </w:tc>
      </w:tr>
      <w:tr w14:paraId="6EF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6" w:type="pct"/>
            <w:vMerge w:val="continue"/>
            <w:vAlign w:val="center"/>
          </w:tcPr>
          <w:p w14:paraId="53D46267">
            <w:pPr>
              <w:spacing w:line="240" w:lineRule="atLeast"/>
              <w:jc w:val="left"/>
              <w:rPr>
                <w:rFonts w:ascii="宋体" w:hAnsi="宋体" w:cs="宋体"/>
                <w:color w:val="auto"/>
                <w:sz w:val="21"/>
                <w:szCs w:val="21"/>
                <w:highlight w:val="none"/>
              </w:rPr>
            </w:pPr>
          </w:p>
        </w:tc>
        <w:tc>
          <w:tcPr>
            <w:tcW w:w="1198" w:type="pct"/>
            <w:vAlign w:val="center"/>
          </w:tcPr>
          <w:p w14:paraId="158D883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操作权限设置</w:t>
            </w:r>
          </w:p>
        </w:tc>
        <w:tc>
          <w:tcPr>
            <w:tcW w:w="2615" w:type="pct"/>
            <w:vMerge w:val="continue"/>
            <w:vAlign w:val="center"/>
          </w:tcPr>
          <w:p w14:paraId="00992210">
            <w:pPr>
              <w:spacing w:line="240" w:lineRule="atLeast"/>
              <w:rPr>
                <w:rFonts w:ascii="宋体" w:hAnsi="宋体" w:cs="宋体"/>
                <w:color w:val="auto"/>
                <w:sz w:val="21"/>
                <w:szCs w:val="21"/>
                <w:highlight w:val="none"/>
              </w:rPr>
            </w:pPr>
          </w:p>
        </w:tc>
      </w:tr>
      <w:tr w14:paraId="7EF3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86" w:type="pct"/>
            <w:vMerge w:val="continue"/>
            <w:vAlign w:val="center"/>
          </w:tcPr>
          <w:p w14:paraId="6AC469F1">
            <w:pPr>
              <w:spacing w:line="240" w:lineRule="atLeast"/>
              <w:jc w:val="left"/>
              <w:rPr>
                <w:rFonts w:ascii="宋体" w:hAnsi="宋体" w:cs="宋体"/>
                <w:color w:val="auto"/>
                <w:sz w:val="21"/>
                <w:szCs w:val="21"/>
                <w:highlight w:val="none"/>
              </w:rPr>
            </w:pPr>
          </w:p>
        </w:tc>
        <w:tc>
          <w:tcPr>
            <w:tcW w:w="1198" w:type="pct"/>
            <w:vAlign w:val="center"/>
          </w:tcPr>
          <w:p w14:paraId="2BAA025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科室床位维护</w:t>
            </w:r>
          </w:p>
        </w:tc>
        <w:tc>
          <w:tcPr>
            <w:tcW w:w="2615" w:type="pct"/>
            <w:vMerge w:val="continue"/>
            <w:vAlign w:val="center"/>
          </w:tcPr>
          <w:p w14:paraId="60A260E6">
            <w:pPr>
              <w:spacing w:line="240" w:lineRule="atLeast"/>
              <w:rPr>
                <w:rFonts w:ascii="宋体" w:hAnsi="宋体" w:cs="宋体"/>
                <w:color w:val="auto"/>
                <w:sz w:val="21"/>
                <w:szCs w:val="21"/>
                <w:highlight w:val="none"/>
              </w:rPr>
            </w:pPr>
          </w:p>
        </w:tc>
      </w:tr>
      <w:tr w14:paraId="1E47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6" w:type="pct"/>
            <w:vMerge w:val="continue"/>
            <w:vAlign w:val="center"/>
          </w:tcPr>
          <w:p w14:paraId="11DC7C79">
            <w:pPr>
              <w:spacing w:line="240" w:lineRule="atLeast"/>
              <w:jc w:val="left"/>
              <w:rPr>
                <w:rFonts w:ascii="宋体" w:hAnsi="宋体" w:cs="宋体"/>
                <w:color w:val="auto"/>
                <w:sz w:val="21"/>
                <w:szCs w:val="21"/>
                <w:highlight w:val="none"/>
              </w:rPr>
            </w:pPr>
          </w:p>
        </w:tc>
        <w:tc>
          <w:tcPr>
            <w:tcW w:w="1198" w:type="pct"/>
            <w:vAlign w:val="center"/>
          </w:tcPr>
          <w:p w14:paraId="20154A4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字典信息维护</w:t>
            </w:r>
          </w:p>
        </w:tc>
        <w:tc>
          <w:tcPr>
            <w:tcW w:w="2615" w:type="pct"/>
            <w:vMerge w:val="continue"/>
            <w:vAlign w:val="center"/>
          </w:tcPr>
          <w:p w14:paraId="1E41B1EC">
            <w:pPr>
              <w:spacing w:line="240" w:lineRule="atLeast"/>
              <w:rPr>
                <w:rFonts w:ascii="宋体" w:hAnsi="宋体" w:cs="宋体"/>
                <w:color w:val="auto"/>
                <w:sz w:val="21"/>
                <w:szCs w:val="21"/>
                <w:highlight w:val="none"/>
              </w:rPr>
            </w:pPr>
          </w:p>
        </w:tc>
      </w:tr>
      <w:tr w14:paraId="729C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pct"/>
            <w:vMerge w:val="continue"/>
            <w:vAlign w:val="center"/>
          </w:tcPr>
          <w:p w14:paraId="5007C596">
            <w:pPr>
              <w:spacing w:line="240" w:lineRule="atLeast"/>
              <w:jc w:val="left"/>
              <w:rPr>
                <w:rFonts w:ascii="宋体" w:hAnsi="宋体" w:cs="宋体"/>
                <w:color w:val="auto"/>
                <w:sz w:val="21"/>
                <w:szCs w:val="21"/>
                <w:highlight w:val="none"/>
              </w:rPr>
            </w:pPr>
          </w:p>
        </w:tc>
        <w:tc>
          <w:tcPr>
            <w:tcW w:w="1198" w:type="pct"/>
            <w:vAlign w:val="center"/>
          </w:tcPr>
          <w:p w14:paraId="4BE904B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系统管理</w:t>
            </w:r>
          </w:p>
        </w:tc>
        <w:tc>
          <w:tcPr>
            <w:tcW w:w="2615" w:type="pct"/>
            <w:vMerge w:val="continue"/>
            <w:vAlign w:val="center"/>
          </w:tcPr>
          <w:p w14:paraId="2F771E06">
            <w:pPr>
              <w:spacing w:line="240" w:lineRule="atLeast"/>
              <w:rPr>
                <w:rFonts w:ascii="宋体" w:hAnsi="宋体" w:cs="宋体"/>
                <w:color w:val="auto"/>
                <w:sz w:val="21"/>
                <w:szCs w:val="21"/>
                <w:highlight w:val="none"/>
              </w:rPr>
            </w:pPr>
          </w:p>
        </w:tc>
      </w:tr>
      <w:tr w14:paraId="005E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6" w:type="pct"/>
            <w:vMerge w:val="continue"/>
            <w:vAlign w:val="center"/>
          </w:tcPr>
          <w:p w14:paraId="03A2D8FA">
            <w:pPr>
              <w:spacing w:line="240" w:lineRule="atLeast"/>
              <w:jc w:val="left"/>
              <w:rPr>
                <w:rFonts w:ascii="宋体" w:hAnsi="宋体" w:cs="宋体"/>
                <w:color w:val="auto"/>
                <w:sz w:val="21"/>
                <w:szCs w:val="21"/>
                <w:highlight w:val="none"/>
              </w:rPr>
            </w:pPr>
          </w:p>
        </w:tc>
        <w:tc>
          <w:tcPr>
            <w:tcW w:w="1198" w:type="pct"/>
            <w:vAlign w:val="center"/>
          </w:tcPr>
          <w:p w14:paraId="07D44B1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733DE692">
            <w:pPr>
              <w:spacing w:line="240" w:lineRule="atLeast"/>
              <w:rPr>
                <w:rFonts w:ascii="宋体" w:hAnsi="宋体" w:cs="宋体"/>
                <w:color w:val="auto"/>
                <w:sz w:val="21"/>
                <w:szCs w:val="21"/>
                <w:highlight w:val="none"/>
              </w:rPr>
            </w:pPr>
          </w:p>
        </w:tc>
      </w:tr>
      <w:tr w14:paraId="56FE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86" w:type="pct"/>
            <w:vMerge w:val="restart"/>
            <w:vAlign w:val="center"/>
          </w:tcPr>
          <w:p w14:paraId="3CA1BE7D">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门诊应急管理系统</w:t>
            </w:r>
          </w:p>
        </w:tc>
        <w:tc>
          <w:tcPr>
            <w:tcW w:w="1198" w:type="pct"/>
            <w:shd w:val="clear" w:color="auto" w:fill="auto"/>
            <w:vAlign w:val="center"/>
          </w:tcPr>
          <w:p w14:paraId="0526278F">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软件登录</w:t>
            </w:r>
          </w:p>
        </w:tc>
        <w:tc>
          <w:tcPr>
            <w:tcW w:w="2615" w:type="pct"/>
            <w:vMerge w:val="restart"/>
            <w:vAlign w:val="center"/>
          </w:tcPr>
          <w:p w14:paraId="7A9CD7E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软件登录、系统设置、门诊挂号、划价收费、挂号查询、划价查询、结算上报</w:t>
            </w:r>
          </w:p>
        </w:tc>
      </w:tr>
      <w:tr w14:paraId="7CCB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86" w:type="pct"/>
            <w:vMerge w:val="continue"/>
            <w:vAlign w:val="center"/>
          </w:tcPr>
          <w:p w14:paraId="0F7D753B">
            <w:pPr>
              <w:spacing w:line="240" w:lineRule="atLeast"/>
              <w:jc w:val="center"/>
              <w:rPr>
                <w:rFonts w:ascii="宋体" w:hAnsi="宋体" w:cs="宋体"/>
                <w:color w:val="auto"/>
                <w:sz w:val="21"/>
                <w:szCs w:val="21"/>
                <w:highlight w:val="none"/>
              </w:rPr>
            </w:pPr>
          </w:p>
        </w:tc>
        <w:tc>
          <w:tcPr>
            <w:tcW w:w="1198" w:type="pct"/>
            <w:shd w:val="clear" w:color="auto" w:fill="auto"/>
            <w:vAlign w:val="center"/>
          </w:tcPr>
          <w:p w14:paraId="743AB74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36486A42">
            <w:pPr>
              <w:spacing w:line="240" w:lineRule="atLeast"/>
              <w:jc w:val="center"/>
              <w:rPr>
                <w:rFonts w:ascii="宋体" w:hAnsi="宋体" w:cs="宋体"/>
                <w:color w:val="auto"/>
                <w:sz w:val="21"/>
                <w:szCs w:val="21"/>
                <w:highlight w:val="none"/>
              </w:rPr>
            </w:pPr>
          </w:p>
        </w:tc>
      </w:tr>
      <w:tr w14:paraId="75B7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86" w:type="pct"/>
            <w:vMerge w:val="continue"/>
            <w:vAlign w:val="center"/>
          </w:tcPr>
          <w:p w14:paraId="467B29EC">
            <w:pPr>
              <w:spacing w:line="240" w:lineRule="atLeast"/>
              <w:jc w:val="center"/>
              <w:rPr>
                <w:rFonts w:ascii="宋体" w:hAnsi="宋体" w:cs="宋体"/>
                <w:color w:val="auto"/>
                <w:sz w:val="21"/>
                <w:szCs w:val="21"/>
                <w:highlight w:val="none"/>
              </w:rPr>
            </w:pPr>
          </w:p>
        </w:tc>
        <w:tc>
          <w:tcPr>
            <w:tcW w:w="1198" w:type="pct"/>
            <w:vAlign w:val="center"/>
          </w:tcPr>
          <w:p w14:paraId="4A32C89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门诊挂号</w:t>
            </w:r>
          </w:p>
        </w:tc>
        <w:tc>
          <w:tcPr>
            <w:tcW w:w="2615" w:type="pct"/>
            <w:vMerge w:val="continue"/>
            <w:vAlign w:val="center"/>
          </w:tcPr>
          <w:p w14:paraId="595DD8AA">
            <w:pPr>
              <w:spacing w:line="240" w:lineRule="atLeast"/>
              <w:jc w:val="center"/>
              <w:rPr>
                <w:rFonts w:ascii="宋体" w:hAnsi="宋体" w:cs="宋体"/>
                <w:color w:val="auto"/>
                <w:sz w:val="21"/>
                <w:szCs w:val="21"/>
                <w:highlight w:val="none"/>
              </w:rPr>
            </w:pPr>
          </w:p>
        </w:tc>
      </w:tr>
      <w:tr w14:paraId="32F3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86" w:type="pct"/>
            <w:vMerge w:val="continue"/>
            <w:vAlign w:val="center"/>
          </w:tcPr>
          <w:p w14:paraId="02E24E11">
            <w:pPr>
              <w:spacing w:line="240" w:lineRule="atLeast"/>
              <w:jc w:val="center"/>
              <w:rPr>
                <w:rFonts w:ascii="宋体" w:hAnsi="宋体" w:cs="宋体"/>
                <w:color w:val="auto"/>
                <w:sz w:val="21"/>
                <w:szCs w:val="21"/>
                <w:highlight w:val="none"/>
              </w:rPr>
            </w:pPr>
          </w:p>
        </w:tc>
        <w:tc>
          <w:tcPr>
            <w:tcW w:w="1198" w:type="pct"/>
            <w:vAlign w:val="center"/>
          </w:tcPr>
          <w:p w14:paraId="716C4A4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划价收费</w:t>
            </w:r>
          </w:p>
        </w:tc>
        <w:tc>
          <w:tcPr>
            <w:tcW w:w="2615" w:type="pct"/>
            <w:vMerge w:val="continue"/>
            <w:vAlign w:val="center"/>
          </w:tcPr>
          <w:p w14:paraId="42254608">
            <w:pPr>
              <w:spacing w:line="240" w:lineRule="atLeast"/>
              <w:rPr>
                <w:rFonts w:ascii="宋体" w:hAnsi="宋体" w:cs="宋体"/>
                <w:color w:val="auto"/>
                <w:sz w:val="21"/>
                <w:szCs w:val="21"/>
                <w:highlight w:val="none"/>
              </w:rPr>
            </w:pPr>
          </w:p>
        </w:tc>
      </w:tr>
      <w:tr w14:paraId="4B59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86" w:type="pct"/>
            <w:vMerge w:val="continue"/>
            <w:vAlign w:val="center"/>
          </w:tcPr>
          <w:p w14:paraId="2A4576F6">
            <w:pPr>
              <w:spacing w:line="240" w:lineRule="atLeast"/>
              <w:jc w:val="center"/>
              <w:rPr>
                <w:rFonts w:ascii="宋体" w:hAnsi="宋体" w:cs="宋体"/>
                <w:color w:val="auto"/>
                <w:sz w:val="21"/>
                <w:szCs w:val="21"/>
                <w:highlight w:val="none"/>
              </w:rPr>
            </w:pPr>
          </w:p>
        </w:tc>
        <w:tc>
          <w:tcPr>
            <w:tcW w:w="1198" w:type="pct"/>
            <w:vAlign w:val="center"/>
          </w:tcPr>
          <w:p w14:paraId="1184CC2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挂号查询</w:t>
            </w:r>
          </w:p>
        </w:tc>
        <w:tc>
          <w:tcPr>
            <w:tcW w:w="2615" w:type="pct"/>
            <w:vMerge w:val="continue"/>
            <w:vAlign w:val="center"/>
          </w:tcPr>
          <w:p w14:paraId="7C6D7241">
            <w:pPr>
              <w:spacing w:line="240" w:lineRule="atLeast"/>
              <w:rPr>
                <w:rFonts w:ascii="宋体" w:hAnsi="宋体" w:cs="宋体"/>
                <w:color w:val="auto"/>
                <w:sz w:val="21"/>
                <w:szCs w:val="21"/>
                <w:highlight w:val="none"/>
              </w:rPr>
            </w:pPr>
          </w:p>
        </w:tc>
      </w:tr>
      <w:tr w14:paraId="0956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6" w:type="pct"/>
            <w:vMerge w:val="continue"/>
            <w:vAlign w:val="center"/>
          </w:tcPr>
          <w:p w14:paraId="57744B5E">
            <w:pPr>
              <w:spacing w:line="240" w:lineRule="atLeast"/>
              <w:jc w:val="center"/>
              <w:rPr>
                <w:rFonts w:ascii="宋体" w:hAnsi="宋体" w:cs="宋体"/>
                <w:color w:val="auto"/>
                <w:sz w:val="21"/>
                <w:szCs w:val="21"/>
                <w:highlight w:val="none"/>
              </w:rPr>
            </w:pPr>
          </w:p>
        </w:tc>
        <w:tc>
          <w:tcPr>
            <w:tcW w:w="1198" w:type="pct"/>
            <w:vAlign w:val="center"/>
          </w:tcPr>
          <w:p w14:paraId="1C4B0A0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划价查询</w:t>
            </w:r>
          </w:p>
        </w:tc>
        <w:tc>
          <w:tcPr>
            <w:tcW w:w="2615" w:type="pct"/>
            <w:vMerge w:val="continue"/>
            <w:vAlign w:val="center"/>
          </w:tcPr>
          <w:p w14:paraId="388E35C1">
            <w:pPr>
              <w:spacing w:line="240" w:lineRule="atLeast"/>
              <w:rPr>
                <w:rFonts w:ascii="宋体" w:hAnsi="宋体" w:cs="宋体"/>
                <w:color w:val="auto"/>
                <w:sz w:val="21"/>
                <w:szCs w:val="21"/>
                <w:highlight w:val="none"/>
              </w:rPr>
            </w:pPr>
          </w:p>
        </w:tc>
      </w:tr>
      <w:tr w14:paraId="714E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86" w:type="pct"/>
            <w:vMerge w:val="continue"/>
            <w:vAlign w:val="center"/>
          </w:tcPr>
          <w:p w14:paraId="77ACDF82">
            <w:pPr>
              <w:spacing w:line="240" w:lineRule="atLeast"/>
              <w:jc w:val="center"/>
              <w:rPr>
                <w:rFonts w:ascii="宋体" w:hAnsi="宋体" w:cs="宋体"/>
                <w:color w:val="auto"/>
                <w:sz w:val="21"/>
                <w:szCs w:val="21"/>
                <w:highlight w:val="none"/>
              </w:rPr>
            </w:pPr>
          </w:p>
        </w:tc>
        <w:tc>
          <w:tcPr>
            <w:tcW w:w="1198" w:type="pct"/>
            <w:vAlign w:val="center"/>
          </w:tcPr>
          <w:p w14:paraId="018C86C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结算上报</w:t>
            </w:r>
          </w:p>
        </w:tc>
        <w:tc>
          <w:tcPr>
            <w:tcW w:w="2615" w:type="pct"/>
            <w:vMerge w:val="continue"/>
            <w:vAlign w:val="center"/>
          </w:tcPr>
          <w:p w14:paraId="1D3C672F">
            <w:pPr>
              <w:spacing w:line="240" w:lineRule="atLeast"/>
              <w:rPr>
                <w:rFonts w:ascii="宋体" w:hAnsi="宋体" w:cs="宋体"/>
                <w:color w:val="auto"/>
                <w:sz w:val="21"/>
                <w:szCs w:val="21"/>
                <w:highlight w:val="none"/>
              </w:rPr>
            </w:pPr>
          </w:p>
        </w:tc>
      </w:tr>
      <w:tr w14:paraId="56C3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86" w:type="pct"/>
            <w:vMerge w:val="restart"/>
            <w:vAlign w:val="center"/>
          </w:tcPr>
          <w:p w14:paraId="14A14165">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门诊信息管理系统</w:t>
            </w:r>
          </w:p>
        </w:tc>
        <w:tc>
          <w:tcPr>
            <w:tcW w:w="1198" w:type="pct"/>
            <w:vAlign w:val="center"/>
          </w:tcPr>
          <w:p w14:paraId="01AEE2E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门诊挂号管理</w:t>
            </w:r>
          </w:p>
        </w:tc>
        <w:tc>
          <w:tcPr>
            <w:tcW w:w="2615" w:type="pct"/>
            <w:vMerge w:val="restart"/>
            <w:vAlign w:val="center"/>
          </w:tcPr>
          <w:p w14:paraId="6835867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门诊挂号、挂号退费、收据补打、退挂号费审核、数据修改、患者信息、划价收费、复印费收费、门诊退费、退费审核、收据补打、一卡通发票打印、公众号退费、扫码发卡、公众号充值、挂号信息、处方信息、患者档案、门诊收费、收费明细、费用清单、票据打印、卡流水账、门诊处方、收费明细、收费日报、财务核算、财务结账、发票管理</w:t>
            </w:r>
          </w:p>
        </w:tc>
      </w:tr>
      <w:tr w14:paraId="1024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16DD1B45">
            <w:pPr>
              <w:spacing w:line="240" w:lineRule="atLeast"/>
              <w:jc w:val="left"/>
              <w:rPr>
                <w:rFonts w:hint="eastAsia" w:ascii="宋体" w:hAnsi="宋体" w:eastAsia="宋体" w:cs="宋体"/>
                <w:color w:val="auto"/>
                <w:sz w:val="21"/>
                <w:szCs w:val="21"/>
                <w:highlight w:val="none"/>
              </w:rPr>
            </w:pPr>
          </w:p>
        </w:tc>
        <w:tc>
          <w:tcPr>
            <w:tcW w:w="1198" w:type="pct"/>
            <w:vAlign w:val="center"/>
          </w:tcPr>
          <w:p w14:paraId="1A523A22">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门诊费用管理</w:t>
            </w:r>
          </w:p>
        </w:tc>
        <w:tc>
          <w:tcPr>
            <w:tcW w:w="2615" w:type="pct"/>
            <w:vMerge w:val="continue"/>
            <w:vAlign w:val="center"/>
          </w:tcPr>
          <w:p w14:paraId="6591F4C6">
            <w:pPr>
              <w:spacing w:line="240" w:lineRule="atLeast"/>
              <w:rPr>
                <w:rFonts w:ascii="宋体" w:hAnsi="宋体" w:cs="宋体"/>
                <w:color w:val="auto"/>
                <w:sz w:val="21"/>
                <w:szCs w:val="21"/>
                <w:highlight w:val="none"/>
              </w:rPr>
            </w:pPr>
          </w:p>
        </w:tc>
      </w:tr>
      <w:tr w14:paraId="7BEB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86" w:type="pct"/>
            <w:vMerge w:val="continue"/>
            <w:vAlign w:val="center"/>
          </w:tcPr>
          <w:p w14:paraId="031D06DD">
            <w:pPr>
              <w:spacing w:line="240" w:lineRule="atLeast"/>
              <w:jc w:val="left"/>
              <w:rPr>
                <w:rFonts w:hint="eastAsia" w:ascii="宋体" w:hAnsi="宋体" w:eastAsia="宋体" w:cs="宋体"/>
                <w:color w:val="auto"/>
                <w:sz w:val="21"/>
                <w:szCs w:val="21"/>
                <w:highlight w:val="none"/>
              </w:rPr>
            </w:pPr>
          </w:p>
        </w:tc>
        <w:tc>
          <w:tcPr>
            <w:tcW w:w="1198" w:type="pct"/>
            <w:shd w:val="clear" w:color="auto" w:fill="auto"/>
            <w:vAlign w:val="center"/>
          </w:tcPr>
          <w:p w14:paraId="4A9E98C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第三方支付</w:t>
            </w:r>
          </w:p>
        </w:tc>
        <w:tc>
          <w:tcPr>
            <w:tcW w:w="2615" w:type="pct"/>
            <w:vMerge w:val="continue"/>
            <w:vAlign w:val="center"/>
          </w:tcPr>
          <w:p w14:paraId="79DEDBAA">
            <w:pPr>
              <w:spacing w:line="240" w:lineRule="atLeast"/>
              <w:rPr>
                <w:rFonts w:ascii="宋体" w:hAnsi="宋体" w:cs="宋体"/>
                <w:color w:val="auto"/>
                <w:sz w:val="21"/>
                <w:szCs w:val="21"/>
                <w:highlight w:val="none"/>
              </w:rPr>
            </w:pPr>
          </w:p>
        </w:tc>
      </w:tr>
      <w:tr w14:paraId="1E93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6" w:type="pct"/>
            <w:vMerge w:val="continue"/>
            <w:vAlign w:val="center"/>
          </w:tcPr>
          <w:p w14:paraId="0BD8E05C">
            <w:pPr>
              <w:spacing w:line="240" w:lineRule="atLeast"/>
              <w:jc w:val="left"/>
              <w:rPr>
                <w:rFonts w:hint="eastAsia" w:ascii="宋体" w:hAnsi="宋体" w:eastAsia="宋体" w:cs="宋体"/>
                <w:color w:val="auto"/>
                <w:sz w:val="21"/>
                <w:szCs w:val="21"/>
                <w:highlight w:val="none"/>
              </w:rPr>
            </w:pPr>
          </w:p>
        </w:tc>
        <w:tc>
          <w:tcPr>
            <w:tcW w:w="1198" w:type="pct"/>
            <w:vAlign w:val="center"/>
          </w:tcPr>
          <w:p w14:paraId="36620E4F">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2615" w:type="pct"/>
            <w:vMerge w:val="continue"/>
            <w:vAlign w:val="center"/>
          </w:tcPr>
          <w:p w14:paraId="6A94F65F">
            <w:pPr>
              <w:spacing w:line="240" w:lineRule="atLeast"/>
              <w:rPr>
                <w:rFonts w:ascii="宋体" w:hAnsi="宋体" w:cs="宋体"/>
                <w:color w:val="auto"/>
                <w:sz w:val="21"/>
                <w:szCs w:val="21"/>
                <w:highlight w:val="none"/>
              </w:rPr>
            </w:pPr>
          </w:p>
        </w:tc>
      </w:tr>
      <w:tr w14:paraId="61FD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86" w:type="pct"/>
            <w:vMerge w:val="continue"/>
            <w:vAlign w:val="center"/>
          </w:tcPr>
          <w:p w14:paraId="161A9D80">
            <w:pPr>
              <w:spacing w:line="240" w:lineRule="atLeast"/>
              <w:jc w:val="left"/>
              <w:rPr>
                <w:rFonts w:hint="eastAsia" w:ascii="宋体" w:hAnsi="宋体" w:eastAsia="宋体" w:cs="宋体"/>
                <w:color w:val="auto"/>
                <w:sz w:val="21"/>
                <w:szCs w:val="21"/>
                <w:highlight w:val="none"/>
              </w:rPr>
            </w:pPr>
          </w:p>
        </w:tc>
        <w:tc>
          <w:tcPr>
            <w:tcW w:w="1198" w:type="pct"/>
            <w:vAlign w:val="center"/>
          </w:tcPr>
          <w:p w14:paraId="032463B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统计报表</w:t>
            </w:r>
          </w:p>
        </w:tc>
        <w:tc>
          <w:tcPr>
            <w:tcW w:w="2615" w:type="pct"/>
            <w:vMerge w:val="continue"/>
            <w:vAlign w:val="center"/>
          </w:tcPr>
          <w:p w14:paraId="5BD1A7D2">
            <w:pPr>
              <w:spacing w:line="240" w:lineRule="atLeast"/>
              <w:rPr>
                <w:rFonts w:ascii="宋体" w:hAnsi="宋体" w:cs="宋体"/>
                <w:color w:val="auto"/>
                <w:sz w:val="21"/>
                <w:szCs w:val="21"/>
                <w:highlight w:val="none"/>
              </w:rPr>
            </w:pPr>
          </w:p>
        </w:tc>
      </w:tr>
      <w:tr w14:paraId="0193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86" w:type="pct"/>
            <w:vMerge w:val="continue"/>
            <w:vAlign w:val="center"/>
          </w:tcPr>
          <w:p w14:paraId="056C6A50">
            <w:pPr>
              <w:spacing w:line="240" w:lineRule="atLeast"/>
              <w:jc w:val="left"/>
              <w:rPr>
                <w:rFonts w:hint="eastAsia" w:ascii="宋体" w:hAnsi="宋体" w:eastAsia="宋体" w:cs="宋体"/>
                <w:color w:val="auto"/>
                <w:sz w:val="21"/>
                <w:szCs w:val="21"/>
                <w:highlight w:val="none"/>
              </w:rPr>
            </w:pPr>
          </w:p>
        </w:tc>
        <w:tc>
          <w:tcPr>
            <w:tcW w:w="1198" w:type="pct"/>
            <w:vAlign w:val="center"/>
          </w:tcPr>
          <w:p w14:paraId="520AC23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3A8C0912">
            <w:pPr>
              <w:spacing w:line="240" w:lineRule="atLeast"/>
              <w:rPr>
                <w:rFonts w:ascii="宋体" w:hAnsi="宋体" w:cs="宋体"/>
                <w:color w:val="auto"/>
                <w:sz w:val="21"/>
                <w:szCs w:val="21"/>
                <w:highlight w:val="none"/>
              </w:rPr>
            </w:pPr>
          </w:p>
        </w:tc>
      </w:tr>
      <w:tr w14:paraId="11F4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86" w:type="pct"/>
            <w:vMerge w:val="restart"/>
            <w:vAlign w:val="center"/>
          </w:tcPr>
          <w:p w14:paraId="7F806C86">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门诊医生工作站</w:t>
            </w:r>
          </w:p>
        </w:tc>
        <w:tc>
          <w:tcPr>
            <w:tcW w:w="1198" w:type="pct"/>
            <w:vAlign w:val="center"/>
          </w:tcPr>
          <w:p w14:paraId="759589B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模板管理</w:t>
            </w:r>
          </w:p>
        </w:tc>
        <w:tc>
          <w:tcPr>
            <w:tcW w:w="2615" w:type="pct"/>
            <w:vMerge w:val="restart"/>
            <w:vAlign w:val="center"/>
          </w:tcPr>
          <w:p w14:paraId="1CA6DE4F">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病历模板、处方模板、个人模板转移、医嘱药品、门诊挂号、病情诊断、留观诊断、门诊挂号、门诊处方、门诊病历、日志登记、收费明细、医生工作量、医生工作量汇总、处方补打、检查申请单、挂号票补打、退费申请单、疾病统计、密码更改、更换登录科室</w:t>
            </w:r>
          </w:p>
        </w:tc>
      </w:tr>
      <w:tr w14:paraId="0441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86" w:type="pct"/>
            <w:vMerge w:val="continue"/>
            <w:vAlign w:val="center"/>
          </w:tcPr>
          <w:p w14:paraId="2D3C2596">
            <w:pPr>
              <w:spacing w:line="240" w:lineRule="atLeast"/>
              <w:jc w:val="left"/>
              <w:rPr>
                <w:rFonts w:hint="eastAsia" w:ascii="宋体" w:hAnsi="宋体" w:eastAsia="宋体" w:cs="宋体"/>
                <w:color w:val="auto"/>
                <w:sz w:val="21"/>
                <w:szCs w:val="21"/>
                <w:highlight w:val="none"/>
              </w:rPr>
            </w:pPr>
          </w:p>
        </w:tc>
        <w:tc>
          <w:tcPr>
            <w:tcW w:w="1198" w:type="pct"/>
            <w:vAlign w:val="center"/>
          </w:tcPr>
          <w:p w14:paraId="3B19CAF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诊断业务</w:t>
            </w:r>
          </w:p>
        </w:tc>
        <w:tc>
          <w:tcPr>
            <w:tcW w:w="2615" w:type="pct"/>
            <w:vMerge w:val="continue"/>
            <w:vAlign w:val="center"/>
          </w:tcPr>
          <w:p w14:paraId="56622672">
            <w:pPr>
              <w:spacing w:line="240" w:lineRule="atLeast"/>
              <w:rPr>
                <w:rFonts w:ascii="宋体" w:hAnsi="宋体" w:cs="宋体"/>
                <w:color w:val="auto"/>
                <w:sz w:val="21"/>
                <w:szCs w:val="21"/>
                <w:highlight w:val="none"/>
              </w:rPr>
            </w:pPr>
          </w:p>
        </w:tc>
      </w:tr>
      <w:tr w14:paraId="231C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86" w:type="pct"/>
            <w:vMerge w:val="continue"/>
            <w:vAlign w:val="center"/>
          </w:tcPr>
          <w:p w14:paraId="06B7E19B">
            <w:pPr>
              <w:spacing w:line="240" w:lineRule="atLeast"/>
              <w:jc w:val="left"/>
              <w:rPr>
                <w:rFonts w:hint="eastAsia" w:ascii="宋体" w:hAnsi="宋体" w:eastAsia="宋体" w:cs="宋体"/>
                <w:color w:val="auto"/>
                <w:sz w:val="21"/>
                <w:szCs w:val="21"/>
                <w:highlight w:val="none"/>
              </w:rPr>
            </w:pPr>
          </w:p>
        </w:tc>
        <w:tc>
          <w:tcPr>
            <w:tcW w:w="1198" w:type="pct"/>
            <w:vAlign w:val="center"/>
          </w:tcPr>
          <w:p w14:paraId="1266B6A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查询统计</w:t>
            </w:r>
          </w:p>
        </w:tc>
        <w:tc>
          <w:tcPr>
            <w:tcW w:w="2615" w:type="pct"/>
            <w:vMerge w:val="continue"/>
            <w:vAlign w:val="center"/>
          </w:tcPr>
          <w:p w14:paraId="677CF1A1">
            <w:pPr>
              <w:spacing w:line="240" w:lineRule="atLeast"/>
              <w:rPr>
                <w:rFonts w:ascii="宋体" w:hAnsi="宋体" w:cs="宋体"/>
                <w:color w:val="auto"/>
                <w:sz w:val="21"/>
                <w:szCs w:val="21"/>
                <w:highlight w:val="none"/>
              </w:rPr>
            </w:pPr>
          </w:p>
        </w:tc>
      </w:tr>
      <w:tr w14:paraId="1F15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86" w:type="pct"/>
            <w:vMerge w:val="continue"/>
            <w:vAlign w:val="center"/>
          </w:tcPr>
          <w:p w14:paraId="2746C104">
            <w:pPr>
              <w:spacing w:line="240" w:lineRule="atLeast"/>
              <w:jc w:val="left"/>
              <w:rPr>
                <w:rFonts w:hint="eastAsia" w:ascii="宋体" w:hAnsi="宋体" w:eastAsia="宋体" w:cs="宋体"/>
                <w:color w:val="auto"/>
                <w:sz w:val="21"/>
                <w:szCs w:val="21"/>
                <w:highlight w:val="none"/>
              </w:rPr>
            </w:pPr>
          </w:p>
        </w:tc>
        <w:tc>
          <w:tcPr>
            <w:tcW w:w="1198" w:type="pct"/>
            <w:vAlign w:val="center"/>
          </w:tcPr>
          <w:p w14:paraId="464197A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0D77EF1D">
            <w:pPr>
              <w:spacing w:line="240" w:lineRule="atLeast"/>
              <w:rPr>
                <w:rFonts w:ascii="宋体" w:hAnsi="宋体" w:cs="宋体"/>
                <w:color w:val="auto"/>
                <w:sz w:val="21"/>
                <w:szCs w:val="21"/>
                <w:highlight w:val="none"/>
              </w:rPr>
            </w:pPr>
          </w:p>
        </w:tc>
      </w:tr>
      <w:tr w14:paraId="6410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restart"/>
            <w:vAlign w:val="center"/>
          </w:tcPr>
          <w:p w14:paraId="59349A24">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门诊护士工作站</w:t>
            </w:r>
          </w:p>
        </w:tc>
        <w:tc>
          <w:tcPr>
            <w:tcW w:w="1198" w:type="pct"/>
            <w:vAlign w:val="center"/>
          </w:tcPr>
          <w:p w14:paraId="1EBEFE01">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护理管理</w:t>
            </w:r>
          </w:p>
        </w:tc>
        <w:tc>
          <w:tcPr>
            <w:tcW w:w="2615" w:type="pct"/>
            <w:vMerge w:val="restart"/>
            <w:vAlign w:val="center"/>
          </w:tcPr>
          <w:p w14:paraId="5BB4F6E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交接班记录、医嘱确认、输液信息、输液明细、治疗信息、治疗明细、皮试结果、费用记账、处方打印、医嘱单据、皮试结果、输液信息、处方查询、治疗信息、费用记账、密码修改、科室选择</w:t>
            </w:r>
          </w:p>
        </w:tc>
      </w:tr>
      <w:tr w14:paraId="0185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86" w:type="pct"/>
            <w:vMerge w:val="continue"/>
            <w:vAlign w:val="center"/>
          </w:tcPr>
          <w:p w14:paraId="10602858">
            <w:pPr>
              <w:spacing w:line="240" w:lineRule="atLeast"/>
              <w:jc w:val="center"/>
              <w:rPr>
                <w:rFonts w:ascii="宋体" w:hAnsi="宋体" w:cs="宋体"/>
                <w:color w:val="auto"/>
                <w:sz w:val="21"/>
                <w:szCs w:val="21"/>
                <w:highlight w:val="none"/>
              </w:rPr>
            </w:pPr>
          </w:p>
        </w:tc>
        <w:tc>
          <w:tcPr>
            <w:tcW w:w="1198" w:type="pct"/>
            <w:vAlign w:val="center"/>
          </w:tcPr>
          <w:p w14:paraId="79A587C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费用管理</w:t>
            </w:r>
          </w:p>
        </w:tc>
        <w:tc>
          <w:tcPr>
            <w:tcW w:w="2615" w:type="pct"/>
            <w:vMerge w:val="continue"/>
            <w:vAlign w:val="center"/>
          </w:tcPr>
          <w:p w14:paraId="56CB5082">
            <w:pPr>
              <w:spacing w:line="240" w:lineRule="atLeast"/>
              <w:rPr>
                <w:rFonts w:ascii="宋体" w:hAnsi="宋体" w:cs="宋体"/>
                <w:color w:val="auto"/>
                <w:sz w:val="21"/>
                <w:szCs w:val="21"/>
                <w:highlight w:val="none"/>
              </w:rPr>
            </w:pPr>
          </w:p>
        </w:tc>
      </w:tr>
      <w:tr w14:paraId="53E7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86" w:type="pct"/>
            <w:vMerge w:val="continue"/>
            <w:vAlign w:val="center"/>
          </w:tcPr>
          <w:p w14:paraId="0CAB6DE7">
            <w:pPr>
              <w:spacing w:line="240" w:lineRule="atLeast"/>
              <w:jc w:val="center"/>
              <w:rPr>
                <w:rFonts w:ascii="宋体" w:hAnsi="宋体" w:cs="宋体"/>
                <w:color w:val="auto"/>
                <w:sz w:val="21"/>
                <w:szCs w:val="21"/>
                <w:highlight w:val="none"/>
              </w:rPr>
            </w:pPr>
          </w:p>
        </w:tc>
        <w:tc>
          <w:tcPr>
            <w:tcW w:w="1198" w:type="pct"/>
            <w:vAlign w:val="center"/>
          </w:tcPr>
          <w:p w14:paraId="067BAB4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查询统计</w:t>
            </w:r>
          </w:p>
        </w:tc>
        <w:tc>
          <w:tcPr>
            <w:tcW w:w="2615" w:type="pct"/>
            <w:vMerge w:val="continue"/>
            <w:vAlign w:val="center"/>
          </w:tcPr>
          <w:p w14:paraId="1D9A48CD">
            <w:pPr>
              <w:spacing w:line="240" w:lineRule="atLeast"/>
              <w:rPr>
                <w:rFonts w:ascii="宋体" w:hAnsi="宋体" w:cs="宋体"/>
                <w:color w:val="auto"/>
                <w:sz w:val="21"/>
                <w:szCs w:val="21"/>
                <w:highlight w:val="none"/>
              </w:rPr>
            </w:pPr>
          </w:p>
        </w:tc>
      </w:tr>
      <w:tr w14:paraId="4C4C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86" w:type="pct"/>
            <w:vMerge w:val="continue"/>
            <w:vAlign w:val="center"/>
          </w:tcPr>
          <w:p w14:paraId="15F521B1">
            <w:pPr>
              <w:spacing w:line="240" w:lineRule="atLeast"/>
              <w:jc w:val="center"/>
              <w:rPr>
                <w:rFonts w:ascii="宋体" w:hAnsi="宋体" w:cs="宋体"/>
                <w:color w:val="auto"/>
                <w:sz w:val="21"/>
                <w:szCs w:val="21"/>
                <w:highlight w:val="none"/>
              </w:rPr>
            </w:pPr>
          </w:p>
        </w:tc>
        <w:tc>
          <w:tcPr>
            <w:tcW w:w="1198" w:type="pct"/>
            <w:vAlign w:val="center"/>
          </w:tcPr>
          <w:p w14:paraId="4FCCE65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25507C08">
            <w:pPr>
              <w:spacing w:line="240" w:lineRule="atLeast"/>
              <w:rPr>
                <w:rFonts w:ascii="宋体" w:hAnsi="宋体" w:cs="宋体"/>
                <w:color w:val="auto"/>
                <w:sz w:val="21"/>
                <w:szCs w:val="21"/>
                <w:highlight w:val="none"/>
              </w:rPr>
            </w:pPr>
          </w:p>
        </w:tc>
      </w:tr>
      <w:tr w14:paraId="3C39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restart"/>
            <w:vAlign w:val="center"/>
          </w:tcPr>
          <w:p w14:paraId="5CB2A67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医技管理系统</w:t>
            </w:r>
          </w:p>
        </w:tc>
        <w:tc>
          <w:tcPr>
            <w:tcW w:w="1198" w:type="pct"/>
            <w:vAlign w:val="center"/>
          </w:tcPr>
          <w:p w14:paraId="6AFEE1C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医技划价</w:t>
            </w:r>
          </w:p>
        </w:tc>
        <w:tc>
          <w:tcPr>
            <w:tcW w:w="2615" w:type="pct"/>
            <w:vMerge w:val="restart"/>
            <w:vAlign w:val="center"/>
          </w:tcPr>
          <w:p w14:paraId="199C1E2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就诊卡挂号、门诊划价、住院记账住院材料记账、门诊检查、住院检查、诊疗项目退费、住院材料退费、门诊材料退费、门诊收费、住院记账、科室工作量、门诊检查检验、收费项目、密码更改</w:t>
            </w:r>
          </w:p>
        </w:tc>
      </w:tr>
      <w:tr w14:paraId="5B4F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0C30A4F3">
            <w:pPr>
              <w:spacing w:line="240" w:lineRule="atLeast"/>
              <w:jc w:val="center"/>
              <w:rPr>
                <w:rFonts w:ascii="宋体" w:hAnsi="宋体" w:cs="宋体"/>
                <w:color w:val="auto"/>
                <w:sz w:val="21"/>
                <w:szCs w:val="21"/>
                <w:highlight w:val="none"/>
              </w:rPr>
            </w:pPr>
          </w:p>
        </w:tc>
        <w:tc>
          <w:tcPr>
            <w:tcW w:w="1198" w:type="pct"/>
            <w:vAlign w:val="center"/>
          </w:tcPr>
          <w:p w14:paraId="772FD47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医技执行</w:t>
            </w:r>
          </w:p>
        </w:tc>
        <w:tc>
          <w:tcPr>
            <w:tcW w:w="2615" w:type="pct"/>
            <w:vMerge w:val="continue"/>
            <w:vAlign w:val="center"/>
          </w:tcPr>
          <w:p w14:paraId="5B2A3364">
            <w:pPr>
              <w:spacing w:line="240" w:lineRule="atLeast"/>
              <w:rPr>
                <w:rFonts w:ascii="宋体" w:hAnsi="宋体" w:cs="宋体"/>
                <w:color w:val="auto"/>
                <w:sz w:val="21"/>
                <w:szCs w:val="21"/>
                <w:highlight w:val="none"/>
              </w:rPr>
            </w:pPr>
          </w:p>
        </w:tc>
      </w:tr>
      <w:tr w14:paraId="54FA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13429CDB">
            <w:pPr>
              <w:spacing w:line="240" w:lineRule="atLeast"/>
              <w:jc w:val="center"/>
              <w:rPr>
                <w:rFonts w:ascii="宋体" w:hAnsi="宋体" w:cs="宋体"/>
                <w:color w:val="auto"/>
                <w:sz w:val="21"/>
                <w:szCs w:val="21"/>
                <w:highlight w:val="none"/>
              </w:rPr>
            </w:pPr>
          </w:p>
        </w:tc>
        <w:tc>
          <w:tcPr>
            <w:tcW w:w="1198" w:type="pct"/>
            <w:vAlign w:val="center"/>
          </w:tcPr>
          <w:p w14:paraId="6D16296E">
            <w:pPr>
              <w:rPr>
                <w:rFonts w:ascii="宋体" w:hAnsi="宋体" w:cs="宋体"/>
                <w:color w:val="auto"/>
                <w:sz w:val="21"/>
                <w:szCs w:val="21"/>
                <w:highlight w:val="none"/>
              </w:rPr>
            </w:pPr>
            <w:r>
              <w:rPr>
                <w:rFonts w:hint="eastAsia" w:ascii="宋体" w:hAnsi="宋体" w:cs="宋体"/>
                <w:color w:val="auto"/>
                <w:sz w:val="21"/>
                <w:szCs w:val="21"/>
                <w:highlight w:val="none"/>
              </w:rPr>
              <w:t>查询统计</w:t>
            </w:r>
          </w:p>
        </w:tc>
        <w:tc>
          <w:tcPr>
            <w:tcW w:w="2615" w:type="pct"/>
            <w:vMerge w:val="continue"/>
            <w:vAlign w:val="center"/>
          </w:tcPr>
          <w:p w14:paraId="4323E4C3">
            <w:pPr>
              <w:spacing w:line="240" w:lineRule="atLeast"/>
              <w:rPr>
                <w:rFonts w:ascii="宋体" w:hAnsi="宋体" w:cs="宋体"/>
                <w:color w:val="auto"/>
                <w:sz w:val="21"/>
                <w:szCs w:val="21"/>
                <w:highlight w:val="none"/>
              </w:rPr>
            </w:pPr>
          </w:p>
        </w:tc>
      </w:tr>
      <w:tr w14:paraId="063F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86" w:type="pct"/>
            <w:vMerge w:val="continue"/>
            <w:vAlign w:val="center"/>
          </w:tcPr>
          <w:p w14:paraId="416A9D2B">
            <w:pPr>
              <w:spacing w:line="240" w:lineRule="atLeast"/>
              <w:jc w:val="center"/>
              <w:rPr>
                <w:rFonts w:ascii="宋体" w:hAnsi="宋体" w:cs="宋体"/>
                <w:color w:val="auto"/>
                <w:sz w:val="21"/>
                <w:szCs w:val="21"/>
                <w:highlight w:val="none"/>
              </w:rPr>
            </w:pPr>
          </w:p>
        </w:tc>
        <w:tc>
          <w:tcPr>
            <w:tcW w:w="1198" w:type="pct"/>
            <w:vAlign w:val="center"/>
          </w:tcPr>
          <w:p w14:paraId="62E31E8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7C0AFB11">
            <w:pPr>
              <w:spacing w:line="240" w:lineRule="atLeast"/>
              <w:rPr>
                <w:rFonts w:ascii="宋体" w:hAnsi="宋体" w:cs="宋体"/>
                <w:color w:val="auto"/>
                <w:sz w:val="21"/>
                <w:szCs w:val="21"/>
                <w:highlight w:val="none"/>
              </w:rPr>
            </w:pPr>
          </w:p>
        </w:tc>
      </w:tr>
      <w:tr w14:paraId="1913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86" w:type="pct"/>
            <w:vMerge w:val="restart"/>
            <w:vAlign w:val="center"/>
          </w:tcPr>
          <w:p w14:paraId="28FC47BE">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中西药房管理系统</w:t>
            </w:r>
          </w:p>
        </w:tc>
        <w:tc>
          <w:tcPr>
            <w:tcW w:w="1198" w:type="pct"/>
            <w:vAlign w:val="center"/>
          </w:tcPr>
          <w:p w14:paraId="256EBF0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药房库存管理</w:t>
            </w:r>
          </w:p>
        </w:tc>
        <w:tc>
          <w:tcPr>
            <w:tcW w:w="2615" w:type="pct"/>
            <w:vMerge w:val="restart"/>
            <w:vAlign w:val="center"/>
          </w:tcPr>
          <w:p w14:paraId="1C0CDD5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领药申请、退药申请、药品调拨、报增报损、盘存核算、初始化入库、调拨出库、报增报损、住院退药审批、处方划价、处方修改、处方退药、医嘱处方、凭证补打、医嘱退药、单药品批量退药、协定处方、处方发药、处方打印、医嘱发药、库存查询、入库查询、出库查询、报增报损、调价查询、周转表、有效期、销量排行、报警查询、领退药申请、门诊处方、住院处方、门诊发药、住院发药、病人信息、门诊病人收费、药品类型销售、药品养护、库存上下限修改、有效期报警设置</w:t>
            </w:r>
          </w:p>
        </w:tc>
      </w:tr>
      <w:tr w14:paraId="1159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86" w:type="pct"/>
            <w:vMerge w:val="continue"/>
            <w:vAlign w:val="center"/>
          </w:tcPr>
          <w:p w14:paraId="780B8E99">
            <w:pPr>
              <w:spacing w:line="240" w:lineRule="atLeast"/>
              <w:jc w:val="center"/>
              <w:rPr>
                <w:rFonts w:ascii="宋体" w:hAnsi="宋体" w:cs="宋体"/>
                <w:color w:val="auto"/>
                <w:sz w:val="21"/>
                <w:szCs w:val="21"/>
                <w:highlight w:val="none"/>
              </w:rPr>
            </w:pPr>
          </w:p>
        </w:tc>
        <w:tc>
          <w:tcPr>
            <w:tcW w:w="1198" w:type="pct"/>
            <w:vAlign w:val="center"/>
          </w:tcPr>
          <w:p w14:paraId="3D2242B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审核管理</w:t>
            </w:r>
          </w:p>
        </w:tc>
        <w:tc>
          <w:tcPr>
            <w:tcW w:w="2615" w:type="pct"/>
            <w:vMerge w:val="continue"/>
            <w:vAlign w:val="center"/>
          </w:tcPr>
          <w:p w14:paraId="75BC5314">
            <w:pPr>
              <w:spacing w:line="240" w:lineRule="atLeast"/>
              <w:rPr>
                <w:rFonts w:ascii="宋体" w:hAnsi="宋体" w:cs="宋体"/>
                <w:color w:val="auto"/>
                <w:sz w:val="21"/>
                <w:szCs w:val="21"/>
                <w:highlight w:val="none"/>
              </w:rPr>
            </w:pPr>
          </w:p>
        </w:tc>
      </w:tr>
      <w:tr w14:paraId="17F6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86" w:type="pct"/>
            <w:vMerge w:val="continue"/>
            <w:vAlign w:val="center"/>
          </w:tcPr>
          <w:p w14:paraId="6FD71DB7">
            <w:pPr>
              <w:spacing w:line="240" w:lineRule="atLeast"/>
              <w:jc w:val="center"/>
              <w:rPr>
                <w:rFonts w:ascii="宋体" w:hAnsi="宋体" w:cs="宋体"/>
                <w:color w:val="auto"/>
                <w:sz w:val="21"/>
                <w:szCs w:val="21"/>
                <w:highlight w:val="none"/>
              </w:rPr>
            </w:pPr>
          </w:p>
        </w:tc>
        <w:tc>
          <w:tcPr>
            <w:tcW w:w="1198" w:type="pct"/>
            <w:vAlign w:val="center"/>
          </w:tcPr>
          <w:p w14:paraId="7CA0D38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药房划价管理</w:t>
            </w:r>
          </w:p>
        </w:tc>
        <w:tc>
          <w:tcPr>
            <w:tcW w:w="2615" w:type="pct"/>
            <w:vMerge w:val="continue"/>
            <w:vAlign w:val="center"/>
          </w:tcPr>
          <w:p w14:paraId="26A42E1A">
            <w:pPr>
              <w:spacing w:line="240" w:lineRule="atLeast"/>
              <w:rPr>
                <w:rFonts w:ascii="宋体" w:hAnsi="宋体" w:cs="宋体"/>
                <w:color w:val="auto"/>
                <w:sz w:val="21"/>
                <w:szCs w:val="21"/>
                <w:highlight w:val="none"/>
              </w:rPr>
            </w:pPr>
          </w:p>
        </w:tc>
      </w:tr>
      <w:tr w14:paraId="698D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1330FBB6">
            <w:pPr>
              <w:spacing w:line="240" w:lineRule="atLeast"/>
              <w:jc w:val="center"/>
              <w:rPr>
                <w:rFonts w:ascii="宋体" w:hAnsi="宋体" w:cs="宋体"/>
                <w:color w:val="auto"/>
                <w:sz w:val="21"/>
                <w:szCs w:val="21"/>
                <w:highlight w:val="none"/>
              </w:rPr>
            </w:pPr>
          </w:p>
        </w:tc>
        <w:tc>
          <w:tcPr>
            <w:tcW w:w="1198" w:type="pct"/>
            <w:vAlign w:val="center"/>
          </w:tcPr>
          <w:p w14:paraId="404BA50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取药管理</w:t>
            </w:r>
          </w:p>
        </w:tc>
        <w:tc>
          <w:tcPr>
            <w:tcW w:w="2615" w:type="pct"/>
            <w:vMerge w:val="continue"/>
            <w:vAlign w:val="center"/>
          </w:tcPr>
          <w:p w14:paraId="7BB53792">
            <w:pPr>
              <w:spacing w:line="240" w:lineRule="atLeast"/>
              <w:rPr>
                <w:rFonts w:ascii="宋体" w:hAnsi="宋体" w:cs="宋体"/>
                <w:color w:val="auto"/>
                <w:sz w:val="21"/>
                <w:szCs w:val="21"/>
                <w:highlight w:val="none"/>
              </w:rPr>
            </w:pPr>
          </w:p>
        </w:tc>
      </w:tr>
      <w:tr w14:paraId="62DF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124ED6C7">
            <w:pPr>
              <w:spacing w:line="240" w:lineRule="atLeast"/>
              <w:jc w:val="center"/>
              <w:rPr>
                <w:rFonts w:ascii="宋体" w:hAnsi="宋体" w:cs="宋体"/>
                <w:color w:val="auto"/>
                <w:sz w:val="21"/>
                <w:szCs w:val="21"/>
                <w:highlight w:val="none"/>
              </w:rPr>
            </w:pPr>
          </w:p>
        </w:tc>
        <w:tc>
          <w:tcPr>
            <w:tcW w:w="1198" w:type="pct"/>
            <w:vAlign w:val="center"/>
          </w:tcPr>
          <w:p w14:paraId="142244C7">
            <w:pPr>
              <w:rPr>
                <w:rFonts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2615" w:type="pct"/>
            <w:vMerge w:val="continue"/>
            <w:vAlign w:val="center"/>
          </w:tcPr>
          <w:p w14:paraId="3414ABD8">
            <w:pPr>
              <w:spacing w:line="240" w:lineRule="atLeast"/>
              <w:rPr>
                <w:rFonts w:ascii="宋体" w:hAnsi="宋体" w:cs="宋体"/>
                <w:color w:val="auto"/>
                <w:sz w:val="21"/>
                <w:szCs w:val="21"/>
                <w:highlight w:val="none"/>
              </w:rPr>
            </w:pPr>
          </w:p>
        </w:tc>
      </w:tr>
      <w:tr w14:paraId="2292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05A75035">
            <w:pPr>
              <w:spacing w:line="240" w:lineRule="atLeast"/>
              <w:jc w:val="center"/>
              <w:rPr>
                <w:rFonts w:ascii="宋体" w:hAnsi="宋体" w:cs="宋体"/>
                <w:color w:val="auto"/>
                <w:sz w:val="21"/>
                <w:szCs w:val="21"/>
                <w:highlight w:val="none"/>
              </w:rPr>
            </w:pPr>
          </w:p>
        </w:tc>
        <w:tc>
          <w:tcPr>
            <w:tcW w:w="1198" w:type="pct"/>
            <w:vAlign w:val="center"/>
          </w:tcPr>
          <w:p w14:paraId="3B3BE35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统计报表</w:t>
            </w:r>
          </w:p>
        </w:tc>
        <w:tc>
          <w:tcPr>
            <w:tcW w:w="2615" w:type="pct"/>
            <w:vMerge w:val="continue"/>
            <w:vAlign w:val="center"/>
          </w:tcPr>
          <w:p w14:paraId="2417C94C">
            <w:pPr>
              <w:spacing w:line="240" w:lineRule="atLeast"/>
              <w:rPr>
                <w:rFonts w:ascii="宋体" w:hAnsi="宋体" w:cs="宋体"/>
                <w:color w:val="auto"/>
                <w:sz w:val="21"/>
                <w:szCs w:val="21"/>
                <w:highlight w:val="none"/>
              </w:rPr>
            </w:pPr>
          </w:p>
        </w:tc>
      </w:tr>
      <w:tr w14:paraId="26B2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86" w:type="pct"/>
            <w:vMerge w:val="continue"/>
            <w:vAlign w:val="center"/>
          </w:tcPr>
          <w:p w14:paraId="7D51D4BC">
            <w:pPr>
              <w:spacing w:line="240" w:lineRule="atLeast"/>
              <w:jc w:val="center"/>
              <w:rPr>
                <w:rFonts w:ascii="宋体" w:hAnsi="宋体" w:cs="宋体"/>
                <w:color w:val="auto"/>
                <w:sz w:val="21"/>
                <w:szCs w:val="21"/>
                <w:highlight w:val="none"/>
              </w:rPr>
            </w:pPr>
          </w:p>
        </w:tc>
        <w:tc>
          <w:tcPr>
            <w:tcW w:w="1198" w:type="pct"/>
            <w:vAlign w:val="center"/>
          </w:tcPr>
          <w:p w14:paraId="7FE5BE9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5BAE7F2A">
            <w:pPr>
              <w:spacing w:line="240" w:lineRule="atLeast"/>
              <w:rPr>
                <w:rFonts w:ascii="宋体" w:hAnsi="宋体" w:cs="宋体"/>
                <w:color w:val="auto"/>
                <w:sz w:val="21"/>
                <w:szCs w:val="21"/>
                <w:highlight w:val="none"/>
              </w:rPr>
            </w:pPr>
          </w:p>
        </w:tc>
      </w:tr>
      <w:tr w14:paraId="28BF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86" w:type="pct"/>
            <w:vMerge w:val="restart"/>
            <w:vAlign w:val="center"/>
          </w:tcPr>
          <w:p w14:paraId="50A0492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中西药库管理系统</w:t>
            </w:r>
          </w:p>
        </w:tc>
        <w:tc>
          <w:tcPr>
            <w:tcW w:w="1198" w:type="pct"/>
            <w:vAlign w:val="center"/>
          </w:tcPr>
          <w:p w14:paraId="5FAC026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入库管理</w:t>
            </w:r>
          </w:p>
        </w:tc>
        <w:tc>
          <w:tcPr>
            <w:tcW w:w="2615" w:type="pct"/>
            <w:vMerge w:val="restart"/>
            <w:vAlign w:val="center"/>
          </w:tcPr>
          <w:p w14:paraId="72F1993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药品采购计划、药品入库、入库、出库单据打印、联网单位、业务科室、全院药品调价、药品供应信息、供应商信息维护、生产厂商信息、药库药品合批、报增报损、盘存核算、入库信息、领退申请、联网单位出库、业务科室出库、门诊处方、住院处方、门诊药品、住院药品、全院药品、药品预警、销量、信息、分类、周转、有效期、养护记录、库存、调价、出库信息、入库信息、领退药申请、密码更改</w:t>
            </w:r>
          </w:p>
        </w:tc>
      </w:tr>
      <w:tr w14:paraId="3247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86" w:type="pct"/>
            <w:vMerge w:val="continue"/>
            <w:vAlign w:val="center"/>
          </w:tcPr>
          <w:p w14:paraId="2E613552">
            <w:pPr>
              <w:spacing w:line="240" w:lineRule="atLeast"/>
              <w:jc w:val="center"/>
              <w:rPr>
                <w:rFonts w:ascii="宋体" w:hAnsi="宋体" w:cs="宋体"/>
                <w:color w:val="auto"/>
                <w:sz w:val="21"/>
                <w:szCs w:val="21"/>
                <w:highlight w:val="none"/>
              </w:rPr>
            </w:pPr>
          </w:p>
        </w:tc>
        <w:tc>
          <w:tcPr>
            <w:tcW w:w="1198" w:type="pct"/>
            <w:vAlign w:val="center"/>
          </w:tcPr>
          <w:p w14:paraId="1A695F8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出库管理</w:t>
            </w:r>
          </w:p>
        </w:tc>
        <w:tc>
          <w:tcPr>
            <w:tcW w:w="2615" w:type="pct"/>
            <w:vMerge w:val="continue"/>
            <w:vAlign w:val="center"/>
          </w:tcPr>
          <w:p w14:paraId="4A700C74">
            <w:pPr>
              <w:spacing w:line="240" w:lineRule="atLeast"/>
              <w:rPr>
                <w:rFonts w:ascii="宋体" w:hAnsi="宋体" w:cs="宋体"/>
                <w:color w:val="auto"/>
                <w:sz w:val="21"/>
                <w:szCs w:val="21"/>
                <w:highlight w:val="none"/>
              </w:rPr>
            </w:pPr>
          </w:p>
        </w:tc>
      </w:tr>
      <w:tr w14:paraId="07A0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86" w:type="pct"/>
            <w:vMerge w:val="continue"/>
            <w:vAlign w:val="center"/>
          </w:tcPr>
          <w:p w14:paraId="2785052A">
            <w:pPr>
              <w:spacing w:line="240" w:lineRule="atLeast"/>
              <w:jc w:val="center"/>
              <w:rPr>
                <w:rFonts w:ascii="宋体" w:hAnsi="宋体" w:cs="宋体"/>
                <w:color w:val="auto"/>
                <w:sz w:val="21"/>
                <w:szCs w:val="21"/>
                <w:highlight w:val="none"/>
              </w:rPr>
            </w:pPr>
          </w:p>
        </w:tc>
        <w:tc>
          <w:tcPr>
            <w:tcW w:w="1198" w:type="pct"/>
            <w:vAlign w:val="center"/>
          </w:tcPr>
          <w:p w14:paraId="5639772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药品管理</w:t>
            </w:r>
          </w:p>
        </w:tc>
        <w:tc>
          <w:tcPr>
            <w:tcW w:w="2615" w:type="pct"/>
            <w:vMerge w:val="continue"/>
            <w:vAlign w:val="center"/>
          </w:tcPr>
          <w:p w14:paraId="125AD447">
            <w:pPr>
              <w:spacing w:line="240" w:lineRule="atLeast"/>
              <w:rPr>
                <w:rFonts w:ascii="宋体" w:hAnsi="宋体" w:cs="宋体"/>
                <w:color w:val="auto"/>
                <w:sz w:val="21"/>
                <w:szCs w:val="21"/>
                <w:highlight w:val="none"/>
              </w:rPr>
            </w:pPr>
          </w:p>
        </w:tc>
      </w:tr>
      <w:tr w14:paraId="2C10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86" w:type="pct"/>
            <w:vMerge w:val="continue"/>
            <w:vAlign w:val="center"/>
          </w:tcPr>
          <w:p w14:paraId="3BA325BF">
            <w:pPr>
              <w:spacing w:line="240" w:lineRule="atLeast"/>
              <w:jc w:val="center"/>
              <w:rPr>
                <w:rFonts w:ascii="宋体" w:hAnsi="宋体" w:cs="宋体"/>
                <w:color w:val="auto"/>
                <w:sz w:val="21"/>
                <w:szCs w:val="21"/>
                <w:highlight w:val="none"/>
              </w:rPr>
            </w:pPr>
          </w:p>
        </w:tc>
        <w:tc>
          <w:tcPr>
            <w:tcW w:w="1198" w:type="pct"/>
            <w:vAlign w:val="center"/>
          </w:tcPr>
          <w:p w14:paraId="68D1B5B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库存管理</w:t>
            </w:r>
          </w:p>
        </w:tc>
        <w:tc>
          <w:tcPr>
            <w:tcW w:w="2615" w:type="pct"/>
            <w:vMerge w:val="continue"/>
            <w:vAlign w:val="center"/>
          </w:tcPr>
          <w:p w14:paraId="3906327A">
            <w:pPr>
              <w:spacing w:line="240" w:lineRule="atLeast"/>
              <w:rPr>
                <w:rFonts w:ascii="宋体" w:hAnsi="宋体" w:cs="宋体"/>
                <w:color w:val="auto"/>
                <w:sz w:val="21"/>
                <w:szCs w:val="21"/>
                <w:highlight w:val="none"/>
              </w:rPr>
            </w:pPr>
          </w:p>
        </w:tc>
      </w:tr>
      <w:tr w14:paraId="7CFF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86" w:type="pct"/>
            <w:vMerge w:val="continue"/>
            <w:vAlign w:val="center"/>
          </w:tcPr>
          <w:p w14:paraId="5190F7AE">
            <w:pPr>
              <w:spacing w:line="240" w:lineRule="atLeast"/>
              <w:jc w:val="center"/>
              <w:rPr>
                <w:rFonts w:ascii="宋体" w:hAnsi="宋体" w:cs="宋体"/>
                <w:color w:val="auto"/>
                <w:sz w:val="21"/>
                <w:szCs w:val="21"/>
                <w:highlight w:val="none"/>
              </w:rPr>
            </w:pPr>
          </w:p>
        </w:tc>
        <w:tc>
          <w:tcPr>
            <w:tcW w:w="1198" w:type="pct"/>
            <w:vAlign w:val="center"/>
          </w:tcPr>
          <w:p w14:paraId="6976EFAA">
            <w:pPr>
              <w:rPr>
                <w:rFonts w:ascii="宋体" w:hAnsi="宋体" w:cs="宋体"/>
                <w:color w:val="auto"/>
                <w:sz w:val="21"/>
                <w:szCs w:val="21"/>
                <w:highlight w:val="none"/>
              </w:rPr>
            </w:pPr>
            <w:r>
              <w:rPr>
                <w:rFonts w:hint="eastAsia" w:ascii="宋体" w:hAnsi="宋体" w:cs="宋体"/>
                <w:color w:val="auto"/>
                <w:sz w:val="21"/>
                <w:szCs w:val="21"/>
                <w:highlight w:val="none"/>
              </w:rPr>
              <w:t>审核管理</w:t>
            </w:r>
          </w:p>
        </w:tc>
        <w:tc>
          <w:tcPr>
            <w:tcW w:w="2615" w:type="pct"/>
            <w:vMerge w:val="continue"/>
            <w:vAlign w:val="center"/>
          </w:tcPr>
          <w:p w14:paraId="772A9F63">
            <w:pPr>
              <w:spacing w:line="240" w:lineRule="atLeast"/>
              <w:rPr>
                <w:rFonts w:ascii="宋体" w:hAnsi="宋体" w:cs="宋体"/>
                <w:color w:val="auto"/>
                <w:sz w:val="21"/>
                <w:szCs w:val="21"/>
                <w:highlight w:val="none"/>
              </w:rPr>
            </w:pPr>
          </w:p>
        </w:tc>
      </w:tr>
      <w:tr w14:paraId="666E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86" w:type="pct"/>
            <w:vMerge w:val="continue"/>
            <w:vAlign w:val="center"/>
          </w:tcPr>
          <w:p w14:paraId="57970DF7">
            <w:pPr>
              <w:spacing w:line="240" w:lineRule="atLeast"/>
              <w:jc w:val="center"/>
              <w:rPr>
                <w:rFonts w:ascii="宋体" w:hAnsi="宋体" w:cs="宋体"/>
                <w:color w:val="auto"/>
                <w:sz w:val="21"/>
                <w:szCs w:val="21"/>
                <w:highlight w:val="none"/>
              </w:rPr>
            </w:pPr>
          </w:p>
        </w:tc>
        <w:tc>
          <w:tcPr>
            <w:tcW w:w="1198" w:type="pct"/>
            <w:vAlign w:val="center"/>
          </w:tcPr>
          <w:p w14:paraId="5A46712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统计汇总</w:t>
            </w:r>
          </w:p>
        </w:tc>
        <w:tc>
          <w:tcPr>
            <w:tcW w:w="2615" w:type="pct"/>
            <w:vMerge w:val="continue"/>
            <w:vAlign w:val="center"/>
          </w:tcPr>
          <w:p w14:paraId="0EE0EAA2">
            <w:pPr>
              <w:spacing w:line="240" w:lineRule="atLeast"/>
              <w:rPr>
                <w:rFonts w:ascii="宋体" w:hAnsi="宋体" w:cs="宋体"/>
                <w:color w:val="auto"/>
                <w:sz w:val="21"/>
                <w:szCs w:val="21"/>
                <w:highlight w:val="none"/>
              </w:rPr>
            </w:pPr>
          </w:p>
        </w:tc>
      </w:tr>
      <w:tr w14:paraId="6115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86" w:type="pct"/>
            <w:vMerge w:val="continue"/>
            <w:vAlign w:val="center"/>
          </w:tcPr>
          <w:p w14:paraId="14976D63">
            <w:pPr>
              <w:spacing w:line="240" w:lineRule="atLeast"/>
              <w:jc w:val="center"/>
              <w:rPr>
                <w:rFonts w:ascii="宋体" w:hAnsi="宋体" w:cs="宋体"/>
                <w:color w:val="auto"/>
                <w:sz w:val="21"/>
                <w:szCs w:val="21"/>
                <w:highlight w:val="none"/>
              </w:rPr>
            </w:pPr>
          </w:p>
        </w:tc>
        <w:tc>
          <w:tcPr>
            <w:tcW w:w="1198" w:type="pct"/>
            <w:vAlign w:val="center"/>
          </w:tcPr>
          <w:p w14:paraId="55017472">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2615" w:type="pct"/>
            <w:vMerge w:val="continue"/>
            <w:vAlign w:val="center"/>
          </w:tcPr>
          <w:p w14:paraId="5C88871C">
            <w:pPr>
              <w:spacing w:line="240" w:lineRule="atLeast"/>
              <w:rPr>
                <w:rFonts w:ascii="宋体" w:hAnsi="宋体" w:cs="宋体"/>
                <w:color w:val="auto"/>
                <w:sz w:val="21"/>
                <w:szCs w:val="21"/>
                <w:highlight w:val="none"/>
              </w:rPr>
            </w:pPr>
          </w:p>
        </w:tc>
      </w:tr>
      <w:tr w14:paraId="67C1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86" w:type="pct"/>
            <w:vMerge w:val="continue"/>
            <w:vAlign w:val="center"/>
          </w:tcPr>
          <w:p w14:paraId="0B14C6F1">
            <w:pPr>
              <w:spacing w:line="240" w:lineRule="atLeast"/>
              <w:jc w:val="center"/>
              <w:rPr>
                <w:rFonts w:ascii="宋体" w:hAnsi="宋体" w:cs="宋体"/>
                <w:color w:val="auto"/>
                <w:sz w:val="21"/>
                <w:szCs w:val="21"/>
                <w:highlight w:val="none"/>
              </w:rPr>
            </w:pPr>
          </w:p>
        </w:tc>
        <w:tc>
          <w:tcPr>
            <w:tcW w:w="1198" w:type="pct"/>
            <w:vAlign w:val="center"/>
          </w:tcPr>
          <w:p w14:paraId="3618B21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7405296D">
            <w:pPr>
              <w:spacing w:line="240" w:lineRule="atLeast"/>
              <w:rPr>
                <w:rFonts w:ascii="宋体" w:hAnsi="宋体" w:cs="宋体"/>
                <w:color w:val="auto"/>
                <w:sz w:val="21"/>
                <w:szCs w:val="21"/>
                <w:highlight w:val="none"/>
              </w:rPr>
            </w:pPr>
          </w:p>
        </w:tc>
      </w:tr>
      <w:tr w14:paraId="5978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restart"/>
            <w:vAlign w:val="center"/>
          </w:tcPr>
          <w:p w14:paraId="1800FE20">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住院信息管理系统</w:t>
            </w:r>
          </w:p>
        </w:tc>
        <w:tc>
          <w:tcPr>
            <w:tcW w:w="1198" w:type="pct"/>
            <w:vAlign w:val="center"/>
          </w:tcPr>
          <w:p w14:paraId="6187BE5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出入院管理</w:t>
            </w:r>
          </w:p>
        </w:tc>
        <w:tc>
          <w:tcPr>
            <w:tcW w:w="2615" w:type="pct"/>
            <w:vMerge w:val="restart"/>
            <w:vAlign w:val="center"/>
          </w:tcPr>
          <w:p w14:paraId="472682C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入院登记及取消、出院申请及结算、恢复住院、打印腕带、票据补打、信息修改、病人转科、划价记账、单项记账、漏补记账、自动记账、凭证补打、催收欠款、住院退费、收退预交金、公众号充值及退费、出入院信息、结账信息、欠费信息、预交金收退费、记账明细、住院处方、费用日清单、病床使用情况、收退费汇总、记账明细、费用结算、项目费用、病人费用汇总、收费日报表、财务核算、发票管理、密码维护</w:t>
            </w:r>
          </w:p>
        </w:tc>
      </w:tr>
      <w:tr w14:paraId="514E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708AA4B7">
            <w:pPr>
              <w:spacing w:line="240" w:lineRule="atLeast"/>
              <w:jc w:val="left"/>
              <w:rPr>
                <w:rFonts w:ascii="宋体" w:hAnsi="宋体" w:cs="宋体"/>
                <w:color w:val="auto"/>
                <w:sz w:val="21"/>
                <w:szCs w:val="21"/>
                <w:highlight w:val="none"/>
              </w:rPr>
            </w:pPr>
          </w:p>
        </w:tc>
        <w:tc>
          <w:tcPr>
            <w:tcW w:w="1198" w:type="pct"/>
            <w:vAlign w:val="center"/>
          </w:tcPr>
          <w:p w14:paraId="370AFE68">
            <w:pPr>
              <w:rPr>
                <w:rFonts w:ascii="宋体" w:hAnsi="宋体" w:cs="宋体"/>
                <w:color w:val="auto"/>
                <w:sz w:val="21"/>
                <w:szCs w:val="21"/>
                <w:highlight w:val="none"/>
              </w:rPr>
            </w:pPr>
            <w:r>
              <w:rPr>
                <w:rFonts w:hint="eastAsia" w:ascii="宋体" w:hAnsi="宋体" w:cs="宋体"/>
                <w:color w:val="auto"/>
                <w:sz w:val="21"/>
                <w:szCs w:val="21"/>
                <w:highlight w:val="none"/>
              </w:rPr>
              <w:t>住院费用管理</w:t>
            </w:r>
          </w:p>
        </w:tc>
        <w:tc>
          <w:tcPr>
            <w:tcW w:w="2615" w:type="pct"/>
            <w:vMerge w:val="continue"/>
            <w:vAlign w:val="center"/>
          </w:tcPr>
          <w:p w14:paraId="36D07FA9">
            <w:pPr>
              <w:spacing w:line="240" w:lineRule="atLeast"/>
              <w:rPr>
                <w:rFonts w:ascii="宋体" w:hAnsi="宋体" w:cs="宋体"/>
                <w:color w:val="auto"/>
                <w:sz w:val="21"/>
                <w:szCs w:val="21"/>
                <w:highlight w:val="none"/>
              </w:rPr>
            </w:pPr>
          </w:p>
        </w:tc>
      </w:tr>
      <w:tr w14:paraId="3A3F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2432573E">
            <w:pPr>
              <w:spacing w:line="240" w:lineRule="atLeast"/>
              <w:jc w:val="left"/>
              <w:rPr>
                <w:rFonts w:ascii="宋体" w:hAnsi="宋体" w:cs="宋体"/>
                <w:color w:val="auto"/>
                <w:sz w:val="21"/>
                <w:szCs w:val="21"/>
                <w:highlight w:val="none"/>
              </w:rPr>
            </w:pPr>
          </w:p>
        </w:tc>
        <w:tc>
          <w:tcPr>
            <w:tcW w:w="1198" w:type="pct"/>
            <w:shd w:val="clear" w:color="auto" w:fill="auto"/>
            <w:vAlign w:val="center"/>
          </w:tcPr>
          <w:p w14:paraId="0A6D944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第三方支付</w:t>
            </w:r>
          </w:p>
        </w:tc>
        <w:tc>
          <w:tcPr>
            <w:tcW w:w="2615" w:type="pct"/>
            <w:vMerge w:val="continue"/>
            <w:vAlign w:val="center"/>
          </w:tcPr>
          <w:p w14:paraId="72412D0A">
            <w:pPr>
              <w:spacing w:line="240" w:lineRule="atLeast"/>
              <w:rPr>
                <w:rFonts w:ascii="宋体" w:hAnsi="宋体" w:cs="宋体"/>
                <w:color w:val="auto"/>
                <w:sz w:val="21"/>
                <w:szCs w:val="21"/>
                <w:highlight w:val="none"/>
              </w:rPr>
            </w:pPr>
          </w:p>
        </w:tc>
      </w:tr>
      <w:tr w14:paraId="6D5B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231AE979">
            <w:pPr>
              <w:spacing w:line="240" w:lineRule="atLeast"/>
              <w:jc w:val="left"/>
              <w:rPr>
                <w:rFonts w:ascii="宋体" w:hAnsi="宋体" w:cs="宋体"/>
                <w:color w:val="auto"/>
                <w:sz w:val="21"/>
                <w:szCs w:val="21"/>
                <w:highlight w:val="none"/>
              </w:rPr>
            </w:pPr>
          </w:p>
        </w:tc>
        <w:tc>
          <w:tcPr>
            <w:tcW w:w="1198" w:type="pct"/>
            <w:vAlign w:val="center"/>
          </w:tcPr>
          <w:p w14:paraId="1DA21D1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信息明细查询</w:t>
            </w:r>
          </w:p>
        </w:tc>
        <w:tc>
          <w:tcPr>
            <w:tcW w:w="2615" w:type="pct"/>
            <w:vMerge w:val="continue"/>
            <w:vAlign w:val="center"/>
          </w:tcPr>
          <w:p w14:paraId="372C8882">
            <w:pPr>
              <w:spacing w:line="240" w:lineRule="atLeast"/>
              <w:rPr>
                <w:rFonts w:ascii="宋体" w:hAnsi="宋体" w:cs="宋体"/>
                <w:color w:val="auto"/>
                <w:sz w:val="21"/>
                <w:szCs w:val="21"/>
                <w:highlight w:val="none"/>
              </w:rPr>
            </w:pPr>
          </w:p>
        </w:tc>
      </w:tr>
      <w:tr w14:paraId="7787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5C3E322F">
            <w:pPr>
              <w:spacing w:line="240" w:lineRule="atLeast"/>
              <w:jc w:val="left"/>
              <w:rPr>
                <w:rFonts w:ascii="宋体" w:hAnsi="宋体" w:cs="宋体"/>
                <w:color w:val="auto"/>
                <w:sz w:val="21"/>
                <w:szCs w:val="21"/>
                <w:highlight w:val="none"/>
              </w:rPr>
            </w:pPr>
          </w:p>
        </w:tc>
        <w:tc>
          <w:tcPr>
            <w:tcW w:w="1198" w:type="pct"/>
            <w:vAlign w:val="center"/>
          </w:tcPr>
          <w:p w14:paraId="55C84F8A">
            <w:pPr>
              <w:rPr>
                <w:rFonts w:ascii="宋体" w:hAnsi="宋体" w:cs="宋体"/>
                <w:color w:val="auto"/>
                <w:sz w:val="21"/>
                <w:szCs w:val="21"/>
                <w:highlight w:val="none"/>
              </w:rPr>
            </w:pPr>
            <w:r>
              <w:rPr>
                <w:rFonts w:hint="eastAsia" w:ascii="宋体" w:hAnsi="宋体" w:cs="宋体"/>
                <w:color w:val="auto"/>
                <w:sz w:val="21"/>
                <w:szCs w:val="21"/>
                <w:highlight w:val="none"/>
              </w:rPr>
              <w:t>统计报表</w:t>
            </w:r>
          </w:p>
        </w:tc>
        <w:tc>
          <w:tcPr>
            <w:tcW w:w="2615" w:type="pct"/>
            <w:vMerge w:val="continue"/>
            <w:vAlign w:val="center"/>
          </w:tcPr>
          <w:p w14:paraId="18283015">
            <w:pPr>
              <w:spacing w:line="240" w:lineRule="atLeast"/>
              <w:rPr>
                <w:rFonts w:ascii="宋体" w:hAnsi="宋体" w:cs="宋体"/>
                <w:color w:val="auto"/>
                <w:sz w:val="21"/>
                <w:szCs w:val="21"/>
                <w:highlight w:val="none"/>
              </w:rPr>
            </w:pPr>
          </w:p>
        </w:tc>
      </w:tr>
      <w:tr w14:paraId="38E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42DFB204">
            <w:pPr>
              <w:spacing w:line="240" w:lineRule="atLeast"/>
              <w:jc w:val="left"/>
              <w:rPr>
                <w:rFonts w:ascii="宋体" w:hAnsi="宋体" w:cs="宋体"/>
                <w:color w:val="auto"/>
                <w:sz w:val="21"/>
                <w:szCs w:val="21"/>
                <w:highlight w:val="none"/>
              </w:rPr>
            </w:pPr>
          </w:p>
        </w:tc>
        <w:tc>
          <w:tcPr>
            <w:tcW w:w="1198" w:type="pct"/>
            <w:vAlign w:val="center"/>
          </w:tcPr>
          <w:p w14:paraId="312A273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52528D25">
            <w:pPr>
              <w:spacing w:line="240" w:lineRule="atLeast"/>
              <w:rPr>
                <w:rFonts w:ascii="宋体" w:hAnsi="宋体" w:cs="宋体"/>
                <w:color w:val="auto"/>
                <w:sz w:val="21"/>
                <w:szCs w:val="21"/>
                <w:highlight w:val="none"/>
              </w:rPr>
            </w:pPr>
          </w:p>
        </w:tc>
      </w:tr>
      <w:tr w14:paraId="2608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restart"/>
            <w:vAlign w:val="center"/>
          </w:tcPr>
          <w:p w14:paraId="21BFC228">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智能一卡通管理系统</w:t>
            </w:r>
          </w:p>
        </w:tc>
        <w:tc>
          <w:tcPr>
            <w:tcW w:w="1198" w:type="pct"/>
            <w:vAlign w:val="center"/>
          </w:tcPr>
          <w:p w14:paraId="542975F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卡片档案维护</w:t>
            </w:r>
          </w:p>
        </w:tc>
        <w:tc>
          <w:tcPr>
            <w:tcW w:w="2615" w:type="pct"/>
            <w:vMerge w:val="restart"/>
            <w:vAlign w:val="center"/>
          </w:tcPr>
          <w:p w14:paraId="617C2E1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院内卡注册、卡档案修改、职工卡管理、职工卡审核、就诊卡发放、就诊卡重绑、院外卡绑定、卡片挂失、就诊卡补发、就诊卡退弃、卡密码设定、卡号充值、卡号退费、发退卡记录、卡结余明细、冲退预交明细、密码修改</w:t>
            </w:r>
          </w:p>
        </w:tc>
      </w:tr>
      <w:tr w14:paraId="53D8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86" w:type="pct"/>
            <w:vMerge w:val="continue"/>
            <w:vAlign w:val="center"/>
          </w:tcPr>
          <w:p w14:paraId="24A16608">
            <w:pPr>
              <w:spacing w:line="240" w:lineRule="atLeast"/>
              <w:jc w:val="left"/>
              <w:rPr>
                <w:rFonts w:ascii="宋体" w:hAnsi="宋体" w:cs="宋体"/>
                <w:color w:val="auto"/>
                <w:sz w:val="21"/>
                <w:szCs w:val="21"/>
                <w:highlight w:val="none"/>
              </w:rPr>
            </w:pPr>
          </w:p>
        </w:tc>
        <w:tc>
          <w:tcPr>
            <w:tcW w:w="1198" w:type="pct"/>
            <w:vAlign w:val="center"/>
          </w:tcPr>
          <w:p w14:paraId="1765B59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卡片管理</w:t>
            </w:r>
          </w:p>
        </w:tc>
        <w:tc>
          <w:tcPr>
            <w:tcW w:w="2615" w:type="pct"/>
            <w:vMerge w:val="continue"/>
            <w:vAlign w:val="center"/>
          </w:tcPr>
          <w:p w14:paraId="77E0414E">
            <w:pPr>
              <w:spacing w:line="240" w:lineRule="atLeast"/>
              <w:rPr>
                <w:rFonts w:ascii="宋体" w:hAnsi="宋体" w:cs="宋体"/>
                <w:color w:val="auto"/>
                <w:sz w:val="21"/>
                <w:szCs w:val="21"/>
                <w:highlight w:val="none"/>
              </w:rPr>
            </w:pPr>
          </w:p>
        </w:tc>
      </w:tr>
      <w:tr w14:paraId="5080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04CC008C">
            <w:pPr>
              <w:spacing w:line="240" w:lineRule="atLeast"/>
              <w:jc w:val="left"/>
              <w:rPr>
                <w:rFonts w:ascii="宋体" w:hAnsi="宋体" w:cs="宋体"/>
                <w:color w:val="auto"/>
                <w:sz w:val="21"/>
                <w:szCs w:val="21"/>
                <w:highlight w:val="none"/>
              </w:rPr>
            </w:pPr>
          </w:p>
        </w:tc>
        <w:tc>
          <w:tcPr>
            <w:tcW w:w="1198" w:type="pct"/>
            <w:vAlign w:val="center"/>
          </w:tcPr>
          <w:p w14:paraId="1EE790A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费用管理</w:t>
            </w:r>
          </w:p>
        </w:tc>
        <w:tc>
          <w:tcPr>
            <w:tcW w:w="2615" w:type="pct"/>
            <w:vMerge w:val="continue"/>
            <w:vAlign w:val="center"/>
          </w:tcPr>
          <w:p w14:paraId="04B22513">
            <w:pPr>
              <w:spacing w:line="240" w:lineRule="atLeast"/>
              <w:rPr>
                <w:rFonts w:ascii="宋体" w:hAnsi="宋体" w:cs="宋体"/>
                <w:color w:val="auto"/>
                <w:sz w:val="21"/>
                <w:szCs w:val="21"/>
                <w:highlight w:val="none"/>
              </w:rPr>
            </w:pPr>
          </w:p>
        </w:tc>
      </w:tr>
      <w:tr w14:paraId="76B3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6" w:type="pct"/>
            <w:vMerge w:val="continue"/>
            <w:vAlign w:val="center"/>
          </w:tcPr>
          <w:p w14:paraId="563921B4">
            <w:pPr>
              <w:spacing w:line="240" w:lineRule="atLeast"/>
              <w:jc w:val="left"/>
              <w:rPr>
                <w:rFonts w:ascii="宋体" w:hAnsi="宋体" w:cs="宋体"/>
                <w:color w:val="auto"/>
                <w:sz w:val="21"/>
                <w:szCs w:val="21"/>
                <w:highlight w:val="none"/>
              </w:rPr>
            </w:pPr>
          </w:p>
        </w:tc>
        <w:tc>
          <w:tcPr>
            <w:tcW w:w="1198" w:type="pct"/>
            <w:vAlign w:val="center"/>
          </w:tcPr>
          <w:p w14:paraId="74C1CA0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2615" w:type="pct"/>
            <w:vMerge w:val="continue"/>
            <w:vAlign w:val="center"/>
          </w:tcPr>
          <w:p w14:paraId="622BE4DE">
            <w:pPr>
              <w:spacing w:line="240" w:lineRule="atLeast"/>
              <w:rPr>
                <w:rFonts w:ascii="宋体" w:hAnsi="宋体" w:cs="宋体"/>
                <w:color w:val="auto"/>
                <w:sz w:val="21"/>
                <w:szCs w:val="21"/>
                <w:highlight w:val="none"/>
              </w:rPr>
            </w:pPr>
          </w:p>
        </w:tc>
      </w:tr>
      <w:tr w14:paraId="5549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86" w:type="pct"/>
            <w:vMerge w:val="continue"/>
            <w:vAlign w:val="center"/>
          </w:tcPr>
          <w:p w14:paraId="4D3CA12D">
            <w:pPr>
              <w:spacing w:line="240" w:lineRule="atLeast"/>
              <w:jc w:val="left"/>
              <w:rPr>
                <w:rFonts w:ascii="宋体" w:hAnsi="宋体" w:cs="宋体"/>
                <w:color w:val="auto"/>
                <w:sz w:val="21"/>
                <w:szCs w:val="21"/>
                <w:highlight w:val="none"/>
              </w:rPr>
            </w:pPr>
          </w:p>
        </w:tc>
        <w:tc>
          <w:tcPr>
            <w:tcW w:w="1198" w:type="pct"/>
            <w:vAlign w:val="center"/>
          </w:tcPr>
          <w:p w14:paraId="394188C5">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7B3BB6BD">
            <w:pPr>
              <w:spacing w:line="240" w:lineRule="atLeast"/>
              <w:rPr>
                <w:rFonts w:ascii="宋体" w:hAnsi="宋体" w:cs="宋体"/>
                <w:color w:val="auto"/>
                <w:sz w:val="21"/>
                <w:szCs w:val="21"/>
                <w:highlight w:val="none"/>
              </w:rPr>
            </w:pPr>
          </w:p>
        </w:tc>
      </w:tr>
      <w:tr w14:paraId="13A3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restart"/>
            <w:vAlign w:val="center"/>
          </w:tcPr>
          <w:p w14:paraId="03025BAA">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住院护士工作站系统</w:t>
            </w:r>
          </w:p>
        </w:tc>
        <w:tc>
          <w:tcPr>
            <w:tcW w:w="1198" w:type="pct"/>
            <w:vAlign w:val="center"/>
          </w:tcPr>
          <w:p w14:paraId="7DE7E83C">
            <w:pPr>
              <w:rPr>
                <w:rFonts w:ascii="宋体" w:hAnsi="宋体" w:cs="宋体"/>
                <w:color w:val="auto"/>
                <w:sz w:val="21"/>
                <w:szCs w:val="21"/>
                <w:highlight w:val="none"/>
              </w:rPr>
            </w:pPr>
            <w:r>
              <w:rPr>
                <w:rFonts w:hint="eastAsia" w:ascii="宋体" w:hAnsi="宋体" w:cs="宋体"/>
                <w:color w:val="auto"/>
                <w:sz w:val="21"/>
                <w:szCs w:val="21"/>
                <w:highlight w:val="none"/>
              </w:rPr>
              <w:t>床位管理</w:t>
            </w:r>
          </w:p>
        </w:tc>
        <w:tc>
          <w:tcPr>
            <w:tcW w:w="2615" w:type="pct"/>
            <w:vMerge w:val="restart"/>
            <w:vAlign w:val="center"/>
          </w:tcPr>
          <w:p w14:paraId="1F493C08">
            <w:pPr>
              <w:pStyle w:val="2"/>
              <w:rPr>
                <w:rFonts w:ascii="宋体" w:hAnsi="宋体" w:cs="宋体"/>
                <w:color w:val="auto"/>
                <w:sz w:val="21"/>
                <w:szCs w:val="21"/>
                <w:highlight w:val="none"/>
              </w:rPr>
            </w:pPr>
            <w:r>
              <w:rPr>
                <w:rFonts w:hint="eastAsia" w:ascii="宋体" w:hAnsi="宋体" w:cs="宋体"/>
                <w:b w:val="0"/>
                <w:bCs w:val="0"/>
                <w:color w:val="auto"/>
                <w:sz w:val="21"/>
                <w:szCs w:val="21"/>
                <w:highlight w:val="none"/>
              </w:rPr>
              <w:t>床位安排、床位调换、床位使用情况、转科申请审批、医嘱记账、医嘱审核、单据输出、处方领药、病区卫材划价、科室卫材下库存、出院申请、皮试结果、母子号、护理级别、护理计划、护理记录单录入、三测单录入、输血护理、执行明细、执行明细修改、护理病历文书、患者记账、凭证补打、诊疗项目退费、退药申请、材料退费、自动记账、医嘱备药、备药库存、床位使用、转床情况、医嘱查询、医嘱执行、护理计划、皮试结果、检验申请单、患者信息、记账明细、欠费患者、住院处方明细、费用日清单、患者费用、预交金、记账明细、科室收入、护理计划、管床区域、登录科室、密码维护</w:t>
            </w:r>
          </w:p>
        </w:tc>
      </w:tr>
      <w:tr w14:paraId="74BD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1D9FA4A8">
            <w:pPr>
              <w:spacing w:line="240" w:lineRule="atLeast"/>
              <w:jc w:val="center"/>
              <w:rPr>
                <w:rFonts w:ascii="宋体" w:hAnsi="宋体" w:cs="宋体"/>
                <w:color w:val="auto"/>
                <w:sz w:val="21"/>
                <w:szCs w:val="21"/>
                <w:highlight w:val="none"/>
              </w:rPr>
            </w:pPr>
          </w:p>
        </w:tc>
        <w:tc>
          <w:tcPr>
            <w:tcW w:w="1198" w:type="pct"/>
            <w:vAlign w:val="center"/>
          </w:tcPr>
          <w:p w14:paraId="29C1639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医嘱管理</w:t>
            </w:r>
          </w:p>
        </w:tc>
        <w:tc>
          <w:tcPr>
            <w:tcW w:w="2615" w:type="pct"/>
            <w:vMerge w:val="continue"/>
            <w:vAlign w:val="center"/>
          </w:tcPr>
          <w:p w14:paraId="328C7553">
            <w:pPr>
              <w:spacing w:line="240" w:lineRule="atLeast"/>
              <w:rPr>
                <w:rFonts w:ascii="宋体" w:hAnsi="宋体" w:cs="宋体"/>
                <w:color w:val="auto"/>
                <w:sz w:val="21"/>
                <w:szCs w:val="21"/>
                <w:highlight w:val="none"/>
              </w:rPr>
            </w:pPr>
          </w:p>
        </w:tc>
      </w:tr>
      <w:tr w14:paraId="6A1D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69434987">
            <w:pPr>
              <w:spacing w:line="240" w:lineRule="atLeast"/>
              <w:jc w:val="center"/>
              <w:rPr>
                <w:rFonts w:ascii="宋体" w:hAnsi="宋体" w:cs="宋体"/>
                <w:color w:val="auto"/>
                <w:sz w:val="21"/>
                <w:szCs w:val="21"/>
                <w:highlight w:val="none"/>
              </w:rPr>
            </w:pPr>
          </w:p>
        </w:tc>
        <w:tc>
          <w:tcPr>
            <w:tcW w:w="1198" w:type="pct"/>
            <w:vAlign w:val="center"/>
          </w:tcPr>
          <w:p w14:paraId="435C3021">
            <w:pPr>
              <w:rPr>
                <w:rFonts w:ascii="宋体" w:hAnsi="宋体" w:cs="宋体"/>
                <w:color w:val="auto"/>
                <w:sz w:val="21"/>
                <w:szCs w:val="21"/>
                <w:highlight w:val="none"/>
              </w:rPr>
            </w:pPr>
            <w:r>
              <w:rPr>
                <w:rFonts w:hint="eastAsia" w:ascii="宋体" w:hAnsi="宋体" w:cs="宋体"/>
                <w:color w:val="auto"/>
                <w:sz w:val="21"/>
                <w:szCs w:val="21"/>
                <w:highlight w:val="none"/>
              </w:rPr>
              <w:t>护理管理</w:t>
            </w:r>
          </w:p>
        </w:tc>
        <w:tc>
          <w:tcPr>
            <w:tcW w:w="2615" w:type="pct"/>
            <w:vMerge w:val="continue"/>
            <w:vAlign w:val="center"/>
          </w:tcPr>
          <w:p w14:paraId="08468117">
            <w:pPr>
              <w:spacing w:line="240" w:lineRule="atLeast"/>
              <w:rPr>
                <w:rFonts w:ascii="宋体" w:hAnsi="宋体" w:cs="宋体"/>
                <w:color w:val="auto"/>
                <w:sz w:val="21"/>
                <w:szCs w:val="21"/>
                <w:highlight w:val="none"/>
              </w:rPr>
            </w:pPr>
          </w:p>
        </w:tc>
      </w:tr>
      <w:tr w14:paraId="0217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7F213B85">
            <w:pPr>
              <w:spacing w:line="240" w:lineRule="atLeast"/>
              <w:jc w:val="center"/>
              <w:rPr>
                <w:rFonts w:ascii="宋体" w:hAnsi="宋体" w:cs="宋体"/>
                <w:color w:val="auto"/>
                <w:sz w:val="21"/>
                <w:szCs w:val="21"/>
                <w:highlight w:val="none"/>
              </w:rPr>
            </w:pPr>
          </w:p>
        </w:tc>
        <w:tc>
          <w:tcPr>
            <w:tcW w:w="1198" w:type="pct"/>
            <w:vAlign w:val="center"/>
          </w:tcPr>
          <w:p w14:paraId="79F8AE7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费用管理</w:t>
            </w:r>
          </w:p>
        </w:tc>
        <w:tc>
          <w:tcPr>
            <w:tcW w:w="2615" w:type="pct"/>
            <w:vMerge w:val="continue"/>
            <w:vAlign w:val="center"/>
          </w:tcPr>
          <w:p w14:paraId="35470709">
            <w:pPr>
              <w:spacing w:line="240" w:lineRule="atLeast"/>
              <w:rPr>
                <w:rFonts w:ascii="宋体" w:hAnsi="宋体" w:cs="宋体"/>
                <w:color w:val="auto"/>
                <w:sz w:val="21"/>
                <w:szCs w:val="21"/>
                <w:highlight w:val="none"/>
              </w:rPr>
            </w:pPr>
          </w:p>
        </w:tc>
      </w:tr>
      <w:tr w14:paraId="725C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52562D34">
            <w:pPr>
              <w:spacing w:line="240" w:lineRule="atLeast"/>
              <w:jc w:val="center"/>
              <w:rPr>
                <w:rFonts w:ascii="宋体" w:hAnsi="宋体" w:cs="宋体"/>
                <w:color w:val="auto"/>
                <w:sz w:val="21"/>
                <w:szCs w:val="21"/>
                <w:highlight w:val="none"/>
              </w:rPr>
            </w:pPr>
          </w:p>
        </w:tc>
        <w:tc>
          <w:tcPr>
            <w:tcW w:w="1198" w:type="pct"/>
            <w:vAlign w:val="center"/>
          </w:tcPr>
          <w:p w14:paraId="58AB63E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材料管理</w:t>
            </w:r>
          </w:p>
        </w:tc>
        <w:tc>
          <w:tcPr>
            <w:tcW w:w="2615" w:type="pct"/>
            <w:vMerge w:val="continue"/>
            <w:vAlign w:val="center"/>
          </w:tcPr>
          <w:p w14:paraId="772ABE53">
            <w:pPr>
              <w:spacing w:line="240" w:lineRule="atLeast"/>
              <w:rPr>
                <w:rFonts w:ascii="宋体" w:hAnsi="宋体" w:cs="宋体"/>
                <w:color w:val="auto"/>
                <w:sz w:val="21"/>
                <w:szCs w:val="21"/>
                <w:highlight w:val="none"/>
              </w:rPr>
            </w:pPr>
          </w:p>
        </w:tc>
      </w:tr>
      <w:tr w14:paraId="5B73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1FCCCE32">
            <w:pPr>
              <w:spacing w:line="240" w:lineRule="atLeast"/>
              <w:jc w:val="center"/>
              <w:rPr>
                <w:rFonts w:ascii="宋体" w:hAnsi="宋体" w:cs="宋体"/>
                <w:color w:val="auto"/>
                <w:sz w:val="21"/>
                <w:szCs w:val="21"/>
                <w:highlight w:val="none"/>
              </w:rPr>
            </w:pPr>
          </w:p>
        </w:tc>
        <w:tc>
          <w:tcPr>
            <w:tcW w:w="1198" w:type="pct"/>
            <w:vAlign w:val="center"/>
          </w:tcPr>
          <w:p w14:paraId="20D6E9D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2615" w:type="pct"/>
            <w:vMerge w:val="continue"/>
            <w:vAlign w:val="center"/>
          </w:tcPr>
          <w:p w14:paraId="08B89E03">
            <w:pPr>
              <w:spacing w:line="240" w:lineRule="atLeast"/>
              <w:rPr>
                <w:rFonts w:ascii="宋体" w:hAnsi="宋体" w:cs="宋体"/>
                <w:color w:val="auto"/>
                <w:sz w:val="21"/>
                <w:szCs w:val="21"/>
                <w:highlight w:val="none"/>
              </w:rPr>
            </w:pPr>
          </w:p>
        </w:tc>
      </w:tr>
      <w:tr w14:paraId="4603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86" w:type="pct"/>
            <w:vMerge w:val="continue"/>
            <w:vAlign w:val="center"/>
          </w:tcPr>
          <w:p w14:paraId="7AF8F165">
            <w:pPr>
              <w:spacing w:line="240" w:lineRule="atLeast"/>
              <w:jc w:val="center"/>
              <w:rPr>
                <w:rFonts w:ascii="宋体" w:hAnsi="宋体" w:cs="宋体"/>
                <w:color w:val="auto"/>
                <w:sz w:val="21"/>
                <w:szCs w:val="21"/>
                <w:highlight w:val="none"/>
              </w:rPr>
            </w:pPr>
          </w:p>
        </w:tc>
        <w:tc>
          <w:tcPr>
            <w:tcW w:w="1198" w:type="pct"/>
            <w:vAlign w:val="center"/>
          </w:tcPr>
          <w:p w14:paraId="1BF1210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信息统计</w:t>
            </w:r>
          </w:p>
        </w:tc>
        <w:tc>
          <w:tcPr>
            <w:tcW w:w="2615" w:type="pct"/>
            <w:vMerge w:val="continue"/>
            <w:vAlign w:val="center"/>
          </w:tcPr>
          <w:p w14:paraId="00BB937E">
            <w:pPr>
              <w:spacing w:line="240" w:lineRule="atLeast"/>
              <w:rPr>
                <w:rFonts w:ascii="宋体" w:hAnsi="宋体" w:cs="宋体"/>
                <w:color w:val="auto"/>
                <w:sz w:val="21"/>
                <w:szCs w:val="21"/>
                <w:highlight w:val="none"/>
              </w:rPr>
            </w:pPr>
          </w:p>
        </w:tc>
      </w:tr>
      <w:tr w14:paraId="5697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186" w:type="pct"/>
            <w:vMerge w:val="continue"/>
            <w:vAlign w:val="center"/>
          </w:tcPr>
          <w:p w14:paraId="51650EF8">
            <w:pPr>
              <w:spacing w:line="240" w:lineRule="atLeast"/>
              <w:jc w:val="center"/>
              <w:rPr>
                <w:rFonts w:ascii="宋体" w:hAnsi="宋体" w:cs="宋体"/>
                <w:color w:val="auto"/>
                <w:sz w:val="21"/>
                <w:szCs w:val="21"/>
                <w:highlight w:val="none"/>
              </w:rPr>
            </w:pPr>
          </w:p>
        </w:tc>
        <w:tc>
          <w:tcPr>
            <w:tcW w:w="1198" w:type="pct"/>
            <w:vAlign w:val="center"/>
          </w:tcPr>
          <w:p w14:paraId="259D1EA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4E00CC65">
            <w:pPr>
              <w:spacing w:line="240" w:lineRule="atLeast"/>
              <w:rPr>
                <w:rFonts w:ascii="宋体" w:hAnsi="宋体" w:cs="宋体"/>
                <w:color w:val="auto"/>
                <w:sz w:val="21"/>
                <w:szCs w:val="21"/>
                <w:highlight w:val="none"/>
              </w:rPr>
            </w:pPr>
          </w:p>
        </w:tc>
      </w:tr>
      <w:tr w14:paraId="30D4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6" w:type="pct"/>
            <w:vMerge w:val="restart"/>
            <w:vAlign w:val="center"/>
          </w:tcPr>
          <w:p w14:paraId="2AEF086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手术室信息管理系统</w:t>
            </w:r>
          </w:p>
        </w:tc>
        <w:tc>
          <w:tcPr>
            <w:tcW w:w="1198" w:type="pct"/>
            <w:vAlign w:val="center"/>
          </w:tcPr>
          <w:p w14:paraId="6D39B3DF">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病历审阅</w:t>
            </w:r>
          </w:p>
        </w:tc>
        <w:tc>
          <w:tcPr>
            <w:tcW w:w="2615" w:type="pct"/>
            <w:vMerge w:val="restart"/>
            <w:vAlign w:val="center"/>
          </w:tcPr>
          <w:p w14:paraId="4DC80ED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病历调阅、护理记录查看、住院手术申请、住院手术安排、术前麻醉访视记录、住院手术撤销、麻醉记录、手术风险评估、术后麻醉随访记录、手术费用记账、手术医嘱记账、诊疗项目退费、退药申请、麻醉方式手术风险评估记录单、输血申请单、医嘱执行明细、医嘱执行明细修改、病人信息查询、住院处方领药、记账明细查询、住院费用日清单、欠费病人清单、手术室使用情况、领药汇总、记账统计汇总、手术风险评估统计、手术安排统计、密码维护、手术器械维护、手术间维护、麻醉方式维护、手术器械管理</w:t>
            </w:r>
          </w:p>
        </w:tc>
      </w:tr>
      <w:tr w14:paraId="64D8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6B73F44F">
            <w:pPr>
              <w:spacing w:line="240" w:lineRule="atLeast"/>
              <w:jc w:val="center"/>
              <w:rPr>
                <w:rFonts w:ascii="宋体" w:hAnsi="宋体" w:cs="宋体"/>
                <w:color w:val="auto"/>
                <w:sz w:val="21"/>
                <w:szCs w:val="21"/>
                <w:highlight w:val="none"/>
              </w:rPr>
            </w:pPr>
          </w:p>
        </w:tc>
        <w:tc>
          <w:tcPr>
            <w:tcW w:w="1198" w:type="pct"/>
            <w:vAlign w:val="center"/>
          </w:tcPr>
          <w:p w14:paraId="1B42C9D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术前业务</w:t>
            </w:r>
          </w:p>
        </w:tc>
        <w:tc>
          <w:tcPr>
            <w:tcW w:w="2615" w:type="pct"/>
            <w:vMerge w:val="continue"/>
            <w:vAlign w:val="center"/>
          </w:tcPr>
          <w:p w14:paraId="4C42B59F">
            <w:pPr>
              <w:spacing w:line="240" w:lineRule="atLeast"/>
              <w:rPr>
                <w:rFonts w:ascii="宋体" w:hAnsi="宋体" w:cs="宋体"/>
                <w:color w:val="auto"/>
                <w:sz w:val="21"/>
                <w:szCs w:val="21"/>
                <w:highlight w:val="none"/>
              </w:rPr>
            </w:pPr>
          </w:p>
        </w:tc>
      </w:tr>
      <w:tr w14:paraId="7F3B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86" w:type="pct"/>
            <w:vMerge w:val="continue"/>
            <w:vAlign w:val="center"/>
          </w:tcPr>
          <w:p w14:paraId="12BB9FC0">
            <w:pPr>
              <w:spacing w:line="240" w:lineRule="atLeast"/>
              <w:jc w:val="center"/>
              <w:rPr>
                <w:rFonts w:ascii="宋体" w:hAnsi="宋体" w:cs="宋体"/>
                <w:color w:val="auto"/>
                <w:sz w:val="21"/>
                <w:szCs w:val="21"/>
                <w:highlight w:val="none"/>
              </w:rPr>
            </w:pPr>
          </w:p>
        </w:tc>
        <w:tc>
          <w:tcPr>
            <w:tcW w:w="1198" w:type="pct"/>
            <w:vAlign w:val="center"/>
          </w:tcPr>
          <w:p w14:paraId="625F5E6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术中业务</w:t>
            </w:r>
          </w:p>
        </w:tc>
        <w:tc>
          <w:tcPr>
            <w:tcW w:w="2615" w:type="pct"/>
            <w:vMerge w:val="continue"/>
            <w:vAlign w:val="center"/>
          </w:tcPr>
          <w:p w14:paraId="21414C3E">
            <w:pPr>
              <w:spacing w:line="240" w:lineRule="atLeast"/>
              <w:rPr>
                <w:rFonts w:ascii="宋体" w:hAnsi="宋体" w:cs="宋体"/>
                <w:color w:val="auto"/>
                <w:sz w:val="21"/>
                <w:szCs w:val="21"/>
                <w:highlight w:val="none"/>
              </w:rPr>
            </w:pPr>
          </w:p>
        </w:tc>
      </w:tr>
      <w:tr w14:paraId="5C56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86" w:type="pct"/>
            <w:vMerge w:val="continue"/>
            <w:vAlign w:val="center"/>
          </w:tcPr>
          <w:p w14:paraId="72155C2F">
            <w:pPr>
              <w:spacing w:line="240" w:lineRule="atLeast"/>
              <w:jc w:val="center"/>
              <w:rPr>
                <w:rFonts w:ascii="宋体" w:hAnsi="宋体" w:cs="宋体"/>
                <w:color w:val="auto"/>
                <w:sz w:val="21"/>
                <w:szCs w:val="21"/>
                <w:highlight w:val="none"/>
              </w:rPr>
            </w:pPr>
          </w:p>
        </w:tc>
        <w:tc>
          <w:tcPr>
            <w:tcW w:w="1198" w:type="pct"/>
            <w:vAlign w:val="center"/>
          </w:tcPr>
          <w:p w14:paraId="74EF95C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术后业务</w:t>
            </w:r>
          </w:p>
        </w:tc>
        <w:tc>
          <w:tcPr>
            <w:tcW w:w="2615" w:type="pct"/>
            <w:vMerge w:val="continue"/>
            <w:vAlign w:val="center"/>
          </w:tcPr>
          <w:p w14:paraId="52EED274">
            <w:pPr>
              <w:spacing w:line="240" w:lineRule="atLeast"/>
              <w:rPr>
                <w:rFonts w:ascii="宋体" w:hAnsi="宋体" w:cs="宋体"/>
                <w:color w:val="auto"/>
                <w:sz w:val="21"/>
                <w:szCs w:val="21"/>
                <w:highlight w:val="none"/>
              </w:rPr>
            </w:pPr>
          </w:p>
        </w:tc>
      </w:tr>
      <w:tr w14:paraId="616C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86" w:type="pct"/>
            <w:vMerge w:val="continue"/>
            <w:vAlign w:val="center"/>
          </w:tcPr>
          <w:p w14:paraId="292EC801">
            <w:pPr>
              <w:spacing w:line="240" w:lineRule="atLeast"/>
              <w:jc w:val="center"/>
              <w:rPr>
                <w:rFonts w:ascii="宋体" w:hAnsi="宋体" w:cs="宋体"/>
                <w:color w:val="auto"/>
                <w:sz w:val="21"/>
                <w:szCs w:val="21"/>
                <w:highlight w:val="none"/>
              </w:rPr>
            </w:pPr>
          </w:p>
        </w:tc>
        <w:tc>
          <w:tcPr>
            <w:tcW w:w="1198" w:type="pct"/>
            <w:vAlign w:val="center"/>
          </w:tcPr>
          <w:p w14:paraId="6C3D495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费用管理</w:t>
            </w:r>
          </w:p>
        </w:tc>
        <w:tc>
          <w:tcPr>
            <w:tcW w:w="2615" w:type="pct"/>
            <w:vMerge w:val="continue"/>
            <w:vAlign w:val="center"/>
          </w:tcPr>
          <w:p w14:paraId="605D03E2">
            <w:pPr>
              <w:spacing w:line="240" w:lineRule="atLeast"/>
              <w:rPr>
                <w:rFonts w:ascii="宋体" w:hAnsi="宋体" w:cs="宋体"/>
                <w:color w:val="auto"/>
                <w:sz w:val="21"/>
                <w:szCs w:val="21"/>
                <w:highlight w:val="none"/>
              </w:rPr>
            </w:pPr>
          </w:p>
        </w:tc>
      </w:tr>
      <w:tr w14:paraId="136A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86" w:type="pct"/>
            <w:vMerge w:val="continue"/>
            <w:vAlign w:val="center"/>
          </w:tcPr>
          <w:p w14:paraId="6CFDDBCB">
            <w:pPr>
              <w:spacing w:line="240" w:lineRule="atLeast"/>
              <w:jc w:val="center"/>
              <w:rPr>
                <w:rFonts w:ascii="宋体" w:hAnsi="宋体" w:cs="宋体"/>
                <w:color w:val="auto"/>
                <w:sz w:val="21"/>
                <w:szCs w:val="21"/>
                <w:highlight w:val="none"/>
              </w:rPr>
            </w:pPr>
          </w:p>
        </w:tc>
        <w:tc>
          <w:tcPr>
            <w:tcW w:w="1198" w:type="pct"/>
            <w:vAlign w:val="center"/>
          </w:tcPr>
          <w:p w14:paraId="1D26600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护理管理</w:t>
            </w:r>
          </w:p>
        </w:tc>
        <w:tc>
          <w:tcPr>
            <w:tcW w:w="2615" w:type="pct"/>
            <w:vMerge w:val="continue"/>
            <w:vAlign w:val="center"/>
          </w:tcPr>
          <w:p w14:paraId="42F434A6">
            <w:pPr>
              <w:spacing w:line="240" w:lineRule="atLeast"/>
              <w:rPr>
                <w:rFonts w:ascii="宋体" w:hAnsi="宋体" w:cs="宋体"/>
                <w:color w:val="auto"/>
                <w:sz w:val="21"/>
                <w:szCs w:val="21"/>
                <w:highlight w:val="none"/>
              </w:rPr>
            </w:pPr>
          </w:p>
        </w:tc>
      </w:tr>
      <w:tr w14:paraId="672E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86" w:type="pct"/>
            <w:vMerge w:val="continue"/>
            <w:vAlign w:val="center"/>
          </w:tcPr>
          <w:p w14:paraId="55660959">
            <w:pPr>
              <w:spacing w:line="240" w:lineRule="atLeast"/>
              <w:jc w:val="center"/>
              <w:rPr>
                <w:rFonts w:ascii="宋体" w:hAnsi="宋体" w:cs="宋体"/>
                <w:color w:val="auto"/>
                <w:sz w:val="21"/>
                <w:szCs w:val="21"/>
                <w:highlight w:val="none"/>
              </w:rPr>
            </w:pPr>
          </w:p>
        </w:tc>
        <w:tc>
          <w:tcPr>
            <w:tcW w:w="1198" w:type="pct"/>
            <w:vAlign w:val="center"/>
          </w:tcPr>
          <w:p w14:paraId="768A8AF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2615" w:type="pct"/>
            <w:vMerge w:val="continue"/>
            <w:vAlign w:val="center"/>
          </w:tcPr>
          <w:p w14:paraId="1D980D8B">
            <w:pPr>
              <w:spacing w:line="240" w:lineRule="atLeast"/>
              <w:rPr>
                <w:rFonts w:ascii="宋体" w:hAnsi="宋体" w:cs="宋体"/>
                <w:color w:val="auto"/>
                <w:sz w:val="21"/>
                <w:szCs w:val="21"/>
                <w:highlight w:val="none"/>
              </w:rPr>
            </w:pPr>
          </w:p>
        </w:tc>
      </w:tr>
      <w:tr w14:paraId="7067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86" w:type="pct"/>
            <w:vMerge w:val="continue"/>
            <w:vAlign w:val="center"/>
          </w:tcPr>
          <w:p w14:paraId="3059B784">
            <w:pPr>
              <w:spacing w:line="240" w:lineRule="atLeast"/>
              <w:jc w:val="center"/>
              <w:rPr>
                <w:rFonts w:ascii="宋体" w:hAnsi="宋体" w:cs="宋体"/>
                <w:color w:val="auto"/>
                <w:sz w:val="21"/>
                <w:szCs w:val="21"/>
                <w:highlight w:val="none"/>
              </w:rPr>
            </w:pPr>
          </w:p>
        </w:tc>
        <w:tc>
          <w:tcPr>
            <w:tcW w:w="1198" w:type="pct"/>
            <w:vAlign w:val="center"/>
          </w:tcPr>
          <w:p w14:paraId="3638BF3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统计报表</w:t>
            </w:r>
          </w:p>
        </w:tc>
        <w:tc>
          <w:tcPr>
            <w:tcW w:w="2615" w:type="pct"/>
            <w:vMerge w:val="continue"/>
            <w:vAlign w:val="center"/>
          </w:tcPr>
          <w:p w14:paraId="514DAE60">
            <w:pPr>
              <w:spacing w:line="240" w:lineRule="atLeast"/>
              <w:rPr>
                <w:rFonts w:ascii="宋体" w:hAnsi="宋体" w:cs="宋体"/>
                <w:color w:val="auto"/>
                <w:sz w:val="21"/>
                <w:szCs w:val="21"/>
                <w:highlight w:val="none"/>
              </w:rPr>
            </w:pPr>
          </w:p>
        </w:tc>
      </w:tr>
      <w:tr w14:paraId="30E5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86" w:type="pct"/>
            <w:vMerge w:val="continue"/>
            <w:vAlign w:val="center"/>
          </w:tcPr>
          <w:p w14:paraId="35B5B9E2">
            <w:pPr>
              <w:spacing w:line="240" w:lineRule="atLeast"/>
              <w:jc w:val="center"/>
              <w:rPr>
                <w:rFonts w:ascii="宋体" w:hAnsi="宋体" w:cs="宋体"/>
                <w:color w:val="auto"/>
                <w:sz w:val="21"/>
                <w:szCs w:val="21"/>
                <w:highlight w:val="none"/>
              </w:rPr>
            </w:pPr>
          </w:p>
        </w:tc>
        <w:tc>
          <w:tcPr>
            <w:tcW w:w="1198" w:type="pct"/>
            <w:vAlign w:val="center"/>
          </w:tcPr>
          <w:p w14:paraId="7168150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2BE010FB">
            <w:pPr>
              <w:spacing w:line="240" w:lineRule="atLeast"/>
              <w:rPr>
                <w:rFonts w:ascii="宋体" w:hAnsi="宋体" w:cs="宋体"/>
                <w:color w:val="auto"/>
                <w:sz w:val="21"/>
                <w:szCs w:val="21"/>
                <w:highlight w:val="none"/>
              </w:rPr>
            </w:pPr>
          </w:p>
        </w:tc>
      </w:tr>
      <w:tr w14:paraId="35DF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6" w:type="pct"/>
            <w:vMerge w:val="restart"/>
            <w:vAlign w:val="center"/>
          </w:tcPr>
          <w:p w14:paraId="0541FB8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病案信息管理系统</w:t>
            </w:r>
          </w:p>
        </w:tc>
        <w:tc>
          <w:tcPr>
            <w:tcW w:w="1198" w:type="pct"/>
            <w:vAlign w:val="center"/>
          </w:tcPr>
          <w:p w14:paraId="455D9FC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信息登记</w:t>
            </w:r>
          </w:p>
        </w:tc>
        <w:tc>
          <w:tcPr>
            <w:tcW w:w="2615" w:type="pct"/>
            <w:vMerge w:val="restart"/>
            <w:vAlign w:val="center"/>
          </w:tcPr>
          <w:p w14:paraId="2104F83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死亡及尸检、陕西病案首页维护、死亡及尸检查询、病例数据重新提取、病例催交、病案归档录入查询、病案首页打印、原始数据信息月统计、医院出院患者入院病情评估及来源月报表、医院住院病人急诊入院、转院入院患者离院方式分析报表、分科住院病人收入月报表、医院手术情况月报表、医院门、急诊工作统计月报表、医院住院病人动态月报表、台账报表统计、医院住院病人动态统计台账、医院出院患者入院病情评估及来源统计台账、医院住院病人急诊入院、转院入院患者离院方式分析台账、分科住院病人收入统计台账、医院手术情况统计台账、医院门、急诊工作统计台账、临床科室工作量统计、全院医技病床使用及经费收支统计、前20种手术治疗费用统计、前20种疾病治疗费用统计、医院出院病人疾病分类转归统计、医院医疗诊断质量月报表、医院部分病种住院医疗费用统计、原始数据信息日统计、疾病分类费用排行、重点手术数据统计、重点疾病数据统计、人员维护、角色分配、科室床位维护、系统管理、疾病库维护、系统用户配</w:t>
            </w:r>
            <w:r>
              <w:rPr>
                <w:rFonts w:hint="eastAsia" w:ascii="宋体" w:hAnsi="宋体" w:cs="宋体"/>
                <w:color w:val="auto"/>
                <w:sz w:val="21"/>
                <w:szCs w:val="21"/>
                <w:highlight w:val="none"/>
              </w:rPr>
              <w:t>置、通讯连接配置、字典参数设置、工具栏菜单配置</w:t>
            </w:r>
          </w:p>
        </w:tc>
      </w:tr>
      <w:tr w14:paraId="1E86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6" w:type="pct"/>
            <w:vMerge w:val="continue"/>
            <w:vAlign w:val="center"/>
          </w:tcPr>
          <w:p w14:paraId="7888002C">
            <w:pPr>
              <w:spacing w:line="240" w:lineRule="atLeast"/>
              <w:jc w:val="center"/>
              <w:rPr>
                <w:rFonts w:ascii="宋体" w:hAnsi="宋体" w:cs="宋体"/>
                <w:color w:val="auto"/>
                <w:sz w:val="21"/>
                <w:szCs w:val="21"/>
                <w:highlight w:val="none"/>
              </w:rPr>
            </w:pPr>
          </w:p>
        </w:tc>
        <w:tc>
          <w:tcPr>
            <w:tcW w:w="1198" w:type="pct"/>
            <w:vAlign w:val="center"/>
          </w:tcPr>
          <w:p w14:paraId="057DDFF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2615" w:type="pct"/>
            <w:vMerge w:val="continue"/>
            <w:vAlign w:val="center"/>
          </w:tcPr>
          <w:p w14:paraId="5486E456">
            <w:pPr>
              <w:spacing w:line="240" w:lineRule="atLeast"/>
              <w:rPr>
                <w:rFonts w:ascii="宋体" w:hAnsi="宋体" w:cs="宋体"/>
                <w:color w:val="auto"/>
                <w:sz w:val="21"/>
                <w:szCs w:val="21"/>
                <w:highlight w:val="none"/>
              </w:rPr>
            </w:pPr>
          </w:p>
        </w:tc>
      </w:tr>
      <w:tr w14:paraId="4F42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6" w:type="pct"/>
            <w:vMerge w:val="continue"/>
            <w:vAlign w:val="center"/>
          </w:tcPr>
          <w:p w14:paraId="26FCC5A1">
            <w:pPr>
              <w:spacing w:line="240" w:lineRule="atLeast"/>
              <w:jc w:val="center"/>
              <w:rPr>
                <w:rFonts w:ascii="宋体" w:hAnsi="宋体" w:cs="宋体"/>
                <w:color w:val="auto"/>
                <w:sz w:val="21"/>
                <w:szCs w:val="21"/>
                <w:highlight w:val="none"/>
              </w:rPr>
            </w:pPr>
          </w:p>
        </w:tc>
        <w:tc>
          <w:tcPr>
            <w:tcW w:w="1198" w:type="pct"/>
            <w:vAlign w:val="center"/>
          </w:tcPr>
          <w:p w14:paraId="4CD768A5">
            <w:pPr>
              <w:rPr>
                <w:rFonts w:ascii="宋体" w:hAnsi="宋体" w:cs="宋体"/>
                <w:color w:val="auto"/>
                <w:sz w:val="21"/>
                <w:szCs w:val="21"/>
                <w:highlight w:val="none"/>
              </w:rPr>
            </w:pPr>
            <w:r>
              <w:rPr>
                <w:rFonts w:hint="eastAsia" w:ascii="宋体" w:hAnsi="宋体" w:cs="宋体"/>
                <w:color w:val="auto"/>
                <w:sz w:val="21"/>
                <w:szCs w:val="21"/>
                <w:highlight w:val="none"/>
              </w:rPr>
              <w:t>信息统计</w:t>
            </w:r>
          </w:p>
        </w:tc>
        <w:tc>
          <w:tcPr>
            <w:tcW w:w="2615" w:type="pct"/>
            <w:vMerge w:val="continue"/>
            <w:vAlign w:val="center"/>
          </w:tcPr>
          <w:p w14:paraId="553D134D">
            <w:pPr>
              <w:spacing w:line="240" w:lineRule="atLeast"/>
              <w:rPr>
                <w:rFonts w:ascii="宋体" w:hAnsi="宋体" w:cs="宋体"/>
                <w:color w:val="auto"/>
                <w:sz w:val="21"/>
                <w:szCs w:val="21"/>
                <w:highlight w:val="none"/>
              </w:rPr>
            </w:pPr>
          </w:p>
        </w:tc>
      </w:tr>
      <w:tr w14:paraId="1867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6" w:type="pct"/>
            <w:vMerge w:val="continue"/>
            <w:vAlign w:val="center"/>
          </w:tcPr>
          <w:p w14:paraId="49490C13">
            <w:pPr>
              <w:spacing w:line="240" w:lineRule="atLeast"/>
              <w:jc w:val="center"/>
              <w:rPr>
                <w:rFonts w:ascii="宋体" w:hAnsi="宋体" w:cs="宋体"/>
                <w:color w:val="auto"/>
                <w:sz w:val="21"/>
                <w:szCs w:val="21"/>
                <w:highlight w:val="none"/>
              </w:rPr>
            </w:pPr>
          </w:p>
        </w:tc>
        <w:tc>
          <w:tcPr>
            <w:tcW w:w="1198" w:type="pct"/>
            <w:vAlign w:val="center"/>
          </w:tcPr>
          <w:p w14:paraId="621E04E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系统维护</w:t>
            </w:r>
          </w:p>
        </w:tc>
        <w:tc>
          <w:tcPr>
            <w:tcW w:w="2615" w:type="pct"/>
            <w:vMerge w:val="continue"/>
            <w:vAlign w:val="center"/>
          </w:tcPr>
          <w:p w14:paraId="1629CE27">
            <w:pPr>
              <w:spacing w:line="240" w:lineRule="atLeast"/>
              <w:rPr>
                <w:rFonts w:ascii="宋体" w:hAnsi="宋体" w:cs="宋体"/>
                <w:color w:val="auto"/>
                <w:sz w:val="21"/>
                <w:szCs w:val="21"/>
                <w:highlight w:val="none"/>
              </w:rPr>
            </w:pPr>
          </w:p>
        </w:tc>
      </w:tr>
      <w:tr w14:paraId="75BE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6" w:type="pct"/>
            <w:vMerge w:val="continue"/>
            <w:vAlign w:val="center"/>
          </w:tcPr>
          <w:p w14:paraId="453D4B01">
            <w:pPr>
              <w:spacing w:line="240" w:lineRule="atLeast"/>
              <w:jc w:val="center"/>
              <w:rPr>
                <w:rFonts w:ascii="宋体" w:hAnsi="宋体" w:cs="宋体"/>
                <w:color w:val="auto"/>
                <w:sz w:val="21"/>
                <w:szCs w:val="21"/>
                <w:highlight w:val="none"/>
              </w:rPr>
            </w:pPr>
          </w:p>
        </w:tc>
        <w:tc>
          <w:tcPr>
            <w:tcW w:w="1198" w:type="pct"/>
            <w:vAlign w:val="center"/>
          </w:tcPr>
          <w:p w14:paraId="1DF7385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18A6DBE3">
            <w:pPr>
              <w:spacing w:line="240" w:lineRule="atLeast"/>
              <w:rPr>
                <w:rFonts w:ascii="宋体" w:hAnsi="宋体" w:cs="宋体"/>
                <w:color w:val="auto"/>
                <w:sz w:val="21"/>
                <w:szCs w:val="21"/>
                <w:highlight w:val="none"/>
              </w:rPr>
            </w:pPr>
          </w:p>
        </w:tc>
      </w:tr>
      <w:tr w14:paraId="2AA4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86" w:type="pct"/>
            <w:vMerge w:val="continue"/>
            <w:vAlign w:val="center"/>
          </w:tcPr>
          <w:p w14:paraId="6CCA769D">
            <w:pPr>
              <w:spacing w:line="240" w:lineRule="atLeast"/>
              <w:jc w:val="center"/>
              <w:rPr>
                <w:rFonts w:ascii="宋体" w:hAnsi="宋体" w:cs="宋体"/>
                <w:color w:val="auto"/>
                <w:sz w:val="21"/>
                <w:szCs w:val="21"/>
                <w:highlight w:val="none"/>
              </w:rPr>
            </w:pPr>
          </w:p>
        </w:tc>
        <w:tc>
          <w:tcPr>
            <w:tcW w:w="1198" w:type="pct"/>
            <w:vAlign w:val="center"/>
          </w:tcPr>
          <w:p w14:paraId="2A92BF3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帮助</w:t>
            </w:r>
          </w:p>
        </w:tc>
        <w:tc>
          <w:tcPr>
            <w:tcW w:w="2615" w:type="pct"/>
            <w:vMerge w:val="continue"/>
            <w:vAlign w:val="center"/>
          </w:tcPr>
          <w:p w14:paraId="0667D02B">
            <w:pPr>
              <w:spacing w:line="240" w:lineRule="atLeast"/>
              <w:rPr>
                <w:rFonts w:ascii="宋体" w:hAnsi="宋体" w:cs="宋体"/>
                <w:color w:val="auto"/>
                <w:sz w:val="21"/>
                <w:szCs w:val="21"/>
                <w:highlight w:val="none"/>
              </w:rPr>
            </w:pPr>
          </w:p>
        </w:tc>
      </w:tr>
      <w:tr w14:paraId="6571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86" w:type="pct"/>
            <w:vMerge w:val="restart"/>
            <w:vAlign w:val="center"/>
          </w:tcPr>
          <w:p w14:paraId="5AAE4C0A">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卫材管理系统</w:t>
            </w:r>
          </w:p>
        </w:tc>
        <w:tc>
          <w:tcPr>
            <w:tcW w:w="1198" w:type="pct"/>
            <w:vAlign w:val="center"/>
          </w:tcPr>
          <w:p w14:paraId="40B5D16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入库管理</w:t>
            </w:r>
          </w:p>
        </w:tc>
        <w:tc>
          <w:tcPr>
            <w:tcW w:w="2615" w:type="pct"/>
            <w:vMerge w:val="restart"/>
            <w:vAlign w:val="center"/>
          </w:tcPr>
          <w:p w14:paraId="184CDBA6">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材料入库、入库单据打印、联网单位、业务科室、出库单据打印、报增报损、盘存核算、全院调价、入库信息、报增报损、联网单位出库、业务科室出库、卫材请购汇总、材料预警、材料销售、材料周转、材料有效期、材料库存、采购计划、调价信息、出库信息、入库信息、领退申请、报增报损、盘存核算、材料分类、材料信息、供应商信息维护、生产厂商信息维护、密码更改</w:t>
            </w:r>
          </w:p>
        </w:tc>
      </w:tr>
      <w:tr w14:paraId="0162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86" w:type="pct"/>
            <w:vMerge w:val="continue"/>
            <w:vAlign w:val="center"/>
          </w:tcPr>
          <w:p w14:paraId="0027B2F2">
            <w:pPr>
              <w:spacing w:line="240" w:lineRule="atLeast"/>
              <w:jc w:val="left"/>
              <w:rPr>
                <w:rFonts w:ascii="宋体" w:hAnsi="宋体" w:cs="宋体"/>
                <w:color w:val="auto"/>
                <w:sz w:val="21"/>
                <w:szCs w:val="21"/>
                <w:highlight w:val="none"/>
              </w:rPr>
            </w:pPr>
          </w:p>
        </w:tc>
        <w:tc>
          <w:tcPr>
            <w:tcW w:w="1198" w:type="pct"/>
            <w:vAlign w:val="center"/>
          </w:tcPr>
          <w:p w14:paraId="03A13FF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出库管理</w:t>
            </w:r>
          </w:p>
        </w:tc>
        <w:tc>
          <w:tcPr>
            <w:tcW w:w="2615" w:type="pct"/>
            <w:vMerge w:val="continue"/>
            <w:vAlign w:val="center"/>
          </w:tcPr>
          <w:p w14:paraId="25F129EC">
            <w:pPr>
              <w:spacing w:line="240" w:lineRule="atLeast"/>
              <w:jc w:val="center"/>
              <w:rPr>
                <w:rFonts w:ascii="宋体" w:hAnsi="宋体" w:cs="宋体"/>
                <w:color w:val="auto"/>
                <w:sz w:val="21"/>
                <w:szCs w:val="21"/>
                <w:highlight w:val="none"/>
              </w:rPr>
            </w:pPr>
          </w:p>
        </w:tc>
      </w:tr>
      <w:tr w14:paraId="25CC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86" w:type="pct"/>
            <w:vMerge w:val="continue"/>
            <w:vAlign w:val="center"/>
          </w:tcPr>
          <w:p w14:paraId="19B27554">
            <w:pPr>
              <w:spacing w:line="240" w:lineRule="atLeast"/>
              <w:jc w:val="left"/>
              <w:rPr>
                <w:rFonts w:ascii="宋体" w:hAnsi="宋体" w:cs="宋体"/>
                <w:color w:val="auto"/>
                <w:sz w:val="21"/>
                <w:szCs w:val="21"/>
                <w:highlight w:val="none"/>
              </w:rPr>
            </w:pPr>
          </w:p>
        </w:tc>
        <w:tc>
          <w:tcPr>
            <w:tcW w:w="1198" w:type="pct"/>
            <w:vAlign w:val="center"/>
          </w:tcPr>
          <w:p w14:paraId="6CAC4B7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库存管理</w:t>
            </w:r>
          </w:p>
        </w:tc>
        <w:tc>
          <w:tcPr>
            <w:tcW w:w="2615" w:type="pct"/>
            <w:vMerge w:val="continue"/>
            <w:vAlign w:val="center"/>
          </w:tcPr>
          <w:p w14:paraId="7C7D0366">
            <w:pPr>
              <w:spacing w:line="240" w:lineRule="atLeast"/>
              <w:jc w:val="center"/>
              <w:rPr>
                <w:rFonts w:ascii="宋体" w:hAnsi="宋体" w:cs="宋体"/>
                <w:color w:val="auto"/>
                <w:sz w:val="21"/>
                <w:szCs w:val="21"/>
                <w:highlight w:val="none"/>
              </w:rPr>
            </w:pPr>
          </w:p>
        </w:tc>
      </w:tr>
      <w:tr w14:paraId="6CB8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86" w:type="pct"/>
            <w:vMerge w:val="continue"/>
            <w:vAlign w:val="center"/>
          </w:tcPr>
          <w:p w14:paraId="58689796">
            <w:pPr>
              <w:spacing w:line="240" w:lineRule="atLeast"/>
              <w:jc w:val="left"/>
              <w:rPr>
                <w:rFonts w:ascii="宋体" w:hAnsi="宋体" w:cs="宋体"/>
                <w:color w:val="auto"/>
                <w:sz w:val="21"/>
                <w:szCs w:val="21"/>
                <w:highlight w:val="none"/>
              </w:rPr>
            </w:pPr>
          </w:p>
        </w:tc>
        <w:tc>
          <w:tcPr>
            <w:tcW w:w="1198" w:type="pct"/>
            <w:vAlign w:val="center"/>
          </w:tcPr>
          <w:p w14:paraId="54665120">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审核管理</w:t>
            </w:r>
          </w:p>
        </w:tc>
        <w:tc>
          <w:tcPr>
            <w:tcW w:w="2615" w:type="pct"/>
            <w:vMerge w:val="continue"/>
            <w:vAlign w:val="center"/>
          </w:tcPr>
          <w:p w14:paraId="5CFF375D">
            <w:pPr>
              <w:spacing w:line="240" w:lineRule="atLeast"/>
              <w:jc w:val="center"/>
              <w:rPr>
                <w:rFonts w:ascii="宋体" w:hAnsi="宋体" w:cs="宋体"/>
                <w:color w:val="auto"/>
                <w:sz w:val="21"/>
                <w:szCs w:val="21"/>
                <w:highlight w:val="none"/>
              </w:rPr>
            </w:pPr>
          </w:p>
        </w:tc>
      </w:tr>
      <w:tr w14:paraId="4F31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86" w:type="pct"/>
            <w:vMerge w:val="continue"/>
            <w:vAlign w:val="center"/>
          </w:tcPr>
          <w:p w14:paraId="13289D9A">
            <w:pPr>
              <w:spacing w:line="240" w:lineRule="atLeast"/>
              <w:jc w:val="left"/>
              <w:rPr>
                <w:rFonts w:ascii="宋体" w:hAnsi="宋体" w:cs="宋体"/>
                <w:color w:val="auto"/>
                <w:sz w:val="21"/>
                <w:szCs w:val="21"/>
                <w:highlight w:val="none"/>
              </w:rPr>
            </w:pPr>
          </w:p>
        </w:tc>
        <w:tc>
          <w:tcPr>
            <w:tcW w:w="1198" w:type="pct"/>
            <w:vAlign w:val="center"/>
          </w:tcPr>
          <w:p w14:paraId="5AE75F6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统计汇总</w:t>
            </w:r>
          </w:p>
        </w:tc>
        <w:tc>
          <w:tcPr>
            <w:tcW w:w="2615" w:type="pct"/>
            <w:vMerge w:val="continue"/>
            <w:vAlign w:val="center"/>
          </w:tcPr>
          <w:p w14:paraId="43874E34">
            <w:pPr>
              <w:spacing w:line="240" w:lineRule="atLeast"/>
              <w:jc w:val="center"/>
              <w:rPr>
                <w:rFonts w:ascii="宋体" w:hAnsi="宋体" w:cs="宋体"/>
                <w:color w:val="auto"/>
                <w:sz w:val="21"/>
                <w:szCs w:val="21"/>
                <w:highlight w:val="none"/>
              </w:rPr>
            </w:pPr>
          </w:p>
        </w:tc>
      </w:tr>
      <w:tr w14:paraId="1D01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186" w:type="pct"/>
            <w:vMerge w:val="continue"/>
            <w:vAlign w:val="center"/>
          </w:tcPr>
          <w:p w14:paraId="28C485A9">
            <w:pPr>
              <w:spacing w:line="240" w:lineRule="atLeast"/>
              <w:jc w:val="left"/>
              <w:rPr>
                <w:rFonts w:ascii="宋体" w:hAnsi="宋体" w:cs="宋体"/>
                <w:color w:val="auto"/>
                <w:sz w:val="21"/>
                <w:szCs w:val="21"/>
                <w:highlight w:val="none"/>
              </w:rPr>
            </w:pPr>
          </w:p>
        </w:tc>
        <w:tc>
          <w:tcPr>
            <w:tcW w:w="1198" w:type="pct"/>
            <w:vAlign w:val="center"/>
          </w:tcPr>
          <w:p w14:paraId="7F98BD2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2615" w:type="pct"/>
            <w:vMerge w:val="continue"/>
            <w:vAlign w:val="center"/>
          </w:tcPr>
          <w:p w14:paraId="54F5A18E">
            <w:pPr>
              <w:spacing w:line="240" w:lineRule="atLeast"/>
              <w:jc w:val="center"/>
              <w:rPr>
                <w:rFonts w:ascii="宋体" w:hAnsi="宋体" w:cs="宋体"/>
                <w:color w:val="auto"/>
                <w:sz w:val="21"/>
                <w:szCs w:val="21"/>
                <w:highlight w:val="none"/>
              </w:rPr>
            </w:pPr>
          </w:p>
        </w:tc>
      </w:tr>
      <w:tr w14:paraId="6003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86" w:type="pct"/>
            <w:vMerge w:val="continue"/>
            <w:vAlign w:val="center"/>
          </w:tcPr>
          <w:p w14:paraId="025D8D7B">
            <w:pPr>
              <w:spacing w:line="240" w:lineRule="atLeast"/>
              <w:jc w:val="left"/>
              <w:rPr>
                <w:rFonts w:ascii="宋体" w:hAnsi="宋体" w:cs="宋体"/>
                <w:color w:val="auto"/>
                <w:sz w:val="21"/>
                <w:szCs w:val="21"/>
                <w:highlight w:val="none"/>
              </w:rPr>
            </w:pPr>
          </w:p>
        </w:tc>
        <w:tc>
          <w:tcPr>
            <w:tcW w:w="1198" w:type="pct"/>
            <w:vAlign w:val="center"/>
          </w:tcPr>
          <w:p w14:paraId="16753171">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vAlign w:val="center"/>
          </w:tcPr>
          <w:p w14:paraId="78EDEAF6">
            <w:pPr>
              <w:spacing w:line="240" w:lineRule="atLeast"/>
              <w:jc w:val="center"/>
              <w:rPr>
                <w:rFonts w:ascii="宋体" w:hAnsi="宋体" w:cs="宋体"/>
                <w:color w:val="auto"/>
                <w:sz w:val="21"/>
                <w:szCs w:val="21"/>
                <w:highlight w:val="none"/>
              </w:rPr>
            </w:pPr>
          </w:p>
        </w:tc>
      </w:tr>
      <w:tr w14:paraId="0223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86" w:type="pct"/>
            <w:vMerge w:val="restart"/>
            <w:vAlign w:val="center"/>
          </w:tcPr>
          <w:p w14:paraId="6EDB70CC">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耗材管理系统</w:t>
            </w:r>
          </w:p>
        </w:tc>
        <w:tc>
          <w:tcPr>
            <w:tcW w:w="1198" w:type="pct"/>
            <w:vAlign w:val="center"/>
          </w:tcPr>
          <w:p w14:paraId="00118AE2">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入库管理</w:t>
            </w:r>
          </w:p>
        </w:tc>
        <w:tc>
          <w:tcPr>
            <w:tcW w:w="2615" w:type="pct"/>
            <w:vMerge w:val="restart"/>
            <w:vAlign w:val="center"/>
          </w:tcPr>
          <w:p w14:paraId="63B1A4FC">
            <w:pPr>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材料入库、入库单据打印、联网单位、业务科室、出库单据打印、报增报损、盘存核算、全院调价、入库信息、报增报损、联网单位出库、业务科室出库、卫材请购汇总、材料预警、材料销售、材料周转、材料有效期、材料库存、采购计划、调价信息、出库信息、入库信息、领退申请、报增报损、盘存核算、材料分类、材料信息、供应商信息维护、生产厂商信息维护、密码更改</w:t>
            </w:r>
          </w:p>
        </w:tc>
      </w:tr>
      <w:tr w14:paraId="2055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86" w:type="pct"/>
            <w:vMerge w:val="continue"/>
          </w:tcPr>
          <w:p w14:paraId="0CF87B04">
            <w:pPr>
              <w:spacing w:line="240" w:lineRule="atLeast"/>
              <w:jc w:val="center"/>
              <w:rPr>
                <w:rFonts w:ascii="宋体" w:hAnsi="宋体" w:cs="宋体"/>
                <w:color w:val="auto"/>
                <w:sz w:val="21"/>
                <w:szCs w:val="21"/>
                <w:highlight w:val="none"/>
              </w:rPr>
            </w:pPr>
          </w:p>
        </w:tc>
        <w:tc>
          <w:tcPr>
            <w:tcW w:w="1198" w:type="pct"/>
            <w:vAlign w:val="center"/>
          </w:tcPr>
          <w:p w14:paraId="27CD4EC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出库管理</w:t>
            </w:r>
          </w:p>
        </w:tc>
        <w:tc>
          <w:tcPr>
            <w:tcW w:w="2615" w:type="pct"/>
            <w:vMerge w:val="continue"/>
          </w:tcPr>
          <w:p w14:paraId="2850E8E4">
            <w:pPr>
              <w:spacing w:line="240" w:lineRule="atLeast"/>
              <w:jc w:val="left"/>
              <w:rPr>
                <w:rFonts w:ascii="宋体" w:hAnsi="宋体" w:cs="宋体"/>
                <w:color w:val="auto"/>
                <w:sz w:val="21"/>
                <w:szCs w:val="21"/>
                <w:highlight w:val="none"/>
              </w:rPr>
            </w:pPr>
          </w:p>
        </w:tc>
      </w:tr>
      <w:tr w14:paraId="6D0B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6" w:type="pct"/>
            <w:vMerge w:val="continue"/>
          </w:tcPr>
          <w:p w14:paraId="4185808E">
            <w:pPr>
              <w:spacing w:line="240" w:lineRule="atLeast"/>
              <w:jc w:val="center"/>
              <w:rPr>
                <w:rFonts w:ascii="宋体" w:hAnsi="宋体" w:cs="宋体"/>
                <w:color w:val="auto"/>
                <w:sz w:val="21"/>
                <w:szCs w:val="21"/>
                <w:highlight w:val="none"/>
              </w:rPr>
            </w:pPr>
          </w:p>
        </w:tc>
        <w:tc>
          <w:tcPr>
            <w:tcW w:w="1198" w:type="pct"/>
            <w:vAlign w:val="center"/>
          </w:tcPr>
          <w:p w14:paraId="01D0A21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库存管理</w:t>
            </w:r>
          </w:p>
        </w:tc>
        <w:tc>
          <w:tcPr>
            <w:tcW w:w="2615" w:type="pct"/>
            <w:vMerge w:val="continue"/>
          </w:tcPr>
          <w:p w14:paraId="7F45E773">
            <w:pPr>
              <w:spacing w:line="240" w:lineRule="atLeast"/>
              <w:jc w:val="left"/>
              <w:rPr>
                <w:rFonts w:ascii="宋体" w:hAnsi="宋体" w:cs="宋体"/>
                <w:color w:val="auto"/>
                <w:sz w:val="21"/>
                <w:szCs w:val="21"/>
                <w:highlight w:val="none"/>
              </w:rPr>
            </w:pPr>
          </w:p>
        </w:tc>
      </w:tr>
      <w:tr w14:paraId="5540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6" w:type="pct"/>
            <w:vMerge w:val="continue"/>
          </w:tcPr>
          <w:p w14:paraId="44340BFD">
            <w:pPr>
              <w:spacing w:line="240" w:lineRule="atLeast"/>
              <w:jc w:val="center"/>
              <w:rPr>
                <w:rFonts w:ascii="宋体" w:hAnsi="宋体" w:cs="宋体"/>
                <w:color w:val="auto"/>
                <w:sz w:val="21"/>
                <w:szCs w:val="21"/>
                <w:highlight w:val="none"/>
              </w:rPr>
            </w:pPr>
          </w:p>
        </w:tc>
        <w:tc>
          <w:tcPr>
            <w:tcW w:w="1198" w:type="pct"/>
            <w:vAlign w:val="center"/>
          </w:tcPr>
          <w:p w14:paraId="3118F90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审核管理</w:t>
            </w:r>
          </w:p>
        </w:tc>
        <w:tc>
          <w:tcPr>
            <w:tcW w:w="2615" w:type="pct"/>
            <w:vMerge w:val="continue"/>
          </w:tcPr>
          <w:p w14:paraId="6104672F">
            <w:pPr>
              <w:spacing w:line="240" w:lineRule="atLeast"/>
              <w:jc w:val="left"/>
              <w:rPr>
                <w:rFonts w:ascii="宋体" w:hAnsi="宋体" w:cs="宋体"/>
                <w:color w:val="auto"/>
                <w:sz w:val="21"/>
                <w:szCs w:val="21"/>
                <w:highlight w:val="none"/>
              </w:rPr>
            </w:pPr>
          </w:p>
        </w:tc>
      </w:tr>
      <w:tr w14:paraId="33F7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6" w:type="pct"/>
            <w:vMerge w:val="continue"/>
          </w:tcPr>
          <w:p w14:paraId="125A1DDA">
            <w:pPr>
              <w:spacing w:line="240" w:lineRule="atLeast"/>
              <w:jc w:val="center"/>
              <w:rPr>
                <w:rFonts w:ascii="宋体" w:hAnsi="宋体" w:cs="宋体"/>
                <w:color w:val="auto"/>
                <w:sz w:val="21"/>
                <w:szCs w:val="21"/>
                <w:highlight w:val="none"/>
              </w:rPr>
            </w:pPr>
          </w:p>
        </w:tc>
        <w:tc>
          <w:tcPr>
            <w:tcW w:w="1198" w:type="pct"/>
            <w:vAlign w:val="center"/>
          </w:tcPr>
          <w:p w14:paraId="1BA0E2E2">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统计汇总</w:t>
            </w:r>
          </w:p>
        </w:tc>
        <w:tc>
          <w:tcPr>
            <w:tcW w:w="2615" w:type="pct"/>
            <w:vMerge w:val="continue"/>
          </w:tcPr>
          <w:p w14:paraId="33008646">
            <w:pPr>
              <w:spacing w:line="240" w:lineRule="atLeast"/>
              <w:jc w:val="left"/>
              <w:rPr>
                <w:rFonts w:ascii="宋体" w:hAnsi="宋体" w:cs="宋体"/>
                <w:color w:val="auto"/>
                <w:sz w:val="21"/>
                <w:szCs w:val="21"/>
                <w:highlight w:val="none"/>
              </w:rPr>
            </w:pPr>
          </w:p>
        </w:tc>
      </w:tr>
      <w:tr w14:paraId="40D4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86" w:type="pct"/>
            <w:vMerge w:val="continue"/>
          </w:tcPr>
          <w:p w14:paraId="60F92388">
            <w:pPr>
              <w:spacing w:line="240" w:lineRule="atLeast"/>
              <w:jc w:val="center"/>
              <w:rPr>
                <w:rFonts w:ascii="宋体" w:hAnsi="宋体" w:cs="宋体"/>
                <w:color w:val="auto"/>
                <w:sz w:val="21"/>
                <w:szCs w:val="21"/>
                <w:highlight w:val="none"/>
              </w:rPr>
            </w:pPr>
          </w:p>
        </w:tc>
        <w:tc>
          <w:tcPr>
            <w:tcW w:w="1198" w:type="pct"/>
            <w:vAlign w:val="center"/>
          </w:tcPr>
          <w:p w14:paraId="4C4A9854">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信息查询</w:t>
            </w:r>
          </w:p>
        </w:tc>
        <w:tc>
          <w:tcPr>
            <w:tcW w:w="2615" w:type="pct"/>
            <w:vMerge w:val="continue"/>
          </w:tcPr>
          <w:p w14:paraId="05F00988">
            <w:pPr>
              <w:spacing w:line="240" w:lineRule="atLeast"/>
              <w:jc w:val="left"/>
              <w:rPr>
                <w:rFonts w:ascii="宋体" w:hAnsi="宋体" w:cs="宋体"/>
                <w:color w:val="auto"/>
                <w:sz w:val="21"/>
                <w:szCs w:val="21"/>
                <w:highlight w:val="none"/>
              </w:rPr>
            </w:pPr>
          </w:p>
        </w:tc>
      </w:tr>
      <w:tr w14:paraId="0238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86" w:type="pct"/>
            <w:vMerge w:val="continue"/>
          </w:tcPr>
          <w:p w14:paraId="6D63A632">
            <w:pPr>
              <w:spacing w:line="240" w:lineRule="atLeast"/>
              <w:jc w:val="center"/>
              <w:rPr>
                <w:rFonts w:ascii="宋体" w:hAnsi="宋体" w:cs="宋体"/>
                <w:color w:val="auto"/>
                <w:sz w:val="21"/>
                <w:szCs w:val="21"/>
                <w:highlight w:val="none"/>
              </w:rPr>
            </w:pPr>
          </w:p>
        </w:tc>
        <w:tc>
          <w:tcPr>
            <w:tcW w:w="1198" w:type="pct"/>
            <w:vAlign w:val="center"/>
          </w:tcPr>
          <w:p w14:paraId="54916A5A">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2615" w:type="pct"/>
            <w:vMerge w:val="continue"/>
          </w:tcPr>
          <w:p w14:paraId="4D1DCA9F">
            <w:pPr>
              <w:spacing w:line="240" w:lineRule="atLeast"/>
              <w:jc w:val="left"/>
              <w:rPr>
                <w:rFonts w:ascii="宋体" w:hAnsi="宋体" w:cs="宋体"/>
                <w:color w:val="auto"/>
                <w:sz w:val="21"/>
                <w:szCs w:val="21"/>
                <w:highlight w:val="none"/>
              </w:rPr>
            </w:pPr>
          </w:p>
        </w:tc>
      </w:tr>
      <w:tr w14:paraId="5B01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86" w:type="pct"/>
            <w:vMerge w:val="restart"/>
            <w:vAlign w:val="center"/>
          </w:tcPr>
          <w:p w14:paraId="04208C1C">
            <w:pPr>
              <w:spacing w:line="240" w:lineRule="atLeast"/>
              <w:jc w:val="both"/>
              <w:rPr>
                <w:rFonts w:ascii="宋体" w:hAnsi="宋体" w:cs="宋体"/>
                <w:color w:val="auto"/>
                <w:sz w:val="21"/>
                <w:szCs w:val="21"/>
                <w:highlight w:val="none"/>
              </w:rPr>
            </w:pPr>
            <w:r>
              <w:rPr>
                <w:rFonts w:hint="eastAsia" w:asciiTheme="minorEastAsia" w:hAnsiTheme="minorEastAsia" w:cstheme="minorEastAsia"/>
                <w:color w:val="auto"/>
                <w:sz w:val="21"/>
                <w:szCs w:val="21"/>
                <w:highlight w:val="none"/>
              </w:rPr>
              <w:t>报告卡等级管理系统</w:t>
            </w:r>
          </w:p>
        </w:tc>
        <w:tc>
          <w:tcPr>
            <w:tcW w:w="1198" w:type="pct"/>
            <w:vAlign w:val="center"/>
          </w:tcPr>
          <w:p w14:paraId="6B950F2C">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药品不良反应上报</w:t>
            </w:r>
          </w:p>
        </w:tc>
        <w:tc>
          <w:tcPr>
            <w:tcW w:w="2615" w:type="pct"/>
            <w:vMerge w:val="restart"/>
            <w:vAlign w:val="center"/>
          </w:tcPr>
          <w:p w14:paraId="56A0AE62">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肿瘤登记死亡查询、肿瘤登记册查询与补打、心血管登记册查询与补打单个报告卡打印、食源性登记册查询与补打、传染病信息查询、传染病卡片信息、其他信息</w:t>
            </w:r>
          </w:p>
        </w:tc>
      </w:tr>
      <w:tr w14:paraId="40F8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86" w:type="pct"/>
            <w:vMerge w:val="continue"/>
          </w:tcPr>
          <w:p w14:paraId="74A0C83B">
            <w:pPr>
              <w:spacing w:line="240" w:lineRule="atLeast"/>
              <w:jc w:val="center"/>
              <w:rPr>
                <w:rFonts w:ascii="宋体" w:hAnsi="宋体" w:cs="宋体"/>
                <w:color w:val="auto"/>
                <w:sz w:val="21"/>
                <w:szCs w:val="21"/>
                <w:highlight w:val="none"/>
              </w:rPr>
            </w:pPr>
          </w:p>
        </w:tc>
        <w:tc>
          <w:tcPr>
            <w:tcW w:w="1198" w:type="pct"/>
            <w:vAlign w:val="center"/>
          </w:tcPr>
          <w:p w14:paraId="5C089A5A">
            <w:pPr>
              <w:spacing w:line="240" w:lineRule="atLeast"/>
              <w:rPr>
                <w:rFonts w:asciiTheme="minorEastAsia" w:hAnsiTheme="minorEastAsia" w:cstheme="minorEastAsia"/>
                <w:color w:val="auto"/>
                <w:sz w:val="21"/>
                <w:szCs w:val="21"/>
                <w:highlight w:val="none"/>
              </w:rPr>
            </w:pPr>
            <w:r>
              <w:rPr>
                <w:rFonts w:hint="eastAsia" w:ascii="宋体" w:hAnsi="宋体" w:cs="宋体"/>
                <w:color w:val="auto"/>
                <w:sz w:val="21"/>
                <w:szCs w:val="21"/>
                <w:highlight w:val="none"/>
              </w:rPr>
              <w:t>肿瘤登记报告卡</w:t>
            </w:r>
          </w:p>
        </w:tc>
        <w:tc>
          <w:tcPr>
            <w:tcW w:w="2615" w:type="pct"/>
            <w:vMerge w:val="continue"/>
          </w:tcPr>
          <w:p w14:paraId="4AA27213">
            <w:pPr>
              <w:spacing w:line="240" w:lineRule="atLeast"/>
              <w:jc w:val="left"/>
              <w:rPr>
                <w:rFonts w:ascii="宋体" w:hAnsi="宋体" w:cs="宋体"/>
                <w:color w:val="auto"/>
                <w:sz w:val="21"/>
                <w:szCs w:val="21"/>
                <w:highlight w:val="none"/>
              </w:rPr>
            </w:pPr>
          </w:p>
        </w:tc>
      </w:tr>
      <w:tr w14:paraId="2FEE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86" w:type="pct"/>
            <w:vMerge w:val="continue"/>
          </w:tcPr>
          <w:p w14:paraId="5D94F321">
            <w:pPr>
              <w:spacing w:line="240" w:lineRule="atLeast"/>
              <w:jc w:val="center"/>
              <w:rPr>
                <w:rFonts w:ascii="宋体" w:hAnsi="宋体" w:cs="宋体"/>
                <w:color w:val="auto"/>
                <w:sz w:val="21"/>
                <w:szCs w:val="21"/>
                <w:highlight w:val="none"/>
              </w:rPr>
            </w:pPr>
          </w:p>
        </w:tc>
        <w:tc>
          <w:tcPr>
            <w:tcW w:w="1198" w:type="pct"/>
            <w:vAlign w:val="center"/>
          </w:tcPr>
          <w:p w14:paraId="18E821B6">
            <w:pPr>
              <w:spacing w:line="240" w:lineRule="atLeast"/>
              <w:rPr>
                <w:rFonts w:asciiTheme="minorEastAsia" w:hAnsiTheme="minorEastAsia" w:cstheme="minorEastAsia"/>
                <w:color w:val="auto"/>
                <w:sz w:val="21"/>
                <w:szCs w:val="21"/>
                <w:highlight w:val="none"/>
              </w:rPr>
            </w:pPr>
            <w:r>
              <w:rPr>
                <w:rFonts w:hint="eastAsia" w:ascii="宋体" w:hAnsi="宋体" w:cs="宋体"/>
                <w:color w:val="auto"/>
                <w:sz w:val="21"/>
                <w:szCs w:val="21"/>
                <w:highlight w:val="none"/>
              </w:rPr>
              <w:t>心血管时间报告卡</w:t>
            </w:r>
          </w:p>
        </w:tc>
        <w:tc>
          <w:tcPr>
            <w:tcW w:w="2615" w:type="pct"/>
            <w:vMerge w:val="continue"/>
          </w:tcPr>
          <w:p w14:paraId="5D207454">
            <w:pPr>
              <w:spacing w:line="240" w:lineRule="atLeast"/>
              <w:jc w:val="left"/>
              <w:rPr>
                <w:rFonts w:ascii="宋体" w:hAnsi="宋体" w:cs="宋体"/>
                <w:color w:val="auto"/>
                <w:sz w:val="21"/>
                <w:szCs w:val="21"/>
                <w:highlight w:val="none"/>
              </w:rPr>
            </w:pPr>
          </w:p>
        </w:tc>
      </w:tr>
      <w:tr w14:paraId="4BF9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86" w:type="pct"/>
            <w:vMerge w:val="continue"/>
          </w:tcPr>
          <w:p w14:paraId="17FF51CA">
            <w:pPr>
              <w:spacing w:line="240" w:lineRule="atLeast"/>
              <w:jc w:val="center"/>
              <w:rPr>
                <w:rFonts w:ascii="宋体" w:hAnsi="宋体" w:cs="宋体"/>
                <w:color w:val="auto"/>
                <w:sz w:val="21"/>
                <w:szCs w:val="21"/>
                <w:highlight w:val="none"/>
              </w:rPr>
            </w:pPr>
          </w:p>
        </w:tc>
        <w:tc>
          <w:tcPr>
            <w:tcW w:w="1198" w:type="pct"/>
            <w:vAlign w:val="center"/>
          </w:tcPr>
          <w:p w14:paraId="613E91F3">
            <w:pPr>
              <w:spacing w:line="240" w:lineRule="atLeast"/>
              <w:rPr>
                <w:rFonts w:asciiTheme="minorEastAsia" w:hAnsiTheme="minorEastAsia" w:cstheme="minorEastAsia"/>
                <w:color w:val="auto"/>
                <w:sz w:val="21"/>
                <w:szCs w:val="21"/>
                <w:highlight w:val="none"/>
              </w:rPr>
            </w:pPr>
            <w:r>
              <w:rPr>
                <w:rFonts w:hint="eastAsia" w:ascii="宋体" w:hAnsi="宋体" w:cs="宋体"/>
                <w:color w:val="auto"/>
                <w:sz w:val="21"/>
                <w:szCs w:val="21"/>
                <w:highlight w:val="none"/>
              </w:rPr>
              <w:t>食源性疾病监测报告卡</w:t>
            </w:r>
          </w:p>
        </w:tc>
        <w:tc>
          <w:tcPr>
            <w:tcW w:w="2615" w:type="pct"/>
            <w:vMerge w:val="continue"/>
          </w:tcPr>
          <w:p w14:paraId="0B2810AC">
            <w:pPr>
              <w:spacing w:line="240" w:lineRule="atLeast"/>
              <w:jc w:val="left"/>
              <w:rPr>
                <w:rFonts w:ascii="宋体" w:hAnsi="宋体" w:cs="宋体"/>
                <w:color w:val="auto"/>
                <w:sz w:val="21"/>
                <w:szCs w:val="21"/>
                <w:highlight w:val="none"/>
              </w:rPr>
            </w:pPr>
          </w:p>
        </w:tc>
      </w:tr>
      <w:tr w14:paraId="01A5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86" w:type="pct"/>
            <w:vMerge w:val="continue"/>
          </w:tcPr>
          <w:p w14:paraId="5C4F7779">
            <w:pPr>
              <w:spacing w:line="240" w:lineRule="atLeast"/>
              <w:jc w:val="center"/>
              <w:rPr>
                <w:rFonts w:ascii="宋体" w:hAnsi="宋体" w:cs="宋体"/>
                <w:color w:val="auto"/>
                <w:sz w:val="21"/>
                <w:szCs w:val="21"/>
                <w:highlight w:val="none"/>
              </w:rPr>
            </w:pPr>
          </w:p>
        </w:tc>
        <w:tc>
          <w:tcPr>
            <w:tcW w:w="1198" w:type="pct"/>
            <w:vAlign w:val="center"/>
          </w:tcPr>
          <w:p w14:paraId="6A198505">
            <w:pPr>
              <w:spacing w:line="240" w:lineRule="atLeast"/>
              <w:rPr>
                <w:rFonts w:asciiTheme="minorEastAsia" w:hAnsiTheme="minorEastAsia" w:cstheme="minorEastAsia"/>
                <w:color w:val="auto"/>
                <w:sz w:val="21"/>
                <w:szCs w:val="21"/>
                <w:highlight w:val="none"/>
              </w:rPr>
            </w:pPr>
            <w:r>
              <w:rPr>
                <w:rFonts w:hint="eastAsia" w:ascii="宋体" w:hAnsi="宋体" w:cs="宋体"/>
                <w:color w:val="auto"/>
                <w:sz w:val="21"/>
                <w:szCs w:val="21"/>
                <w:highlight w:val="none"/>
              </w:rPr>
              <w:t>传染病登记卡</w:t>
            </w:r>
          </w:p>
        </w:tc>
        <w:tc>
          <w:tcPr>
            <w:tcW w:w="2615" w:type="pct"/>
            <w:vMerge w:val="continue"/>
          </w:tcPr>
          <w:p w14:paraId="4C0E27BF">
            <w:pPr>
              <w:spacing w:line="240" w:lineRule="atLeast"/>
              <w:jc w:val="left"/>
              <w:rPr>
                <w:rFonts w:ascii="宋体" w:hAnsi="宋体" w:cs="宋体"/>
                <w:color w:val="auto"/>
                <w:sz w:val="21"/>
                <w:szCs w:val="21"/>
                <w:highlight w:val="none"/>
              </w:rPr>
            </w:pPr>
          </w:p>
        </w:tc>
      </w:tr>
      <w:tr w14:paraId="5748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86" w:type="pct"/>
            <w:vMerge w:val="continue"/>
          </w:tcPr>
          <w:p w14:paraId="36AB141A">
            <w:pPr>
              <w:spacing w:line="240" w:lineRule="atLeast"/>
              <w:jc w:val="center"/>
              <w:rPr>
                <w:rFonts w:ascii="宋体" w:hAnsi="宋体" w:cs="宋体"/>
                <w:color w:val="auto"/>
                <w:sz w:val="21"/>
                <w:szCs w:val="21"/>
                <w:highlight w:val="none"/>
              </w:rPr>
            </w:pPr>
          </w:p>
        </w:tc>
        <w:tc>
          <w:tcPr>
            <w:tcW w:w="1198" w:type="pct"/>
            <w:vAlign w:val="center"/>
          </w:tcPr>
          <w:p w14:paraId="2394463D">
            <w:pPr>
              <w:spacing w:line="240" w:lineRule="atLeast"/>
              <w:rPr>
                <w:rFonts w:asciiTheme="minorEastAsia" w:hAnsiTheme="minorEastAsia" w:cstheme="minorEastAsia"/>
                <w:color w:val="auto"/>
                <w:sz w:val="21"/>
                <w:szCs w:val="21"/>
                <w:highlight w:val="none"/>
              </w:rPr>
            </w:pPr>
            <w:r>
              <w:rPr>
                <w:rFonts w:hint="eastAsia" w:ascii="宋体" w:hAnsi="宋体" w:cs="宋体"/>
                <w:color w:val="auto"/>
                <w:sz w:val="21"/>
                <w:szCs w:val="21"/>
                <w:highlight w:val="none"/>
              </w:rPr>
              <w:t>新增接口</w:t>
            </w:r>
          </w:p>
        </w:tc>
        <w:tc>
          <w:tcPr>
            <w:tcW w:w="2615" w:type="pct"/>
            <w:vMerge w:val="continue"/>
          </w:tcPr>
          <w:p w14:paraId="762BCD4E">
            <w:pPr>
              <w:spacing w:line="240" w:lineRule="atLeast"/>
              <w:jc w:val="left"/>
              <w:rPr>
                <w:rFonts w:ascii="宋体" w:hAnsi="宋体" w:cs="宋体"/>
                <w:color w:val="auto"/>
                <w:sz w:val="21"/>
                <w:szCs w:val="21"/>
                <w:highlight w:val="none"/>
              </w:rPr>
            </w:pPr>
          </w:p>
        </w:tc>
      </w:tr>
      <w:tr w14:paraId="1A52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restart"/>
            <w:vAlign w:val="center"/>
          </w:tcPr>
          <w:p w14:paraId="0A3836DD">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cs="宋体"/>
                <w:color w:val="auto"/>
                <w:sz w:val="21"/>
                <w:szCs w:val="21"/>
                <w:highlight w:val="none"/>
                <w:lang w:val="en-US" w:eastAsia="zh-CN"/>
              </w:rPr>
            </w:pPr>
            <w:r>
              <w:rPr>
                <w:rFonts w:hint="eastAsia" w:asciiTheme="minorEastAsia" w:hAnsiTheme="minorEastAsia" w:cstheme="minorEastAsia"/>
                <w:color w:val="auto"/>
                <w:sz w:val="21"/>
                <w:szCs w:val="21"/>
                <w:highlight w:val="none"/>
                <w:vertAlign w:val="baseline"/>
                <w:lang w:val="en-US" w:eastAsia="zh-CN"/>
              </w:rPr>
              <w:t>物资信息管理系统</w:t>
            </w:r>
          </w:p>
        </w:tc>
        <w:tc>
          <w:tcPr>
            <w:tcW w:w="1198" w:type="pct"/>
            <w:vAlign w:val="center"/>
          </w:tcPr>
          <w:p w14:paraId="591E07DC">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申请领退</w:t>
            </w:r>
          </w:p>
        </w:tc>
        <w:tc>
          <w:tcPr>
            <w:tcW w:w="2615" w:type="pct"/>
            <w:vMerge w:val="restart"/>
            <w:vAlign w:val="center"/>
          </w:tcPr>
          <w:p w14:paraId="3847621A">
            <w:pPr>
              <w:spacing w:line="240" w:lineRule="atLeast"/>
              <w:jc w:val="both"/>
              <w:rPr>
                <w:rFonts w:hint="eastAsia" w:ascii="华文宋体" w:hAnsi="华文宋体" w:eastAsia="华文宋体" w:cs="华文宋体"/>
                <w:color w:val="auto"/>
                <w:sz w:val="21"/>
                <w:szCs w:val="21"/>
                <w:highlight w:val="none"/>
              </w:rPr>
            </w:pPr>
            <w:r>
              <w:rPr>
                <w:rFonts w:hint="default" w:asciiTheme="minorEastAsia" w:hAnsiTheme="minorEastAsia" w:cstheme="minorEastAsia"/>
                <w:color w:val="auto"/>
                <w:sz w:val="21"/>
                <w:szCs w:val="21"/>
                <w:highlight w:val="none"/>
                <w:shd w:val="clear"/>
                <w:lang w:val="en-US" w:eastAsia="zh-CN"/>
              </w:rPr>
              <w:t>物资申领</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物资申退</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采购计划</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物资入库</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物资出库</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物资调配</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物资外调</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物资退库</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报增报损</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物资报废</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盘存核算</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申领申退审核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采购计划审核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入库审核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退库审核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出库审核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调配审核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报废审核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外调审核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报增报损审核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库存查询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入库查询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出库查询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退库查询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调配查询</w:t>
            </w:r>
          </w:p>
        </w:tc>
      </w:tr>
      <w:tr w14:paraId="7C67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329AF276">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41A9BD70">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入库管理</w:t>
            </w:r>
          </w:p>
        </w:tc>
        <w:tc>
          <w:tcPr>
            <w:tcW w:w="2615" w:type="pct"/>
            <w:vMerge w:val="continue"/>
          </w:tcPr>
          <w:p w14:paraId="054A61B6">
            <w:pPr>
              <w:spacing w:line="240" w:lineRule="atLeast"/>
              <w:jc w:val="left"/>
              <w:rPr>
                <w:rFonts w:hint="eastAsia" w:ascii="华文宋体" w:hAnsi="华文宋体" w:eastAsia="华文宋体" w:cs="华文宋体"/>
                <w:color w:val="auto"/>
                <w:sz w:val="21"/>
                <w:szCs w:val="21"/>
                <w:highlight w:val="none"/>
              </w:rPr>
            </w:pPr>
          </w:p>
        </w:tc>
      </w:tr>
      <w:tr w14:paraId="4FE3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04B16AB3">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335C5393">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出库管理</w:t>
            </w:r>
          </w:p>
        </w:tc>
        <w:tc>
          <w:tcPr>
            <w:tcW w:w="2615" w:type="pct"/>
            <w:vMerge w:val="continue"/>
          </w:tcPr>
          <w:p w14:paraId="66C0517F">
            <w:pPr>
              <w:spacing w:line="240" w:lineRule="atLeast"/>
              <w:jc w:val="left"/>
              <w:rPr>
                <w:rFonts w:hint="eastAsia" w:ascii="华文宋体" w:hAnsi="华文宋体" w:eastAsia="华文宋体" w:cs="华文宋体"/>
                <w:color w:val="auto"/>
                <w:sz w:val="21"/>
                <w:szCs w:val="21"/>
                <w:highlight w:val="none"/>
              </w:rPr>
            </w:pPr>
          </w:p>
        </w:tc>
      </w:tr>
      <w:tr w14:paraId="488C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003FD73D">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462530B4">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库存管理</w:t>
            </w:r>
          </w:p>
        </w:tc>
        <w:tc>
          <w:tcPr>
            <w:tcW w:w="2615" w:type="pct"/>
            <w:vMerge w:val="continue"/>
          </w:tcPr>
          <w:p w14:paraId="17CFF098">
            <w:pPr>
              <w:spacing w:line="240" w:lineRule="atLeast"/>
              <w:jc w:val="left"/>
              <w:rPr>
                <w:rFonts w:hint="eastAsia" w:ascii="华文宋体" w:hAnsi="华文宋体" w:eastAsia="华文宋体" w:cs="华文宋体"/>
                <w:color w:val="auto"/>
                <w:sz w:val="21"/>
                <w:szCs w:val="21"/>
                <w:highlight w:val="none"/>
              </w:rPr>
            </w:pPr>
          </w:p>
        </w:tc>
      </w:tr>
      <w:tr w14:paraId="178E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447CD32A">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7640ACC8">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审核管理</w:t>
            </w:r>
          </w:p>
        </w:tc>
        <w:tc>
          <w:tcPr>
            <w:tcW w:w="2615" w:type="pct"/>
            <w:vMerge w:val="continue"/>
          </w:tcPr>
          <w:p w14:paraId="79C37459">
            <w:pPr>
              <w:spacing w:line="240" w:lineRule="atLeast"/>
              <w:jc w:val="left"/>
              <w:rPr>
                <w:rFonts w:hint="eastAsia" w:ascii="华文宋体" w:hAnsi="华文宋体" w:eastAsia="华文宋体" w:cs="华文宋体"/>
                <w:color w:val="auto"/>
                <w:sz w:val="21"/>
                <w:szCs w:val="21"/>
                <w:highlight w:val="none"/>
              </w:rPr>
            </w:pPr>
          </w:p>
        </w:tc>
      </w:tr>
      <w:tr w14:paraId="1DFD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5D738F06">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58B016F3">
            <w:pPr>
              <w:numPr>
                <w:ilvl w:val="0"/>
                <w:numId w:val="0"/>
              </w:numPr>
              <w:ind w:left="0" w:leftChars="0" w:firstLine="0" w:firstLineChars="0"/>
              <w:jc w:val="both"/>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信息查询</w:t>
            </w:r>
          </w:p>
        </w:tc>
        <w:tc>
          <w:tcPr>
            <w:tcW w:w="2615" w:type="pct"/>
            <w:vMerge w:val="continue"/>
          </w:tcPr>
          <w:p w14:paraId="18214DA8">
            <w:pPr>
              <w:spacing w:line="240" w:lineRule="atLeast"/>
              <w:jc w:val="left"/>
              <w:rPr>
                <w:rFonts w:hint="eastAsia" w:ascii="华文宋体" w:hAnsi="华文宋体" w:eastAsia="华文宋体" w:cs="华文宋体"/>
                <w:color w:val="auto"/>
                <w:sz w:val="21"/>
                <w:szCs w:val="21"/>
                <w:highlight w:val="none"/>
              </w:rPr>
            </w:pPr>
          </w:p>
        </w:tc>
      </w:tr>
      <w:tr w14:paraId="6E90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7E88FA90">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1A856B7E">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系统设置</w:t>
            </w:r>
          </w:p>
        </w:tc>
        <w:tc>
          <w:tcPr>
            <w:tcW w:w="2615" w:type="pct"/>
            <w:vMerge w:val="continue"/>
          </w:tcPr>
          <w:p w14:paraId="21075D07">
            <w:pPr>
              <w:spacing w:line="240" w:lineRule="atLeast"/>
              <w:jc w:val="left"/>
              <w:rPr>
                <w:rFonts w:hint="eastAsia" w:ascii="华文宋体" w:hAnsi="华文宋体" w:eastAsia="华文宋体" w:cs="华文宋体"/>
                <w:color w:val="auto"/>
                <w:sz w:val="21"/>
                <w:szCs w:val="21"/>
                <w:highlight w:val="none"/>
              </w:rPr>
            </w:pPr>
          </w:p>
        </w:tc>
      </w:tr>
      <w:tr w14:paraId="0B95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restart"/>
            <w:vAlign w:val="center"/>
          </w:tcPr>
          <w:p w14:paraId="73706EF1">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cs="宋体"/>
                <w:color w:val="auto"/>
                <w:sz w:val="21"/>
                <w:szCs w:val="21"/>
                <w:highlight w:val="none"/>
                <w:lang w:val="en-US" w:eastAsia="zh-CN"/>
              </w:rPr>
            </w:pPr>
            <w:r>
              <w:rPr>
                <w:rFonts w:hint="eastAsia" w:asciiTheme="minorEastAsia" w:hAnsiTheme="minorEastAsia" w:cstheme="minorEastAsia"/>
                <w:color w:val="auto"/>
                <w:sz w:val="21"/>
                <w:szCs w:val="21"/>
                <w:highlight w:val="none"/>
                <w:vertAlign w:val="baseline"/>
                <w:lang w:val="en-US" w:eastAsia="zh-CN"/>
              </w:rPr>
              <w:t>设备信息管理系统</w:t>
            </w:r>
          </w:p>
        </w:tc>
        <w:tc>
          <w:tcPr>
            <w:tcW w:w="1198" w:type="pct"/>
            <w:vAlign w:val="center"/>
          </w:tcPr>
          <w:p w14:paraId="12B15EAF">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kern w:val="2"/>
                <w:sz w:val="21"/>
                <w:szCs w:val="21"/>
                <w:highlight w:val="none"/>
                <w:shd w:val="clear"/>
                <w:lang w:val="en-US" w:eastAsia="zh-CN" w:bidi="ar-SA"/>
              </w:rPr>
            </w:pPr>
            <w:r>
              <w:rPr>
                <w:rFonts w:hint="eastAsia" w:ascii="宋体" w:hAnsi="宋体" w:eastAsia="宋体" w:cs="宋体"/>
                <w:color w:val="auto"/>
                <w:sz w:val="21"/>
                <w:szCs w:val="21"/>
                <w:highlight w:val="none"/>
                <w:shd w:val="clear"/>
                <w:lang w:val="en-US" w:eastAsia="zh-CN"/>
              </w:rPr>
              <w:t>申请管理</w:t>
            </w:r>
          </w:p>
        </w:tc>
        <w:tc>
          <w:tcPr>
            <w:tcW w:w="2615" w:type="pct"/>
            <w:vMerge w:val="restart"/>
          </w:tcPr>
          <w:p w14:paraId="2AF5A103">
            <w:pPr>
              <w:spacing w:line="240" w:lineRule="atLeast"/>
              <w:jc w:val="left"/>
              <w:rPr>
                <w:rFonts w:hint="eastAsia" w:ascii="华文宋体" w:hAnsi="华文宋体" w:eastAsia="华文宋体" w:cs="华文宋体"/>
                <w:color w:val="auto"/>
                <w:sz w:val="21"/>
                <w:szCs w:val="21"/>
                <w:highlight w:val="none"/>
              </w:rPr>
            </w:pPr>
            <w:r>
              <w:rPr>
                <w:rFonts w:hint="default" w:asciiTheme="minorEastAsia" w:hAnsiTheme="minorEastAsia" w:cstheme="minorEastAsia"/>
                <w:color w:val="auto"/>
                <w:sz w:val="21"/>
                <w:szCs w:val="21"/>
                <w:highlight w:val="none"/>
                <w:shd w:val="clear"/>
                <w:lang w:val="en-US" w:eastAsia="zh-CN"/>
              </w:rPr>
              <w:t>设备领用申请</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设备退还申请</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设备维修申请</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采购计划</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设备入库</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设备退库</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设备出库</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设备调配</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设备外调</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报增报损</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设备报废</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盘存核算</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残值变更</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设备申领审核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设备申退审核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采购计划审核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入库审核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出库审核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退库审核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调配审核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报废审核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外调审核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报增报损审核</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供应商证照</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厂家证照</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合同管理</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证照预警</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维护保养计划</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维护保养记录</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维护记录查询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维护计划查询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库存查询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入库查询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出库查询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退库查询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调配查询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报废查询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外调查询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报增报损查询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残值变更查询</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入库单汇总</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出库单汇总</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设备分类维护</w:t>
            </w:r>
            <w:r>
              <w:rPr>
                <w:rFonts w:hint="eastAsia" w:asciiTheme="minorEastAsia" w:hAnsiTheme="minorEastAsia" w:cstheme="minorEastAsia"/>
                <w:color w:val="auto"/>
                <w:sz w:val="21"/>
                <w:szCs w:val="21"/>
                <w:highlight w:val="none"/>
                <w:shd w:val="clear"/>
                <w:lang w:val="en-US" w:eastAsia="zh-CN"/>
              </w:rPr>
              <w:t>、</w:t>
            </w:r>
            <w:r>
              <w:rPr>
                <w:rFonts w:hint="default" w:asciiTheme="minorEastAsia" w:hAnsiTheme="minorEastAsia" w:cstheme="minorEastAsia"/>
                <w:color w:val="auto"/>
                <w:sz w:val="21"/>
                <w:szCs w:val="21"/>
                <w:highlight w:val="none"/>
                <w:shd w:val="clear"/>
                <w:lang w:val="en-US" w:eastAsia="zh-CN"/>
              </w:rPr>
              <w:t>设备信息维护</w:t>
            </w:r>
          </w:p>
        </w:tc>
      </w:tr>
      <w:tr w14:paraId="5271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479ACCB4">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7F697FE6">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kern w:val="2"/>
                <w:sz w:val="21"/>
                <w:szCs w:val="21"/>
                <w:highlight w:val="none"/>
                <w:shd w:val="clear"/>
                <w:lang w:val="en-US" w:eastAsia="zh-CN" w:bidi="ar-SA"/>
              </w:rPr>
            </w:pPr>
            <w:r>
              <w:rPr>
                <w:rFonts w:hint="eastAsia" w:ascii="宋体" w:hAnsi="宋体" w:eastAsia="宋体" w:cs="宋体"/>
                <w:color w:val="auto"/>
                <w:sz w:val="21"/>
                <w:szCs w:val="21"/>
                <w:highlight w:val="none"/>
                <w:shd w:val="clear"/>
                <w:lang w:val="en-US" w:eastAsia="zh-CN"/>
              </w:rPr>
              <w:t>入库管理</w:t>
            </w:r>
          </w:p>
        </w:tc>
        <w:tc>
          <w:tcPr>
            <w:tcW w:w="2615" w:type="pct"/>
            <w:vMerge w:val="continue"/>
          </w:tcPr>
          <w:p w14:paraId="2534C248">
            <w:pPr>
              <w:spacing w:line="240" w:lineRule="atLeast"/>
              <w:jc w:val="left"/>
              <w:rPr>
                <w:rFonts w:hint="eastAsia" w:ascii="华文宋体" w:hAnsi="华文宋体" w:eastAsia="华文宋体" w:cs="华文宋体"/>
                <w:color w:val="auto"/>
                <w:sz w:val="21"/>
                <w:szCs w:val="21"/>
                <w:highlight w:val="none"/>
              </w:rPr>
            </w:pPr>
          </w:p>
        </w:tc>
      </w:tr>
      <w:tr w14:paraId="690F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2D663847">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11B4D676">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kern w:val="2"/>
                <w:sz w:val="21"/>
                <w:szCs w:val="21"/>
                <w:highlight w:val="none"/>
                <w:shd w:val="clear"/>
                <w:lang w:val="en-US" w:eastAsia="zh-CN" w:bidi="ar-SA"/>
              </w:rPr>
            </w:pPr>
            <w:r>
              <w:rPr>
                <w:rFonts w:hint="eastAsia" w:ascii="宋体" w:hAnsi="宋体" w:eastAsia="宋体" w:cs="宋体"/>
                <w:color w:val="auto"/>
                <w:sz w:val="21"/>
                <w:szCs w:val="21"/>
                <w:highlight w:val="none"/>
                <w:shd w:val="clear"/>
                <w:lang w:val="en-US" w:eastAsia="zh-CN"/>
              </w:rPr>
              <w:t>出库管理</w:t>
            </w:r>
          </w:p>
        </w:tc>
        <w:tc>
          <w:tcPr>
            <w:tcW w:w="2615" w:type="pct"/>
            <w:vMerge w:val="continue"/>
          </w:tcPr>
          <w:p w14:paraId="0834DE61">
            <w:pPr>
              <w:spacing w:line="240" w:lineRule="atLeast"/>
              <w:jc w:val="left"/>
              <w:rPr>
                <w:rFonts w:hint="eastAsia" w:ascii="华文宋体" w:hAnsi="华文宋体" w:eastAsia="华文宋体" w:cs="华文宋体"/>
                <w:color w:val="auto"/>
                <w:sz w:val="21"/>
                <w:szCs w:val="21"/>
                <w:highlight w:val="none"/>
              </w:rPr>
            </w:pPr>
          </w:p>
        </w:tc>
      </w:tr>
      <w:tr w14:paraId="730C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067F7931">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271967EB">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kern w:val="2"/>
                <w:sz w:val="21"/>
                <w:szCs w:val="21"/>
                <w:highlight w:val="none"/>
                <w:shd w:val="clear"/>
                <w:lang w:val="en-US" w:eastAsia="zh-CN" w:bidi="ar-SA"/>
              </w:rPr>
            </w:pPr>
            <w:r>
              <w:rPr>
                <w:rFonts w:hint="eastAsia" w:ascii="宋体" w:hAnsi="宋体" w:eastAsia="宋体" w:cs="宋体"/>
                <w:color w:val="auto"/>
                <w:sz w:val="21"/>
                <w:szCs w:val="21"/>
                <w:highlight w:val="none"/>
                <w:shd w:val="clear"/>
                <w:lang w:val="en-US" w:eastAsia="zh-CN"/>
              </w:rPr>
              <w:t>库存管理</w:t>
            </w:r>
          </w:p>
        </w:tc>
        <w:tc>
          <w:tcPr>
            <w:tcW w:w="2615" w:type="pct"/>
            <w:vMerge w:val="continue"/>
          </w:tcPr>
          <w:p w14:paraId="739E0DF0">
            <w:pPr>
              <w:spacing w:line="240" w:lineRule="atLeast"/>
              <w:jc w:val="left"/>
              <w:rPr>
                <w:rFonts w:hint="eastAsia" w:ascii="华文宋体" w:hAnsi="华文宋体" w:eastAsia="华文宋体" w:cs="华文宋体"/>
                <w:color w:val="auto"/>
                <w:sz w:val="21"/>
                <w:szCs w:val="21"/>
                <w:highlight w:val="none"/>
              </w:rPr>
            </w:pPr>
          </w:p>
        </w:tc>
      </w:tr>
      <w:tr w14:paraId="32F4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712CF9C7">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1D068586">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kern w:val="2"/>
                <w:sz w:val="21"/>
                <w:szCs w:val="21"/>
                <w:highlight w:val="none"/>
                <w:shd w:val="clear"/>
                <w:lang w:val="en-US" w:eastAsia="zh-CN" w:bidi="ar-SA"/>
              </w:rPr>
            </w:pPr>
            <w:r>
              <w:rPr>
                <w:rFonts w:hint="eastAsia" w:ascii="宋体" w:hAnsi="宋体" w:eastAsia="宋体" w:cs="宋体"/>
                <w:color w:val="auto"/>
                <w:sz w:val="21"/>
                <w:szCs w:val="21"/>
                <w:highlight w:val="none"/>
                <w:shd w:val="clear"/>
                <w:lang w:val="en-US" w:eastAsia="zh-CN"/>
              </w:rPr>
              <w:t>审核管理</w:t>
            </w:r>
          </w:p>
        </w:tc>
        <w:tc>
          <w:tcPr>
            <w:tcW w:w="2615" w:type="pct"/>
            <w:vMerge w:val="continue"/>
          </w:tcPr>
          <w:p w14:paraId="25C4FA6C">
            <w:pPr>
              <w:spacing w:line="240" w:lineRule="atLeast"/>
              <w:jc w:val="left"/>
              <w:rPr>
                <w:rFonts w:hint="eastAsia" w:ascii="华文宋体" w:hAnsi="华文宋体" w:eastAsia="华文宋体" w:cs="华文宋体"/>
                <w:color w:val="auto"/>
                <w:sz w:val="21"/>
                <w:szCs w:val="21"/>
                <w:highlight w:val="none"/>
              </w:rPr>
            </w:pPr>
          </w:p>
        </w:tc>
      </w:tr>
      <w:tr w14:paraId="5416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0CA1F50A">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57FFED2A">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color w:val="auto"/>
                <w:kern w:val="2"/>
                <w:sz w:val="21"/>
                <w:szCs w:val="21"/>
                <w:highlight w:val="none"/>
                <w:shd w:val="clear"/>
                <w:lang w:val="en-US" w:eastAsia="zh-CN" w:bidi="ar-SA"/>
              </w:rPr>
            </w:pPr>
            <w:r>
              <w:rPr>
                <w:rFonts w:hint="eastAsia" w:ascii="宋体" w:hAnsi="宋体" w:eastAsia="宋体" w:cs="宋体"/>
                <w:color w:val="auto"/>
                <w:sz w:val="21"/>
                <w:szCs w:val="21"/>
                <w:highlight w:val="none"/>
                <w:shd w:val="clear"/>
                <w:lang w:val="en-US" w:eastAsia="zh-CN"/>
              </w:rPr>
              <w:t>证照管理</w:t>
            </w:r>
          </w:p>
        </w:tc>
        <w:tc>
          <w:tcPr>
            <w:tcW w:w="2615" w:type="pct"/>
            <w:vMerge w:val="continue"/>
          </w:tcPr>
          <w:p w14:paraId="6E86C480">
            <w:pPr>
              <w:spacing w:line="240" w:lineRule="atLeast"/>
              <w:jc w:val="left"/>
              <w:rPr>
                <w:rFonts w:hint="eastAsia" w:ascii="华文宋体" w:hAnsi="华文宋体" w:eastAsia="华文宋体" w:cs="华文宋体"/>
                <w:color w:val="auto"/>
                <w:sz w:val="21"/>
                <w:szCs w:val="21"/>
                <w:highlight w:val="none"/>
              </w:rPr>
            </w:pPr>
          </w:p>
        </w:tc>
      </w:tr>
      <w:tr w14:paraId="7A61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06504954">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76F8ED84">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维护保养</w:t>
            </w:r>
          </w:p>
        </w:tc>
        <w:tc>
          <w:tcPr>
            <w:tcW w:w="2615" w:type="pct"/>
            <w:vMerge w:val="continue"/>
          </w:tcPr>
          <w:p w14:paraId="764D9985">
            <w:pPr>
              <w:spacing w:line="240" w:lineRule="atLeast"/>
              <w:jc w:val="left"/>
              <w:rPr>
                <w:rFonts w:hint="eastAsia" w:ascii="华文宋体" w:hAnsi="华文宋体" w:eastAsia="华文宋体" w:cs="华文宋体"/>
                <w:color w:val="auto"/>
                <w:sz w:val="21"/>
                <w:szCs w:val="21"/>
                <w:highlight w:val="none"/>
              </w:rPr>
            </w:pPr>
          </w:p>
        </w:tc>
      </w:tr>
      <w:tr w14:paraId="533B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42B677A1">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777D8C80">
            <w:pPr>
              <w:numPr>
                <w:ilvl w:val="0"/>
                <w:numId w:val="0"/>
              </w:numPr>
              <w:ind w:left="0" w:leftChars="0" w:firstLine="0" w:firstLineChars="0"/>
              <w:jc w:val="both"/>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信息查询</w:t>
            </w:r>
          </w:p>
        </w:tc>
        <w:tc>
          <w:tcPr>
            <w:tcW w:w="2615" w:type="pct"/>
            <w:vMerge w:val="continue"/>
          </w:tcPr>
          <w:p w14:paraId="754D77BF">
            <w:pPr>
              <w:spacing w:line="240" w:lineRule="atLeast"/>
              <w:jc w:val="left"/>
              <w:rPr>
                <w:rFonts w:hint="eastAsia" w:ascii="华文宋体" w:hAnsi="华文宋体" w:eastAsia="华文宋体" w:cs="华文宋体"/>
                <w:color w:val="auto"/>
                <w:sz w:val="21"/>
                <w:szCs w:val="21"/>
                <w:highlight w:val="none"/>
              </w:rPr>
            </w:pPr>
          </w:p>
        </w:tc>
      </w:tr>
      <w:tr w14:paraId="781D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758CBF73">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2ABA1100">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asciiTheme="minorEastAsia" w:hAnsiTheme="minorEastAsia" w:cstheme="minorEastAsia"/>
                <w:color w:val="auto"/>
                <w:kern w:val="2"/>
                <w:sz w:val="21"/>
                <w:szCs w:val="21"/>
                <w:highlight w:val="none"/>
                <w:shd w:val="clear"/>
                <w:lang w:val="en-US" w:eastAsia="zh-CN" w:bidi="ar-SA"/>
              </w:rPr>
            </w:pPr>
            <w:r>
              <w:rPr>
                <w:rFonts w:hint="default" w:asciiTheme="minorEastAsia" w:hAnsiTheme="minorEastAsia" w:cstheme="minorEastAsia"/>
                <w:color w:val="auto"/>
                <w:sz w:val="21"/>
                <w:szCs w:val="21"/>
                <w:highlight w:val="none"/>
                <w:shd w:val="clear"/>
                <w:lang w:val="en-US" w:eastAsia="zh-CN"/>
              </w:rPr>
              <w:t>汇总统计</w:t>
            </w:r>
          </w:p>
        </w:tc>
        <w:tc>
          <w:tcPr>
            <w:tcW w:w="2615" w:type="pct"/>
            <w:vMerge w:val="continue"/>
          </w:tcPr>
          <w:p w14:paraId="0253CDDC">
            <w:pPr>
              <w:spacing w:line="240" w:lineRule="atLeast"/>
              <w:jc w:val="left"/>
              <w:rPr>
                <w:rFonts w:hint="eastAsia" w:ascii="华文宋体" w:hAnsi="华文宋体" w:eastAsia="华文宋体" w:cs="华文宋体"/>
                <w:color w:val="auto"/>
                <w:sz w:val="21"/>
                <w:szCs w:val="21"/>
                <w:highlight w:val="none"/>
              </w:rPr>
            </w:pPr>
          </w:p>
        </w:tc>
      </w:tr>
      <w:tr w14:paraId="3F81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continue"/>
            <w:vAlign w:val="center"/>
          </w:tcPr>
          <w:p w14:paraId="2529F40E">
            <w:pPr>
              <w:spacing w:line="240" w:lineRule="atLeast"/>
              <w:jc w:val="center"/>
              <w:rPr>
                <w:rFonts w:hint="eastAsia" w:ascii="宋体" w:hAnsi="宋体" w:cs="宋体"/>
                <w:color w:val="auto"/>
                <w:sz w:val="21"/>
                <w:szCs w:val="21"/>
                <w:highlight w:val="none"/>
                <w:lang w:val="en-US" w:eastAsia="zh-CN"/>
              </w:rPr>
            </w:pPr>
          </w:p>
        </w:tc>
        <w:tc>
          <w:tcPr>
            <w:tcW w:w="1198" w:type="pct"/>
            <w:vAlign w:val="center"/>
          </w:tcPr>
          <w:p w14:paraId="147F3504">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eastAsia="宋体" w:asciiTheme="minorEastAsia" w:hAnsiTheme="minorEastAsia" w:cstheme="minorEastAsia"/>
                <w:color w:val="auto"/>
                <w:kern w:val="2"/>
                <w:sz w:val="21"/>
                <w:szCs w:val="21"/>
                <w:highlight w:val="none"/>
                <w:shd w:val="clear"/>
                <w:lang w:val="en-US" w:eastAsia="zh-CN" w:bidi="ar-SA"/>
              </w:rPr>
            </w:pPr>
            <w:r>
              <w:rPr>
                <w:rFonts w:hint="eastAsia" w:asciiTheme="minorEastAsia" w:hAnsiTheme="minorEastAsia" w:cstheme="minorEastAsia"/>
                <w:color w:val="auto"/>
                <w:sz w:val="21"/>
                <w:szCs w:val="21"/>
                <w:highlight w:val="none"/>
                <w:shd w:val="clear"/>
                <w:lang w:val="en-US" w:eastAsia="zh-CN"/>
              </w:rPr>
              <w:t>系统设置</w:t>
            </w:r>
          </w:p>
        </w:tc>
        <w:tc>
          <w:tcPr>
            <w:tcW w:w="2615" w:type="pct"/>
            <w:vMerge w:val="continue"/>
          </w:tcPr>
          <w:p w14:paraId="1AD99D18">
            <w:pPr>
              <w:spacing w:line="240" w:lineRule="atLeast"/>
              <w:jc w:val="left"/>
              <w:rPr>
                <w:rFonts w:hint="eastAsia" w:ascii="华文宋体" w:hAnsi="华文宋体" w:eastAsia="华文宋体" w:cs="华文宋体"/>
                <w:color w:val="auto"/>
                <w:sz w:val="21"/>
                <w:szCs w:val="21"/>
                <w:highlight w:val="none"/>
              </w:rPr>
            </w:pPr>
          </w:p>
        </w:tc>
      </w:tr>
      <w:tr w14:paraId="4047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86" w:type="pct"/>
            <w:vMerge w:val="restart"/>
            <w:vAlign w:val="center"/>
          </w:tcPr>
          <w:p w14:paraId="26BF86D3">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居民电子健康卡HIS用卡环境线下改造</w:t>
            </w:r>
          </w:p>
        </w:tc>
        <w:tc>
          <w:tcPr>
            <w:tcW w:w="1198" w:type="pct"/>
            <w:vAlign w:val="center"/>
          </w:tcPr>
          <w:p w14:paraId="283A8CCC">
            <w:pPr>
              <w:spacing w:line="240" w:lineRule="atLeas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智能一卡通管理系统</w:t>
            </w:r>
          </w:p>
        </w:tc>
        <w:tc>
          <w:tcPr>
            <w:tcW w:w="2615" w:type="pct"/>
          </w:tcPr>
          <w:p w14:paraId="390ABD63">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新增电子健康卡窗口办理</w:t>
            </w:r>
          </w:p>
          <w:p w14:paraId="61772B59">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新增电子健康卡解绑，允许患者解绑本院的电子健康卡</w:t>
            </w:r>
          </w:p>
          <w:p w14:paraId="3E868513">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新增电子健康卡充值，通过读取电子健康卡进行充值</w:t>
            </w:r>
          </w:p>
          <w:p w14:paraId="1D2FAABA">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新增电子健康卡退费，通过读取电子健康卡进行充值</w:t>
            </w:r>
          </w:p>
          <w:p w14:paraId="5A91095F">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新增电子健康卡病人基础档案信息修改。</w:t>
            </w:r>
          </w:p>
          <w:p w14:paraId="352BE32D">
            <w:pPr>
              <w:spacing w:line="240" w:lineRule="atLeast"/>
              <w:jc w:val="left"/>
              <w:rPr>
                <w:rFonts w:ascii="宋体" w:hAnsi="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新增电子健康卡挂失，解决患者手机丢失，暂停卡的使用</w:t>
            </w:r>
          </w:p>
        </w:tc>
      </w:tr>
      <w:tr w14:paraId="4065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186" w:type="pct"/>
            <w:vMerge w:val="continue"/>
          </w:tcPr>
          <w:p w14:paraId="603730A6">
            <w:pPr>
              <w:spacing w:line="240" w:lineRule="atLeast"/>
              <w:jc w:val="left"/>
              <w:rPr>
                <w:rFonts w:hint="eastAsia" w:ascii="宋体" w:hAnsi="宋体" w:cs="宋体"/>
                <w:color w:val="auto"/>
                <w:sz w:val="21"/>
                <w:szCs w:val="21"/>
                <w:highlight w:val="none"/>
                <w:lang w:val="en-US" w:eastAsia="zh-CN"/>
              </w:rPr>
            </w:pPr>
          </w:p>
        </w:tc>
        <w:tc>
          <w:tcPr>
            <w:tcW w:w="1198" w:type="pct"/>
            <w:vAlign w:val="center"/>
          </w:tcPr>
          <w:p w14:paraId="238AA3E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门诊信息管理系统</w:t>
            </w:r>
          </w:p>
        </w:tc>
        <w:tc>
          <w:tcPr>
            <w:tcW w:w="2615" w:type="pct"/>
          </w:tcPr>
          <w:p w14:paraId="70C2866A">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新增电子健康卡挂号</w:t>
            </w:r>
          </w:p>
          <w:p w14:paraId="75E3FD1E">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新增电子健康卡划价缴费及快速充值</w:t>
            </w:r>
          </w:p>
          <w:p w14:paraId="335BC1CD">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新增电子健康卡挂号退费</w:t>
            </w:r>
          </w:p>
          <w:p w14:paraId="2335BE64">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新增电子健康卡诊疗或药品项目退费</w:t>
            </w:r>
          </w:p>
          <w:p w14:paraId="34400AC2">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新增电子健康卡费用清单查看，列出充值、退费、缴费、退现的流水记录</w:t>
            </w:r>
          </w:p>
          <w:p w14:paraId="3F628C18">
            <w:pPr>
              <w:spacing w:line="240" w:lineRule="atLeast"/>
              <w:jc w:val="left"/>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新增电子健康卡就诊发票统一打印</w:t>
            </w:r>
          </w:p>
        </w:tc>
      </w:tr>
      <w:tr w14:paraId="4EA0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86" w:type="pct"/>
            <w:vMerge w:val="continue"/>
          </w:tcPr>
          <w:p w14:paraId="3E69BDDA">
            <w:pPr>
              <w:spacing w:line="240" w:lineRule="atLeast"/>
              <w:jc w:val="left"/>
              <w:rPr>
                <w:rFonts w:hint="eastAsia" w:ascii="宋体" w:hAnsi="宋体" w:cs="宋体"/>
                <w:color w:val="auto"/>
                <w:sz w:val="21"/>
                <w:szCs w:val="21"/>
                <w:highlight w:val="none"/>
                <w:lang w:val="en-US" w:eastAsia="zh-CN"/>
              </w:rPr>
            </w:pPr>
          </w:p>
        </w:tc>
        <w:tc>
          <w:tcPr>
            <w:tcW w:w="1198" w:type="pct"/>
            <w:vAlign w:val="center"/>
          </w:tcPr>
          <w:p w14:paraId="2CA150D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药房管理系统</w:t>
            </w:r>
          </w:p>
        </w:tc>
        <w:tc>
          <w:tcPr>
            <w:tcW w:w="2615" w:type="pct"/>
          </w:tcPr>
          <w:p w14:paraId="3BD0A73D">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新增电子健康卡门诊处方划价</w:t>
            </w:r>
          </w:p>
          <w:p w14:paraId="37171981">
            <w:pPr>
              <w:spacing w:line="240" w:lineRule="atLeast"/>
              <w:jc w:val="left"/>
              <w:rPr>
                <w:rFonts w:hint="eastAsia" w:ascii="华文宋体" w:hAnsi="华文宋体" w:eastAsia="华文宋体" w:cs="华文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新增电子健康卡门诊缴费发药</w:t>
            </w:r>
          </w:p>
        </w:tc>
      </w:tr>
      <w:tr w14:paraId="136E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86" w:type="pct"/>
            <w:vMerge w:val="continue"/>
          </w:tcPr>
          <w:p w14:paraId="4897C08E">
            <w:pPr>
              <w:spacing w:line="240" w:lineRule="atLeast"/>
              <w:jc w:val="left"/>
              <w:rPr>
                <w:rFonts w:hint="eastAsia" w:ascii="宋体" w:hAnsi="宋体" w:cs="宋体"/>
                <w:color w:val="auto"/>
                <w:sz w:val="21"/>
                <w:szCs w:val="21"/>
                <w:highlight w:val="none"/>
                <w:lang w:val="en-US" w:eastAsia="zh-CN"/>
              </w:rPr>
            </w:pPr>
          </w:p>
        </w:tc>
        <w:tc>
          <w:tcPr>
            <w:tcW w:w="1198" w:type="pct"/>
            <w:vAlign w:val="center"/>
          </w:tcPr>
          <w:p w14:paraId="279CF45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医技检查检验信息管理系统</w:t>
            </w:r>
          </w:p>
        </w:tc>
        <w:tc>
          <w:tcPr>
            <w:tcW w:w="2615" w:type="pct"/>
          </w:tcPr>
          <w:p w14:paraId="1ED71FFA">
            <w:pPr>
              <w:spacing w:line="240" w:lineRule="atLeast"/>
              <w:jc w:val="left"/>
              <w:rPr>
                <w:rFonts w:hint="eastAsia" w:ascii="华文宋体" w:hAnsi="华文宋体" w:eastAsia="华文宋体" w:cs="华文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新增电子健康卡医技门诊扣费及检查确认</w:t>
            </w:r>
          </w:p>
        </w:tc>
      </w:tr>
      <w:tr w14:paraId="7C89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86" w:type="pct"/>
            <w:vMerge w:val="continue"/>
          </w:tcPr>
          <w:p w14:paraId="226CB7E6">
            <w:pPr>
              <w:spacing w:line="240" w:lineRule="atLeast"/>
              <w:jc w:val="left"/>
              <w:rPr>
                <w:rFonts w:hint="eastAsia" w:ascii="宋体" w:hAnsi="宋体" w:cs="宋体"/>
                <w:color w:val="auto"/>
                <w:sz w:val="21"/>
                <w:szCs w:val="21"/>
                <w:highlight w:val="none"/>
                <w:lang w:val="en-US" w:eastAsia="zh-CN"/>
              </w:rPr>
            </w:pPr>
          </w:p>
        </w:tc>
        <w:tc>
          <w:tcPr>
            <w:tcW w:w="1198" w:type="pct"/>
            <w:vAlign w:val="center"/>
          </w:tcPr>
          <w:p w14:paraId="6E72E10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门诊医生站管理系统</w:t>
            </w:r>
          </w:p>
        </w:tc>
        <w:tc>
          <w:tcPr>
            <w:tcW w:w="2615" w:type="pct"/>
          </w:tcPr>
          <w:p w14:paraId="2DA96F34">
            <w:pPr>
              <w:numPr>
                <w:ilvl w:val="0"/>
                <w:numId w:val="0"/>
              </w:numPr>
              <w:ind w:leftChars="0"/>
              <w:rPr>
                <w:rFonts w:hint="eastAsia" w:ascii="宋体" w:hAnsi="宋体" w:eastAsia="宋体" w:cs="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新增电子健康卡挂号</w:t>
            </w:r>
          </w:p>
          <w:p w14:paraId="6D00DD5F">
            <w:pPr>
              <w:spacing w:line="240" w:lineRule="atLeast"/>
              <w:jc w:val="left"/>
              <w:rPr>
                <w:rFonts w:hint="eastAsia" w:ascii="华文宋体" w:hAnsi="华文宋体" w:eastAsia="华文宋体" w:cs="华文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新增电子健康卡就诊。</w:t>
            </w:r>
          </w:p>
        </w:tc>
      </w:tr>
      <w:tr w14:paraId="0649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86" w:type="pct"/>
            <w:vMerge w:val="continue"/>
          </w:tcPr>
          <w:p w14:paraId="0B9D85BE">
            <w:pPr>
              <w:spacing w:line="240" w:lineRule="atLeast"/>
              <w:jc w:val="left"/>
              <w:rPr>
                <w:rFonts w:hint="eastAsia" w:ascii="宋体" w:hAnsi="宋体" w:cs="宋体"/>
                <w:color w:val="auto"/>
                <w:sz w:val="21"/>
                <w:szCs w:val="21"/>
                <w:highlight w:val="none"/>
                <w:lang w:val="en-US" w:eastAsia="zh-CN"/>
              </w:rPr>
            </w:pPr>
          </w:p>
        </w:tc>
        <w:tc>
          <w:tcPr>
            <w:tcW w:w="1198" w:type="pct"/>
            <w:vAlign w:val="center"/>
          </w:tcPr>
          <w:p w14:paraId="410F34C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住院信息管理系统</w:t>
            </w:r>
          </w:p>
        </w:tc>
        <w:tc>
          <w:tcPr>
            <w:tcW w:w="2615" w:type="pct"/>
          </w:tcPr>
          <w:p w14:paraId="3FA31BB1">
            <w:pPr>
              <w:spacing w:line="240" w:lineRule="atLeast"/>
              <w:jc w:val="left"/>
              <w:rPr>
                <w:rFonts w:hint="eastAsia" w:ascii="华文宋体" w:hAnsi="华文宋体" w:eastAsia="华文宋体" w:cs="华文宋体"/>
                <w:color w:val="auto"/>
                <w:sz w:val="21"/>
                <w:szCs w:val="21"/>
                <w:highlight w:val="none"/>
              </w:rPr>
            </w:pPr>
            <w:r>
              <w:rPr>
                <w:rFonts w:hint="eastAsia" w:ascii="华文宋体" w:hAnsi="华文宋体" w:eastAsia="华文宋体" w:cs="华文宋体"/>
                <w:color w:val="auto"/>
                <w:sz w:val="21"/>
                <w:szCs w:val="21"/>
                <w:highlight w:val="none"/>
              </w:rPr>
              <w:t>●</w:t>
            </w:r>
            <w:r>
              <w:rPr>
                <w:rFonts w:hint="eastAsia" w:ascii="宋体" w:hAnsi="宋体" w:eastAsia="宋体" w:cs="宋体"/>
                <w:color w:val="auto"/>
                <w:sz w:val="21"/>
                <w:szCs w:val="21"/>
                <w:highlight w:val="none"/>
              </w:rPr>
              <w:t>改造入院办理界面，支持快速提取患者电子健康卡基本信息</w:t>
            </w:r>
          </w:p>
        </w:tc>
      </w:tr>
    </w:tbl>
    <w:p w14:paraId="206DAB1B">
      <w:pPr>
        <w:pStyle w:val="5"/>
        <w:bidi w:val="0"/>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（2） 结构化电子病历升级</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2208"/>
        <w:gridCol w:w="5623"/>
      </w:tblGrid>
      <w:tr w14:paraId="644E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76" w:type="pct"/>
            <w:shd w:val="clear" w:color="auto" w:fill="F1F1F1" w:themeFill="background1" w:themeFillShade="F2"/>
            <w:vAlign w:val="center"/>
          </w:tcPr>
          <w:p w14:paraId="1CD9A226">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模块编号</w:t>
            </w:r>
          </w:p>
        </w:tc>
        <w:tc>
          <w:tcPr>
            <w:tcW w:w="1219" w:type="pct"/>
            <w:shd w:val="clear" w:color="auto" w:fill="F1F1F1" w:themeFill="background1" w:themeFillShade="F2"/>
            <w:vAlign w:val="center"/>
          </w:tcPr>
          <w:p w14:paraId="417B2FCE">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功能模块</w:t>
            </w:r>
          </w:p>
        </w:tc>
        <w:tc>
          <w:tcPr>
            <w:tcW w:w="3104" w:type="pct"/>
            <w:shd w:val="clear" w:color="auto" w:fill="F1F1F1" w:themeFill="background1" w:themeFillShade="F2"/>
            <w:vAlign w:val="center"/>
          </w:tcPr>
          <w:p w14:paraId="3E29AA02">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功能概述</w:t>
            </w:r>
          </w:p>
        </w:tc>
      </w:tr>
      <w:tr w14:paraId="1012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76" w:type="pct"/>
            <w:vAlign w:val="center"/>
          </w:tcPr>
          <w:p w14:paraId="747DC047">
            <w:pPr>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323" w:type="pct"/>
            <w:gridSpan w:val="2"/>
            <w:vAlign w:val="center"/>
          </w:tcPr>
          <w:p w14:paraId="119E2CE3">
            <w:pPr>
              <w:jc w:val="center"/>
              <w:rPr>
                <w:rFonts w:ascii="宋体" w:hAnsi="宋体" w:cs="宋体"/>
                <w:color w:val="auto"/>
                <w:sz w:val="21"/>
                <w:szCs w:val="21"/>
                <w:highlight w:val="none"/>
              </w:rPr>
            </w:pPr>
            <w:r>
              <w:rPr>
                <w:rFonts w:hint="eastAsia" w:ascii="宋体" w:hAnsi="宋体" w:cs="宋体"/>
                <w:color w:val="auto"/>
                <w:sz w:val="21"/>
                <w:szCs w:val="21"/>
                <w:highlight w:val="none"/>
              </w:rPr>
              <w:t>电子病历编辑器</w:t>
            </w:r>
          </w:p>
        </w:tc>
      </w:tr>
      <w:tr w14:paraId="1647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6" w:type="pct"/>
            <w:vMerge w:val="restart"/>
            <w:vAlign w:val="center"/>
          </w:tcPr>
          <w:p w14:paraId="3339C36D">
            <w:pPr>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219" w:type="pct"/>
            <w:vMerge w:val="restart"/>
            <w:vAlign w:val="center"/>
          </w:tcPr>
          <w:p w14:paraId="26FDA9A7">
            <w:pPr>
              <w:jc w:val="center"/>
              <w:rPr>
                <w:rFonts w:ascii="宋体" w:hAnsi="宋体" w:cs="宋体"/>
                <w:color w:val="auto"/>
                <w:sz w:val="21"/>
                <w:szCs w:val="21"/>
                <w:highlight w:val="none"/>
              </w:rPr>
            </w:pPr>
            <w:r>
              <w:rPr>
                <w:rFonts w:hint="eastAsia" w:ascii="宋体" w:hAnsi="宋体" w:cs="宋体"/>
                <w:color w:val="auto"/>
                <w:sz w:val="21"/>
                <w:szCs w:val="21"/>
                <w:highlight w:val="none"/>
              </w:rPr>
              <w:t>患者基本信息管理</w:t>
            </w:r>
          </w:p>
        </w:tc>
        <w:tc>
          <w:tcPr>
            <w:tcW w:w="3104" w:type="pct"/>
            <w:vAlign w:val="center"/>
          </w:tcPr>
          <w:p w14:paraId="0FC91C6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设置患者信息</w:t>
            </w:r>
          </w:p>
        </w:tc>
      </w:tr>
      <w:tr w14:paraId="3C62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2881CFD1">
            <w:pPr>
              <w:rPr>
                <w:rFonts w:ascii="宋体" w:hAnsi="宋体" w:cs="宋体"/>
                <w:color w:val="auto"/>
                <w:sz w:val="21"/>
                <w:szCs w:val="21"/>
                <w:highlight w:val="none"/>
              </w:rPr>
            </w:pPr>
          </w:p>
        </w:tc>
        <w:tc>
          <w:tcPr>
            <w:tcW w:w="1219" w:type="pct"/>
            <w:vMerge w:val="continue"/>
          </w:tcPr>
          <w:p w14:paraId="124E0BF6">
            <w:pPr>
              <w:rPr>
                <w:rFonts w:ascii="宋体" w:hAnsi="宋体" w:cs="宋体"/>
                <w:color w:val="auto"/>
                <w:sz w:val="21"/>
                <w:szCs w:val="21"/>
                <w:highlight w:val="none"/>
              </w:rPr>
            </w:pPr>
          </w:p>
        </w:tc>
        <w:tc>
          <w:tcPr>
            <w:tcW w:w="3104" w:type="pct"/>
            <w:vAlign w:val="center"/>
          </w:tcPr>
          <w:p w14:paraId="2A1206A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设置主治医师</w:t>
            </w:r>
          </w:p>
        </w:tc>
      </w:tr>
      <w:tr w14:paraId="2AEC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7F99ED5E">
            <w:pPr>
              <w:rPr>
                <w:rFonts w:ascii="宋体" w:hAnsi="宋体" w:cs="宋体"/>
                <w:color w:val="auto"/>
                <w:sz w:val="21"/>
                <w:szCs w:val="21"/>
                <w:highlight w:val="none"/>
              </w:rPr>
            </w:pPr>
          </w:p>
        </w:tc>
        <w:tc>
          <w:tcPr>
            <w:tcW w:w="1219" w:type="pct"/>
            <w:vMerge w:val="continue"/>
          </w:tcPr>
          <w:p w14:paraId="6910A518">
            <w:pPr>
              <w:rPr>
                <w:rFonts w:ascii="宋体" w:hAnsi="宋体" w:cs="宋体"/>
                <w:color w:val="auto"/>
                <w:sz w:val="21"/>
                <w:szCs w:val="21"/>
                <w:highlight w:val="none"/>
              </w:rPr>
            </w:pPr>
          </w:p>
        </w:tc>
        <w:tc>
          <w:tcPr>
            <w:tcW w:w="3104" w:type="pct"/>
            <w:vAlign w:val="center"/>
          </w:tcPr>
          <w:p w14:paraId="109879C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患者死亡登记</w:t>
            </w:r>
          </w:p>
        </w:tc>
      </w:tr>
      <w:tr w14:paraId="0861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2602B4B3">
            <w:pPr>
              <w:rPr>
                <w:rFonts w:ascii="宋体" w:hAnsi="宋体" w:cs="宋体"/>
                <w:color w:val="auto"/>
                <w:sz w:val="21"/>
                <w:szCs w:val="21"/>
                <w:highlight w:val="none"/>
              </w:rPr>
            </w:pPr>
          </w:p>
        </w:tc>
        <w:tc>
          <w:tcPr>
            <w:tcW w:w="1219" w:type="pct"/>
            <w:vMerge w:val="continue"/>
          </w:tcPr>
          <w:p w14:paraId="759D6FFA">
            <w:pPr>
              <w:rPr>
                <w:rFonts w:ascii="宋体" w:hAnsi="宋体" w:cs="宋体"/>
                <w:color w:val="auto"/>
                <w:sz w:val="21"/>
                <w:szCs w:val="21"/>
                <w:highlight w:val="none"/>
              </w:rPr>
            </w:pPr>
          </w:p>
        </w:tc>
        <w:tc>
          <w:tcPr>
            <w:tcW w:w="3104" w:type="pct"/>
            <w:vAlign w:val="center"/>
          </w:tcPr>
          <w:p w14:paraId="6F0A98E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更换主治医师</w:t>
            </w:r>
          </w:p>
        </w:tc>
      </w:tr>
      <w:tr w14:paraId="755B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03C7491D">
            <w:pPr>
              <w:rPr>
                <w:rFonts w:ascii="宋体" w:hAnsi="宋体" w:cs="宋体"/>
                <w:color w:val="auto"/>
                <w:sz w:val="21"/>
                <w:szCs w:val="21"/>
                <w:highlight w:val="none"/>
              </w:rPr>
            </w:pPr>
          </w:p>
        </w:tc>
        <w:tc>
          <w:tcPr>
            <w:tcW w:w="1219" w:type="pct"/>
            <w:vMerge w:val="continue"/>
          </w:tcPr>
          <w:p w14:paraId="30A1551F">
            <w:pPr>
              <w:rPr>
                <w:rFonts w:ascii="宋体" w:hAnsi="宋体" w:cs="宋体"/>
                <w:color w:val="auto"/>
                <w:sz w:val="21"/>
                <w:szCs w:val="21"/>
                <w:highlight w:val="none"/>
              </w:rPr>
            </w:pPr>
          </w:p>
        </w:tc>
        <w:tc>
          <w:tcPr>
            <w:tcW w:w="3104" w:type="pct"/>
            <w:vAlign w:val="center"/>
          </w:tcPr>
          <w:p w14:paraId="61DB474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交班信息查询</w:t>
            </w:r>
          </w:p>
        </w:tc>
      </w:tr>
      <w:tr w14:paraId="09E3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02FFF3A1">
            <w:pPr>
              <w:rPr>
                <w:rFonts w:ascii="宋体" w:hAnsi="宋体" w:cs="宋体"/>
                <w:color w:val="auto"/>
                <w:sz w:val="21"/>
                <w:szCs w:val="21"/>
                <w:highlight w:val="none"/>
              </w:rPr>
            </w:pPr>
          </w:p>
        </w:tc>
        <w:tc>
          <w:tcPr>
            <w:tcW w:w="1219" w:type="pct"/>
            <w:vMerge w:val="continue"/>
          </w:tcPr>
          <w:p w14:paraId="40241824">
            <w:pPr>
              <w:rPr>
                <w:rFonts w:ascii="宋体" w:hAnsi="宋体" w:cs="宋体"/>
                <w:color w:val="auto"/>
                <w:sz w:val="21"/>
                <w:szCs w:val="21"/>
                <w:highlight w:val="none"/>
              </w:rPr>
            </w:pPr>
          </w:p>
        </w:tc>
        <w:tc>
          <w:tcPr>
            <w:tcW w:w="3104" w:type="pct"/>
            <w:vAlign w:val="center"/>
          </w:tcPr>
          <w:p w14:paraId="1BDC9D7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护理记录</w:t>
            </w:r>
          </w:p>
        </w:tc>
      </w:tr>
      <w:tr w14:paraId="73EC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1CC080B7">
            <w:pPr>
              <w:rPr>
                <w:rFonts w:ascii="宋体" w:hAnsi="宋体" w:cs="宋体"/>
                <w:color w:val="auto"/>
                <w:sz w:val="21"/>
                <w:szCs w:val="21"/>
                <w:highlight w:val="none"/>
              </w:rPr>
            </w:pPr>
          </w:p>
        </w:tc>
        <w:tc>
          <w:tcPr>
            <w:tcW w:w="1219" w:type="pct"/>
            <w:vMerge w:val="continue"/>
          </w:tcPr>
          <w:p w14:paraId="2F1B23EF">
            <w:pPr>
              <w:rPr>
                <w:rFonts w:ascii="宋体" w:hAnsi="宋体" w:cs="宋体"/>
                <w:color w:val="auto"/>
                <w:sz w:val="21"/>
                <w:szCs w:val="21"/>
                <w:highlight w:val="none"/>
              </w:rPr>
            </w:pPr>
          </w:p>
        </w:tc>
        <w:tc>
          <w:tcPr>
            <w:tcW w:w="3104" w:type="pct"/>
            <w:vAlign w:val="center"/>
          </w:tcPr>
          <w:p w14:paraId="7A5EE9F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门诊信息</w:t>
            </w:r>
          </w:p>
        </w:tc>
      </w:tr>
      <w:tr w14:paraId="7711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19577E0C">
            <w:pPr>
              <w:rPr>
                <w:rFonts w:ascii="宋体" w:hAnsi="宋体" w:cs="宋体"/>
                <w:color w:val="auto"/>
                <w:sz w:val="21"/>
                <w:szCs w:val="21"/>
                <w:highlight w:val="none"/>
              </w:rPr>
            </w:pPr>
          </w:p>
        </w:tc>
        <w:tc>
          <w:tcPr>
            <w:tcW w:w="1219" w:type="pct"/>
            <w:vMerge w:val="continue"/>
          </w:tcPr>
          <w:p w14:paraId="3EB2AA21">
            <w:pPr>
              <w:rPr>
                <w:rFonts w:ascii="宋体" w:hAnsi="宋体" w:cs="宋体"/>
                <w:color w:val="auto"/>
                <w:sz w:val="21"/>
                <w:szCs w:val="21"/>
                <w:highlight w:val="none"/>
              </w:rPr>
            </w:pPr>
          </w:p>
        </w:tc>
        <w:tc>
          <w:tcPr>
            <w:tcW w:w="3104" w:type="pct"/>
            <w:vAlign w:val="center"/>
          </w:tcPr>
          <w:p w14:paraId="471FE40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0费用患者处理</w:t>
            </w:r>
          </w:p>
        </w:tc>
      </w:tr>
      <w:tr w14:paraId="04B7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6563C55A">
            <w:pPr>
              <w:rPr>
                <w:rFonts w:ascii="宋体" w:hAnsi="宋体" w:cs="宋体"/>
                <w:color w:val="auto"/>
                <w:sz w:val="21"/>
                <w:szCs w:val="21"/>
                <w:highlight w:val="none"/>
              </w:rPr>
            </w:pPr>
          </w:p>
        </w:tc>
        <w:tc>
          <w:tcPr>
            <w:tcW w:w="1219" w:type="pct"/>
            <w:vMerge w:val="continue"/>
          </w:tcPr>
          <w:p w14:paraId="1FE560D2">
            <w:pPr>
              <w:rPr>
                <w:rFonts w:ascii="宋体" w:hAnsi="宋体" w:cs="宋体"/>
                <w:color w:val="auto"/>
                <w:sz w:val="21"/>
                <w:szCs w:val="21"/>
                <w:highlight w:val="none"/>
              </w:rPr>
            </w:pPr>
          </w:p>
        </w:tc>
        <w:tc>
          <w:tcPr>
            <w:tcW w:w="3104" w:type="pct"/>
            <w:vAlign w:val="center"/>
          </w:tcPr>
          <w:p w14:paraId="36B3A12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出院时间调整</w:t>
            </w:r>
          </w:p>
        </w:tc>
      </w:tr>
      <w:tr w14:paraId="51D9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restart"/>
            <w:vAlign w:val="center"/>
          </w:tcPr>
          <w:p w14:paraId="421671EC">
            <w:pPr>
              <w:jc w:val="center"/>
              <w:rPr>
                <w:rFonts w:ascii="宋体" w:hAnsi="宋体" w:cs="宋体"/>
                <w:color w:val="auto"/>
                <w:sz w:val="21"/>
                <w:szCs w:val="21"/>
                <w:highlight w:val="none"/>
              </w:rPr>
            </w:pPr>
          </w:p>
          <w:p w14:paraId="29BC1E59">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219" w:type="pct"/>
            <w:vMerge w:val="restart"/>
            <w:vAlign w:val="center"/>
          </w:tcPr>
          <w:p w14:paraId="46AABD99">
            <w:pPr>
              <w:jc w:val="center"/>
              <w:rPr>
                <w:rFonts w:ascii="宋体" w:hAnsi="宋体" w:cs="宋体"/>
                <w:color w:val="auto"/>
                <w:sz w:val="21"/>
                <w:szCs w:val="21"/>
                <w:highlight w:val="none"/>
              </w:rPr>
            </w:pPr>
          </w:p>
          <w:p w14:paraId="79EB290A">
            <w:pPr>
              <w:jc w:val="center"/>
              <w:rPr>
                <w:rFonts w:ascii="宋体" w:hAnsi="宋体" w:cs="宋体"/>
                <w:color w:val="auto"/>
                <w:sz w:val="21"/>
                <w:szCs w:val="21"/>
                <w:highlight w:val="none"/>
              </w:rPr>
            </w:pPr>
            <w:r>
              <w:rPr>
                <w:rFonts w:hint="eastAsia" w:ascii="宋体" w:hAnsi="宋体" w:cs="宋体"/>
                <w:color w:val="auto"/>
                <w:sz w:val="21"/>
                <w:szCs w:val="21"/>
                <w:highlight w:val="none"/>
              </w:rPr>
              <w:t>病历文书管理</w:t>
            </w:r>
          </w:p>
        </w:tc>
        <w:tc>
          <w:tcPr>
            <w:tcW w:w="3104" w:type="pct"/>
            <w:vAlign w:val="center"/>
          </w:tcPr>
          <w:p w14:paraId="704D6B0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病历模版维护</w:t>
            </w:r>
          </w:p>
        </w:tc>
      </w:tr>
      <w:tr w14:paraId="1D3C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444A5B96">
            <w:pPr>
              <w:rPr>
                <w:rFonts w:ascii="宋体" w:hAnsi="宋体" w:cs="宋体"/>
                <w:color w:val="auto"/>
                <w:sz w:val="21"/>
                <w:szCs w:val="21"/>
                <w:highlight w:val="none"/>
              </w:rPr>
            </w:pPr>
          </w:p>
        </w:tc>
        <w:tc>
          <w:tcPr>
            <w:tcW w:w="1219" w:type="pct"/>
            <w:vMerge w:val="continue"/>
          </w:tcPr>
          <w:p w14:paraId="560EB199">
            <w:pPr>
              <w:rPr>
                <w:rFonts w:ascii="宋体" w:hAnsi="宋体" w:cs="宋体"/>
                <w:color w:val="auto"/>
                <w:sz w:val="21"/>
                <w:szCs w:val="21"/>
                <w:highlight w:val="none"/>
              </w:rPr>
            </w:pPr>
          </w:p>
        </w:tc>
        <w:tc>
          <w:tcPr>
            <w:tcW w:w="3104" w:type="pct"/>
            <w:vAlign w:val="center"/>
          </w:tcPr>
          <w:p w14:paraId="7163972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患者添加病历</w:t>
            </w:r>
          </w:p>
        </w:tc>
      </w:tr>
      <w:tr w14:paraId="077A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07044CC3">
            <w:pPr>
              <w:rPr>
                <w:rFonts w:ascii="宋体" w:hAnsi="宋体" w:cs="宋体"/>
                <w:color w:val="auto"/>
                <w:sz w:val="21"/>
                <w:szCs w:val="21"/>
                <w:highlight w:val="none"/>
              </w:rPr>
            </w:pPr>
          </w:p>
        </w:tc>
        <w:tc>
          <w:tcPr>
            <w:tcW w:w="1219" w:type="pct"/>
            <w:vMerge w:val="continue"/>
          </w:tcPr>
          <w:p w14:paraId="7562B0B4">
            <w:pPr>
              <w:rPr>
                <w:rFonts w:ascii="宋体" w:hAnsi="宋体" w:cs="宋体"/>
                <w:color w:val="auto"/>
                <w:sz w:val="21"/>
                <w:szCs w:val="21"/>
                <w:highlight w:val="none"/>
              </w:rPr>
            </w:pPr>
          </w:p>
        </w:tc>
        <w:tc>
          <w:tcPr>
            <w:tcW w:w="3104" w:type="pct"/>
            <w:vAlign w:val="center"/>
          </w:tcPr>
          <w:p w14:paraId="2E977D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提交病历</w:t>
            </w:r>
          </w:p>
        </w:tc>
      </w:tr>
      <w:tr w14:paraId="4F40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5BE22184">
            <w:pPr>
              <w:rPr>
                <w:rFonts w:ascii="宋体" w:hAnsi="宋体" w:cs="宋体"/>
                <w:color w:val="auto"/>
                <w:sz w:val="21"/>
                <w:szCs w:val="21"/>
                <w:highlight w:val="none"/>
              </w:rPr>
            </w:pPr>
          </w:p>
        </w:tc>
        <w:tc>
          <w:tcPr>
            <w:tcW w:w="1219" w:type="pct"/>
            <w:vMerge w:val="continue"/>
          </w:tcPr>
          <w:p w14:paraId="37EC6B8F">
            <w:pPr>
              <w:rPr>
                <w:rFonts w:ascii="宋体" w:hAnsi="宋体" w:cs="宋体"/>
                <w:color w:val="auto"/>
                <w:sz w:val="21"/>
                <w:szCs w:val="21"/>
                <w:highlight w:val="none"/>
              </w:rPr>
            </w:pPr>
          </w:p>
        </w:tc>
        <w:tc>
          <w:tcPr>
            <w:tcW w:w="3104" w:type="pct"/>
            <w:vAlign w:val="center"/>
          </w:tcPr>
          <w:p w14:paraId="5166701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查看被退回的病历</w:t>
            </w:r>
          </w:p>
        </w:tc>
      </w:tr>
      <w:tr w14:paraId="5555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499649C0">
            <w:pPr>
              <w:rPr>
                <w:rFonts w:ascii="宋体" w:hAnsi="宋体" w:cs="宋体"/>
                <w:color w:val="auto"/>
                <w:sz w:val="21"/>
                <w:szCs w:val="21"/>
                <w:highlight w:val="none"/>
              </w:rPr>
            </w:pPr>
          </w:p>
        </w:tc>
        <w:tc>
          <w:tcPr>
            <w:tcW w:w="1219" w:type="pct"/>
            <w:vMerge w:val="continue"/>
          </w:tcPr>
          <w:p w14:paraId="260E0D33">
            <w:pPr>
              <w:rPr>
                <w:rFonts w:ascii="宋体" w:hAnsi="宋体" w:cs="宋体"/>
                <w:color w:val="auto"/>
                <w:sz w:val="21"/>
                <w:szCs w:val="21"/>
                <w:highlight w:val="none"/>
              </w:rPr>
            </w:pPr>
          </w:p>
        </w:tc>
        <w:tc>
          <w:tcPr>
            <w:tcW w:w="3104" w:type="pct"/>
            <w:vAlign w:val="center"/>
          </w:tcPr>
          <w:p w14:paraId="133762E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病历召回</w:t>
            </w:r>
          </w:p>
        </w:tc>
      </w:tr>
      <w:tr w14:paraId="7EDE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142095FC">
            <w:pPr>
              <w:rPr>
                <w:rFonts w:ascii="宋体" w:hAnsi="宋体" w:cs="宋体"/>
                <w:color w:val="auto"/>
                <w:sz w:val="21"/>
                <w:szCs w:val="21"/>
                <w:highlight w:val="none"/>
              </w:rPr>
            </w:pPr>
          </w:p>
        </w:tc>
        <w:tc>
          <w:tcPr>
            <w:tcW w:w="1219" w:type="pct"/>
            <w:vMerge w:val="continue"/>
          </w:tcPr>
          <w:p w14:paraId="0F08D7A9">
            <w:pPr>
              <w:rPr>
                <w:rFonts w:ascii="宋体" w:hAnsi="宋体" w:cs="宋体"/>
                <w:color w:val="auto"/>
                <w:sz w:val="21"/>
                <w:szCs w:val="21"/>
                <w:highlight w:val="none"/>
              </w:rPr>
            </w:pPr>
          </w:p>
        </w:tc>
        <w:tc>
          <w:tcPr>
            <w:tcW w:w="3104" w:type="pct"/>
            <w:vAlign w:val="center"/>
          </w:tcPr>
          <w:p w14:paraId="7B1435E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病历借阅</w:t>
            </w:r>
          </w:p>
        </w:tc>
      </w:tr>
      <w:tr w14:paraId="4EB2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55704C19">
            <w:pPr>
              <w:rPr>
                <w:rFonts w:ascii="宋体" w:hAnsi="宋体" w:cs="宋体"/>
                <w:color w:val="auto"/>
                <w:sz w:val="21"/>
                <w:szCs w:val="21"/>
                <w:highlight w:val="none"/>
              </w:rPr>
            </w:pPr>
          </w:p>
        </w:tc>
        <w:tc>
          <w:tcPr>
            <w:tcW w:w="1219" w:type="pct"/>
            <w:vMerge w:val="continue"/>
          </w:tcPr>
          <w:p w14:paraId="66281D70">
            <w:pPr>
              <w:rPr>
                <w:rFonts w:ascii="宋体" w:hAnsi="宋体" w:cs="宋体"/>
                <w:color w:val="auto"/>
                <w:sz w:val="21"/>
                <w:szCs w:val="21"/>
                <w:highlight w:val="none"/>
              </w:rPr>
            </w:pPr>
          </w:p>
        </w:tc>
        <w:tc>
          <w:tcPr>
            <w:tcW w:w="3104" w:type="pct"/>
            <w:vAlign w:val="center"/>
          </w:tcPr>
          <w:p w14:paraId="10CBDAB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病历查询</w:t>
            </w:r>
          </w:p>
        </w:tc>
      </w:tr>
      <w:tr w14:paraId="727A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restart"/>
            <w:vAlign w:val="center"/>
          </w:tcPr>
          <w:p w14:paraId="5D9AAC29">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1219" w:type="pct"/>
            <w:vMerge w:val="restart"/>
            <w:vAlign w:val="center"/>
          </w:tcPr>
          <w:p w14:paraId="04D27E8E">
            <w:pPr>
              <w:jc w:val="center"/>
              <w:rPr>
                <w:rFonts w:ascii="宋体" w:hAnsi="宋体" w:cs="宋体"/>
                <w:color w:val="auto"/>
                <w:sz w:val="21"/>
                <w:szCs w:val="21"/>
                <w:highlight w:val="none"/>
              </w:rPr>
            </w:pPr>
            <w:r>
              <w:rPr>
                <w:rFonts w:hint="eastAsia" w:ascii="宋体" w:hAnsi="宋体" w:cs="宋体"/>
                <w:color w:val="auto"/>
                <w:sz w:val="21"/>
                <w:szCs w:val="21"/>
                <w:highlight w:val="none"/>
              </w:rPr>
              <w:t>医嘱管理</w:t>
            </w:r>
          </w:p>
        </w:tc>
        <w:tc>
          <w:tcPr>
            <w:tcW w:w="3104" w:type="pct"/>
            <w:vAlign w:val="center"/>
          </w:tcPr>
          <w:p w14:paraId="54BF184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处方医嘱</w:t>
            </w:r>
          </w:p>
        </w:tc>
      </w:tr>
      <w:tr w14:paraId="0E07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6518069A">
            <w:pPr>
              <w:rPr>
                <w:rFonts w:ascii="宋体" w:hAnsi="宋体" w:cs="宋体"/>
                <w:color w:val="auto"/>
                <w:sz w:val="21"/>
                <w:szCs w:val="21"/>
                <w:highlight w:val="none"/>
              </w:rPr>
            </w:pPr>
          </w:p>
        </w:tc>
        <w:tc>
          <w:tcPr>
            <w:tcW w:w="1219" w:type="pct"/>
            <w:vMerge w:val="continue"/>
          </w:tcPr>
          <w:p w14:paraId="3FC72980">
            <w:pPr>
              <w:rPr>
                <w:rFonts w:ascii="宋体" w:hAnsi="宋体" w:cs="宋体"/>
                <w:color w:val="auto"/>
                <w:sz w:val="21"/>
                <w:szCs w:val="21"/>
                <w:highlight w:val="none"/>
              </w:rPr>
            </w:pPr>
          </w:p>
        </w:tc>
        <w:tc>
          <w:tcPr>
            <w:tcW w:w="3104" w:type="pct"/>
            <w:vAlign w:val="center"/>
          </w:tcPr>
          <w:p w14:paraId="12563AA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医嘱模版维护</w:t>
            </w:r>
          </w:p>
        </w:tc>
      </w:tr>
      <w:tr w14:paraId="734E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0CEAE11B">
            <w:pPr>
              <w:rPr>
                <w:rFonts w:ascii="宋体" w:hAnsi="宋体" w:cs="宋体"/>
                <w:color w:val="auto"/>
                <w:sz w:val="21"/>
                <w:szCs w:val="21"/>
                <w:highlight w:val="none"/>
              </w:rPr>
            </w:pPr>
          </w:p>
        </w:tc>
        <w:tc>
          <w:tcPr>
            <w:tcW w:w="1219" w:type="pct"/>
            <w:vMerge w:val="continue"/>
          </w:tcPr>
          <w:p w14:paraId="2B8A4CD5">
            <w:pPr>
              <w:rPr>
                <w:rFonts w:ascii="宋体" w:hAnsi="宋体" w:cs="宋体"/>
                <w:color w:val="auto"/>
                <w:sz w:val="21"/>
                <w:szCs w:val="21"/>
                <w:highlight w:val="none"/>
              </w:rPr>
            </w:pPr>
          </w:p>
        </w:tc>
        <w:tc>
          <w:tcPr>
            <w:tcW w:w="3104" w:type="pct"/>
            <w:vAlign w:val="center"/>
          </w:tcPr>
          <w:p w14:paraId="387AA88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医嘱术语维护</w:t>
            </w:r>
          </w:p>
        </w:tc>
      </w:tr>
      <w:tr w14:paraId="20FA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68B3249F">
            <w:pPr>
              <w:rPr>
                <w:rFonts w:ascii="宋体" w:hAnsi="宋体" w:cs="宋体"/>
                <w:color w:val="auto"/>
                <w:sz w:val="21"/>
                <w:szCs w:val="21"/>
                <w:highlight w:val="none"/>
              </w:rPr>
            </w:pPr>
          </w:p>
        </w:tc>
        <w:tc>
          <w:tcPr>
            <w:tcW w:w="1219" w:type="pct"/>
            <w:vMerge w:val="continue"/>
          </w:tcPr>
          <w:p w14:paraId="2ED9CD95">
            <w:pPr>
              <w:rPr>
                <w:rFonts w:ascii="宋体" w:hAnsi="宋体" w:cs="宋体"/>
                <w:color w:val="auto"/>
                <w:sz w:val="21"/>
                <w:szCs w:val="21"/>
                <w:highlight w:val="none"/>
              </w:rPr>
            </w:pPr>
          </w:p>
        </w:tc>
        <w:tc>
          <w:tcPr>
            <w:tcW w:w="3104" w:type="pct"/>
            <w:vAlign w:val="center"/>
          </w:tcPr>
          <w:p w14:paraId="34AAFD5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时间轴浏览</w:t>
            </w:r>
          </w:p>
        </w:tc>
      </w:tr>
      <w:tr w14:paraId="0285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2225DF28">
            <w:pPr>
              <w:rPr>
                <w:rFonts w:ascii="宋体" w:hAnsi="宋体" w:cs="宋体"/>
                <w:color w:val="auto"/>
                <w:sz w:val="21"/>
                <w:szCs w:val="21"/>
                <w:highlight w:val="none"/>
              </w:rPr>
            </w:pPr>
          </w:p>
        </w:tc>
        <w:tc>
          <w:tcPr>
            <w:tcW w:w="1219" w:type="pct"/>
            <w:vMerge w:val="continue"/>
          </w:tcPr>
          <w:p w14:paraId="064485EC">
            <w:pPr>
              <w:rPr>
                <w:rFonts w:ascii="宋体" w:hAnsi="宋体" w:cs="宋体"/>
                <w:color w:val="auto"/>
                <w:sz w:val="21"/>
                <w:szCs w:val="21"/>
                <w:highlight w:val="none"/>
              </w:rPr>
            </w:pPr>
          </w:p>
        </w:tc>
        <w:tc>
          <w:tcPr>
            <w:tcW w:w="3104" w:type="pct"/>
            <w:vAlign w:val="center"/>
          </w:tcPr>
          <w:p w14:paraId="4C4BF59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设置患者治疗方案</w:t>
            </w:r>
          </w:p>
        </w:tc>
      </w:tr>
      <w:tr w14:paraId="65F3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4296D0CC">
            <w:pPr>
              <w:rPr>
                <w:rFonts w:ascii="宋体" w:hAnsi="宋体" w:cs="宋体"/>
                <w:color w:val="auto"/>
                <w:sz w:val="21"/>
                <w:szCs w:val="21"/>
                <w:highlight w:val="none"/>
              </w:rPr>
            </w:pPr>
          </w:p>
        </w:tc>
        <w:tc>
          <w:tcPr>
            <w:tcW w:w="1219" w:type="pct"/>
            <w:vMerge w:val="continue"/>
          </w:tcPr>
          <w:p w14:paraId="004FB4F4">
            <w:pPr>
              <w:rPr>
                <w:rFonts w:ascii="宋体" w:hAnsi="宋体" w:cs="宋体"/>
                <w:color w:val="auto"/>
                <w:sz w:val="21"/>
                <w:szCs w:val="21"/>
                <w:highlight w:val="none"/>
              </w:rPr>
            </w:pPr>
          </w:p>
        </w:tc>
        <w:tc>
          <w:tcPr>
            <w:tcW w:w="3104" w:type="pct"/>
            <w:vAlign w:val="center"/>
          </w:tcPr>
          <w:p w14:paraId="244B727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治疗方案维护</w:t>
            </w:r>
          </w:p>
        </w:tc>
      </w:tr>
      <w:tr w14:paraId="67B3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restart"/>
            <w:vAlign w:val="center"/>
          </w:tcPr>
          <w:p w14:paraId="320CCFF9">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1219" w:type="pct"/>
            <w:vMerge w:val="restart"/>
            <w:vAlign w:val="center"/>
          </w:tcPr>
          <w:p w14:paraId="75D0688F">
            <w:pPr>
              <w:jc w:val="center"/>
              <w:rPr>
                <w:rFonts w:ascii="宋体" w:hAnsi="宋体" w:cs="宋体"/>
                <w:color w:val="auto"/>
                <w:sz w:val="21"/>
                <w:szCs w:val="21"/>
                <w:highlight w:val="none"/>
              </w:rPr>
            </w:pPr>
            <w:r>
              <w:rPr>
                <w:rFonts w:hint="eastAsia" w:ascii="宋体" w:hAnsi="宋体" w:cs="宋体"/>
                <w:color w:val="auto"/>
                <w:sz w:val="21"/>
                <w:szCs w:val="21"/>
                <w:highlight w:val="none"/>
              </w:rPr>
              <w:t>申请单</w:t>
            </w:r>
          </w:p>
        </w:tc>
        <w:tc>
          <w:tcPr>
            <w:tcW w:w="3104" w:type="pct"/>
            <w:vAlign w:val="center"/>
          </w:tcPr>
          <w:p w14:paraId="3E5658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检查检验申请单</w:t>
            </w:r>
          </w:p>
        </w:tc>
      </w:tr>
      <w:tr w14:paraId="200C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66612406">
            <w:pPr>
              <w:jc w:val="center"/>
              <w:rPr>
                <w:rFonts w:ascii="宋体" w:hAnsi="宋体" w:cs="宋体"/>
                <w:color w:val="auto"/>
                <w:sz w:val="21"/>
                <w:szCs w:val="21"/>
                <w:highlight w:val="none"/>
              </w:rPr>
            </w:pPr>
          </w:p>
        </w:tc>
        <w:tc>
          <w:tcPr>
            <w:tcW w:w="1219" w:type="pct"/>
            <w:vMerge w:val="continue"/>
            <w:vAlign w:val="center"/>
          </w:tcPr>
          <w:p w14:paraId="17DC0C70">
            <w:pPr>
              <w:jc w:val="center"/>
              <w:rPr>
                <w:rFonts w:ascii="宋体" w:hAnsi="宋体" w:cs="宋体"/>
                <w:color w:val="auto"/>
                <w:sz w:val="21"/>
                <w:szCs w:val="21"/>
                <w:highlight w:val="none"/>
              </w:rPr>
            </w:pPr>
          </w:p>
        </w:tc>
        <w:tc>
          <w:tcPr>
            <w:tcW w:w="3104" w:type="pct"/>
            <w:vAlign w:val="center"/>
          </w:tcPr>
          <w:p w14:paraId="52F60DE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手术申请</w:t>
            </w:r>
          </w:p>
        </w:tc>
      </w:tr>
      <w:tr w14:paraId="7BAB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5EC8D149">
            <w:pPr>
              <w:jc w:val="center"/>
              <w:rPr>
                <w:rFonts w:ascii="宋体" w:hAnsi="宋体" w:cs="宋体"/>
                <w:color w:val="auto"/>
                <w:sz w:val="21"/>
                <w:szCs w:val="21"/>
                <w:highlight w:val="none"/>
              </w:rPr>
            </w:pPr>
          </w:p>
        </w:tc>
        <w:tc>
          <w:tcPr>
            <w:tcW w:w="1219" w:type="pct"/>
            <w:vMerge w:val="continue"/>
            <w:vAlign w:val="center"/>
          </w:tcPr>
          <w:p w14:paraId="0096599E">
            <w:pPr>
              <w:jc w:val="center"/>
              <w:rPr>
                <w:rFonts w:ascii="宋体" w:hAnsi="宋体" w:cs="宋体"/>
                <w:color w:val="auto"/>
                <w:sz w:val="21"/>
                <w:szCs w:val="21"/>
                <w:highlight w:val="none"/>
              </w:rPr>
            </w:pPr>
          </w:p>
        </w:tc>
        <w:tc>
          <w:tcPr>
            <w:tcW w:w="3104" w:type="pct"/>
            <w:vAlign w:val="center"/>
          </w:tcPr>
          <w:p w14:paraId="190CE3B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手术申请查询</w:t>
            </w:r>
          </w:p>
        </w:tc>
      </w:tr>
      <w:tr w14:paraId="6CF4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4D988A6F">
            <w:pPr>
              <w:jc w:val="center"/>
              <w:rPr>
                <w:rFonts w:ascii="宋体" w:hAnsi="宋体" w:cs="宋体"/>
                <w:color w:val="auto"/>
                <w:sz w:val="21"/>
                <w:szCs w:val="21"/>
                <w:highlight w:val="none"/>
              </w:rPr>
            </w:pPr>
          </w:p>
        </w:tc>
        <w:tc>
          <w:tcPr>
            <w:tcW w:w="1219" w:type="pct"/>
            <w:vMerge w:val="continue"/>
            <w:vAlign w:val="center"/>
          </w:tcPr>
          <w:p w14:paraId="6F480149">
            <w:pPr>
              <w:jc w:val="center"/>
              <w:rPr>
                <w:rFonts w:ascii="宋体" w:hAnsi="宋体" w:cs="宋体"/>
                <w:color w:val="auto"/>
                <w:sz w:val="21"/>
                <w:szCs w:val="21"/>
                <w:highlight w:val="none"/>
              </w:rPr>
            </w:pPr>
          </w:p>
        </w:tc>
        <w:tc>
          <w:tcPr>
            <w:tcW w:w="3104" w:type="pct"/>
            <w:vAlign w:val="center"/>
          </w:tcPr>
          <w:p w14:paraId="6F3318C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用血申请</w:t>
            </w:r>
          </w:p>
        </w:tc>
      </w:tr>
      <w:tr w14:paraId="4C2B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0721FFA1">
            <w:pPr>
              <w:jc w:val="center"/>
              <w:rPr>
                <w:rFonts w:ascii="宋体" w:hAnsi="宋体" w:cs="宋体"/>
                <w:color w:val="auto"/>
                <w:sz w:val="21"/>
                <w:szCs w:val="21"/>
                <w:highlight w:val="none"/>
              </w:rPr>
            </w:pPr>
          </w:p>
        </w:tc>
        <w:tc>
          <w:tcPr>
            <w:tcW w:w="1219" w:type="pct"/>
            <w:vMerge w:val="continue"/>
            <w:vAlign w:val="center"/>
          </w:tcPr>
          <w:p w14:paraId="77AC21F7">
            <w:pPr>
              <w:jc w:val="center"/>
              <w:rPr>
                <w:rFonts w:ascii="宋体" w:hAnsi="宋体" w:cs="宋体"/>
                <w:color w:val="auto"/>
                <w:sz w:val="21"/>
                <w:szCs w:val="21"/>
                <w:highlight w:val="none"/>
              </w:rPr>
            </w:pPr>
          </w:p>
        </w:tc>
        <w:tc>
          <w:tcPr>
            <w:tcW w:w="3104" w:type="pct"/>
            <w:vAlign w:val="center"/>
          </w:tcPr>
          <w:p w14:paraId="222EC7D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血浆申请</w:t>
            </w:r>
          </w:p>
        </w:tc>
      </w:tr>
      <w:tr w14:paraId="71B0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restart"/>
            <w:vAlign w:val="center"/>
          </w:tcPr>
          <w:p w14:paraId="1BAA9A4B">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1219" w:type="pct"/>
            <w:vMerge w:val="restart"/>
            <w:vAlign w:val="center"/>
          </w:tcPr>
          <w:p w14:paraId="4D9BF37B">
            <w:pPr>
              <w:jc w:val="center"/>
              <w:rPr>
                <w:rFonts w:ascii="宋体" w:hAnsi="宋体" w:cs="宋体"/>
                <w:color w:val="auto"/>
                <w:sz w:val="21"/>
                <w:szCs w:val="21"/>
                <w:highlight w:val="none"/>
              </w:rPr>
            </w:pPr>
            <w:r>
              <w:rPr>
                <w:rFonts w:hint="eastAsia" w:ascii="宋体" w:hAnsi="宋体" w:cs="宋体"/>
                <w:color w:val="auto"/>
                <w:sz w:val="21"/>
                <w:szCs w:val="21"/>
                <w:highlight w:val="none"/>
              </w:rPr>
              <w:t>科室权限设置</w:t>
            </w:r>
          </w:p>
        </w:tc>
        <w:tc>
          <w:tcPr>
            <w:tcW w:w="3104" w:type="pct"/>
            <w:vAlign w:val="center"/>
          </w:tcPr>
          <w:p w14:paraId="3EB2228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科室医生权限设置</w:t>
            </w:r>
          </w:p>
        </w:tc>
      </w:tr>
      <w:tr w14:paraId="4DA3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3F46FD85">
            <w:pPr>
              <w:jc w:val="center"/>
              <w:rPr>
                <w:rFonts w:ascii="宋体" w:hAnsi="宋体" w:cs="宋体"/>
                <w:color w:val="auto"/>
                <w:sz w:val="21"/>
                <w:szCs w:val="21"/>
                <w:highlight w:val="none"/>
              </w:rPr>
            </w:pPr>
          </w:p>
        </w:tc>
        <w:tc>
          <w:tcPr>
            <w:tcW w:w="1219" w:type="pct"/>
            <w:vMerge w:val="continue"/>
            <w:vAlign w:val="center"/>
          </w:tcPr>
          <w:p w14:paraId="5E86BB74">
            <w:pPr>
              <w:jc w:val="center"/>
              <w:rPr>
                <w:rFonts w:ascii="宋体" w:hAnsi="宋体" w:cs="宋体"/>
                <w:color w:val="auto"/>
                <w:sz w:val="21"/>
                <w:szCs w:val="21"/>
                <w:highlight w:val="none"/>
              </w:rPr>
            </w:pPr>
          </w:p>
        </w:tc>
        <w:tc>
          <w:tcPr>
            <w:tcW w:w="3104" w:type="pct"/>
            <w:vAlign w:val="center"/>
          </w:tcPr>
          <w:p w14:paraId="22B474C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切换科室</w:t>
            </w:r>
          </w:p>
        </w:tc>
      </w:tr>
      <w:tr w14:paraId="3FD3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restart"/>
            <w:vAlign w:val="center"/>
          </w:tcPr>
          <w:p w14:paraId="6C5C8767">
            <w:pPr>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1219" w:type="pct"/>
            <w:vMerge w:val="restart"/>
            <w:vAlign w:val="center"/>
          </w:tcPr>
          <w:p w14:paraId="6E673656">
            <w:pPr>
              <w:jc w:val="center"/>
              <w:rPr>
                <w:rFonts w:ascii="宋体" w:hAnsi="宋体" w:cs="宋体"/>
                <w:color w:val="auto"/>
                <w:sz w:val="21"/>
                <w:szCs w:val="21"/>
                <w:highlight w:val="none"/>
              </w:rPr>
            </w:pPr>
            <w:r>
              <w:rPr>
                <w:rFonts w:hint="eastAsia" w:ascii="宋体" w:hAnsi="宋体" w:cs="宋体"/>
                <w:color w:val="auto"/>
                <w:sz w:val="21"/>
                <w:szCs w:val="21"/>
                <w:highlight w:val="none"/>
              </w:rPr>
              <w:t>上报信息管理</w:t>
            </w:r>
          </w:p>
        </w:tc>
        <w:tc>
          <w:tcPr>
            <w:tcW w:w="3104" w:type="pct"/>
            <w:vAlign w:val="center"/>
          </w:tcPr>
          <w:p w14:paraId="2D5ADD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药品不良反应上报</w:t>
            </w:r>
          </w:p>
        </w:tc>
      </w:tr>
      <w:tr w14:paraId="5842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4224B98E">
            <w:pPr>
              <w:jc w:val="center"/>
              <w:rPr>
                <w:rFonts w:ascii="宋体" w:hAnsi="宋体" w:cs="宋体"/>
                <w:color w:val="auto"/>
                <w:sz w:val="21"/>
                <w:szCs w:val="21"/>
                <w:highlight w:val="none"/>
              </w:rPr>
            </w:pPr>
          </w:p>
        </w:tc>
        <w:tc>
          <w:tcPr>
            <w:tcW w:w="1219" w:type="pct"/>
            <w:vMerge w:val="continue"/>
            <w:vAlign w:val="center"/>
          </w:tcPr>
          <w:p w14:paraId="7B05BA2B">
            <w:pPr>
              <w:jc w:val="center"/>
              <w:rPr>
                <w:rFonts w:ascii="宋体" w:hAnsi="宋体" w:cs="宋体"/>
                <w:color w:val="auto"/>
                <w:sz w:val="21"/>
                <w:szCs w:val="21"/>
                <w:highlight w:val="none"/>
              </w:rPr>
            </w:pPr>
          </w:p>
        </w:tc>
        <w:tc>
          <w:tcPr>
            <w:tcW w:w="3104" w:type="pct"/>
            <w:vAlign w:val="center"/>
          </w:tcPr>
          <w:p w14:paraId="1A4DC82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传染病登记</w:t>
            </w:r>
          </w:p>
        </w:tc>
      </w:tr>
      <w:tr w14:paraId="330E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237ED549">
            <w:pPr>
              <w:jc w:val="center"/>
              <w:rPr>
                <w:rFonts w:ascii="宋体" w:hAnsi="宋体" w:cs="宋体"/>
                <w:color w:val="auto"/>
                <w:sz w:val="21"/>
                <w:szCs w:val="21"/>
                <w:highlight w:val="none"/>
              </w:rPr>
            </w:pPr>
          </w:p>
        </w:tc>
        <w:tc>
          <w:tcPr>
            <w:tcW w:w="1219" w:type="pct"/>
            <w:vMerge w:val="continue"/>
            <w:vAlign w:val="center"/>
          </w:tcPr>
          <w:p w14:paraId="302F4B9F">
            <w:pPr>
              <w:jc w:val="center"/>
              <w:rPr>
                <w:rFonts w:ascii="宋体" w:hAnsi="宋体" w:cs="宋体"/>
                <w:color w:val="auto"/>
                <w:sz w:val="21"/>
                <w:szCs w:val="21"/>
                <w:highlight w:val="none"/>
              </w:rPr>
            </w:pPr>
          </w:p>
        </w:tc>
        <w:tc>
          <w:tcPr>
            <w:tcW w:w="3104" w:type="pct"/>
            <w:vAlign w:val="center"/>
          </w:tcPr>
          <w:p w14:paraId="58EAB1D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各类报告卡登记</w:t>
            </w:r>
          </w:p>
        </w:tc>
      </w:tr>
      <w:tr w14:paraId="5A10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restart"/>
            <w:vAlign w:val="center"/>
          </w:tcPr>
          <w:p w14:paraId="04D0C2E0">
            <w:pPr>
              <w:jc w:val="center"/>
              <w:rPr>
                <w:rFonts w:ascii="宋体" w:hAnsi="宋体" w:cs="宋体"/>
                <w:color w:val="auto"/>
                <w:sz w:val="21"/>
                <w:szCs w:val="21"/>
                <w:highlight w:val="none"/>
              </w:rPr>
            </w:pPr>
            <w:r>
              <w:rPr>
                <w:rFonts w:hint="eastAsia" w:ascii="宋体" w:hAnsi="宋体" w:cs="宋体"/>
                <w:color w:val="auto"/>
                <w:sz w:val="21"/>
                <w:szCs w:val="21"/>
                <w:highlight w:val="none"/>
              </w:rPr>
              <w:t>9</w:t>
            </w:r>
          </w:p>
        </w:tc>
        <w:tc>
          <w:tcPr>
            <w:tcW w:w="1219" w:type="pct"/>
            <w:vMerge w:val="restart"/>
            <w:vAlign w:val="center"/>
          </w:tcPr>
          <w:p w14:paraId="07E32C31">
            <w:pPr>
              <w:jc w:val="center"/>
              <w:rPr>
                <w:rFonts w:ascii="宋体" w:hAnsi="宋体" w:cs="宋体"/>
                <w:color w:val="auto"/>
                <w:sz w:val="21"/>
                <w:szCs w:val="21"/>
                <w:highlight w:val="none"/>
              </w:rPr>
            </w:pPr>
            <w:r>
              <w:rPr>
                <w:rFonts w:hint="eastAsia" w:ascii="宋体" w:hAnsi="宋体" w:cs="宋体"/>
                <w:color w:val="auto"/>
                <w:sz w:val="21"/>
                <w:szCs w:val="21"/>
                <w:highlight w:val="none"/>
              </w:rPr>
              <w:t>会诊管理</w:t>
            </w:r>
          </w:p>
        </w:tc>
        <w:tc>
          <w:tcPr>
            <w:tcW w:w="3104" w:type="pct"/>
            <w:vAlign w:val="center"/>
          </w:tcPr>
          <w:p w14:paraId="187F5C3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会诊申请</w:t>
            </w:r>
          </w:p>
        </w:tc>
      </w:tr>
      <w:tr w14:paraId="6198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7375FFE6">
            <w:pPr>
              <w:rPr>
                <w:rFonts w:ascii="宋体" w:hAnsi="宋体" w:cs="宋体"/>
                <w:color w:val="auto"/>
                <w:sz w:val="21"/>
                <w:szCs w:val="21"/>
                <w:highlight w:val="none"/>
              </w:rPr>
            </w:pPr>
          </w:p>
        </w:tc>
        <w:tc>
          <w:tcPr>
            <w:tcW w:w="1219" w:type="pct"/>
            <w:vMerge w:val="continue"/>
          </w:tcPr>
          <w:p w14:paraId="6B14A408">
            <w:pPr>
              <w:rPr>
                <w:rFonts w:ascii="宋体" w:hAnsi="宋体" w:cs="宋体"/>
                <w:color w:val="auto"/>
                <w:sz w:val="21"/>
                <w:szCs w:val="21"/>
                <w:highlight w:val="none"/>
              </w:rPr>
            </w:pPr>
          </w:p>
        </w:tc>
        <w:tc>
          <w:tcPr>
            <w:tcW w:w="3104" w:type="pct"/>
            <w:vAlign w:val="center"/>
          </w:tcPr>
          <w:p w14:paraId="23CEFA0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会诊列表</w:t>
            </w:r>
          </w:p>
        </w:tc>
      </w:tr>
      <w:tr w14:paraId="31F1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restart"/>
            <w:vAlign w:val="center"/>
          </w:tcPr>
          <w:p w14:paraId="315D33FE">
            <w:pPr>
              <w:jc w:val="center"/>
              <w:rPr>
                <w:rFonts w:ascii="宋体" w:hAnsi="宋体" w:cs="宋体"/>
                <w:color w:val="auto"/>
                <w:sz w:val="21"/>
                <w:szCs w:val="21"/>
                <w:highlight w:val="none"/>
              </w:rPr>
            </w:pPr>
            <w:r>
              <w:rPr>
                <w:rFonts w:hint="eastAsia" w:ascii="宋体" w:hAnsi="宋体" w:cs="宋体"/>
                <w:color w:val="auto"/>
                <w:sz w:val="21"/>
                <w:szCs w:val="21"/>
                <w:highlight w:val="none"/>
              </w:rPr>
              <w:t>10</w:t>
            </w:r>
          </w:p>
        </w:tc>
        <w:tc>
          <w:tcPr>
            <w:tcW w:w="1219" w:type="pct"/>
            <w:vMerge w:val="restart"/>
            <w:vAlign w:val="center"/>
          </w:tcPr>
          <w:p w14:paraId="0C7F72DF">
            <w:pPr>
              <w:jc w:val="center"/>
              <w:rPr>
                <w:rFonts w:ascii="宋体" w:hAnsi="宋体" w:cs="宋体"/>
                <w:color w:val="auto"/>
                <w:sz w:val="21"/>
                <w:szCs w:val="21"/>
                <w:highlight w:val="none"/>
              </w:rPr>
            </w:pPr>
            <w:r>
              <w:rPr>
                <w:rFonts w:hint="eastAsia" w:ascii="宋体" w:hAnsi="宋体" w:cs="宋体"/>
                <w:color w:val="auto"/>
                <w:sz w:val="21"/>
                <w:szCs w:val="21"/>
                <w:highlight w:val="none"/>
              </w:rPr>
              <w:t>病历文书质控</w:t>
            </w:r>
          </w:p>
        </w:tc>
        <w:tc>
          <w:tcPr>
            <w:tcW w:w="3104" w:type="pct"/>
            <w:vAlign w:val="center"/>
          </w:tcPr>
          <w:p w14:paraId="033449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病历文书审阅</w:t>
            </w:r>
          </w:p>
        </w:tc>
      </w:tr>
      <w:tr w14:paraId="2620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6F5EBC99">
            <w:pPr>
              <w:jc w:val="center"/>
              <w:rPr>
                <w:rFonts w:ascii="宋体" w:hAnsi="宋体" w:cs="宋体"/>
                <w:color w:val="auto"/>
                <w:sz w:val="21"/>
                <w:szCs w:val="21"/>
                <w:highlight w:val="none"/>
              </w:rPr>
            </w:pPr>
          </w:p>
        </w:tc>
        <w:tc>
          <w:tcPr>
            <w:tcW w:w="1219" w:type="pct"/>
            <w:vMerge w:val="continue"/>
            <w:vAlign w:val="center"/>
          </w:tcPr>
          <w:p w14:paraId="00D3A89A">
            <w:pPr>
              <w:jc w:val="center"/>
              <w:rPr>
                <w:rFonts w:ascii="宋体" w:hAnsi="宋体" w:cs="宋体"/>
                <w:color w:val="auto"/>
                <w:sz w:val="21"/>
                <w:szCs w:val="21"/>
                <w:highlight w:val="none"/>
              </w:rPr>
            </w:pPr>
          </w:p>
        </w:tc>
        <w:tc>
          <w:tcPr>
            <w:tcW w:w="3104" w:type="pct"/>
            <w:vAlign w:val="center"/>
          </w:tcPr>
          <w:p w14:paraId="673FD05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时效参数控制</w:t>
            </w:r>
          </w:p>
        </w:tc>
      </w:tr>
      <w:tr w14:paraId="23B6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0D8A8911">
            <w:pPr>
              <w:jc w:val="center"/>
              <w:rPr>
                <w:rFonts w:ascii="宋体" w:hAnsi="宋体" w:cs="宋体"/>
                <w:color w:val="auto"/>
                <w:sz w:val="21"/>
                <w:szCs w:val="21"/>
                <w:highlight w:val="none"/>
              </w:rPr>
            </w:pPr>
          </w:p>
        </w:tc>
        <w:tc>
          <w:tcPr>
            <w:tcW w:w="1219" w:type="pct"/>
            <w:vMerge w:val="continue"/>
            <w:vAlign w:val="center"/>
          </w:tcPr>
          <w:p w14:paraId="132F0690">
            <w:pPr>
              <w:jc w:val="center"/>
              <w:rPr>
                <w:rFonts w:ascii="宋体" w:hAnsi="宋体" w:cs="宋体"/>
                <w:color w:val="auto"/>
                <w:sz w:val="21"/>
                <w:szCs w:val="21"/>
                <w:highlight w:val="none"/>
              </w:rPr>
            </w:pPr>
          </w:p>
        </w:tc>
        <w:tc>
          <w:tcPr>
            <w:tcW w:w="3104" w:type="pct"/>
            <w:vAlign w:val="center"/>
          </w:tcPr>
          <w:p w14:paraId="7653DF9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文书解锁</w:t>
            </w:r>
          </w:p>
        </w:tc>
      </w:tr>
      <w:tr w14:paraId="1677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32EDA03E">
            <w:pPr>
              <w:jc w:val="center"/>
              <w:rPr>
                <w:rFonts w:ascii="宋体" w:hAnsi="宋体" w:cs="宋体"/>
                <w:color w:val="auto"/>
                <w:sz w:val="21"/>
                <w:szCs w:val="21"/>
                <w:highlight w:val="none"/>
              </w:rPr>
            </w:pPr>
          </w:p>
        </w:tc>
        <w:tc>
          <w:tcPr>
            <w:tcW w:w="1219" w:type="pct"/>
            <w:vMerge w:val="continue"/>
            <w:vAlign w:val="center"/>
          </w:tcPr>
          <w:p w14:paraId="09CC0107">
            <w:pPr>
              <w:jc w:val="center"/>
              <w:rPr>
                <w:rFonts w:ascii="宋体" w:hAnsi="宋体" w:cs="宋体"/>
                <w:color w:val="auto"/>
                <w:sz w:val="21"/>
                <w:szCs w:val="21"/>
                <w:highlight w:val="none"/>
              </w:rPr>
            </w:pPr>
          </w:p>
        </w:tc>
        <w:tc>
          <w:tcPr>
            <w:tcW w:w="3104" w:type="pct"/>
            <w:vAlign w:val="center"/>
          </w:tcPr>
          <w:p w14:paraId="5C8BE19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文书归档</w:t>
            </w:r>
          </w:p>
        </w:tc>
      </w:tr>
      <w:tr w14:paraId="1681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02602055">
            <w:pPr>
              <w:jc w:val="center"/>
              <w:rPr>
                <w:rFonts w:ascii="宋体" w:hAnsi="宋体" w:cs="宋体"/>
                <w:color w:val="auto"/>
                <w:sz w:val="21"/>
                <w:szCs w:val="21"/>
                <w:highlight w:val="none"/>
              </w:rPr>
            </w:pPr>
          </w:p>
        </w:tc>
        <w:tc>
          <w:tcPr>
            <w:tcW w:w="1219" w:type="pct"/>
            <w:vMerge w:val="continue"/>
            <w:vAlign w:val="center"/>
          </w:tcPr>
          <w:p w14:paraId="21266BB0">
            <w:pPr>
              <w:jc w:val="center"/>
              <w:rPr>
                <w:rFonts w:ascii="宋体" w:hAnsi="宋体" w:cs="宋体"/>
                <w:color w:val="auto"/>
                <w:sz w:val="21"/>
                <w:szCs w:val="21"/>
                <w:highlight w:val="none"/>
              </w:rPr>
            </w:pPr>
          </w:p>
        </w:tc>
        <w:tc>
          <w:tcPr>
            <w:tcW w:w="3104" w:type="pct"/>
            <w:vAlign w:val="center"/>
          </w:tcPr>
          <w:p w14:paraId="7BD3288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病历缺陷审查记录</w:t>
            </w:r>
          </w:p>
        </w:tc>
      </w:tr>
      <w:tr w14:paraId="4676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2DDC6EED">
            <w:pPr>
              <w:jc w:val="center"/>
              <w:rPr>
                <w:rFonts w:ascii="宋体" w:hAnsi="宋体" w:cs="宋体"/>
                <w:color w:val="auto"/>
                <w:sz w:val="21"/>
                <w:szCs w:val="21"/>
                <w:highlight w:val="none"/>
              </w:rPr>
            </w:pPr>
          </w:p>
        </w:tc>
        <w:tc>
          <w:tcPr>
            <w:tcW w:w="1219" w:type="pct"/>
            <w:vMerge w:val="continue"/>
            <w:vAlign w:val="center"/>
          </w:tcPr>
          <w:p w14:paraId="17CE2BAF">
            <w:pPr>
              <w:jc w:val="center"/>
              <w:rPr>
                <w:rFonts w:ascii="宋体" w:hAnsi="宋体" w:cs="宋体"/>
                <w:color w:val="auto"/>
                <w:sz w:val="21"/>
                <w:szCs w:val="21"/>
                <w:highlight w:val="none"/>
              </w:rPr>
            </w:pPr>
          </w:p>
        </w:tc>
        <w:tc>
          <w:tcPr>
            <w:tcW w:w="3104" w:type="pct"/>
            <w:vAlign w:val="center"/>
          </w:tcPr>
          <w:p w14:paraId="7A2BE86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病历访问记录</w:t>
            </w:r>
          </w:p>
        </w:tc>
      </w:tr>
      <w:tr w14:paraId="480D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39396DBD">
            <w:pPr>
              <w:jc w:val="center"/>
              <w:rPr>
                <w:rFonts w:ascii="宋体" w:hAnsi="宋体" w:cs="宋体"/>
                <w:color w:val="auto"/>
                <w:sz w:val="21"/>
                <w:szCs w:val="21"/>
                <w:highlight w:val="none"/>
              </w:rPr>
            </w:pPr>
          </w:p>
        </w:tc>
        <w:tc>
          <w:tcPr>
            <w:tcW w:w="1219" w:type="pct"/>
            <w:vMerge w:val="continue"/>
            <w:vAlign w:val="center"/>
          </w:tcPr>
          <w:p w14:paraId="7F48A952">
            <w:pPr>
              <w:jc w:val="center"/>
              <w:rPr>
                <w:rFonts w:ascii="宋体" w:hAnsi="宋体" w:cs="宋体"/>
                <w:color w:val="auto"/>
                <w:sz w:val="21"/>
                <w:szCs w:val="21"/>
                <w:highlight w:val="none"/>
              </w:rPr>
            </w:pPr>
          </w:p>
        </w:tc>
        <w:tc>
          <w:tcPr>
            <w:tcW w:w="3104" w:type="pct"/>
            <w:vAlign w:val="center"/>
          </w:tcPr>
          <w:p w14:paraId="7893957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纸质病案管理</w:t>
            </w:r>
          </w:p>
        </w:tc>
      </w:tr>
      <w:tr w14:paraId="5366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0DDD3EBF">
            <w:pPr>
              <w:jc w:val="center"/>
              <w:rPr>
                <w:rFonts w:ascii="宋体" w:hAnsi="宋体" w:cs="宋体"/>
                <w:color w:val="auto"/>
                <w:sz w:val="21"/>
                <w:szCs w:val="21"/>
                <w:highlight w:val="none"/>
              </w:rPr>
            </w:pPr>
          </w:p>
        </w:tc>
        <w:tc>
          <w:tcPr>
            <w:tcW w:w="1219" w:type="pct"/>
            <w:vMerge w:val="continue"/>
            <w:vAlign w:val="center"/>
          </w:tcPr>
          <w:p w14:paraId="381E9E48">
            <w:pPr>
              <w:jc w:val="center"/>
              <w:rPr>
                <w:rFonts w:ascii="宋体" w:hAnsi="宋体" w:cs="宋体"/>
                <w:color w:val="auto"/>
                <w:sz w:val="21"/>
                <w:szCs w:val="21"/>
                <w:highlight w:val="none"/>
              </w:rPr>
            </w:pPr>
          </w:p>
        </w:tc>
        <w:tc>
          <w:tcPr>
            <w:tcW w:w="3104" w:type="pct"/>
            <w:vAlign w:val="center"/>
          </w:tcPr>
          <w:p w14:paraId="035166F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质控时间轴</w:t>
            </w:r>
          </w:p>
        </w:tc>
      </w:tr>
      <w:tr w14:paraId="1B74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15F46612">
            <w:pPr>
              <w:jc w:val="center"/>
              <w:rPr>
                <w:rFonts w:ascii="宋体" w:hAnsi="宋体" w:cs="宋体"/>
                <w:color w:val="auto"/>
                <w:sz w:val="21"/>
                <w:szCs w:val="21"/>
                <w:highlight w:val="none"/>
              </w:rPr>
            </w:pPr>
          </w:p>
        </w:tc>
        <w:tc>
          <w:tcPr>
            <w:tcW w:w="1219" w:type="pct"/>
            <w:vMerge w:val="continue"/>
            <w:vAlign w:val="center"/>
          </w:tcPr>
          <w:p w14:paraId="7751CC92">
            <w:pPr>
              <w:jc w:val="center"/>
              <w:rPr>
                <w:rFonts w:ascii="宋体" w:hAnsi="宋体" w:cs="宋体"/>
                <w:color w:val="auto"/>
                <w:sz w:val="21"/>
                <w:szCs w:val="21"/>
                <w:highlight w:val="none"/>
              </w:rPr>
            </w:pPr>
          </w:p>
        </w:tc>
        <w:tc>
          <w:tcPr>
            <w:tcW w:w="3104" w:type="pct"/>
            <w:vAlign w:val="center"/>
          </w:tcPr>
          <w:p w14:paraId="2C5503F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病历催交查询</w:t>
            </w:r>
          </w:p>
        </w:tc>
      </w:tr>
      <w:tr w14:paraId="4660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restart"/>
            <w:vAlign w:val="center"/>
          </w:tcPr>
          <w:p w14:paraId="43F069C4">
            <w:pPr>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1219" w:type="pct"/>
            <w:vMerge w:val="restart"/>
            <w:vAlign w:val="center"/>
          </w:tcPr>
          <w:p w14:paraId="41DDC583">
            <w:pPr>
              <w:jc w:val="center"/>
              <w:rPr>
                <w:rFonts w:ascii="宋体" w:hAnsi="宋体" w:cs="宋体"/>
                <w:color w:val="auto"/>
                <w:sz w:val="21"/>
                <w:szCs w:val="21"/>
                <w:highlight w:val="none"/>
              </w:rPr>
            </w:pPr>
            <w:r>
              <w:rPr>
                <w:rFonts w:hint="eastAsia" w:ascii="宋体" w:hAnsi="宋体" w:cs="宋体"/>
                <w:color w:val="auto"/>
                <w:sz w:val="21"/>
                <w:szCs w:val="21"/>
                <w:highlight w:val="none"/>
              </w:rPr>
              <w:t>医学影像报告</w:t>
            </w:r>
          </w:p>
        </w:tc>
        <w:tc>
          <w:tcPr>
            <w:tcW w:w="3104" w:type="pct"/>
            <w:vAlign w:val="center"/>
          </w:tcPr>
          <w:p w14:paraId="3A1B4E8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PSCS数据浏览</w:t>
            </w:r>
          </w:p>
        </w:tc>
      </w:tr>
      <w:tr w14:paraId="1220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0C3174A2">
            <w:pPr>
              <w:jc w:val="center"/>
              <w:rPr>
                <w:rFonts w:ascii="宋体" w:hAnsi="宋体" w:cs="宋体"/>
                <w:color w:val="auto"/>
                <w:sz w:val="21"/>
                <w:szCs w:val="21"/>
                <w:highlight w:val="none"/>
              </w:rPr>
            </w:pPr>
          </w:p>
        </w:tc>
        <w:tc>
          <w:tcPr>
            <w:tcW w:w="1219" w:type="pct"/>
            <w:vMerge w:val="continue"/>
            <w:vAlign w:val="center"/>
          </w:tcPr>
          <w:p w14:paraId="5A432AC8">
            <w:pPr>
              <w:jc w:val="center"/>
              <w:rPr>
                <w:rFonts w:ascii="宋体" w:hAnsi="宋体" w:cs="宋体"/>
                <w:color w:val="auto"/>
                <w:sz w:val="21"/>
                <w:szCs w:val="21"/>
                <w:highlight w:val="none"/>
              </w:rPr>
            </w:pPr>
          </w:p>
        </w:tc>
        <w:tc>
          <w:tcPr>
            <w:tcW w:w="3104" w:type="pct"/>
            <w:vAlign w:val="center"/>
          </w:tcPr>
          <w:p w14:paraId="0FE5C9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LIS数据浏览</w:t>
            </w:r>
          </w:p>
        </w:tc>
      </w:tr>
      <w:tr w14:paraId="54F3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19B58060">
            <w:pPr>
              <w:jc w:val="center"/>
              <w:rPr>
                <w:rFonts w:ascii="宋体" w:hAnsi="宋体" w:cs="宋体"/>
                <w:color w:val="auto"/>
                <w:sz w:val="21"/>
                <w:szCs w:val="21"/>
                <w:highlight w:val="none"/>
              </w:rPr>
            </w:pPr>
          </w:p>
        </w:tc>
        <w:tc>
          <w:tcPr>
            <w:tcW w:w="1219" w:type="pct"/>
            <w:vMerge w:val="continue"/>
            <w:vAlign w:val="center"/>
          </w:tcPr>
          <w:p w14:paraId="6209688F">
            <w:pPr>
              <w:jc w:val="center"/>
              <w:rPr>
                <w:rFonts w:ascii="宋体" w:hAnsi="宋体" w:cs="宋体"/>
                <w:color w:val="auto"/>
                <w:sz w:val="21"/>
                <w:szCs w:val="21"/>
                <w:highlight w:val="none"/>
              </w:rPr>
            </w:pPr>
          </w:p>
        </w:tc>
        <w:tc>
          <w:tcPr>
            <w:tcW w:w="3104" w:type="pct"/>
            <w:vAlign w:val="center"/>
          </w:tcPr>
          <w:p w14:paraId="44C5F4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心电数据浏览</w:t>
            </w:r>
          </w:p>
        </w:tc>
      </w:tr>
      <w:tr w14:paraId="73ED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vAlign w:val="center"/>
          </w:tcPr>
          <w:p w14:paraId="231E3187">
            <w:pPr>
              <w:jc w:val="center"/>
              <w:rPr>
                <w:rFonts w:ascii="宋体" w:hAnsi="宋体" w:cs="宋体"/>
                <w:color w:val="auto"/>
                <w:sz w:val="21"/>
                <w:szCs w:val="21"/>
                <w:highlight w:val="none"/>
              </w:rPr>
            </w:pPr>
          </w:p>
        </w:tc>
        <w:tc>
          <w:tcPr>
            <w:tcW w:w="1219" w:type="pct"/>
            <w:vMerge w:val="continue"/>
            <w:vAlign w:val="center"/>
          </w:tcPr>
          <w:p w14:paraId="6F795671">
            <w:pPr>
              <w:jc w:val="center"/>
              <w:rPr>
                <w:rFonts w:ascii="宋体" w:hAnsi="宋体" w:cs="宋体"/>
                <w:color w:val="auto"/>
                <w:sz w:val="21"/>
                <w:szCs w:val="21"/>
                <w:highlight w:val="none"/>
              </w:rPr>
            </w:pPr>
          </w:p>
        </w:tc>
        <w:tc>
          <w:tcPr>
            <w:tcW w:w="3104" w:type="pct"/>
            <w:vAlign w:val="center"/>
          </w:tcPr>
          <w:p w14:paraId="4900BCD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院感数据浏览</w:t>
            </w:r>
          </w:p>
        </w:tc>
      </w:tr>
      <w:tr w14:paraId="30EC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restart"/>
            <w:vAlign w:val="center"/>
          </w:tcPr>
          <w:p w14:paraId="7A1640D5">
            <w:pPr>
              <w:jc w:val="center"/>
              <w:rPr>
                <w:rFonts w:ascii="宋体" w:hAnsi="宋体" w:cs="宋体"/>
                <w:color w:val="auto"/>
                <w:sz w:val="21"/>
                <w:szCs w:val="21"/>
                <w:highlight w:val="none"/>
              </w:rPr>
            </w:pPr>
            <w:r>
              <w:rPr>
                <w:rFonts w:hint="eastAsia" w:ascii="宋体" w:hAnsi="宋体" w:cs="宋体"/>
                <w:color w:val="auto"/>
                <w:sz w:val="21"/>
                <w:szCs w:val="21"/>
                <w:highlight w:val="none"/>
              </w:rPr>
              <w:t>12</w:t>
            </w:r>
          </w:p>
        </w:tc>
        <w:tc>
          <w:tcPr>
            <w:tcW w:w="1219" w:type="pct"/>
            <w:vMerge w:val="restart"/>
            <w:vAlign w:val="center"/>
          </w:tcPr>
          <w:p w14:paraId="4FCB894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帮助</w:t>
            </w:r>
          </w:p>
        </w:tc>
        <w:tc>
          <w:tcPr>
            <w:tcW w:w="3104" w:type="pct"/>
            <w:vAlign w:val="center"/>
          </w:tcPr>
          <w:p w14:paraId="41C1178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医疗指南</w:t>
            </w:r>
          </w:p>
        </w:tc>
      </w:tr>
      <w:tr w14:paraId="5FD6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5097B573">
            <w:pPr>
              <w:rPr>
                <w:rFonts w:ascii="宋体" w:hAnsi="宋体" w:cs="宋体"/>
                <w:color w:val="auto"/>
                <w:sz w:val="21"/>
                <w:szCs w:val="21"/>
                <w:highlight w:val="none"/>
              </w:rPr>
            </w:pPr>
          </w:p>
        </w:tc>
        <w:tc>
          <w:tcPr>
            <w:tcW w:w="1219" w:type="pct"/>
            <w:vMerge w:val="continue"/>
          </w:tcPr>
          <w:p w14:paraId="1B87F8C2">
            <w:pPr>
              <w:rPr>
                <w:rFonts w:ascii="宋体" w:hAnsi="宋体" w:cs="宋体"/>
                <w:color w:val="auto"/>
                <w:sz w:val="21"/>
                <w:szCs w:val="21"/>
                <w:highlight w:val="none"/>
              </w:rPr>
            </w:pPr>
          </w:p>
        </w:tc>
        <w:tc>
          <w:tcPr>
            <w:tcW w:w="3104" w:type="pct"/>
            <w:vAlign w:val="center"/>
          </w:tcPr>
          <w:p w14:paraId="2A4C7FC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检索指南</w:t>
            </w:r>
          </w:p>
        </w:tc>
      </w:tr>
      <w:tr w14:paraId="19CC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46B04095">
            <w:pPr>
              <w:rPr>
                <w:rFonts w:ascii="宋体" w:hAnsi="宋体" w:cs="宋体"/>
                <w:color w:val="auto"/>
                <w:sz w:val="21"/>
                <w:szCs w:val="21"/>
                <w:highlight w:val="none"/>
              </w:rPr>
            </w:pPr>
          </w:p>
        </w:tc>
        <w:tc>
          <w:tcPr>
            <w:tcW w:w="1219" w:type="pct"/>
            <w:vMerge w:val="continue"/>
          </w:tcPr>
          <w:p w14:paraId="23A73F5F">
            <w:pPr>
              <w:rPr>
                <w:rFonts w:ascii="宋体" w:hAnsi="宋体" w:cs="宋体"/>
                <w:color w:val="auto"/>
                <w:sz w:val="21"/>
                <w:szCs w:val="21"/>
                <w:highlight w:val="none"/>
              </w:rPr>
            </w:pPr>
          </w:p>
        </w:tc>
        <w:tc>
          <w:tcPr>
            <w:tcW w:w="3104" w:type="pct"/>
            <w:vAlign w:val="center"/>
          </w:tcPr>
          <w:p w14:paraId="6D60F556">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知识库维护</w:t>
            </w:r>
          </w:p>
        </w:tc>
      </w:tr>
      <w:tr w14:paraId="74DE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26E2FC06">
            <w:pPr>
              <w:rPr>
                <w:rFonts w:ascii="宋体" w:hAnsi="宋体" w:cs="宋体"/>
                <w:color w:val="auto"/>
                <w:sz w:val="21"/>
                <w:szCs w:val="21"/>
                <w:highlight w:val="none"/>
              </w:rPr>
            </w:pPr>
          </w:p>
        </w:tc>
        <w:tc>
          <w:tcPr>
            <w:tcW w:w="1219" w:type="pct"/>
            <w:vMerge w:val="continue"/>
          </w:tcPr>
          <w:p w14:paraId="6BDE9D66">
            <w:pPr>
              <w:rPr>
                <w:rFonts w:ascii="宋体" w:hAnsi="宋体" w:cs="宋体"/>
                <w:color w:val="auto"/>
                <w:sz w:val="21"/>
                <w:szCs w:val="21"/>
                <w:highlight w:val="none"/>
              </w:rPr>
            </w:pPr>
          </w:p>
        </w:tc>
        <w:tc>
          <w:tcPr>
            <w:tcW w:w="3104" w:type="pct"/>
            <w:vAlign w:val="center"/>
          </w:tcPr>
          <w:p w14:paraId="53B5C02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医疗规范</w:t>
            </w:r>
          </w:p>
        </w:tc>
      </w:tr>
      <w:tr w14:paraId="74CEC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36CAB8FC">
            <w:pPr>
              <w:rPr>
                <w:rFonts w:ascii="宋体" w:hAnsi="宋体" w:cs="宋体"/>
                <w:color w:val="auto"/>
                <w:sz w:val="21"/>
                <w:szCs w:val="21"/>
                <w:highlight w:val="none"/>
              </w:rPr>
            </w:pPr>
          </w:p>
        </w:tc>
        <w:tc>
          <w:tcPr>
            <w:tcW w:w="1219" w:type="pct"/>
            <w:vMerge w:val="continue"/>
          </w:tcPr>
          <w:p w14:paraId="7E9B8B4B">
            <w:pPr>
              <w:rPr>
                <w:rFonts w:ascii="宋体" w:hAnsi="宋体" w:cs="宋体"/>
                <w:color w:val="auto"/>
                <w:sz w:val="21"/>
                <w:szCs w:val="21"/>
                <w:highlight w:val="none"/>
              </w:rPr>
            </w:pPr>
          </w:p>
        </w:tc>
        <w:tc>
          <w:tcPr>
            <w:tcW w:w="3104" w:type="pct"/>
            <w:vAlign w:val="center"/>
          </w:tcPr>
          <w:p w14:paraId="0D3051B7">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医疗教科书</w:t>
            </w:r>
          </w:p>
        </w:tc>
      </w:tr>
      <w:tr w14:paraId="7A95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7F06FDE4">
            <w:pPr>
              <w:rPr>
                <w:rFonts w:ascii="宋体" w:hAnsi="宋体" w:cs="宋体"/>
                <w:color w:val="auto"/>
                <w:sz w:val="21"/>
                <w:szCs w:val="21"/>
                <w:highlight w:val="none"/>
              </w:rPr>
            </w:pPr>
          </w:p>
        </w:tc>
        <w:tc>
          <w:tcPr>
            <w:tcW w:w="1219" w:type="pct"/>
            <w:vMerge w:val="continue"/>
          </w:tcPr>
          <w:p w14:paraId="5059BAD1">
            <w:pPr>
              <w:rPr>
                <w:rFonts w:ascii="宋体" w:hAnsi="宋体" w:cs="宋体"/>
                <w:color w:val="auto"/>
                <w:sz w:val="21"/>
                <w:szCs w:val="21"/>
                <w:highlight w:val="none"/>
              </w:rPr>
            </w:pPr>
          </w:p>
        </w:tc>
        <w:tc>
          <w:tcPr>
            <w:tcW w:w="3104" w:type="pct"/>
            <w:vAlign w:val="center"/>
          </w:tcPr>
          <w:p w14:paraId="0599DFC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检查项目排序</w:t>
            </w:r>
          </w:p>
        </w:tc>
      </w:tr>
      <w:tr w14:paraId="366F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6" w:type="pct"/>
            <w:vMerge w:val="continue"/>
          </w:tcPr>
          <w:p w14:paraId="55BC6FAB">
            <w:pPr>
              <w:rPr>
                <w:rFonts w:ascii="宋体" w:hAnsi="宋体" w:cs="宋体"/>
                <w:color w:val="auto"/>
                <w:sz w:val="21"/>
                <w:szCs w:val="21"/>
                <w:highlight w:val="none"/>
              </w:rPr>
            </w:pPr>
          </w:p>
        </w:tc>
        <w:tc>
          <w:tcPr>
            <w:tcW w:w="1219" w:type="pct"/>
            <w:vMerge w:val="continue"/>
          </w:tcPr>
          <w:p w14:paraId="28ADEFBE">
            <w:pPr>
              <w:rPr>
                <w:rFonts w:ascii="宋体" w:hAnsi="宋体" w:cs="宋体"/>
                <w:color w:val="auto"/>
                <w:sz w:val="21"/>
                <w:szCs w:val="21"/>
                <w:highlight w:val="none"/>
              </w:rPr>
            </w:pPr>
          </w:p>
        </w:tc>
        <w:tc>
          <w:tcPr>
            <w:tcW w:w="3104" w:type="pct"/>
            <w:vAlign w:val="center"/>
          </w:tcPr>
          <w:p w14:paraId="52E2E35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文书占用解锁</w:t>
            </w:r>
          </w:p>
        </w:tc>
      </w:tr>
      <w:tr w14:paraId="0E55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5" w:hRule="atLeast"/>
        </w:trPr>
        <w:tc>
          <w:tcPr>
            <w:tcW w:w="676" w:type="pct"/>
            <w:shd w:val="clear" w:color="auto" w:fill="auto"/>
            <w:vAlign w:val="center"/>
          </w:tcPr>
          <w:p w14:paraId="44A62B4F">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13</w:t>
            </w:r>
          </w:p>
        </w:tc>
        <w:tc>
          <w:tcPr>
            <w:tcW w:w="1219" w:type="pct"/>
            <w:shd w:val="clear" w:color="auto" w:fill="auto"/>
            <w:vAlign w:val="center"/>
          </w:tcPr>
          <w:p w14:paraId="2E57FF6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护理电子病历</w:t>
            </w:r>
          </w:p>
        </w:tc>
        <w:tc>
          <w:tcPr>
            <w:tcW w:w="3104" w:type="pct"/>
            <w:shd w:val="clear" w:color="auto" w:fill="auto"/>
            <w:vAlign w:val="center"/>
          </w:tcPr>
          <w:p w14:paraId="55A85C60">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全院护理记录列表；</w:t>
            </w:r>
          </w:p>
          <w:p w14:paraId="59BB4838">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科室护理记录列表；</w:t>
            </w:r>
          </w:p>
          <w:p w14:paraId="01FB4AE3">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个人护理记录列表；</w:t>
            </w:r>
          </w:p>
          <w:p w14:paraId="15FA0C6A">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能够加载电子病历核心支持库；</w:t>
            </w:r>
          </w:p>
          <w:p w14:paraId="0A8423D0">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能够实现类似医生文书书写的功能；</w:t>
            </w:r>
          </w:p>
          <w:p w14:paraId="6A2387E9">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能够支持创建自定义护理病历模板；</w:t>
            </w:r>
          </w:p>
          <w:p w14:paraId="05A7C57F">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能够支持加载自定义护理病历模板并保存使用；</w:t>
            </w:r>
          </w:p>
          <w:p w14:paraId="13725C8C">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能够插入图片、控件、函数等文书内容；</w:t>
            </w:r>
          </w:p>
          <w:p w14:paraId="68F63FC2">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能够实现字符数量统计、脚本执行等功能；</w:t>
            </w:r>
          </w:p>
          <w:p w14:paraId="6EEC8B45">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能够实现表格插入及表格合并等功能；</w:t>
            </w:r>
          </w:p>
          <w:p w14:paraId="0E075ABD">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能够加载本科室患者列表并应用护理病历模板；</w:t>
            </w:r>
          </w:p>
          <w:p w14:paraId="20445E4A">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能够对不同类型的护理病历进行分类保存；</w:t>
            </w:r>
          </w:p>
          <w:p w14:paraId="7D3C7DBE">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能够实现不同应用系统查看护理病历功能；</w:t>
            </w:r>
          </w:p>
          <w:p w14:paraId="11139669">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能够实现类似Word方式编写文书内容功能；</w:t>
            </w:r>
          </w:p>
          <w:p w14:paraId="3FFE9605">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能够实现打印及打印预览功能；</w:t>
            </w:r>
          </w:p>
          <w:p w14:paraId="20B4D8B1">
            <w:pPr>
              <w:pStyle w:val="28"/>
              <w:ind w:left="0"/>
              <w:rPr>
                <w:rFonts w:ascii="宋体" w:hAnsi="宋体" w:cs="宋体"/>
                <w:color w:val="auto"/>
                <w:sz w:val="21"/>
                <w:szCs w:val="21"/>
                <w:highlight w:val="none"/>
              </w:rPr>
            </w:pPr>
            <w:r>
              <w:rPr>
                <w:rFonts w:hint="eastAsia" w:ascii="宋体" w:hAnsi="宋体" w:cs="宋体"/>
                <w:color w:val="auto"/>
                <w:sz w:val="21"/>
                <w:szCs w:val="21"/>
                <w:highlight w:val="none"/>
              </w:rPr>
              <w:t>能够实现与电子病历系统对接，方便医生查看护理病历；能够实现签名功能；</w:t>
            </w:r>
          </w:p>
        </w:tc>
      </w:tr>
    </w:tbl>
    <w:p w14:paraId="76272273">
      <w:pPr>
        <w:pStyle w:val="5"/>
        <w:numPr>
          <w:ilvl w:val="0"/>
          <w:numId w:val="3"/>
        </w:numPr>
        <w:bidi w:val="0"/>
        <w:ind w:left="0" w:leftChars="0" w:firstLine="0" w:firstLineChars="0"/>
        <w:rPr>
          <w:rFonts w:hint="default"/>
          <w:color w:val="auto"/>
          <w:highlight w:val="none"/>
          <w:lang w:val="en-US" w:eastAsia="zh-CN"/>
        </w:rPr>
      </w:pPr>
      <w:r>
        <w:rPr>
          <w:rFonts w:hint="eastAsia"/>
          <w:color w:val="auto"/>
          <w:highlight w:val="none"/>
        </w:rPr>
        <w:t>临床集成视图</w:t>
      </w:r>
    </w:p>
    <w:tbl>
      <w:tblPr>
        <w:tblStyle w:val="16"/>
        <w:tblW w:w="9082" w:type="dxa"/>
        <w:tblInd w:w="-10" w:type="dxa"/>
        <w:tblLayout w:type="fixed"/>
        <w:tblCellMar>
          <w:top w:w="0" w:type="dxa"/>
          <w:left w:w="108" w:type="dxa"/>
          <w:bottom w:w="0" w:type="dxa"/>
          <w:right w:w="108" w:type="dxa"/>
        </w:tblCellMar>
      </w:tblPr>
      <w:tblGrid>
        <w:gridCol w:w="1024"/>
        <w:gridCol w:w="2260"/>
        <w:gridCol w:w="5798"/>
      </w:tblGrid>
      <w:tr w14:paraId="0550913F">
        <w:tblPrEx>
          <w:tblCellMar>
            <w:top w:w="0" w:type="dxa"/>
            <w:left w:w="108" w:type="dxa"/>
            <w:bottom w:w="0" w:type="dxa"/>
            <w:right w:w="108" w:type="dxa"/>
          </w:tblCellMar>
        </w:tblPrEx>
        <w:trPr>
          <w:trHeight w:val="460" w:hRule="atLeast"/>
        </w:trPr>
        <w:tc>
          <w:tcPr>
            <w:tcW w:w="1024" w:type="dxa"/>
            <w:tcBorders>
              <w:top w:val="single" w:color="000000" w:sz="4" w:space="0"/>
              <w:left w:val="single" w:color="000000" w:sz="4" w:space="0"/>
              <w:bottom w:val="single" w:color="auto" w:sz="4" w:space="0"/>
              <w:right w:val="single" w:color="000000" w:sz="4" w:space="0"/>
            </w:tcBorders>
            <w:shd w:val="clear" w:color="auto" w:fill="F1F1F1" w:themeFill="background1" w:themeFillShade="F2"/>
            <w:noWrap/>
            <w:vAlign w:val="center"/>
          </w:tcPr>
          <w:p w14:paraId="47AABC18">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 号</w:t>
            </w:r>
          </w:p>
        </w:tc>
        <w:tc>
          <w:tcPr>
            <w:tcW w:w="2260" w:type="dxa"/>
            <w:tcBorders>
              <w:top w:val="single" w:color="000000" w:sz="4" w:space="0"/>
              <w:left w:val="single" w:color="000000" w:sz="4" w:space="0"/>
              <w:bottom w:val="single" w:color="auto" w:sz="4" w:space="0"/>
              <w:right w:val="single" w:color="000000" w:sz="4" w:space="0"/>
            </w:tcBorders>
            <w:shd w:val="clear" w:color="auto" w:fill="F1F1F1" w:themeFill="background1" w:themeFillShade="F2"/>
            <w:noWrap/>
            <w:vAlign w:val="center"/>
          </w:tcPr>
          <w:p w14:paraId="30421ED3">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功能模块</w:t>
            </w:r>
          </w:p>
        </w:tc>
        <w:tc>
          <w:tcPr>
            <w:tcW w:w="5798" w:type="dxa"/>
            <w:tcBorders>
              <w:top w:val="single" w:color="000000" w:sz="4" w:space="0"/>
              <w:left w:val="single" w:color="000000" w:sz="4" w:space="0"/>
              <w:bottom w:val="single" w:color="auto" w:sz="4" w:space="0"/>
              <w:right w:val="single" w:color="000000" w:sz="4" w:space="0"/>
            </w:tcBorders>
            <w:shd w:val="clear" w:color="auto" w:fill="F1F1F1" w:themeFill="background1" w:themeFillShade="F2"/>
            <w:noWrap/>
            <w:vAlign w:val="center"/>
          </w:tcPr>
          <w:p w14:paraId="005713A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功能菜单</w:t>
            </w:r>
          </w:p>
        </w:tc>
      </w:tr>
      <w:tr w14:paraId="14B2A5F6">
        <w:tblPrEx>
          <w:tblCellMar>
            <w:top w:w="0" w:type="dxa"/>
            <w:left w:w="108" w:type="dxa"/>
            <w:bottom w:w="0" w:type="dxa"/>
            <w:right w:w="108" w:type="dxa"/>
          </w:tblCellMar>
        </w:tblPrEx>
        <w:trPr>
          <w:trHeight w:val="460"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ABFBFB">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6DA966">
            <w:pPr>
              <w:rPr>
                <w:rFonts w:ascii="宋体" w:hAnsi="宋体" w:cs="宋体"/>
                <w:color w:val="auto"/>
                <w:sz w:val="21"/>
                <w:szCs w:val="21"/>
                <w:highlight w:val="none"/>
              </w:rPr>
            </w:pPr>
            <w:r>
              <w:rPr>
                <w:rFonts w:hint="eastAsia" w:ascii="宋体" w:hAnsi="宋体" w:cs="宋体"/>
                <w:color w:val="auto"/>
                <w:sz w:val="21"/>
                <w:szCs w:val="21"/>
                <w:highlight w:val="none"/>
              </w:rPr>
              <w:t>住院视图调阅</w:t>
            </w: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885D2">
            <w:pPr>
              <w:rPr>
                <w:rFonts w:ascii="宋体" w:hAnsi="宋体" w:cs="宋体"/>
                <w:color w:val="auto"/>
                <w:sz w:val="21"/>
                <w:szCs w:val="21"/>
                <w:highlight w:val="none"/>
              </w:rPr>
            </w:pPr>
            <w:r>
              <w:rPr>
                <w:rFonts w:hint="eastAsia" w:ascii="宋体" w:hAnsi="宋体" w:cs="宋体"/>
                <w:color w:val="auto"/>
                <w:sz w:val="21"/>
                <w:szCs w:val="21"/>
                <w:highlight w:val="none"/>
              </w:rPr>
              <w:t>历史住院信息总览</w:t>
            </w:r>
          </w:p>
        </w:tc>
      </w:tr>
      <w:tr w14:paraId="3BF09FC4">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D1E347">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E262F4">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80352">
            <w:pPr>
              <w:rPr>
                <w:rFonts w:ascii="宋体" w:hAnsi="宋体" w:cs="宋体"/>
                <w:color w:val="auto"/>
                <w:sz w:val="21"/>
                <w:szCs w:val="21"/>
                <w:highlight w:val="none"/>
              </w:rPr>
            </w:pPr>
            <w:r>
              <w:rPr>
                <w:rFonts w:hint="eastAsia" w:ascii="宋体" w:hAnsi="宋体" w:cs="宋体"/>
                <w:color w:val="auto"/>
                <w:sz w:val="21"/>
                <w:szCs w:val="21"/>
                <w:highlight w:val="none"/>
              </w:rPr>
              <w:t>住院时间轴</w:t>
            </w:r>
          </w:p>
        </w:tc>
      </w:tr>
      <w:tr w14:paraId="0BC5B0DA">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CB9287">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469BC8">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39257">
            <w:pPr>
              <w:rPr>
                <w:rFonts w:ascii="宋体" w:hAnsi="宋体" w:cs="宋体"/>
                <w:color w:val="auto"/>
                <w:sz w:val="21"/>
                <w:szCs w:val="21"/>
                <w:highlight w:val="none"/>
              </w:rPr>
            </w:pPr>
            <w:r>
              <w:rPr>
                <w:rFonts w:hint="eastAsia" w:ascii="宋体" w:hAnsi="宋体" w:cs="宋体"/>
                <w:color w:val="auto"/>
                <w:sz w:val="21"/>
                <w:szCs w:val="21"/>
                <w:highlight w:val="none"/>
              </w:rPr>
              <w:t>住院医嘱信息调阅</w:t>
            </w:r>
          </w:p>
        </w:tc>
      </w:tr>
      <w:tr w14:paraId="38CA1722">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3B5EDF">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0D3263">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F0412">
            <w:pPr>
              <w:rPr>
                <w:rFonts w:ascii="宋体" w:hAnsi="宋体" w:cs="宋体"/>
                <w:color w:val="auto"/>
                <w:sz w:val="21"/>
                <w:szCs w:val="21"/>
                <w:highlight w:val="none"/>
              </w:rPr>
            </w:pPr>
            <w:r>
              <w:rPr>
                <w:rFonts w:hint="eastAsia" w:ascii="宋体" w:hAnsi="宋体" w:cs="宋体"/>
                <w:color w:val="auto"/>
                <w:sz w:val="21"/>
                <w:szCs w:val="21"/>
                <w:highlight w:val="none"/>
              </w:rPr>
              <w:t>住院病历信息调阅</w:t>
            </w:r>
          </w:p>
        </w:tc>
      </w:tr>
      <w:tr w14:paraId="0B6AF5BC">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1D2FA1">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12C99D">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C4CE2D">
            <w:pPr>
              <w:rPr>
                <w:rFonts w:ascii="宋体" w:hAnsi="宋体" w:cs="宋体"/>
                <w:color w:val="auto"/>
                <w:sz w:val="21"/>
                <w:szCs w:val="21"/>
                <w:highlight w:val="none"/>
              </w:rPr>
            </w:pPr>
            <w:r>
              <w:rPr>
                <w:rFonts w:hint="eastAsia" w:ascii="宋体" w:hAnsi="宋体" w:cs="宋体"/>
                <w:color w:val="auto"/>
                <w:sz w:val="21"/>
                <w:szCs w:val="21"/>
                <w:highlight w:val="none"/>
              </w:rPr>
              <w:t>住院检查检验信息调阅</w:t>
            </w:r>
          </w:p>
        </w:tc>
      </w:tr>
      <w:tr w14:paraId="5A5DFA18">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F8C1B0">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140508">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6E34F">
            <w:pPr>
              <w:rPr>
                <w:rFonts w:ascii="宋体" w:hAnsi="宋体" w:cs="宋体"/>
                <w:color w:val="auto"/>
                <w:sz w:val="21"/>
                <w:szCs w:val="21"/>
                <w:highlight w:val="none"/>
              </w:rPr>
            </w:pPr>
            <w:r>
              <w:rPr>
                <w:rFonts w:hint="eastAsia" w:ascii="宋体" w:hAnsi="宋体" w:cs="宋体"/>
                <w:color w:val="auto"/>
                <w:sz w:val="21"/>
                <w:szCs w:val="21"/>
                <w:highlight w:val="none"/>
              </w:rPr>
              <w:t>住院手术信息调阅</w:t>
            </w:r>
          </w:p>
        </w:tc>
      </w:tr>
      <w:tr w14:paraId="7FE896E5">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82E6851">
            <w:pPr>
              <w:jc w:val="center"/>
              <w:rPr>
                <w:rFonts w:ascii="宋体" w:hAnsi="宋体" w:cs="宋体"/>
                <w:color w:val="auto"/>
                <w:sz w:val="21"/>
                <w:szCs w:val="21"/>
                <w:highlight w:val="none"/>
              </w:rPr>
            </w:pPr>
          </w:p>
        </w:tc>
        <w:tc>
          <w:tcPr>
            <w:tcW w:w="22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5BD5E54">
            <w:pPr>
              <w:rPr>
                <w:rFonts w:ascii="宋体" w:hAnsi="宋体" w:cs="宋体"/>
                <w:color w:val="auto"/>
                <w:sz w:val="21"/>
                <w:szCs w:val="21"/>
                <w:highlight w:val="none"/>
              </w:rPr>
            </w:pPr>
          </w:p>
        </w:tc>
        <w:tc>
          <w:tcPr>
            <w:tcW w:w="5798"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B9DC95">
            <w:pPr>
              <w:rPr>
                <w:rFonts w:ascii="宋体" w:hAnsi="宋体" w:cs="宋体"/>
                <w:color w:val="auto"/>
                <w:sz w:val="21"/>
                <w:szCs w:val="21"/>
                <w:highlight w:val="none"/>
              </w:rPr>
            </w:pPr>
            <w:r>
              <w:rPr>
                <w:rFonts w:hint="eastAsia" w:ascii="宋体" w:hAnsi="宋体" w:cs="宋体"/>
                <w:color w:val="auto"/>
                <w:sz w:val="21"/>
                <w:szCs w:val="21"/>
                <w:highlight w:val="none"/>
              </w:rPr>
              <w:t>会诊信息调阅</w:t>
            </w:r>
          </w:p>
        </w:tc>
      </w:tr>
      <w:tr w14:paraId="7066C819">
        <w:tblPrEx>
          <w:tblCellMar>
            <w:top w:w="0" w:type="dxa"/>
            <w:left w:w="108" w:type="dxa"/>
            <w:bottom w:w="0" w:type="dxa"/>
            <w:right w:w="108" w:type="dxa"/>
          </w:tblCellMar>
        </w:tblPrEx>
        <w:trPr>
          <w:trHeight w:val="460"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53DF9D">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F3400C">
            <w:pPr>
              <w:rPr>
                <w:rFonts w:ascii="宋体" w:hAnsi="宋体" w:cs="宋体"/>
                <w:color w:val="auto"/>
                <w:sz w:val="21"/>
                <w:szCs w:val="21"/>
                <w:highlight w:val="none"/>
              </w:rPr>
            </w:pPr>
            <w:r>
              <w:rPr>
                <w:rFonts w:hint="eastAsia" w:ascii="宋体" w:hAnsi="宋体" w:cs="宋体"/>
                <w:color w:val="auto"/>
                <w:sz w:val="21"/>
                <w:szCs w:val="21"/>
                <w:highlight w:val="none"/>
              </w:rPr>
              <w:t>门诊视图调阅</w:t>
            </w: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D9068">
            <w:pPr>
              <w:rPr>
                <w:rFonts w:ascii="宋体" w:hAnsi="宋体" w:cs="宋体"/>
                <w:color w:val="auto"/>
                <w:sz w:val="21"/>
                <w:szCs w:val="21"/>
                <w:highlight w:val="none"/>
              </w:rPr>
            </w:pPr>
            <w:r>
              <w:rPr>
                <w:rFonts w:hint="eastAsia" w:ascii="宋体" w:hAnsi="宋体" w:cs="宋体"/>
                <w:color w:val="auto"/>
                <w:sz w:val="21"/>
                <w:szCs w:val="21"/>
                <w:highlight w:val="none"/>
              </w:rPr>
              <w:t>历史门诊信息总览</w:t>
            </w:r>
          </w:p>
        </w:tc>
      </w:tr>
      <w:tr w14:paraId="6B38B3B5">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1FA343">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0751B6">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EB3E5">
            <w:pPr>
              <w:rPr>
                <w:rFonts w:ascii="宋体" w:hAnsi="宋体" w:cs="宋体"/>
                <w:color w:val="auto"/>
                <w:sz w:val="21"/>
                <w:szCs w:val="21"/>
                <w:highlight w:val="none"/>
              </w:rPr>
            </w:pPr>
            <w:r>
              <w:rPr>
                <w:rFonts w:hint="eastAsia" w:ascii="宋体" w:hAnsi="宋体" w:cs="宋体"/>
                <w:color w:val="auto"/>
                <w:sz w:val="21"/>
                <w:szCs w:val="21"/>
                <w:highlight w:val="none"/>
              </w:rPr>
              <w:t>门诊病历信息调阅</w:t>
            </w:r>
          </w:p>
        </w:tc>
      </w:tr>
      <w:tr w14:paraId="01C8DE43">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55B8C9">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D711B2">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86CAE">
            <w:pPr>
              <w:rPr>
                <w:rFonts w:ascii="宋体" w:hAnsi="宋体" w:cs="宋体"/>
                <w:color w:val="auto"/>
                <w:sz w:val="21"/>
                <w:szCs w:val="21"/>
                <w:highlight w:val="none"/>
              </w:rPr>
            </w:pPr>
            <w:r>
              <w:rPr>
                <w:rFonts w:hint="eastAsia" w:ascii="宋体" w:hAnsi="宋体" w:cs="宋体"/>
                <w:color w:val="auto"/>
                <w:sz w:val="21"/>
                <w:szCs w:val="21"/>
                <w:highlight w:val="none"/>
              </w:rPr>
              <w:t>门诊处方信息调阅</w:t>
            </w:r>
          </w:p>
        </w:tc>
      </w:tr>
      <w:tr w14:paraId="4BE376A8">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477D84">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3EC188">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AFB51">
            <w:pPr>
              <w:rPr>
                <w:rFonts w:ascii="宋体" w:hAnsi="宋体" w:cs="宋体"/>
                <w:color w:val="auto"/>
                <w:sz w:val="21"/>
                <w:szCs w:val="21"/>
                <w:highlight w:val="none"/>
              </w:rPr>
            </w:pPr>
            <w:r>
              <w:rPr>
                <w:rFonts w:hint="eastAsia" w:ascii="宋体" w:hAnsi="宋体" w:cs="宋体"/>
                <w:color w:val="auto"/>
                <w:sz w:val="21"/>
                <w:szCs w:val="21"/>
                <w:highlight w:val="none"/>
              </w:rPr>
              <w:t>门诊检查检验信息调阅</w:t>
            </w:r>
          </w:p>
        </w:tc>
      </w:tr>
      <w:tr w14:paraId="138CB5F7">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74A35D">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DDEA8D">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5809D">
            <w:pPr>
              <w:rPr>
                <w:rFonts w:ascii="宋体" w:hAnsi="宋体" w:cs="宋体"/>
                <w:color w:val="auto"/>
                <w:sz w:val="21"/>
                <w:szCs w:val="21"/>
                <w:highlight w:val="none"/>
              </w:rPr>
            </w:pPr>
            <w:r>
              <w:rPr>
                <w:rFonts w:hint="eastAsia" w:ascii="宋体" w:hAnsi="宋体" w:cs="宋体"/>
                <w:color w:val="auto"/>
                <w:sz w:val="21"/>
                <w:szCs w:val="21"/>
                <w:highlight w:val="none"/>
              </w:rPr>
              <w:t>门诊耗材信息调阅</w:t>
            </w:r>
          </w:p>
        </w:tc>
      </w:tr>
      <w:tr w14:paraId="37F51537">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DFCD3E">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DD969E">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1230E">
            <w:pPr>
              <w:rPr>
                <w:rFonts w:ascii="宋体" w:hAnsi="宋体" w:cs="宋体"/>
                <w:color w:val="auto"/>
                <w:sz w:val="21"/>
                <w:szCs w:val="21"/>
                <w:highlight w:val="none"/>
              </w:rPr>
            </w:pPr>
            <w:r>
              <w:rPr>
                <w:rFonts w:hint="eastAsia" w:ascii="宋体" w:hAnsi="宋体" w:cs="宋体"/>
                <w:color w:val="auto"/>
                <w:sz w:val="21"/>
                <w:szCs w:val="21"/>
                <w:highlight w:val="none"/>
              </w:rPr>
              <w:t>门诊费用信息调阅</w:t>
            </w:r>
          </w:p>
        </w:tc>
      </w:tr>
      <w:tr w14:paraId="052470EE">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E2845C">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262AA5">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EAFE0">
            <w:pPr>
              <w:rPr>
                <w:rFonts w:ascii="宋体" w:hAnsi="宋体" w:cs="宋体"/>
                <w:color w:val="auto"/>
                <w:sz w:val="21"/>
                <w:szCs w:val="21"/>
                <w:highlight w:val="none"/>
              </w:rPr>
            </w:pPr>
            <w:r>
              <w:rPr>
                <w:rFonts w:hint="eastAsia" w:ascii="宋体" w:hAnsi="宋体" w:cs="宋体"/>
                <w:color w:val="auto"/>
                <w:sz w:val="21"/>
                <w:szCs w:val="21"/>
                <w:highlight w:val="none"/>
              </w:rPr>
              <w:t>门诊留观数据调阅</w:t>
            </w:r>
          </w:p>
        </w:tc>
      </w:tr>
      <w:tr w14:paraId="7920E640">
        <w:tblPrEx>
          <w:tblCellMar>
            <w:top w:w="0" w:type="dxa"/>
            <w:left w:w="108" w:type="dxa"/>
            <w:bottom w:w="0" w:type="dxa"/>
            <w:right w:w="108" w:type="dxa"/>
          </w:tblCellMar>
        </w:tblPrEx>
        <w:trPr>
          <w:trHeight w:val="499"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403900">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AF28D3">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BDC71">
            <w:pPr>
              <w:rPr>
                <w:rFonts w:ascii="宋体" w:hAnsi="宋体" w:cs="宋体"/>
                <w:color w:val="auto"/>
                <w:sz w:val="21"/>
                <w:szCs w:val="21"/>
                <w:highlight w:val="none"/>
              </w:rPr>
            </w:pPr>
            <w:r>
              <w:rPr>
                <w:rFonts w:hint="eastAsia" w:ascii="宋体" w:hAnsi="宋体" w:cs="宋体"/>
                <w:color w:val="auto"/>
                <w:sz w:val="21"/>
                <w:szCs w:val="21"/>
                <w:highlight w:val="none"/>
              </w:rPr>
              <w:t>门诊护理数据调阅</w:t>
            </w:r>
          </w:p>
        </w:tc>
      </w:tr>
      <w:tr w14:paraId="14C03B37">
        <w:tblPrEx>
          <w:tblCellMar>
            <w:top w:w="0" w:type="dxa"/>
            <w:left w:w="108" w:type="dxa"/>
            <w:bottom w:w="0" w:type="dxa"/>
            <w:right w:w="108" w:type="dxa"/>
          </w:tblCellMar>
        </w:tblPrEx>
        <w:trPr>
          <w:trHeight w:val="460"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7B6E2C">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ABEC5F">
            <w:pPr>
              <w:rPr>
                <w:rFonts w:ascii="宋体" w:hAnsi="宋体" w:cs="宋体"/>
                <w:color w:val="auto"/>
                <w:sz w:val="21"/>
                <w:szCs w:val="21"/>
                <w:highlight w:val="none"/>
              </w:rPr>
            </w:pPr>
            <w:r>
              <w:rPr>
                <w:rFonts w:hint="eastAsia" w:ascii="宋体" w:hAnsi="宋体" w:cs="宋体"/>
                <w:color w:val="auto"/>
                <w:sz w:val="21"/>
                <w:szCs w:val="21"/>
                <w:highlight w:val="none"/>
              </w:rPr>
              <w:t>检查数据调阅</w:t>
            </w: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2853A">
            <w:pPr>
              <w:rPr>
                <w:rFonts w:ascii="宋体" w:hAnsi="宋体" w:cs="宋体"/>
                <w:color w:val="auto"/>
                <w:sz w:val="21"/>
                <w:szCs w:val="21"/>
                <w:highlight w:val="none"/>
              </w:rPr>
            </w:pPr>
            <w:r>
              <w:rPr>
                <w:rFonts w:hint="eastAsia" w:ascii="宋体" w:hAnsi="宋体" w:cs="宋体"/>
                <w:color w:val="auto"/>
                <w:sz w:val="21"/>
                <w:szCs w:val="21"/>
                <w:highlight w:val="none"/>
              </w:rPr>
              <w:t>历史检查信息总览</w:t>
            </w:r>
          </w:p>
        </w:tc>
      </w:tr>
      <w:tr w14:paraId="7E370ED0">
        <w:tblPrEx>
          <w:tblCellMar>
            <w:top w:w="0" w:type="dxa"/>
            <w:left w:w="108" w:type="dxa"/>
            <w:bottom w:w="0" w:type="dxa"/>
            <w:right w:w="108" w:type="dxa"/>
          </w:tblCellMar>
        </w:tblPrEx>
        <w:trPr>
          <w:trHeight w:val="46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BC40F2">
            <w:pPr>
              <w:jc w:val="cente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E3A3C8">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80F82">
            <w:pPr>
              <w:rPr>
                <w:rFonts w:ascii="宋体" w:hAnsi="宋体" w:cs="宋体"/>
                <w:color w:val="auto"/>
                <w:sz w:val="21"/>
                <w:szCs w:val="21"/>
                <w:highlight w:val="none"/>
              </w:rPr>
            </w:pPr>
            <w:r>
              <w:rPr>
                <w:rFonts w:hint="eastAsia" w:ascii="宋体" w:hAnsi="宋体" w:cs="宋体"/>
                <w:color w:val="auto"/>
                <w:sz w:val="21"/>
                <w:szCs w:val="21"/>
                <w:highlight w:val="none"/>
              </w:rPr>
              <w:t>检查结果调阅</w:t>
            </w:r>
          </w:p>
        </w:tc>
      </w:tr>
      <w:tr w14:paraId="21F933BC">
        <w:tblPrEx>
          <w:tblCellMar>
            <w:top w:w="0" w:type="dxa"/>
            <w:left w:w="108" w:type="dxa"/>
            <w:bottom w:w="0" w:type="dxa"/>
            <w:right w:w="108" w:type="dxa"/>
          </w:tblCellMar>
        </w:tblPrEx>
        <w:trPr>
          <w:trHeight w:val="460" w:hRule="atLeast"/>
        </w:trPr>
        <w:tc>
          <w:tcPr>
            <w:tcW w:w="10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99E4B4">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E7487F">
            <w:pPr>
              <w:rPr>
                <w:rFonts w:ascii="宋体" w:hAnsi="宋体" w:cs="宋体"/>
                <w:color w:val="auto"/>
                <w:sz w:val="21"/>
                <w:szCs w:val="21"/>
                <w:highlight w:val="none"/>
              </w:rPr>
            </w:pPr>
            <w:r>
              <w:rPr>
                <w:rFonts w:hint="eastAsia" w:ascii="宋体" w:hAnsi="宋体" w:cs="宋体"/>
                <w:color w:val="auto"/>
                <w:sz w:val="21"/>
                <w:szCs w:val="21"/>
                <w:highlight w:val="none"/>
              </w:rPr>
              <w:t>检验数据调阅</w:t>
            </w: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13209">
            <w:pPr>
              <w:rPr>
                <w:rFonts w:ascii="宋体" w:hAnsi="宋体" w:cs="宋体"/>
                <w:color w:val="auto"/>
                <w:sz w:val="21"/>
                <w:szCs w:val="21"/>
                <w:highlight w:val="none"/>
              </w:rPr>
            </w:pPr>
            <w:r>
              <w:rPr>
                <w:rFonts w:hint="eastAsia" w:ascii="宋体" w:hAnsi="宋体" w:cs="宋体"/>
                <w:color w:val="auto"/>
                <w:sz w:val="21"/>
                <w:szCs w:val="21"/>
                <w:highlight w:val="none"/>
              </w:rPr>
              <w:t>历史检验信息总览</w:t>
            </w:r>
          </w:p>
        </w:tc>
      </w:tr>
      <w:tr w14:paraId="09546F5B">
        <w:tblPrEx>
          <w:tblCellMar>
            <w:top w:w="0" w:type="dxa"/>
            <w:left w:w="108" w:type="dxa"/>
            <w:bottom w:w="0" w:type="dxa"/>
            <w:right w:w="108" w:type="dxa"/>
          </w:tblCellMar>
        </w:tblPrEx>
        <w:trPr>
          <w:trHeight w:val="470" w:hRule="atLeast"/>
        </w:trPr>
        <w:tc>
          <w:tcPr>
            <w:tcW w:w="10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B1FF33">
            <w:pPr>
              <w:rPr>
                <w:rFonts w:ascii="宋体" w:hAnsi="宋体" w:cs="宋体"/>
                <w:color w:val="auto"/>
                <w:sz w:val="21"/>
                <w:szCs w:val="21"/>
                <w:highlight w:val="none"/>
              </w:rPr>
            </w:pPr>
          </w:p>
        </w:tc>
        <w:tc>
          <w:tcPr>
            <w:tcW w:w="22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C6559C">
            <w:pPr>
              <w:rPr>
                <w:rFonts w:ascii="宋体" w:hAnsi="宋体" w:cs="宋体"/>
                <w:color w:val="auto"/>
                <w:sz w:val="21"/>
                <w:szCs w:val="21"/>
                <w:highlight w:val="none"/>
              </w:rPr>
            </w:pPr>
          </w:p>
        </w:tc>
        <w:tc>
          <w:tcPr>
            <w:tcW w:w="5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B5481">
            <w:pPr>
              <w:rPr>
                <w:rFonts w:ascii="宋体" w:hAnsi="宋体" w:cs="宋体"/>
                <w:color w:val="auto"/>
                <w:sz w:val="21"/>
                <w:szCs w:val="21"/>
                <w:highlight w:val="none"/>
              </w:rPr>
            </w:pPr>
            <w:r>
              <w:rPr>
                <w:rFonts w:hint="eastAsia" w:ascii="宋体" w:hAnsi="宋体" w:cs="宋体"/>
                <w:color w:val="auto"/>
                <w:sz w:val="21"/>
                <w:szCs w:val="21"/>
                <w:highlight w:val="none"/>
              </w:rPr>
              <w:t>检验结果调阅</w:t>
            </w:r>
          </w:p>
        </w:tc>
      </w:tr>
    </w:tbl>
    <w:p w14:paraId="1FB1C289">
      <w:pPr>
        <w:bidi w:val="0"/>
        <w:rPr>
          <w:color w:val="auto"/>
          <w:highlight w:val="none"/>
        </w:rPr>
      </w:pPr>
    </w:p>
    <w:p w14:paraId="759B5648">
      <w:pPr>
        <w:bidi w:val="0"/>
        <w:rPr>
          <w:color w:val="auto"/>
          <w:highlight w:val="none"/>
        </w:rPr>
      </w:pPr>
    </w:p>
    <w:p w14:paraId="12B1397E">
      <w:pPr>
        <w:pStyle w:val="5"/>
        <w:numPr>
          <w:ilvl w:val="0"/>
          <w:numId w:val="3"/>
        </w:numPr>
        <w:bidi w:val="0"/>
        <w:ind w:left="0" w:leftChars="0" w:firstLine="0" w:firstLineChars="0"/>
        <w:rPr>
          <w:rFonts w:hint="default"/>
          <w:color w:val="auto"/>
          <w:highlight w:val="none"/>
          <w:lang w:val="en-US" w:eastAsia="zh-CN"/>
        </w:rPr>
      </w:pPr>
      <w:r>
        <w:rPr>
          <w:rFonts w:hint="eastAsia"/>
          <w:color w:val="auto"/>
          <w:highlight w:val="none"/>
        </w:rPr>
        <w:t>电子病历质控系统</w:t>
      </w:r>
    </w:p>
    <w:tbl>
      <w:tblPr>
        <w:tblStyle w:val="16"/>
        <w:tblW w:w="9109" w:type="dxa"/>
        <w:tblInd w:w="-24" w:type="dxa"/>
        <w:tblLayout w:type="fixed"/>
        <w:tblCellMar>
          <w:top w:w="0" w:type="dxa"/>
          <w:left w:w="108" w:type="dxa"/>
          <w:bottom w:w="0" w:type="dxa"/>
          <w:right w:w="108" w:type="dxa"/>
        </w:tblCellMar>
      </w:tblPr>
      <w:tblGrid>
        <w:gridCol w:w="1067"/>
        <w:gridCol w:w="2144"/>
        <w:gridCol w:w="5898"/>
      </w:tblGrid>
      <w:tr w14:paraId="1FCF2553">
        <w:tblPrEx>
          <w:tblCellMar>
            <w:top w:w="0" w:type="dxa"/>
            <w:left w:w="108" w:type="dxa"/>
            <w:bottom w:w="0" w:type="dxa"/>
            <w:right w:w="108" w:type="dxa"/>
          </w:tblCellMar>
        </w:tblPrEx>
        <w:trPr>
          <w:trHeight w:val="575" w:hRule="atLeast"/>
        </w:trPr>
        <w:tc>
          <w:tcPr>
            <w:tcW w:w="1067" w:type="dxa"/>
            <w:tcBorders>
              <w:top w:val="single" w:color="000000" w:sz="4" w:space="0"/>
              <w:left w:val="single" w:color="000000" w:sz="4" w:space="0"/>
              <w:bottom w:val="single" w:color="auto" w:sz="4" w:space="0"/>
              <w:right w:val="single" w:color="000000" w:sz="4" w:space="0"/>
            </w:tcBorders>
            <w:shd w:val="clear" w:color="auto" w:fill="F1F1F1" w:themeFill="background1" w:themeFillShade="F2"/>
            <w:noWrap/>
            <w:vAlign w:val="center"/>
          </w:tcPr>
          <w:p w14:paraId="10247FF0">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2144" w:type="dxa"/>
            <w:tcBorders>
              <w:top w:val="single" w:color="000000" w:sz="4" w:space="0"/>
              <w:left w:val="single" w:color="000000" w:sz="4" w:space="0"/>
              <w:bottom w:val="single" w:color="auto" w:sz="4" w:space="0"/>
              <w:right w:val="single" w:color="000000" w:sz="4" w:space="0"/>
            </w:tcBorders>
            <w:shd w:val="clear" w:color="auto" w:fill="F1F1F1" w:themeFill="background1" w:themeFillShade="F2"/>
            <w:noWrap/>
            <w:vAlign w:val="center"/>
          </w:tcPr>
          <w:p w14:paraId="67F680BA">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功能模块</w:t>
            </w:r>
          </w:p>
        </w:tc>
        <w:tc>
          <w:tcPr>
            <w:tcW w:w="5898" w:type="dxa"/>
            <w:tcBorders>
              <w:top w:val="single" w:color="000000" w:sz="4" w:space="0"/>
              <w:left w:val="single" w:color="000000" w:sz="4" w:space="0"/>
              <w:bottom w:val="single" w:color="auto" w:sz="4" w:space="0"/>
              <w:right w:val="single" w:color="000000" w:sz="4" w:space="0"/>
            </w:tcBorders>
            <w:shd w:val="clear" w:color="auto" w:fill="F1F1F1" w:themeFill="background1" w:themeFillShade="F2"/>
            <w:noWrap/>
            <w:vAlign w:val="center"/>
          </w:tcPr>
          <w:p w14:paraId="1AEE129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功能菜单</w:t>
            </w:r>
          </w:p>
        </w:tc>
      </w:tr>
      <w:tr w14:paraId="24BA5243">
        <w:tblPrEx>
          <w:tblCellMar>
            <w:top w:w="0" w:type="dxa"/>
            <w:left w:w="108" w:type="dxa"/>
            <w:bottom w:w="0" w:type="dxa"/>
            <w:right w:w="108" w:type="dxa"/>
          </w:tblCellMar>
        </w:tblPrEx>
        <w:trPr>
          <w:trHeight w:val="466" w:hRule="atLeast"/>
        </w:trPr>
        <w:tc>
          <w:tcPr>
            <w:tcW w:w="10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33BF77">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21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CDD42E">
            <w:pPr>
              <w:jc w:val="center"/>
              <w:rPr>
                <w:rFonts w:ascii="宋体" w:hAnsi="宋体" w:cs="宋体"/>
                <w:color w:val="auto"/>
                <w:sz w:val="21"/>
                <w:szCs w:val="21"/>
                <w:highlight w:val="none"/>
              </w:rPr>
            </w:pPr>
            <w:r>
              <w:rPr>
                <w:rFonts w:hint="eastAsia" w:ascii="宋体" w:hAnsi="宋体" w:cs="宋体"/>
                <w:color w:val="auto"/>
                <w:sz w:val="21"/>
                <w:szCs w:val="21"/>
                <w:highlight w:val="none"/>
              </w:rPr>
              <w:t>病历质控</w:t>
            </w:r>
          </w:p>
        </w:tc>
        <w:tc>
          <w:tcPr>
            <w:tcW w:w="589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E0863B">
            <w:pPr>
              <w:rPr>
                <w:rFonts w:ascii="宋体" w:hAnsi="宋体" w:cs="宋体"/>
                <w:color w:val="auto"/>
                <w:sz w:val="21"/>
                <w:szCs w:val="21"/>
                <w:highlight w:val="none"/>
              </w:rPr>
            </w:pPr>
            <w:r>
              <w:rPr>
                <w:rFonts w:hint="eastAsia" w:ascii="宋体" w:hAnsi="宋体" w:cs="宋体"/>
                <w:color w:val="auto"/>
                <w:sz w:val="21"/>
                <w:szCs w:val="21"/>
                <w:highlight w:val="none"/>
              </w:rPr>
              <w:t>病历文书检索</w:t>
            </w:r>
          </w:p>
        </w:tc>
      </w:tr>
      <w:tr w14:paraId="4B44D7F4">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1AE67F4">
            <w:pPr>
              <w:jc w:val="center"/>
              <w:rPr>
                <w:rFonts w:ascii="宋体" w:hAnsi="宋体" w:cs="宋体"/>
                <w:color w:val="auto"/>
                <w:sz w:val="21"/>
                <w:szCs w:val="21"/>
                <w:highlight w:val="none"/>
              </w:rPr>
            </w:pPr>
          </w:p>
        </w:tc>
        <w:tc>
          <w:tcPr>
            <w:tcW w:w="214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03F5F2BD">
            <w:pPr>
              <w:jc w:val="center"/>
              <w:rPr>
                <w:rFonts w:ascii="宋体" w:hAnsi="宋体" w:cs="宋体"/>
                <w:color w:val="auto"/>
                <w:sz w:val="21"/>
                <w:szCs w:val="21"/>
                <w:highlight w:val="none"/>
              </w:rPr>
            </w:pPr>
          </w:p>
        </w:tc>
        <w:tc>
          <w:tcPr>
            <w:tcW w:w="5898" w:type="dxa"/>
            <w:tcBorders>
              <w:top w:val="single" w:color="auto" w:sz="4" w:space="0"/>
              <w:left w:val="single" w:color="000000" w:sz="4" w:space="0"/>
              <w:bottom w:val="single" w:color="auto" w:sz="4" w:space="0"/>
              <w:right w:val="single" w:color="000000" w:sz="4" w:space="0"/>
            </w:tcBorders>
            <w:shd w:val="clear" w:color="auto" w:fill="auto"/>
            <w:noWrap/>
            <w:vAlign w:val="bottom"/>
          </w:tcPr>
          <w:p w14:paraId="11108E24">
            <w:pPr>
              <w:rPr>
                <w:rFonts w:ascii="宋体" w:hAnsi="宋体" w:cs="宋体"/>
                <w:color w:val="auto"/>
                <w:sz w:val="21"/>
                <w:szCs w:val="21"/>
                <w:highlight w:val="none"/>
              </w:rPr>
            </w:pPr>
            <w:r>
              <w:rPr>
                <w:rFonts w:hint="eastAsia" w:ascii="宋体" w:hAnsi="宋体" w:cs="宋体"/>
                <w:color w:val="auto"/>
                <w:sz w:val="21"/>
                <w:szCs w:val="21"/>
                <w:highlight w:val="none"/>
              </w:rPr>
              <w:t>病历文书审阅</w:t>
            </w:r>
          </w:p>
        </w:tc>
      </w:tr>
      <w:tr w14:paraId="19752681">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5D7D5F">
            <w:pPr>
              <w:jc w:val="center"/>
              <w:rPr>
                <w:rFonts w:ascii="宋体" w:hAnsi="宋体" w:cs="宋体"/>
                <w:color w:val="auto"/>
                <w:sz w:val="21"/>
                <w:szCs w:val="21"/>
                <w:highlight w:val="none"/>
              </w:rPr>
            </w:pPr>
          </w:p>
        </w:tc>
        <w:tc>
          <w:tcPr>
            <w:tcW w:w="2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9A81CF">
            <w:pPr>
              <w:jc w:val="center"/>
              <w:rPr>
                <w:rFonts w:ascii="宋体" w:hAnsi="宋体" w:cs="宋体"/>
                <w:color w:val="auto"/>
                <w:sz w:val="21"/>
                <w:szCs w:val="21"/>
                <w:highlight w:val="none"/>
              </w:rPr>
            </w:pPr>
          </w:p>
        </w:tc>
        <w:tc>
          <w:tcPr>
            <w:tcW w:w="589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C3AA54">
            <w:pPr>
              <w:rPr>
                <w:rFonts w:ascii="宋体" w:hAnsi="宋体" w:cs="宋体"/>
                <w:color w:val="auto"/>
                <w:sz w:val="21"/>
                <w:szCs w:val="21"/>
                <w:highlight w:val="none"/>
              </w:rPr>
            </w:pPr>
            <w:r>
              <w:rPr>
                <w:rFonts w:hint="eastAsia" w:ascii="宋体" w:hAnsi="宋体" w:cs="宋体"/>
                <w:color w:val="auto"/>
                <w:sz w:val="21"/>
                <w:szCs w:val="21"/>
                <w:highlight w:val="none"/>
              </w:rPr>
              <w:t>病历文书归档</w:t>
            </w:r>
          </w:p>
        </w:tc>
      </w:tr>
      <w:tr w14:paraId="14D9B2AA">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111598">
            <w:pPr>
              <w:jc w:val="center"/>
              <w:rPr>
                <w:rFonts w:ascii="宋体" w:hAnsi="宋体" w:cs="宋体"/>
                <w:color w:val="auto"/>
                <w:sz w:val="21"/>
                <w:szCs w:val="21"/>
                <w:highlight w:val="none"/>
              </w:rPr>
            </w:pPr>
          </w:p>
        </w:tc>
        <w:tc>
          <w:tcPr>
            <w:tcW w:w="2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78A26A">
            <w:pPr>
              <w:jc w:val="center"/>
              <w:rPr>
                <w:rFonts w:ascii="宋体" w:hAnsi="宋体" w:cs="宋体"/>
                <w:color w:val="auto"/>
                <w:sz w:val="21"/>
                <w:szCs w:val="21"/>
                <w:highlight w:val="none"/>
              </w:rPr>
            </w:pPr>
          </w:p>
        </w:tc>
        <w:tc>
          <w:tcPr>
            <w:tcW w:w="589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56A94A">
            <w:pPr>
              <w:rPr>
                <w:rFonts w:ascii="宋体" w:hAnsi="宋体" w:cs="宋体"/>
                <w:color w:val="auto"/>
                <w:sz w:val="21"/>
                <w:szCs w:val="21"/>
                <w:highlight w:val="none"/>
              </w:rPr>
            </w:pPr>
            <w:r>
              <w:rPr>
                <w:rFonts w:hint="eastAsia" w:ascii="宋体" w:hAnsi="宋体" w:cs="宋体"/>
                <w:color w:val="auto"/>
                <w:sz w:val="21"/>
                <w:szCs w:val="21"/>
                <w:highlight w:val="none"/>
              </w:rPr>
              <w:t>病历文书退回</w:t>
            </w:r>
          </w:p>
        </w:tc>
      </w:tr>
      <w:tr w14:paraId="71589B0A">
        <w:tblPrEx>
          <w:tblCellMar>
            <w:top w:w="0" w:type="dxa"/>
            <w:left w:w="108" w:type="dxa"/>
            <w:bottom w:w="0" w:type="dxa"/>
            <w:right w:w="108" w:type="dxa"/>
          </w:tblCellMar>
        </w:tblPrEx>
        <w:trPr>
          <w:trHeight w:val="466" w:hRule="atLeast"/>
        </w:trPr>
        <w:tc>
          <w:tcPr>
            <w:tcW w:w="10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DF08D7">
            <w:pPr>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21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8ADC57">
            <w:pPr>
              <w:jc w:val="center"/>
              <w:rPr>
                <w:rFonts w:ascii="宋体" w:hAnsi="宋体" w:cs="宋体"/>
                <w:color w:val="auto"/>
                <w:sz w:val="21"/>
                <w:szCs w:val="21"/>
                <w:highlight w:val="none"/>
              </w:rPr>
            </w:pPr>
            <w:r>
              <w:rPr>
                <w:rFonts w:hint="eastAsia" w:ascii="宋体" w:hAnsi="宋体" w:cs="宋体"/>
                <w:color w:val="auto"/>
                <w:sz w:val="21"/>
                <w:szCs w:val="21"/>
                <w:highlight w:val="none"/>
              </w:rPr>
              <w:t>质控规则维护</w:t>
            </w:r>
          </w:p>
        </w:tc>
        <w:tc>
          <w:tcPr>
            <w:tcW w:w="5898"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46E71A87">
            <w:pPr>
              <w:rPr>
                <w:rFonts w:ascii="宋体" w:hAnsi="宋体" w:cs="宋体"/>
                <w:color w:val="auto"/>
                <w:sz w:val="21"/>
                <w:szCs w:val="21"/>
                <w:highlight w:val="none"/>
              </w:rPr>
            </w:pPr>
            <w:r>
              <w:rPr>
                <w:rFonts w:hint="eastAsia" w:ascii="宋体" w:hAnsi="宋体" w:cs="宋体"/>
                <w:color w:val="auto"/>
                <w:sz w:val="21"/>
                <w:szCs w:val="21"/>
                <w:highlight w:val="none"/>
              </w:rPr>
              <w:t>质控方案维护</w:t>
            </w:r>
          </w:p>
        </w:tc>
      </w:tr>
      <w:tr w14:paraId="18D9287B">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70EC0B">
            <w:pPr>
              <w:jc w:val="center"/>
              <w:rPr>
                <w:rFonts w:ascii="宋体" w:hAnsi="宋体" w:cs="宋体"/>
                <w:color w:val="auto"/>
                <w:sz w:val="21"/>
                <w:szCs w:val="21"/>
                <w:highlight w:val="none"/>
              </w:rPr>
            </w:pPr>
          </w:p>
        </w:tc>
        <w:tc>
          <w:tcPr>
            <w:tcW w:w="2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43382E">
            <w:pPr>
              <w:jc w:val="center"/>
              <w:rPr>
                <w:rFonts w:ascii="宋体" w:hAnsi="宋体" w:cs="宋体"/>
                <w:color w:val="auto"/>
                <w:sz w:val="21"/>
                <w:szCs w:val="21"/>
                <w:highlight w:val="none"/>
              </w:rPr>
            </w:pPr>
          </w:p>
        </w:tc>
        <w:tc>
          <w:tcPr>
            <w:tcW w:w="5898"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715A235B">
            <w:pPr>
              <w:rPr>
                <w:rFonts w:ascii="宋体" w:hAnsi="宋体" w:cs="宋体"/>
                <w:color w:val="auto"/>
                <w:sz w:val="21"/>
                <w:szCs w:val="21"/>
                <w:highlight w:val="none"/>
              </w:rPr>
            </w:pPr>
            <w:r>
              <w:rPr>
                <w:rFonts w:hint="eastAsia" w:ascii="宋体" w:hAnsi="宋体" w:cs="宋体"/>
                <w:color w:val="auto"/>
                <w:sz w:val="21"/>
                <w:szCs w:val="21"/>
                <w:highlight w:val="none"/>
              </w:rPr>
              <w:t>质控规则维护</w:t>
            </w:r>
          </w:p>
        </w:tc>
      </w:tr>
      <w:tr w14:paraId="29FB23EA">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BA9587">
            <w:pPr>
              <w:jc w:val="center"/>
              <w:rPr>
                <w:rFonts w:ascii="宋体" w:hAnsi="宋体" w:cs="宋体"/>
                <w:color w:val="auto"/>
                <w:sz w:val="21"/>
                <w:szCs w:val="21"/>
                <w:highlight w:val="none"/>
              </w:rPr>
            </w:pPr>
          </w:p>
        </w:tc>
        <w:tc>
          <w:tcPr>
            <w:tcW w:w="2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1480F1">
            <w:pPr>
              <w:jc w:val="center"/>
              <w:rPr>
                <w:rFonts w:ascii="宋体" w:hAnsi="宋体" w:cs="宋体"/>
                <w:color w:val="auto"/>
                <w:sz w:val="21"/>
                <w:szCs w:val="21"/>
                <w:highlight w:val="none"/>
              </w:rPr>
            </w:pPr>
          </w:p>
        </w:tc>
        <w:tc>
          <w:tcPr>
            <w:tcW w:w="5898" w:type="dxa"/>
            <w:tcBorders>
              <w:top w:val="single" w:color="auto" w:sz="4" w:space="0"/>
              <w:left w:val="single" w:color="auto" w:sz="4" w:space="0"/>
              <w:bottom w:val="single" w:color="auto" w:sz="4" w:space="0"/>
              <w:right w:val="single" w:color="000000" w:sz="4" w:space="0"/>
            </w:tcBorders>
            <w:shd w:val="clear" w:color="auto" w:fill="auto"/>
            <w:noWrap/>
            <w:vAlign w:val="bottom"/>
          </w:tcPr>
          <w:p w14:paraId="33899311">
            <w:pPr>
              <w:rPr>
                <w:rFonts w:ascii="宋体" w:hAnsi="宋体" w:cs="宋体"/>
                <w:color w:val="auto"/>
                <w:sz w:val="21"/>
                <w:szCs w:val="21"/>
                <w:highlight w:val="none"/>
              </w:rPr>
            </w:pPr>
            <w:r>
              <w:rPr>
                <w:rFonts w:hint="eastAsia" w:ascii="宋体" w:hAnsi="宋体" w:cs="宋体"/>
                <w:color w:val="auto"/>
                <w:sz w:val="21"/>
                <w:szCs w:val="21"/>
                <w:highlight w:val="none"/>
              </w:rPr>
              <w:t>质控规则调用</w:t>
            </w:r>
          </w:p>
        </w:tc>
      </w:tr>
      <w:tr w14:paraId="5EC3F1B1">
        <w:tblPrEx>
          <w:tblCellMar>
            <w:top w:w="0" w:type="dxa"/>
            <w:left w:w="108" w:type="dxa"/>
            <w:bottom w:w="0" w:type="dxa"/>
            <w:right w:w="108" w:type="dxa"/>
          </w:tblCellMar>
        </w:tblPrEx>
        <w:trPr>
          <w:trHeight w:val="466" w:hRule="atLeast"/>
        </w:trPr>
        <w:tc>
          <w:tcPr>
            <w:tcW w:w="10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E4DAD6">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21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CD1CD7">
            <w:pPr>
              <w:jc w:val="center"/>
              <w:rPr>
                <w:rFonts w:ascii="宋体" w:hAnsi="宋体" w:cs="宋体"/>
                <w:color w:val="auto"/>
                <w:sz w:val="21"/>
                <w:szCs w:val="21"/>
                <w:highlight w:val="none"/>
              </w:rPr>
            </w:pPr>
            <w:r>
              <w:rPr>
                <w:rFonts w:hint="eastAsia" w:ascii="宋体" w:hAnsi="宋体" w:cs="宋体"/>
                <w:color w:val="auto"/>
                <w:sz w:val="21"/>
                <w:szCs w:val="21"/>
                <w:highlight w:val="none"/>
              </w:rPr>
              <w:t>时效管理</w:t>
            </w:r>
          </w:p>
        </w:tc>
        <w:tc>
          <w:tcPr>
            <w:tcW w:w="589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A18A0E">
            <w:pPr>
              <w:rPr>
                <w:rFonts w:ascii="宋体" w:hAnsi="宋体" w:cs="宋体"/>
                <w:color w:val="auto"/>
                <w:sz w:val="21"/>
                <w:szCs w:val="21"/>
                <w:highlight w:val="none"/>
              </w:rPr>
            </w:pPr>
            <w:r>
              <w:rPr>
                <w:rFonts w:hint="eastAsia" w:ascii="宋体" w:hAnsi="宋体" w:cs="宋体"/>
                <w:color w:val="auto"/>
                <w:sz w:val="21"/>
                <w:szCs w:val="21"/>
                <w:highlight w:val="none"/>
              </w:rPr>
              <w:t>病历时效管理</w:t>
            </w:r>
          </w:p>
        </w:tc>
      </w:tr>
      <w:tr w14:paraId="54262433">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AFE3B3A">
            <w:pPr>
              <w:jc w:val="center"/>
              <w:rPr>
                <w:rFonts w:ascii="宋体" w:hAnsi="宋体" w:cs="宋体"/>
                <w:color w:val="auto"/>
                <w:sz w:val="21"/>
                <w:szCs w:val="21"/>
                <w:highlight w:val="none"/>
              </w:rPr>
            </w:pPr>
          </w:p>
        </w:tc>
        <w:tc>
          <w:tcPr>
            <w:tcW w:w="214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24B69045">
            <w:pPr>
              <w:jc w:val="center"/>
              <w:rPr>
                <w:rFonts w:ascii="宋体" w:hAnsi="宋体" w:cs="宋体"/>
                <w:color w:val="auto"/>
                <w:sz w:val="21"/>
                <w:szCs w:val="21"/>
                <w:highlight w:val="none"/>
              </w:rPr>
            </w:pPr>
          </w:p>
        </w:tc>
        <w:tc>
          <w:tcPr>
            <w:tcW w:w="589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3BFEBC">
            <w:pPr>
              <w:rPr>
                <w:rFonts w:ascii="宋体" w:hAnsi="宋体" w:cs="宋体"/>
                <w:color w:val="auto"/>
                <w:sz w:val="21"/>
                <w:szCs w:val="21"/>
                <w:highlight w:val="none"/>
              </w:rPr>
            </w:pPr>
            <w:r>
              <w:rPr>
                <w:rFonts w:hint="eastAsia" w:ascii="宋体" w:hAnsi="宋体" w:cs="宋体"/>
                <w:color w:val="auto"/>
                <w:sz w:val="21"/>
                <w:szCs w:val="21"/>
                <w:highlight w:val="none"/>
              </w:rPr>
              <w:t>超时病历解锁</w:t>
            </w:r>
          </w:p>
        </w:tc>
      </w:tr>
      <w:tr w14:paraId="51825730">
        <w:tblPrEx>
          <w:tblCellMar>
            <w:top w:w="0" w:type="dxa"/>
            <w:left w:w="108" w:type="dxa"/>
            <w:bottom w:w="0" w:type="dxa"/>
            <w:right w:w="108" w:type="dxa"/>
          </w:tblCellMar>
        </w:tblPrEx>
        <w:trPr>
          <w:trHeight w:val="466" w:hRule="atLeast"/>
        </w:trPr>
        <w:tc>
          <w:tcPr>
            <w:tcW w:w="106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98FD048">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214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0F3E341">
            <w:pPr>
              <w:jc w:val="center"/>
              <w:rPr>
                <w:rFonts w:ascii="宋体" w:hAnsi="宋体" w:cs="宋体"/>
                <w:color w:val="auto"/>
                <w:sz w:val="21"/>
                <w:szCs w:val="21"/>
                <w:highlight w:val="none"/>
              </w:rPr>
            </w:pPr>
            <w:r>
              <w:rPr>
                <w:rFonts w:hint="eastAsia" w:ascii="宋体" w:hAnsi="宋体" w:cs="宋体"/>
                <w:color w:val="auto"/>
                <w:sz w:val="21"/>
                <w:szCs w:val="21"/>
                <w:highlight w:val="none"/>
              </w:rPr>
              <w:t>参数管理</w:t>
            </w:r>
          </w:p>
        </w:tc>
        <w:tc>
          <w:tcPr>
            <w:tcW w:w="5898" w:type="dxa"/>
            <w:tcBorders>
              <w:top w:val="single" w:color="auto" w:sz="4" w:space="0"/>
              <w:left w:val="single" w:color="000000" w:sz="4" w:space="0"/>
              <w:bottom w:val="single" w:color="auto" w:sz="4" w:space="0"/>
              <w:right w:val="single" w:color="000000" w:sz="4" w:space="0"/>
            </w:tcBorders>
            <w:shd w:val="clear" w:color="auto" w:fill="auto"/>
            <w:noWrap/>
            <w:vAlign w:val="bottom"/>
          </w:tcPr>
          <w:p w14:paraId="3EA6B102">
            <w:pPr>
              <w:rPr>
                <w:rFonts w:ascii="宋体" w:hAnsi="宋体" w:cs="宋体"/>
                <w:color w:val="auto"/>
                <w:sz w:val="21"/>
                <w:szCs w:val="21"/>
                <w:highlight w:val="none"/>
              </w:rPr>
            </w:pPr>
            <w:r>
              <w:rPr>
                <w:rFonts w:hint="eastAsia" w:ascii="宋体" w:hAnsi="宋体" w:cs="宋体"/>
                <w:color w:val="auto"/>
                <w:sz w:val="21"/>
                <w:szCs w:val="21"/>
                <w:highlight w:val="none"/>
              </w:rPr>
              <w:t>质控参数可视化管理</w:t>
            </w:r>
          </w:p>
        </w:tc>
      </w:tr>
      <w:tr w14:paraId="3CF3ABAF">
        <w:tblPrEx>
          <w:tblCellMar>
            <w:top w:w="0" w:type="dxa"/>
            <w:left w:w="108" w:type="dxa"/>
            <w:bottom w:w="0" w:type="dxa"/>
            <w:right w:w="108" w:type="dxa"/>
          </w:tblCellMar>
        </w:tblPrEx>
        <w:trPr>
          <w:trHeight w:val="496" w:hRule="atLeast"/>
        </w:trPr>
        <w:tc>
          <w:tcPr>
            <w:tcW w:w="1067"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2DB6F254">
            <w:pPr>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214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515F7027">
            <w:pPr>
              <w:jc w:val="center"/>
              <w:rPr>
                <w:rFonts w:ascii="宋体" w:hAnsi="宋体" w:cs="宋体"/>
                <w:color w:val="auto"/>
                <w:sz w:val="21"/>
                <w:szCs w:val="21"/>
                <w:highlight w:val="none"/>
              </w:rPr>
            </w:pPr>
            <w:r>
              <w:rPr>
                <w:rFonts w:hint="eastAsia" w:ascii="宋体" w:hAnsi="宋体" w:cs="宋体"/>
                <w:color w:val="auto"/>
                <w:sz w:val="21"/>
                <w:szCs w:val="21"/>
                <w:highlight w:val="none"/>
              </w:rPr>
              <w:t>审批管理</w:t>
            </w:r>
          </w:p>
        </w:tc>
        <w:tc>
          <w:tcPr>
            <w:tcW w:w="5898" w:type="dxa"/>
            <w:tcBorders>
              <w:top w:val="single" w:color="auto" w:sz="4" w:space="0"/>
              <w:left w:val="single" w:color="000000" w:sz="4" w:space="0"/>
              <w:bottom w:val="single" w:color="auto" w:sz="4" w:space="0"/>
              <w:right w:val="single" w:color="000000" w:sz="4" w:space="0"/>
            </w:tcBorders>
            <w:shd w:val="clear" w:color="auto" w:fill="auto"/>
            <w:noWrap/>
            <w:vAlign w:val="bottom"/>
          </w:tcPr>
          <w:p w14:paraId="60737CDA">
            <w:pPr>
              <w:rPr>
                <w:rFonts w:ascii="宋体" w:hAnsi="宋体" w:cs="宋体"/>
                <w:color w:val="auto"/>
                <w:sz w:val="21"/>
                <w:szCs w:val="21"/>
                <w:highlight w:val="none"/>
              </w:rPr>
            </w:pPr>
            <w:r>
              <w:rPr>
                <w:rFonts w:hint="eastAsia" w:ascii="宋体" w:hAnsi="宋体" w:cs="宋体"/>
                <w:color w:val="auto"/>
                <w:sz w:val="21"/>
                <w:szCs w:val="21"/>
                <w:highlight w:val="none"/>
              </w:rPr>
              <w:t>召回文书审批</w:t>
            </w:r>
          </w:p>
        </w:tc>
      </w:tr>
      <w:tr w14:paraId="6BBB25C8">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4290821C">
            <w:pPr>
              <w:jc w:val="center"/>
              <w:rPr>
                <w:rFonts w:ascii="宋体" w:hAnsi="宋体" w:cs="宋体"/>
                <w:color w:val="auto"/>
                <w:sz w:val="21"/>
                <w:szCs w:val="21"/>
                <w:highlight w:val="none"/>
              </w:rPr>
            </w:pPr>
          </w:p>
        </w:tc>
        <w:tc>
          <w:tcPr>
            <w:tcW w:w="214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120BC2A7">
            <w:pPr>
              <w:jc w:val="center"/>
              <w:rPr>
                <w:rFonts w:ascii="宋体" w:hAnsi="宋体" w:cs="宋体"/>
                <w:color w:val="auto"/>
                <w:sz w:val="21"/>
                <w:szCs w:val="21"/>
                <w:highlight w:val="none"/>
              </w:rPr>
            </w:pPr>
          </w:p>
        </w:tc>
        <w:tc>
          <w:tcPr>
            <w:tcW w:w="5898" w:type="dxa"/>
            <w:tcBorders>
              <w:top w:val="single" w:color="auto" w:sz="4" w:space="0"/>
              <w:left w:val="single" w:color="000000" w:sz="4" w:space="0"/>
              <w:bottom w:val="single" w:color="auto" w:sz="4" w:space="0"/>
              <w:right w:val="single" w:color="000000" w:sz="4" w:space="0"/>
            </w:tcBorders>
            <w:shd w:val="clear" w:color="auto" w:fill="auto"/>
            <w:noWrap/>
            <w:vAlign w:val="bottom"/>
          </w:tcPr>
          <w:p w14:paraId="02196E41">
            <w:pPr>
              <w:rPr>
                <w:rFonts w:ascii="宋体" w:hAnsi="宋体" w:cs="宋体"/>
                <w:color w:val="auto"/>
                <w:sz w:val="21"/>
                <w:szCs w:val="21"/>
                <w:highlight w:val="none"/>
              </w:rPr>
            </w:pPr>
            <w:r>
              <w:rPr>
                <w:rFonts w:hint="eastAsia" w:ascii="宋体" w:hAnsi="宋体" w:cs="宋体"/>
                <w:color w:val="auto"/>
                <w:sz w:val="21"/>
                <w:szCs w:val="21"/>
                <w:highlight w:val="none"/>
              </w:rPr>
              <w:t>病历借阅审批</w:t>
            </w:r>
          </w:p>
        </w:tc>
      </w:tr>
      <w:tr w14:paraId="7DF5EEE4">
        <w:tblPrEx>
          <w:tblCellMar>
            <w:top w:w="0" w:type="dxa"/>
            <w:left w:w="108" w:type="dxa"/>
            <w:bottom w:w="0" w:type="dxa"/>
            <w:right w:w="108" w:type="dxa"/>
          </w:tblCellMar>
        </w:tblPrEx>
        <w:trPr>
          <w:trHeight w:val="466" w:hRule="atLeast"/>
        </w:trPr>
        <w:tc>
          <w:tcPr>
            <w:tcW w:w="1067"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0604B976">
            <w:pPr>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2144"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7CFA4D51">
            <w:pPr>
              <w:jc w:val="center"/>
              <w:rPr>
                <w:rFonts w:ascii="宋体" w:hAnsi="宋体" w:cs="宋体"/>
                <w:color w:val="auto"/>
                <w:sz w:val="21"/>
                <w:szCs w:val="21"/>
                <w:highlight w:val="none"/>
              </w:rPr>
            </w:pPr>
            <w:r>
              <w:rPr>
                <w:rFonts w:hint="eastAsia" w:ascii="宋体" w:hAnsi="宋体" w:cs="宋体"/>
                <w:color w:val="auto"/>
                <w:sz w:val="21"/>
                <w:szCs w:val="21"/>
                <w:highlight w:val="none"/>
              </w:rPr>
              <w:t>统计分析</w:t>
            </w:r>
          </w:p>
        </w:tc>
        <w:tc>
          <w:tcPr>
            <w:tcW w:w="5898" w:type="dxa"/>
            <w:tcBorders>
              <w:top w:val="single" w:color="auto" w:sz="4" w:space="0"/>
              <w:left w:val="single" w:color="000000" w:sz="4" w:space="0"/>
              <w:bottom w:val="single" w:color="auto" w:sz="4" w:space="0"/>
              <w:right w:val="single" w:color="000000" w:sz="4" w:space="0"/>
            </w:tcBorders>
            <w:shd w:val="clear" w:color="auto" w:fill="auto"/>
            <w:noWrap/>
            <w:vAlign w:val="bottom"/>
          </w:tcPr>
          <w:p w14:paraId="761E5D02">
            <w:pPr>
              <w:rPr>
                <w:rFonts w:ascii="宋体" w:hAnsi="宋体" w:cs="宋体"/>
                <w:color w:val="auto"/>
                <w:sz w:val="21"/>
                <w:szCs w:val="21"/>
                <w:highlight w:val="none"/>
              </w:rPr>
            </w:pPr>
            <w:r>
              <w:rPr>
                <w:rFonts w:hint="eastAsia" w:ascii="宋体" w:hAnsi="宋体" w:cs="宋体"/>
                <w:color w:val="auto"/>
                <w:sz w:val="21"/>
                <w:szCs w:val="21"/>
                <w:highlight w:val="none"/>
              </w:rPr>
              <w:t>审阅质控记录查询</w:t>
            </w:r>
          </w:p>
        </w:tc>
      </w:tr>
      <w:tr w14:paraId="3014A811">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EF6D0D5">
            <w:pPr>
              <w:jc w:val="center"/>
              <w:rPr>
                <w:rFonts w:ascii="宋体" w:hAnsi="宋体" w:cs="宋体"/>
                <w:color w:val="auto"/>
                <w:sz w:val="21"/>
                <w:szCs w:val="21"/>
                <w:highlight w:val="none"/>
              </w:rPr>
            </w:pPr>
          </w:p>
        </w:tc>
        <w:tc>
          <w:tcPr>
            <w:tcW w:w="214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3B4A2588">
            <w:pPr>
              <w:jc w:val="center"/>
              <w:rPr>
                <w:rFonts w:ascii="宋体" w:hAnsi="宋体" w:cs="宋体"/>
                <w:color w:val="auto"/>
                <w:sz w:val="21"/>
                <w:szCs w:val="21"/>
                <w:highlight w:val="none"/>
              </w:rPr>
            </w:pPr>
          </w:p>
        </w:tc>
        <w:tc>
          <w:tcPr>
            <w:tcW w:w="5898" w:type="dxa"/>
            <w:tcBorders>
              <w:top w:val="single" w:color="auto" w:sz="4" w:space="0"/>
              <w:left w:val="single" w:color="000000" w:sz="4" w:space="0"/>
              <w:bottom w:val="single" w:color="auto" w:sz="4" w:space="0"/>
              <w:right w:val="single" w:color="000000" w:sz="4" w:space="0"/>
            </w:tcBorders>
            <w:shd w:val="clear" w:color="auto" w:fill="auto"/>
            <w:noWrap/>
            <w:vAlign w:val="bottom"/>
          </w:tcPr>
          <w:p w14:paraId="5D1E0C16">
            <w:pPr>
              <w:rPr>
                <w:rFonts w:ascii="宋体" w:hAnsi="宋体" w:cs="宋体"/>
                <w:color w:val="auto"/>
                <w:sz w:val="21"/>
                <w:szCs w:val="21"/>
                <w:highlight w:val="none"/>
              </w:rPr>
            </w:pPr>
            <w:r>
              <w:rPr>
                <w:rFonts w:hint="eastAsia" w:ascii="宋体" w:hAnsi="宋体" w:cs="宋体"/>
                <w:color w:val="auto"/>
                <w:sz w:val="21"/>
                <w:szCs w:val="21"/>
                <w:highlight w:val="none"/>
              </w:rPr>
              <w:t>病历访问记录查询</w:t>
            </w:r>
          </w:p>
        </w:tc>
      </w:tr>
      <w:tr w14:paraId="4EB536A9">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40077629">
            <w:pPr>
              <w:jc w:val="center"/>
              <w:rPr>
                <w:rFonts w:ascii="宋体" w:hAnsi="宋体" w:cs="宋体"/>
                <w:color w:val="auto"/>
                <w:sz w:val="21"/>
                <w:szCs w:val="21"/>
                <w:highlight w:val="none"/>
              </w:rPr>
            </w:pPr>
          </w:p>
        </w:tc>
        <w:tc>
          <w:tcPr>
            <w:tcW w:w="2144"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B4C349A">
            <w:pPr>
              <w:jc w:val="center"/>
              <w:rPr>
                <w:rFonts w:ascii="宋体" w:hAnsi="宋体" w:cs="宋体"/>
                <w:color w:val="auto"/>
                <w:sz w:val="21"/>
                <w:szCs w:val="21"/>
                <w:highlight w:val="none"/>
              </w:rPr>
            </w:pPr>
          </w:p>
        </w:tc>
        <w:tc>
          <w:tcPr>
            <w:tcW w:w="5898" w:type="dxa"/>
            <w:tcBorders>
              <w:top w:val="single" w:color="auto" w:sz="4" w:space="0"/>
              <w:left w:val="single" w:color="000000" w:sz="4" w:space="0"/>
              <w:bottom w:val="single" w:color="auto" w:sz="4" w:space="0"/>
              <w:right w:val="single" w:color="000000" w:sz="4" w:space="0"/>
            </w:tcBorders>
            <w:shd w:val="clear" w:color="auto" w:fill="auto"/>
            <w:noWrap/>
            <w:vAlign w:val="bottom"/>
          </w:tcPr>
          <w:p w14:paraId="56C94A57">
            <w:pPr>
              <w:rPr>
                <w:rFonts w:ascii="宋体" w:hAnsi="宋体" w:cs="宋体"/>
                <w:color w:val="auto"/>
                <w:sz w:val="21"/>
                <w:szCs w:val="21"/>
                <w:highlight w:val="none"/>
              </w:rPr>
            </w:pPr>
            <w:r>
              <w:rPr>
                <w:rFonts w:hint="eastAsia" w:ascii="宋体" w:hAnsi="宋体" w:cs="宋体"/>
                <w:color w:val="auto"/>
                <w:sz w:val="21"/>
                <w:szCs w:val="21"/>
                <w:highlight w:val="none"/>
              </w:rPr>
              <w:t>病历时效记录</w:t>
            </w:r>
          </w:p>
        </w:tc>
      </w:tr>
      <w:tr w14:paraId="704C76EC">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right w:val="single" w:color="000000" w:sz="4" w:space="0"/>
            </w:tcBorders>
            <w:shd w:val="clear" w:color="auto" w:fill="auto"/>
            <w:noWrap/>
            <w:vAlign w:val="center"/>
          </w:tcPr>
          <w:p w14:paraId="4BF5BC6E">
            <w:pPr>
              <w:jc w:val="center"/>
              <w:rPr>
                <w:rFonts w:ascii="宋体" w:hAnsi="宋体" w:cs="宋体"/>
                <w:color w:val="auto"/>
                <w:sz w:val="21"/>
                <w:szCs w:val="21"/>
                <w:highlight w:val="none"/>
              </w:rPr>
            </w:pPr>
          </w:p>
        </w:tc>
        <w:tc>
          <w:tcPr>
            <w:tcW w:w="2144"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81A13EC">
            <w:pPr>
              <w:jc w:val="center"/>
              <w:rPr>
                <w:rFonts w:ascii="宋体" w:hAnsi="宋体" w:cs="宋体"/>
                <w:color w:val="auto"/>
                <w:sz w:val="21"/>
                <w:szCs w:val="21"/>
                <w:highlight w:val="none"/>
              </w:rPr>
            </w:pPr>
          </w:p>
        </w:tc>
        <w:tc>
          <w:tcPr>
            <w:tcW w:w="5898" w:type="dxa"/>
            <w:tcBorders>
              <w:top w:val="single" w:color="auto" w:sz="4" w:space="0"/>
              <w:left w:val="single" w:color="000000" w:sz="4" w:space="0"/>
              <w:bottom w:val="single" w:color="000000" w:sz="4" w:space="0"/>
              <w:right w:val="single" w:color="000000" w:sz="4" w:space="0"/>
            </w:tcBorders>
            <w:shd w:val="clear" w:color="auto" w:fill="auto"/>
            <w:noWrap/>
            <w:vAlign w:val="bottom"/>
          </w:tcPr>
          <w:p w14:paraId="445D4324">
            <w:pPr>
              <w:rPr>
                <w:rFonts w:ascii="宋体" w:hAnsi="宋体" w:cs="宋体"/>
                <w:color w:val="auto"/>
                <w:sz w:val="21"/>
                <w:szCs w:val="21"/>
                <w:highlight w:val="none"/>
              </w:rPr>
            </w:pPr>
            <w:r>
              <w:rPr>
                <w:rFonts w:hint="eastAsia" w:ascii="宋体" w:hAnsi="宋体" w:cs="宋体"/>
                <w:color w:val="auto"/>
                <w:sz w:val="21"/>
                <w:szCs w:val="21"/>
                <w:highlight w:val="none"/>
              </w:rPr>
              <w:t>病历催交查询</w:t>
            </w:r>
          </w:p>
        </w:tc>
      </w:tr>
      <w:tr w14:paraId="16D36C0F">
        <w:tblPrEx>
          <w:tblCellMar>
            <w:top w:w="0" w:type="dxa"/>
            <w:left w:w="108" w:type="dxa"/>
            <w:bottom w:w="0" w:type="dxa"/>
            <w:right w:w="108" w:type="dxa"/>
          </w:tblCellMar>
        </w:tblPrEx>
        <w:trPr>
          <w:trHeight w:val="466" w:hRule="atLeast"/>
        </w:trPr>
        <w:tc>
          <w:tcPr>
            <w:tcW w:w="1067" w:type="dxa"/>
            <w:vMerge w:val="continue"/>
            <w:tcBorders>
              <w:left w:val="single" w:color="auto" w:sz="4" w:space="0"/>
              <w:right w:val="single" w:color="000000" w:sz="4" w:space="0"/>
            </w:tcBorders>
            <w:shd w:val="clear" w:color="auto" w:fill="auto"/>
            <w:noWrap/>
            <w:vAlign w:val="center"/>
          </w:tcPr>
          <w:p w14:paraId="4F307F27">
            <w:pPr>
              <w:jc w:val="center"/>
              <w:rPr>
                <w:rFonts w:ascii="宋体" w:hAnsi="宋体" w:cs="宋体"/>
                <w:color w:val="auto"/>
                <w:sz w:val="21"/>
                <w:szCs w:val="21"/>
                <w:highlight w:val="none"/>
              </w:rPr>
            </w:pPr>
          </w:p>
        </w:tc>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276B">
            <w:pPr>
              <w:jc w:val="center"/>
              <w:rPr>
                <w:rFonts w:ascii="宋体" w:hAnsi="宋体" w:cs="宋体"/>
                <w:color w:val="auto"/>
                <w:sz w:val="21"/>
                <w:szCs w:val="21"/>
                <w:highlight w:val="none"/>
              </w:rPr>
            </w:pPr>
          </w:p>
        </w:tc>
        <w:tc>
          <w:tcPr>
            <w:tcW w:w="5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064FE">
            <w:pPr>
              <w:rPr>
                <w:rFonts w:ascii="宋体" w:hAnsi="宋体" w:cs="宋体"/>
                <w:color w:val="auto"/>
                <w:sz w:val="21"/>
                <w:szCs w:val="21"/>
                <w:highlight w:val="none"/>
              </w:rPr>
            </w:pPr>
            <w:r>
              <w:rPr>
                <w:rFonts w:hint="eastAsia" w:ascii="宋体" w:hAnsi="宋体" w:cs="宋体"/>
                <w:color w:val="auto"/>
                <w:sz w:val="21"/>
                <w:szCs w:val="21"/>
                <w:highlight w:val="none"/>
              </w:rPr>
              <w:t>病历提交率查询</w:t>
            </w:r>
          </w:p>
        </w:tc>
      </w:tr>
      <w:tr w14:paraId="78F9BFE2">
        <w:tblPrEx>
          <w:tblCellMar>
            <w:top w:w="0" w:type="dxa"/>
            <w:left w:w="108" w:type="dxa"/>
            <w:bottom w:w="0" w:type="dxa"/>
            <w:right w:w="108" w:type="dxa"/>
          </w:tblCellMar>
        </w:tblPrEx>
        <w:trPr>
          <w:trHeight w:val="466" w:hRule="atLeast"/>
        </w:trPr>
        <w:tc>
          <w:tcPr>
            <w:tcW w:w="1067" w:type="dxa"/>
            <w:vMerge w:val="continue"/>
            <w:tcBorders>
              <w:left w:val="single" w:color="auto" w:sz="4" w:space="0"/>
              <w:right w:val="single" w:color="000000" w:sz="4" w:space="0"/>
            </w:tcBorders>
            <w:shd w:val="clear" w:color="auto" w:fill="auto"/>
            <w:noWrap/>
            <w:vAlign w:val="center"/>
          </w:tcPr>
          <w:p w14:paraId="03B32CFB">
            <w:pPr>
              <w:jc w:val="center"/>
              <w:rPr>
                <w:rFonts w:ascii="宋体" w:hAnsi="宋体" w:cs="宋体"/>
                <w:color w:val="auto"/>
                <w:sz w:val="21"/>
                <w:szCs w:val="21"/>
                <w:highlight w:val="none"/>
              </w:rPr>
            </w:pPr>
          </w:p>
        </w:tc>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8D00">
            <w:pPr>
              <w:jc w:val="center"/>
              <w:rPr>
                <w:rFonts w:ascii="宋体" w:hAnsi="宋体" w:cs="宋体"/>
                <w:color w:val="auto"/>
                <w:sz w:val="21"/>
                <w:szCs w:val="21"/>
                <w:highlight w:val="none"/>
              </w:rPr>
            </w:pPr>
          </w:p>
        </w:tc>
        <w:tc>
          <w:tcPr>
            <w:tcW w:w="5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55F34">
            <w:pPr>
              <w:rPr>
                <w:rFonts w:ascii="宋体" w:hAnsi="宋体" w:cs="宋体"/>
                <w:color w:val="auto"/>
                <w:sz w:val="21"/>
                <w:szCs w:val="21"/>
                <w:highlight w:val="none"/>
              </w:rPr>
            </w:pPr>
            <w:r>
              <w:rPr>
                <w:rFonts w:hint="eastAsia" w:ascii="宋体" w:hAnsi="宋体" w:cs="宋体"/>
                <w:color w:val="auto"/>
                <w:sz w:val="21"/>
                <w:szCs w:val="21"/>
                <w:highlight w:val="none"/>
              </w:rPr>
              <w:t>疾病统计查询</w:t>
            </w:r>
          </w:p>
        </w:tc>
      </w:tr>
      <w:tr w14:paraId="0D2BEC01">
        <w:tblPrEx>
          <w:tblCellMar>
            <w:top w:w="0" w:type="dxa"/>
            <w:left w:w="108" w:type="dxa"/>
            <w:bottom w:w="0" w:type="dxa"/>
            <w:right w:w="108" w:type="dxa"/>
          </w:tblCellMar>
        </w:tblPrEx>
        <w:trPr>
          <w:trHeight w:val="466" w:hRule="atLeast"/>
        </w:trPr>
        <w:tc>
          <w:tcPr>
            <w:tcW w:w="1067" w:type="dxa"/>
            <w:vMerge w:val="continue"/>
            <w:tcBorders>
              <w:left w:val="single" w:color="auto" w:sz="4" w:space="0"/>
              <w:right w:val="single" w:color="000000" w:sz="4" w:space="0"/>
            </w:tcBorders>
            <w:shd w:val="clear" w:color="auto" w:fill="auto"/>
            <w:noWrap/>
            <w:vAlign w:val="center"/>
          </w:tcPr>
          <w:p w14:paraId="6F9C037E">
            <w:pPr>
              <w:jc w:val="center"/>
              <w:rPr>
                <w:rFonts w:ascii="宋体" w:hAnsi="宋体" w:cs="宋体"/>
                <w:color w:val="auto"/>
                <w:sz w:val="21"/>
                <w:szCs w:val="21"/>
                <w:highlight w:val="none"/>
              </w:rPr>
            </w:pPr>
          </w:p>
        </w:tc>
        <w:tc>
          <w:tcPr>
            <w:tcW w:w="2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EFC6">
            <w:pPr>
              <w:jc w:val="center"/>
              <w:rPr>
                <w:rFonts w:ascii="宋体" w:hAnsi="宋体" w:cs="宋体"/>
                <w:color w:val="auto"/>
                <w:sz w:val="21"/>
                <w:szCs w:val="21"/>
                <w:highlight w:val="none"/>
              </w:rPr>
            </w:pPr>
          </w:p>
        </w:tc>
        <w:tc>
          <w:tcPr>
            <w:tcW w:w="58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254F6">
            <w:pPr>
              <w:rPr>
                <w:rFonts w:ascii="宋体" w:hAnsi="宋体" w:cs="宋体"/>
                <w:color w:val="auto"/>
                <w:sz w:val="21"/>
                <w:szCs w:val="21"/>
                <w:highlight w:val="none"/>
              </w:rPr>
            </w:pPr>
            <w:r>
              <w:rPr>
                <w:rFonts w:hint="eastAsia" w:ascii="宋体" w:hAnsi="宋体" w:cs="宋体"/>
                <w:color w:val="auto"/>
                <w:sz w:val="21"/>
                <w:szCs w:val="21"/>
                <w:highlight w:val="none"/>
              </w:rPr>
              <w:t>手术统计查询</w:t>
            </w:r>
          </w:p>
        </w:tc>
      </w:tr>
      <w:tr w14:paraId="56EBA8F5">
        <w:tblPrEx>
          <w:tblCellMar>
            <w:top w:w="0" w:type="dxa"/>
            <w:left w:w="108" w:type="dxa"/>
            <w:bottom w:w="0" w:type="dxa"/>
            <w:right w:w="108" w:type="dxa"/>
          </w:tblCellMar>
        </w:tblPrEx>
        <w:trPr>
          <w:trHeight w:val="466" w:hRule="atLeast"/>
        </w:trPr>
        <w:tc>
          <w:tcPr>
            <w:tcW w:w="1067" w:type="dxa"/>
            <w:vMerge w:val="continue"/>
            <w:tcBorders>
              <w:left w:val="single" w:color="auto" w:sz="4" w:space="0"/>
              <w:bottom w:val="single" w:color="auto" w:sz="4" w:space="0"/>
              <w:right w:val="single" w:color="000000" w:sz="4" w:space="0"/>
            </w:tcBorders>
            <w:shd w:val="clear" w:color="auto" w:fill="auto"/>
            <w:noWrap/>
            <w:vAlign w:val="center"/>
          </w:tcPr>
          <w:p w14:paraId="579F03EC">
            <w:pPr>
              <w:jc w:val="center"/>
              <w:rPr>
                <w:rFonts w:ascii="宋体" w:hAnsi="宋体" w:cs="宋体"/>
                <w:color w:val="auto"/>
                <w:sz w:val="21"/>
                <w:szCs w:val="21"/>
                <w:highlight w:val="none"/>
              </w:rPr>
            </w:pPr>
          </w:p>
        </w:tc>
        <w:tc>
          <w:tcPr>
            <w:tcW w:w="214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25B509F7">
            <w:pPr>
              <w:jc w:val="center"/>
              <w:rPr>
                <w:rFonts w:ascii="宋体" w:hAnsi="宋体" w:cs="宋体"/>
                <w:color w:val="auto"/>
                <w:sz w:val="21"/>
                <w:szCs w:val="21"/>
                <w:highlight w:val="none"/>
              </w:rPr>
            </w:pPr>
          </w:p>
        </w:tc>
        <w:tc>
          <w:tcPr>
            <w:tcW w:w="5898" w:type="dxa"/>
            <w:tcBorders>
              <w:top w:val="single" w:color="000000" w:sz="4" w:space="0"/>
              <w:left w:val="single" w:color="000000" w:sz="4" w:space="0"/>
              <w:bottom w:val="single" w:color="auto" w:sz="4" w:space="0"/>
              <w:right w:val="single" w:color="000000" w:sz="4" w:space="0"/>
            </w:tcBorders>
            <w:shd w:val="clear" w:color="auto" w:fill="auto"/>
            <w:noWrap/>
            <w:vAlign w:val="bottom"/>
          </w:tcPr>
          <w:p w14:paraId="100BC6BF">
            <w:pPr>
              <w:rPr>
                <w:rFonts w:ascii="宋体" w:hAnsi="宋体" w:cs="宋体"/>
                <w:color w:val="auto"/>
                <w:sz w:val="21"/>
                <w:szCs w:val="21"/>
                <w:highlight w:val="none"/>
              </w:rPr>
            </w:pPr>
            <w:r>
              <w:rPr>
                <w:rFonts w:hint="eastAsia" w:ascii="宋体" w:hAnsi="宋体" w:cs="宋体"/>
                <w:color w:val="auto"/>
                <w:sz w:val="21"/>
                <w:szCs w:val="21"/>
                <w:highlight w:val="none"/>
              </w:rPr>
              <w:t>质控时间轴浏览</w:t>
            </w:r>
          </w:p>
        </w:tc>
      </w:tr>
      <w:tr w14:paraId="68F42E69">
        <w:tblPrEx>
          <w:tblCellMar>
            <w:top w:w="0" w:type="dxa"/>
            <w:left w:w="108" w:type="dxa"/>
            <w:bottom w:w="0" w:type="dxa"/>
            <w:right w:w="108" w:type="dxa"/>
          </w:tblCellMar>
        </w:tblPrEx>
        <w:trPr>
          <w:trHeight w:val="466" w:hRule="atLeast"/>
        </w:trPr>
        <w:tc>
          <w:tcPr>
            <w:tcW w:w="10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024711">
            <w:pPr>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21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9D1658">
            <w:pPr>
              <w:jc w:val="center"/>
              <w:rPr>
                <w:rFonts w:ascii="宋体" w:hAnsi="宋体" w:cs="宋体"/>
                <w:color w:val="auto"/>
                <w:sz w:val="21"/>
                <w:szCs w:val="21"/>
                <w:highlight w:val="none"/>
              </w:rPr>
            </w:pPr>
            <w:r>
              <w:rPr>
                <w:rFonts w:hint="eastAsia" w:ascii="宋体" w:hAnsi="宋体" w:cs="宋体"/>
                <w:color w:val="auto"/>
                <w:sz w:val="21"/>
                <w:szCs w:val="21"/>
                <w:highlight w:val="none"/>
              </w:rPr>
              <w:t>系统设置</w:t>
            </w:r>
          </w:p>
        </w:tc>
        <w:tc>
          <w:tcPr>
            <w:tcW w:w="589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DD76B8">
            <w:pPr>
              <w:rPr>
                <w:rFonts w:ascii="宋体" w:hAnsi="宋体" w:cs="宋体"/>
                <w:color w:val="auto"/>
                <w:sz w:val="21"/>
                <w:szCs w:val="21"/>
                <w:highlight w:val="none"/>
              </w:rPr>
            </w:pPr>
            <w:r>
              <w:rPr>
                <w:rFonts w:hint="eastAsia" w:ascii="宋体" w:hAnsi="宋体" w:cs="宋体"/>
                <w:color w:val="auto"/>
                <w:sz w:val="21"/>
                <w:szCs w:val="21"/>
                <w:highlight w:val="none"/>
              </w:rPr>
              <w:t>ICD国家标准库数据导入</w:t>
            </w:r>
          </w:p>
        </w:tc>
      </w:tr>
      <w:tr w14:paraId="38B39B53">
        <w:tblPrEx>
          <w:tblCellMar>
            <w:top w:w="0" w:type="dxa"/>
            <w:left w:w="108" w:type="dxa"/>
            <w:bottom w:w="0" w:type="dxa"/>
            <w:right w:w="108" w:type="dxa"/>
          </w:tblCellMar>
        </w:tblPrEx>
        <w:trPr>
          <w:trHeight w:val="466" w:hRule="atLeast"/>
        </w:trPr>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A1CEB1">
            <w:pPr>
              <w:rPr>
                <w:rFonts w:ascii="宋体" w:hAnsi="宋体" w:cs="宋体"/>
                <w:color w:val="auto"/>
                <w:sz w:val="21"/>
                <w:szCs w:val="21"/>
                <w:highlight w:val="none"/>
              </w:rPr>
            </w:pPr>
          </w:p>
        </w:tc>
        <w:tc>
          <w:tcPr>
            <w:tcW w:w="2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80A902">
            <w:pPr>
              <w:rPr>
                <w:rFonts w:ascii="宋体" w:hAnsi="宋体" w:cs="宋体"/>
                <w:color w:val="auto"/>
                <w:sz w:val="21"/>
                <w:szCs w:val="21"/>
                <w:highlight w:val="none"/>
              </w:rPr>
            </w:pPr>
          </w:p>
        </w:tc>
        <w:tc>
          <w:tcPr>
            <w:tcW w:w="589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41F454">
            <w:pPr>
              <w:rPr>
                <w:rFonts w:ascii="宋体" w:hAnsi="宋体" w:cs="宋体"/>
                <w:color w:val="auto"/>
                <w:sz w:val="21"/>
                <w:szCs w:val="21"/>
                <w:highlight w:val="none"/>
              </w:rPr>
            </w:pPr>
            <w:r>
              <w:rPr>
                <w:rFonts w:hint="eastAsia" w:ascii="宋体" w:hAnsi="宋体" w:cs="宋体"/>
                <w:color w:val="auto"/>
                <w:sz w:val="21"/>
                <w:szCs w:val="21"/>
                <w:highlight w:val="none"/>
              </w:rPr>
              <w:t>临床医师分组</w:t>
            </w:r>
          </w:p>
        </w:tc>
      </w:tr>
      <w:tr w14:paraId="002C617E">
        <w:tblPrEx>
          <w:tblCellMar>
            <w:top w:w="0" w:type="dxa"/>
            <w:left w:w="108" w:type="dxa"/>
            <w:bottom w:w="0" w:type="dxa"/>
            <w:right w:w="108" w:type="dxa"/>
          </w:tblCellMar>
        </w:tblPrEx>
        <w:trPr>
          <w:trHeight w:val="476" w:hRule="atLeast"/>
        </w:trPr>
        <w:tc>
          <w:tcPr>
            <w:tcW w:w="106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A6105F">
            <w:pPr>
              <w:rPr>
                <w:rFonts w:ascii="宋体" w:hAnsi="宋体" w:cs="宋体"/>
                <w:color w:val="auto"/>
                <w:sz w:val="21"/>
                <w:szCs w:val="21"/>
                <w:highlight w:val="none"/>
              </w:rPr>
            </w:pPr>
          </w:p>
        </w:tc>
        <w:tc>
          <w:tcPr>
            <w:tcW w:w="2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5E2390">
            <w:pPr>
              <w:rPr>
                <w:rFonts w:ascii="宋体" w:hAnsi="宋体" w:cs="宋体"/>
                <w:color w:val="auto"/>
                <w:sz w:val="21"/>
                <w:szCs w:val="21"/>
                <w:highlight w:val="none"/>
              </w:rPr>
            </w:pPr>
          </w:p>
        </w:tc>
        <w:tc>
          <w:tcPr>
            <w:tcW w:w="589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2CF39C">
            <w:pPr>
              <w:rPr>
                <w:rFonts w:ascii="宋体" w:hAnsi="宋体" w:cs="宋体"/>
                <w:color w:val="auto"/>
                <w:sz w:val="21"/>
                <w:szCs w:val="21"/>
                <w:highlight w:val="none"/>
              </w:rPr>
            </w:pPr>
            <w:r>
              <w:rPr>
                <w:rFonts w:hint="eastAsia" w:ascii="宋体" w:hAnsi="宋体" w:cs="宋体"/>
                <w:color w:val="auto"/>
                <w:sz w:val="21"/>
                <w:szCs w:val="21"/>
                <w:highlight w:val="none"/>
              </w:rPr>
              <w:t>病历分级访问</w:t>
            </w:r>
          </w:p>
        </w:tc>
      </w:tr>
    </w:tbl>
    <w:p w14:paraId="554F1EDE">
      <w:pPr>
        <w:rPr>
          <w:rFonts w:hint="eastAsia" w:ascii="宋体" w:hAnsi="宋体" w:eastAsia="宋体" w:cs="宋体"/>
          <w:bCs/>
          <w:sz w:val="36"/>
          <w:szCs w:val="36"/>
          <w:highlight w:val="none"/>
        </w:rPr>
      </w:pPr>
      <w:r>
        <w:rPr>
          <w:rFonts w:hint="eastAsia" w:ascii="宋体" w:hAnsi="宋体" w:eastAsia="宋体" w:cs="宋体"/>
          <w:bCs/>
          <w:sz w:val="36"/>
          <w:szCs w:val="36"/>
          <w:highlight w:val="none"/>
        </w:rPr>
        <w:br w:type="page"/>
      </w:r>
    </w:p>
    <w:p w14:paraId="2CE8A317">
      <w:pPr>
        <w:pStyle w:val="3"/>
        <w:jc w:val="center"/>
        <w:outlineLvl w:val="0"/>
        <w:rPr>
          <w:rFonts w:hint="eastAsia" w:ascii="宋体" w:hAnsi="宋体" w:eastAsia="宋体" w:cs="宋体"/>
          <w:bCs/>
          <w:sz w:val="36"/>
          <w:szCs w:val="36"/>
          <w:highlight w:val="none"/>
        </w:rPr>
      </w:pPr>
      <w:bookmarkStart w:id="22" w:name="_Toc2497"/>
      <w:bookmarkStart w:id="23" w:name="_Toc22803"/>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20"/>
      <w:bookmarkEnd w:id="21"/>
      <w:bookmarkEnd w:id="22"/>
      <w:bookmarkEnd w:id="23"/>
    </w:p>
    <w:p w14:paraId="2A3152F8">
      <w:pPr>
        <w:tabs>
          <w:tab w:val="left" w:pos="210"/>
          <w:tab w:val="left" w:pos="525"/>
        </w:tabs>
        <w:spacing w:line="360" w:lineRule="auto"/>
        <w:jc w:val="center"/>
        <w:outlineLvl w:val="1"/>
        <w:rPr>
          <w:rFonts w:hint="eastAsia" w:ascii="宋体" w:hAnsi="宋体" w:eastAsia="宋体" w:cs="宋体"/>
          <w:sz w:val="32"/>
          <w:szCs w:val="32"/>
          <w:highlight w:val="none"/>
        </w:rPr>
      </w:pPr>
      <w:bookmarkStart w:id="24" w:name="_Toc32476"/>
      <w:bookmarkStart w:id="25" w:name="_Toc23705"/>
      <w:bookmarkStart w:id="26" w:name="_Toc3424"/>
      <w:r>
        <w:rPr>
          <w:rFonts w:hint="eastAsia" w:ascii="宋体" w:hAnsi="宋体" w:eastAsia="宋体" w:cs="宋体"/>
          <w:b/>
          <w:bCs/>
          <w:sz w:val="32"/>
          <w:szCs w:val="32"/>
          <w:highlight w:val="none"/>
        </w:rPr>
        <w:t>合同前附表</w:t>
      </w:r>
      <w:bookmarkEnd w:id="24"/>
      <w:bookmarkEnd w:id="25"/>
      <w:bookmarkEnd w:id="26"/>
    </w:p>
    <w:p w14:paraId="544DDC31">
      <w:pPr>
        <w:rPr>
          <w:rFonts w:hint="eastAsia" w:ascii="宋体" w:hAnsi="宋体" w:eastAsia="宋体" w:cs="宋体"/>
          <w:highlight w:val="none"/>
        </w:rPr>
      </w:pPr>
    </w:p>
    <w:p w14:paraId="25321590">
      <w:pPr>
        <w:rPr>
          <w:rFonts w:hint="eastAsia" w:ascii="宋体" w:hAnsi="宋体" w:eastAsia="宋体" w:cs="宋体"/>
          <w:sz w:val="24"/>
          <w:szCs w:val="24"/>
          <w:highlight w:val="none"/>
        </w:rPr>
      </w:pPr>
      <w:r>
        <w:rPr>
          <w:rFonts w:hint="eastAsia" w:ascii="宋体" w:hAnsi="宋体" w:eastAsia="宋体" w:cs="宋体"/>
          <w:sz w:val="24"/>
          <w:szCs w:val="24"/>
          <w:highlight w:val="none"/>
        </w:rPr>
        <w:t>本表是对合同条款的具体补充和修改，如有矛盾，应以本资料表为准。</w:t>
      </w:r>
    </w:p>
    <w:tbl>
      <w:tblPr>
        <w:tblStyle w:val="16"/>
        <w:tblW w:w="935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5BDAEB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noWrap w:val="0"/>
            <w:vAlign w:val="center"/>
          </w:tcPr>
          <w:p w14:paraId="6AF4C84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条款号</w:t>
            </w:r>
          </w:p>
        </w:tc>
        <w:tc>
          <w:tcPr>
            <w:tcW w:w="8181" w:type="dxa"/>
            <w:noWrap w:val="0"/>
            <w:vAlign w:val="center"/>
          </w:tcPr>
          <w:p w14:paraId="3E93A3F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      容</w:t>
            </w:r>
          </w:p>
        </w:tc>
      </w:tr>
      <w:tr w14:paraId="0BF39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noWrap w:val="0"/>
            <w:vAlign w:val="center"/>
          </w:tcPr>
          <w:p w14:paraId="1707304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81" w:type="dxa"/>
            <w:noWrap w:val="0"/>
            <w:vAlign w:val="center"/>
          </w:tcPr>
          <w:p w14:paraId="0FC1DBAB">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w:t>
            </w:r>
            <w:r>
              <w:rPr>
                <w:rFonts w:hint="eastAsia" w:ascii="宋体" w:hAnsi="宋体" w:cs="宋体"/>
                <w:color w:val="auto"/>
                <w:sz w:val="24"/>
                <w:szCs w:val="24"/>
                <w:highlight w:val="none"/>
                <w:lang w:eastAsia="zh-CN"/>
              </w:rPr>
              <w:t>长武县人民医院</w:t>
            </w:r>
          </w:p>
          <w:p w14:paraId="535C15F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w:t>
            </w:r>
            <w:r>
              <w:rPr>
                <w:rFonts w:hint="eastAsia" w:ascii="宋体" w:hAnsi="宋体" w:cs="宋体"/>
                <w:color w:val="auto"/>
                <w:sz w:val="24"/>
                <w:szCs w:val="24"/>
                <w:highlight w:val="none"/>
                <w:lang w:eastAsia="zh-CN"/>
              </w:rPr>
              <w:t>长武县昭仁大街中段</w:t>
            </w:r>
          </w:p>
          <w:p w14:paraId="7482654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信息化升级</w:t>
            </w:r>
          </w:p>
        </w:tc>
      </w:tr>
      <w:tr w14:paraId="4AC9B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noWrap w:val="0"/>
            <w:vAlign w:val="center"/>
          </w:tcPr>
          <w:p w14:paraId="48D7614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181" w:type="dxa"/>
            <w:noWrap w:val="0"/>
            <w:vAlign w:val="center"/>
          </w:tcPr>
          <w:p w14:paraId="2878A3EF">
            <w:pPr>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服务地点：：</w:t>
            </w:r>
            <w:r>
              <w:rPr>
                <w:rFonts w:hint="eastAsia" w:hAnsi="宋体" w:cs="宋体"/>
                <w:color w:val="auto"/>
                <w:sz w:val="24"/>
                <w:szCs w:val="24"/>
                <w:highlight w:val="none"/>
                <w:lang w:val="en-US" w:eastAsia="zh-CN"/>
              </w:rPr>
              <w:t>采购人指定地点</w:t>
            </w:r>
          </w:p>
        </w:tc>
      </w:tr>
      <w:tr w14:paraId="6D87E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1171" w:type="dxa"/>
            <w:noWrap w:val="0"/>
            <w:vAlign w:val="center"/>
          </w:tcPr>
          <w:p w14:paraId="0CB0C5B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181" w:type="dxa"/>
            <w:noWrap w:val="0"/>
            <w:vAlign w:val="center"/>
          </w:tcPr>
          <w:p w14:paraId="11C94BFD">
            <w:pPr>
              <w:spacing w:line="360" w:lineRule="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服务期（合同履行期）：60天</w:t>
            </w:r>
          </w:p>
        </w:tc>
      </w:tr>
      <w:tr w14:paraId="57AC8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2" w:hRule="atLeast"/>
        </w:trPr>
        <w:tc>
          <w:tcPr>
            <w:tcW w:w="1171" w:type="dxa"/>
            <w:noWrap w:val="0"/>
            <w:vAlign w:val="center"/>
          </w:tcPr>
          <w:p w14:paraId="6FB6D1D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81" w:type="dxa"/>
            <w:noWrap w:val="0"/>
            <w:vAlign w:val="center"/>
          </w:tcPr>
          <w:p w14:paraId="6EAD5173">
            <w:pPr>
              <w:spacing w:line="360" w:lineRule="auto"/>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付款</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合同签订后支付40%，系统调试平稳并通过验收后支付60%（具体以合同签订为准）</w:t>
            </w:r>
          </w:p>
          <w:p w14:paraId="2786D2D9">
            <w:pPr>
              <w:spacing w:line="360" w:lineRule="auto"/>
              <w:ind w:firstLine="480" w:firstLineChars="200"/>
              <w:rPr>
                <w:rFonts w:hint="eastAsia" w:hAnsi="宋体" w:eastAsia="宋体" w:cs="宋体"/>
                <w:sz w:val="24"/>
                <w:szCs w:val="24"/>
                <w:highlight w:val="none"/>
              </w:rPr>
            </w:pPr>
            <w:r>
              <w:rPr>
                <w:rFonts w:hint="eastAsia" w:ascii="宋体" w:hAnsi="宋体" w:eastAsia="宋体" w:cs="宋体"/>
                <w:b w:val="0"/>
                <w:bCs/>
                <w:sz w:val="24"/>
                <w:szCs w:val="24"/>
                <w:highlight w:val="none"/>
                <w:lang w:val="en-US" w:eastAsia="zh-CN"/>
              </w:rPr>
              <w:t>1、</w:t>
            </w:r>
            <w:r>
              <w:rPr>
                <w:rFonts w:hint="eastAsia" w:hAnsi="宋体" w:eastAsia="宋体" w:cs="宋体"/>
                <w:sz w:val="24"/>
                <w:szCs w:val="24"/>
                <w:highlight w:val="none"/>
              </w:rPr>
              <w:t>由需方按季度负责结算，在付款前，服务供应商需提供等额国家税务局开具的正规发票。</w:t>
            </w:r>
          </w:p>
          <w:p w14:paraId="138F1DDF">
            <w:pPr>
              <w:numPr>
                <w:ilvl w:val="0"/>
                <w:numId w:val="0"/>
              </w:numPr>
              <w:spacing w:line="360" w:lineRule="auto"/>
              <w:ind w:firstLine="480" w:firstLineChars="200"/>
              <w:rPr>
                <w:rFonts w:hint="eastAsia" w:hAnsi="宋体" w:eastAsia="宋体" w:cs="宋体"/>
                <w:sz w:val="24"/>
                <w:szCs w:val="24"/>
                <w:highlight w:val="none"/>
              </w:rPr>
            </w:pPr>
            <w:r>
              <w:rPr>
                <w:rFonts w:hint="eastAsia" w:hAnsi="宋体" w:eastAsia="宋体" w:cs="宋体"/>
                <w:sz w:val="24"/>
                <w:szCs w:val="24"/>
                <w:highlight w:val="none"/>
                <w:lang w:val="en-US" w:eastAsia="zh-CN"/>
              </w:rPr>
              <w:t>2.</w:t>
            </w:r>
            <w:r>
              <w:rPr>
                <w:rFonts w:hint="eastAsia" w:hAnsi="宋体" w:cs="宋体"/>
                <w:sz w:val="24"/>
                <w:szCs w:val="24"/>
                <w:highlight w:val="none"/>
                <w:lang w:val="en-US" w:eastAsia="zh-CN"/>
              </w:rPr>
              <w:t>付</w:t>
            </w:r>
            <w:r>
              <w:rPr>
                <w:rFonts w:hint="eastAsia" w:hAnsi="宋体" w:eastAsia="宋体" w:cs="宋体"/>
                <w:sz w:val="24"/>
                <w:szCs w:val="24"/>
                <w:highlight w:val="none"/>
              </w:rPr>
              <w:t>款方式和程序：</w:t>
            </w:r>
          </w:p>
          <w:p w14:paraId="7BD43FBC">
            <w:pPr>
              <w:spacing w:line="360" w:lineRule="auto"/>
              <w:ind w:firstLine="480" w:firstLineChars="200"/>
              <w:rPr>
                <w:rFonts w:hint="eastAsia" w:hAnsi="宋体" w:eastAsia="宋体" w:cs="宋体"/>
                <w:spacing w:val="13"/>
                <w:w w:val="101"/>
                <w:sz w:val="28"/>
                <w:szCs w:val="28"/>
                <w:highlight w:val="none"/>
                <w:lang w:val="en-US" w:eastAsia="zh-CN"/>
              </w:rPr>
            </w:pPr>
            <w:r>
              <w:rPr>
                <w:rFonts w:hint="eastAsia" w:hAnsi="宋体" w:eastAsia="宋体" w:cs="宋体"/>
                <w:sz w:val="24"/>
                <w:szCs w:val="24"/>
                <w:highlight w:val="none"/>
              </w:rPr>
              <w:t>2.1由采购人负责结算，在付款前，供应商必须开具全额发票给采购人（附详细清单）。</w:t>
            </w:r>
          </w:p>
          <w:p w14:paraId="0A8EC8A9">
            <w:pPr>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2.</w:t>
            </w:r>
            <w:r>
              <w:rPr>
                <w:rFonts w:hint="eastAsia" w:ascii="宋体" w:hAnsi="宋体" w:cs="宋体"/>
                <w:b/>
                <w:sz w:val="24"/>
                <w:szCs w:val="24"/>
                <w:highlight w:val="none"/>
                <w:lang w:val="en-US" w:eastAsia="zh-CN"/>
              </w:rPr>
              <w:t>2</w:t>
            </w:r>
            <w:r>
              <w:rPr>
                <w:rFonts w:hint="eastAsia" w:ascii="宋体" w:hAnsi="宋体" w:eastAsia="宋体" w:cs="宋体"/>
                <w:b/>
                <w:sz w:val="24"/>
                <w:szCs w:val="24"/>
                <w:highlight w:val="none"/>
              </w:rPr>
              <w:t>支付方式：银行转账</w:t>
            </w:r>
          </w:p>
        </w:tc>
      </w:tr>
      <w:tr w14:paraId="3FF7F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1247F95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181" w:type="dxa"/>
            <w:noWrap w:val="0"/>
            <w:vAlign w:val="center"/>
          </w:tcPr>
          <w:p w14:paraId="3802CC62">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服务支持：</w:t>
            </w:r>
          </w:p>
          <w:p w14:paraId="1082AA99">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bCs/>
                <w:sz w:val="24"/>
                <w:szCs w:val="24"/>
                <w:highlight w:val="none"/>
              </w:rPr>
              <w:t>供应商在项目实施过程中，质量保障人员、资源不足或者执行不力，给项目质量带来的风险超出采购人认定的允许范围时，采购人可终止本项目的合作并进行索赔。</w:t>
            </w:r>
          </w:p>
        </w:tc>
      </w:tr>
      <w:tr w14:paraId="42BA1E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612FA670">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p>
        </w:tc>
        <w:tc>
          <w:tcPr>
            <w:tcW w:w="8181" w:type="dxa"/>
            <w:noWrap w:val="0"/>
            <w:vAlign w:val="center"/>
          </w:tcPr>
          <w:p w14:paraId="7967992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违约责任：</w:t>
            </w:r>
          </w:p>
          <w:p w14:paraId="12A19B20">
            <w:pPr>
              <w:tabs>
                <w:tab w:val="left" w:pos="152"/>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w:t>
            </w:r>
            <w:r>
              <w:rPr>
                <w:rFonts w:hint="eastAsia" w:hAnsi="宋体" w:cs="宋体"/>
                <w:sz w:val="24"/>
                <w:szCs w:val="24"/>
                <w:highlight w:val="none"/>
                <w:lang w:eastAsia="zh-CN"/>
              </w:rPr>
              <w:t>中华人民共和国民法典</w:t>
            </w:r>
            <w:r>
              <w:rPr>
                <w:rFonts w:hint="eastAsia" w:ascii="宋体" w:hAnsi="宋体" w:eastAsia="宋体" w:cs="宋体"/>
                <w:sz w:val="24"/>
                <w:szCs w:val="24"/>
                <w:highlight w:val="none"/>
              </w:rPr>
              <w:t>》中的相关条款执行。</w:t>
            </w:r>
          </w:p>
          <w:p w14:paraId="193555A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 w:val="24"/>
                <w:szCs w:val="24"/>
                <w:highlight w:val="none"/>
                <w:lang w:eastAsia="zh-CN"/>
              </w:rPr>
              <w:t>中华人民共和国民法典</w:t>
            </w:r>
            <w:r>
              <w:rPr>
                <w:rFonts w:hint="eastAsia" w:ascii="宋体" w:hAnsi="宋体" w:eastAsia="宋体" w:cs="宋体"/>
                <w:sz w:val="24"/>
                <w:szCs w:val="24"/>
                <w:highlight w:val="none"/>
              </w:rPr>
              <w:t>》有关条款及合同约定终止合同，并要求服务商承担违约责任。同时，政府采购监管部门有权依据《政府采购法》及相关法律法规对服务商的违法行为进行相应的处罚。</w:t>
            </w:r>
          </w:p>
        </w:tc>
      </w:tr>
      <w:tr w14:paraId="1582EE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14:paraId="6C71E5FE">
            <w:pPr>
              <w:spacing w:line="360" w:lineRule="auto"/>
              <w:jc w:val="center"/>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7</w:t>
            </w:r>
          </w:p>
        </w:tc>
        <w:tc>
          <w:tcPr>
            <w:tcW w:w="8181" w:type="dxa"/>
            <w:noWrap w:val="0"/>
            <w:vAlign w:val="center"/>
          </w:tcPr>
          <w:p w14:paraId="2033A914">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政府采购合同：</w:t>
            </w:r>
          </w:p>
          <w:p w14:paraId="0E2BA36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政府采购合同适用</w:t>
            </w:r>
            <w:r>
              <w:rPr>
                <w:rFonts w:hint="eastAsia" w:hAnsi="宋体" w:cs="宋体"/>
                <w:sz w:val="24"/>
                <w:szCs w:val="24"/>
                <w:highlight w:val="none"/>
                <w:lang w:eastAsia="zh-CN"/>
              </w:rPr>
              <w:t>中华人民共和国民法典</w:t>
            </w:r>
            <w:r>
              <w:rPr>
                <w:rFonts w:hint="eastAsia" w:ascii="宋体" w:hAnsi="宋体" w:eastAsia="宋体" w:cs="宋体"/>
                <w:sz w:val="24"/>
                <w:szCs w:val="24"/>
                <w:highlight w:val="none"/>
              </w:rPr>
              <w:t>。采购人和供应商之间的权利和义务，应当按照平等、自愿的原则以合同方式约定。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采购人与中标、成交供应商应当在中标、成交通知书发出之日起三十日内，按照采购文件确定的事项签订政府采购合同。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5110171A">
            <w:pPr>
              <w:pStyle w:val="9"/>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2F29644C">
      <w:pPr>
        <w:rPr>
          <w:rFonts w:hint="eastAsia" w:ascii="宋体" w:hAnsi="宋体" w:eastAsia="宋体" w:cs="宋体"/>
          <w:sz w:val="32"/>
          <w:highlight w:val="none"/>
        </w:rPr>
      </w:pPr>
      <w:r>
        <w:rPr>
          <w:rFonts w:hint="eastAsia" w:ascii="宋体" w:hAnsi="宋体" w:eastAsia="宋体" w:cs="宋体"/>
          <w:b/>
          <w:bCs/>
          <w:sz w:val="48"/>
          <w:szCs w:val="48"/>
          <w:highlight w:val="none"/>
        </w:rPr>
        <w:br w:type="page"/>
      </w:r>
    </w:p>
    <w:p w14:paraId="0904742E">
      <w:pPr>
        <w:outlineLvl w:val="1"/>
        <w:rPr>
          <w:rFonts w:hint="eastAsia" w:ascii="宋体" w:hAnsi="宋体" w:eastAsia="宋体" w:cs="宋体"/>
          <w:b/>
          <w:sz w:val="32"/>
          <w:szCs w:val="32"/>
          <w:highlight w:val="none"/>
        </w:rPr>
      </w:pPr>
      <w:bookmarkStart w:id="27" w:name="_Toc7874"/>
      <w:bookmarkStart w:id="28" w:name="_Toc5216"/>
      <w:bookmarkStart w:id="29" w:name="_Toc1362"/>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仅供参考）</w:t>
      </w:r>
      <w:bookmarkEnd w:id="27"/>
      <w:bookmarkEnd w:id="28"/>
      <w:bookmarkEnd w:id="29"/>
      <w:r>
        <w:rPr>
          <w:rFonts w:hint="eastAsia" w:ascii="宋体" w:hAnsi="宋体" w:eastAsia="宋体" w:cs="宋体"/>
          <w:b/>
          <w:sz w:val="32"/>
          <w:szCs w:val="32"/>
          <w:highlight w:val="none"/>
        </w:rPr>
        <w:t xml:space="preserve">                  </w:t>
      </w:r>
    </w:p>
    <w:p w14:paraId="2DE1172A">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14:paraId="07A3CDCC">
      <w:pPr>
        <w:jc w:val="center"/>
        <w:rPr>
          <w:rFonts w:hint="eastAsia" w:ascii="宋体" w:hAnsi="宋体" w:eastAsia="宋体" w:cs="宋体"/>
          <w:sz w:val="52"/>
          <w:szCs w:val="52"/>
          <w:highlight w:val="none"/>
        </w:rPr>
      </w:pPr>
    </w:p>
    <w:p w14:paraId="2768D9B6">
      <w:pPr>
        <w:jc w:val="center"/>
        <w:rPr>
          <w:rFonts w:hint="eastAsia" w:ascii="宋体" w:hAnsi="宋体" w:eastAsia="宋体" w:cs="宋体"/>
          <w:sz w:val="52"/>
          <w:szCs w:val="52"/>
          <w:highlight w:val="none"/>
        </w:rPr>
      </w:pPr>
    </w:p>
    <w:p w14:paraId="4F93C2BB">
      <w:pPr>
        <w:jc w:val="center"/>
        <w:outlineLvl w:val="9"/>
        <w:rPr>
          <w:rFonts w:hint="eastAsia" w:ascii="宋体" w:hAnsi="宋体" w:eastAsia="宋体" w:cs="宋体"/>
          <w:b/>
          <w:snapToGrid w:val="0"/>
          <w:sz w:val="48"/>
          <w:szCs w:val="48"/>
          <w:highlight w:val="none"/>
          <w:u w:val="single"/>
        </w:rPr>
      </w:pPr>
      <w:r>
        <w:rPr>
          <w:rFonts w:hint="eastAsia" w:ascii="宋体" w:hAnsi="宋体" w:eastAsia="宋体" w:cs="宋体"/>
          <w:b/>
          <w:snapToGrid w:val="0"/>
          <w:sz w:val="48"/>
          <w:szCs w:val="48"/>
          <w:highlight w:val="none"/>
          <w:u w:val="single"/>
        </w:rPr>
        <w:t>(项目名称)</w:t>
      </w:r>
    </w:p>
    <w:p w14:paraId="4706C89A">
      <w:pPr>
        <w:jc w:val="center"/>
        <w:outlineLvl w:val="9"/>
        <w:rPr>
          <w:rFonts w:hint="eastAsia" w:ascii="宋体" w:hAnsi="宋体" w:eastAsia="宋体" w:cs="宋体"/>
          <w:b/>
          <w:sz w:val="72"/>
          <w:szCs w:val="72"/>
          <w:highlight w:val="none"/>
        </w:rPr>
      </w:pPr>
      <w:r>
        <w:rPr>
          <w:rFonts w:hint="eastAsia" w:ascii="宋体" w:hAnsi="宋体" w:eastAsia="宋体" w:cs="宋体"/>
          <w:b/>
          <w:sz w:val="72"/>
          <w:szCs w:val="72"/>
          <w:highlight w:val="none"/>
        </w:rPr>
        <w:t>服 务 合 同</w:t>
      </w:r>
    </w:p>
    <w:p w14:paraId="0A401B84">
      <w:pPr>
        <w:jc w:val="center"/>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（项目编号：      </w:t>
      </w:r>
      <w:r>
        <w:rPr>
          <w:rFonts w:hint="eastAsia" w:ascii="宋体" w:hAnsi="宋体" w:eastAsia="宋体" w:cs="宋体"/>
          <w:sz w:val="28"/>
          <w:szCs w:val="28"/>
          <w:highlight w:val="none"/>
        </w:rPr>
        <w:t>）</w:t>
      </w:r>
    </w:p>
    <w:p w14:paraId="0235F6DC">
      <w:pPr>
        <w:jc w:val="center"/>
        <w:rPr>
          <w:rFonts w:hint="eastAsia" w:ascii="宋体" w:hAnsi="宋体" w:eastAsia="宋体" w:cs="宋体"/>
          <w:sz w:val="30"/>
          <w:szCs w:val="30"/>
          <w:highlight w:val="none"/>
        </w:rPr>
      </w:pPr>
    </w:p>
    <w:p w14:paraId="6E69F1D3">
      <w:pPr>
        <w:jc w:val="center"/>
        <w:rPr>
          <w:rFonts w:hint="eastAsia" w:ascii="宋体" w:hAnsi="宋体" w:eastAsia="宋体" w:cs="宋体"/>
          <w:sz w:val="30"/>
          <w:szCs w:val="30"/>
          <w:highlight w:val="none"/>
        </w:rPr>
      </w:pPr>
    </w:p>
    <w:p w14:paraId="73AD41D4">
      <w:pPr>
        <w:jc w:val="center"/>
        <w:rPr>
          <w:rFonts w:hint="eastAsia" w:ascii="宋体" w:hAnsi="宋体" w:eastAsia="宋体" w:cs="宋体"/>
          <w:sz w:val="30"/>
          <w:szCs w:val="30"/>
          <w:highlight w:val="none"/>
        </w:rPr>
      </w:pPr>
    </w:p>
    <w:p w14:paraId="5A5F1D5F">
      <w:pPr>
        <w:jc w:val="center"/>
        <w:rPr>
          <w:rFonts w:hint="eastAsia" w:ascii="宋体" w:hAnsi="宋体" w:eastAsia="宋体" w:cs="宋体"/>
          <w:sz w:val="30"/>
          <w:szCs w:val="30"/>
          <w:highlight w:val="none"/>
        </w:rPr>
      </w:pPr>
    </w:p>
    <w:p w14:paraId="009A7D2C">
      <w:pPr>
        <w:jc w:val="center"/>
        <w:rPr>
          <w:rFonts w:hint="eastAsia" w:ascii="宋体" w:hAnsi="宋体" w:eastAsia="宋体" w:cs="宋体"/>
          <w:sz w:val="30"/>
          <w:szCs w:val="30"/>
          <w:highlight w:val="none"/>
        </w:rPr>
      </w:pPr>
    </w:p>
    <w:p w14:paraId="18A30E6D">
      <w:pPr>
        <w:ind w:firstLine="2080" w:firstLineChars="65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14:paraId="1AA5A808">
      <w:pPr>
        <w:tabs>
          <w:tab w:val="left" w:pos="480"/>
        </w:tabs>
        <w:ind w:firstLine="640" w:firstLineChars="20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w:t>
      </w:r>
    </w:p>
    <w:p w14:paraId="28500E02">
      <w:pPr>
        <w:jc w:val="center"/>
        <w:rPr>
          <w:rFonts w:hint="eastAsia" w:ascii="宋体" w:hAnsi="宋体" w:eastAsia="宋体" w:cs="宋体"/>
          <w:sz w:val="30"/>
          <w:szCs w:val="30"/>
          <w:highlight w:val="none"/>
        </w:rPr>
      </w:pPr>
    </w:p>
    <w:p w14:paraId="4E2DBC75">
      <w:pPr>
        <w:jc w:val="center"/>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w:t>
      </w:r>
    </w:p>
    <w:p w14:paraId="01022EA5">
      <w:pPr>
        <w:jc w:val="center"/>
        <w:rPr>
          <w:rFonts w:hint="eastAsia" w:ascii="宋体" w:hAnsi="宋体" w:eastAsia="宋体" w:cs="宋体"/>
          <w:sz w:val="32"/>
          <w:szCs w:val="32"/>
          <w:highlight w:val="none"/>
        </w:rPr>
      </w:pPr>
    </w:p>
    <w:p w14:paraId="0C38DCCF">
      <w:pPr>
        <w:spacing w:line="590" w:lineRule="exact"/>
        <w:rPr>
          <w:rFonts w:hint="eastAsia" w:ascii="宋体" w:hAnsi="宋体" w:eastAsia="宋体" w:cs="宋体"/>
          <w:b/>
          <w:sz w:val="36"/>
          <w:szCs w:val="36"/>
          <w:highlight w:val="none"/>
        </w:rPr>
      </w:pPr>
    </w:p>
    <w:p w14:paraId="618A079D">
      <w:pPr>
        <w:jc w:val="center"/>
        <w:outlineLvl w:val="2"/>
        <w:rPr>
          <w:rFonts w:ascii="黑体"/>
          <w:b/>
          <w:sz w:val="36"/>
          <w:szCs w:val="36"/>
          <w:highlight w:val="none"/>
        </w:rPr>
      </w:pPr>
      <w:r>
        <w:rPr>
          <w:rFonts w:hint="eastAsia" w:ascii="宋体" w:hAnsi="宋体" w:eastAsia="宋体" w:cs="宋体"/>
          <w:b/>
          <w:szCs w:val="21"/>
          <w:highlight w:val="none"/>
        </w:rPr>
        <w:br w:type="page"/>
      </w:r>
      <w:bookmarkStart w:id="30" w:name="_Toc28398"/>
      <w:r>
        <w:rPr>
          <w:rFonts w:hint="eastAsia" w:ascii="黑体" w:eastAsia="黑体"/>
          <w:b/>
          <w:sz w:val="36"/>
          <w:szCs w:val="36"/>
          <w:highlight w:val="none"/>
        </w:rPr>
        <w:t>合 同 书</w:t>
      </w:r>
      <w:bookmarkEnd w:id="30"/>
    </w:p>
    <w:p w14:paraId="2D532F59">
      <w:pPr>
        <w:spacing w:line="360" w:lineRule="auto"/>
        <w:rPr>
          <w:rFonts w:hAnsi="宋体" w:cs="宋体"/>
          <w:sz w:val="24"/>
          <w:szCs w:val="24"/>
          <w:highlight w:val="none"/>
          <w:u w:val="single"/>
        </w:rPr>
      </w:pPr>
      <w:r>
        <w:rPr>
          <w:rFonts w:hint="eastAsia" w:hAnsi="宋体" w:cs="宋体"/>
          <w:sz w:val="24"/>
          <w:szCs w:val="24"/>
          <w:highlight w:val="none"/>
        </w:rPr>
        <w:t>甲方：</w:t>
      </w:r>
      <w:r>
        <w:rPr>
          <w:rFonts w:hint="eastAsia" w:hAnsi="宋体" w:cs="宋体"/>
          <w:sz w:val="24"/>
          <w:szCs w:val="24"/>
          <w:highlight w:val="none"/>
          <w:u w:val="single"/>
        </w:rPr>
        <w:t xml:space="preserve">             </w:t>
      </w:r>
    </w:p>
    <w:p w14:paraId="0EC43050">
      <w:pPr>
        <w:spacing w:line="360" w:lineRule="auto"/>
        <w:rPr>
          <w:rFonts w:hAnsi="宋体" w:cs="宋体"/>
          <w:sz w:val="24"/>
          <w:szCs w:val="24"/>
          <w:highlight w:val="none"/>
          <w:u w:val="single"/>
        </w:rPr>
      </w:pPr>
      <w:r>
        <w:rPr>
          <w:rFonts w:hint="eastAsia" w:hAnsi="宋体" w:cs="宋体"/>
          <w:sz w:val="24"/>
          <w:szCs w:val="24"/>
          <w:highlight w:val="none"/>
        </w:rPr>
        <w:t>乙方：</w:t>
      </w:r>
      <w:r>
        <w:rPr>
          <w:rFonts w:hint="eastAsia" w:hAnsi="宋体" w:cs="宋体"/>
          <w:sz w:val="24"/>
          <w:szCs w:val="24"/>
          <w:highlight w:val="none"/>
          <w:u w:val="single"/>
        </w:rPr>
        <w:t xml:space="preserve">             </w:t>
      </w:r>
    </w:p>
    <w:p w14:paraId="37E81E00">
      <w:pPr>
        <w:spacing w:line="360" w:lineRule="auto"/>
        <w:ind w:firstLine="480" w:firstLineChars="200"/>
        <w:rPr>
          <w:rFonts w:hAnsi="宋体" w:cs="宋体"/>
          <w:sz w:val="24"/>
          <w:szCs w:val="24"/>
          <w:highlight w:val="none"/>
        </w:rPr>
      </w:pPr>
      <w:r>
        <w:rPr>
          <w:rFonts w:hint="eastAsia" w:hAnsi="宋体" w:cs="宋体"/>
          <w:sz w:val="24"/>
          <w:szCs w:val="24"/>
          <w:highlight w:val="none"/>
        </w:rPr>
        <w:t>根据《中华人民共和国民法典》、《中华人民共和国政府采购法》与项目行业有关的法律法规，以及本项目（</w:t>
      </w:r>
      <w:r>
        <w:rPr>
          <w:rFonts w:hint="eastAsia" w:hAnsi="宋体" w:cs="宋体"/>
          <w:sz w:val="24"/>
          <w:szCs w:val="24"/>
          <w:highlight w:val="none"/>
          <w:lang w:eastAsia="zh-CN"/>
        </w:rPr>
        <w:t>信息化升级</w:t>
      </w:r>
      <w:r>
        <w:rPr>
          <w:rFonts w:hint="eastAsia" w:hAnsi="宋体" w:cs="宋体"/>
          <w:sz w:val="24"/>
          <w:szCs w:val="24"/>
          <w:highlight w:val="none"/>
        </w:rPr>
        <w:t>）相关采购要求的规定，合同双方就乙方向采购方提供</w:t>
      </w:r>
      <w:r>
        <w:rPr>
          <w:rFonts w:hint="eastAsia" w:hAnsi="宋体" w:cs="宋体"/>
          <w:sz w:val="24"/>
          <w:szCs w:val="24"/>
          <w:highlight w:val="none"/>
          <w:lang w:eastAsia="zh-CN"/>
        </w:rPr>
        <w:t>信息化升级</w:t>
      </w:r>
      <w:r>
        <w:rPr>
          <w:rFonts w:hint="eastAsia" w:hAnsi="宋体" w:cs="宋体"/>
          <w:sz w:val="24"/>
          <w:szCs w:val="24"/>
          <w:highlight w:val="none"/>
        </w:rPr>
        <w:t>协商达成一致，确立本合同。</w:t>
      </w:r>
    </w:p>
    <w:p w14:paraId="0ECBC3E3">
      <w:pPr>
        <w:numPr>
          <w:ilvl w:val="0"/>
          <w:numId w:val="0"/>
        </w:numPr>
        <w:tabs>
          <w:tab w:val="left" w:pos="480"/>
        </w:tabs>
        <w:spacing w:line="360" w:lineRule="auto"/>
        <w:rPr>
          <w:rFonts w:hint="eastAsia" w:hAnsi="宋体" w:cs="宋体"/>
          <w:b/>
          <w:bCs/>
          <w:sz w:val="24"/>
          <w:szCs w:val="24"/>
          <w:highlight w:val="none"/>
        </w:rPr>
      </w:pPr>
      <w:r>
        <w:rPr>
          <w:rFonts w:hint="eastAsia" w:hAnsi="宋体" w:cs="宋体"/>
          <w:b/>
          <w:bCs/>
          <w:sz w:val="24"/>
          <w:szCs w:val="24"/>
          <w:highlight w:val="none"/>
        </w:rPr>
        <w:t>一、项目基本情况</w:t>
      </w:r>
    </w:p>
    <w:p w14:paraId="7AD1C193">
      <w:pPr>
        <w:numPr>
          <w:ilvl w:val="0"/>
          <w:numId w:val="0"/>
        </w:numPr>
        <w:tabs>
          <w:tab w:val="left" w:pos="480"/>
        </w:tabs>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1、项目名称：</w:t>
      </w:r>
      <w:r>
        <w:rPr>
          <w:rFonts w:hint="eastAsia" w:hAnsi="宋体" w:cs="宋体"/>
          <w:sz w:val="24"/>
          <w:szCs w:val="24"/>
          <w:highlight w:val="none"/>
          <w:lang w:eastAsia="zh-CN"/>
        </w:rPr>
        <w:t>信息化升级</w:t>
      </w:r>
    </w:p>
    <w:p w14:paraId="61323919">
      <w:pPr>
        <w:numPr>
          <w:ilvl w:val="0"/>
          <w:numId w:val="0"/>
        </w:numPr>
        <w:tabs>
          <w:tab w:val="left" w:pos="480"/>
        </w:tabs>
        <w:spacing w:line="360" w:lineRule="auto"/>
        <w:ind w:firstLine="480" w:firstLineChars="200"/>
        <w:rPr>
          <w:rFonts w:hint="default" w:hAnsi="宋体" w:cs="宋体"/>
          <w:sz w:val="24"/>
          <w:szCs w:val="24"/>
          <w:highlight w:val="none"/>
          <w:lang w:val="en-US" w:eastAsia="zh-CN"/>
        </w:rPr>
      </w:pPr>
      <w:r>
        <w:rPr>
          <w:rFonts w:hint="eastAsia" w:hAnsi="宋体" w:cs="宋体"/>
          <w:sz w:val="24"/>
          <w:szCs w:val="24"/>
          <w:highlight w:val="none"/>
        </w:rPr>
        <w:t>2、</w:t>
      </w:r>
      <w:r>
        <w:rPr>
          <w:rFonts w:hint="eastAsia" w:hAnsi="宋体" w:cs="宋体"/>
          <w:sz w:val="24"/>
          <w:szCs w:val="24"/>
          <w:highlight w:val="none"/>
        </w:rPr>
        <w:t>服务地点：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rPr>
        <w:t>。</w:t>
      </w:r>
    </w:p>
    <w:p w14:paraId="59529C0A">
      <w:pPr>
        <w:numPr>
          <w:ilvl w:val="0"/>
          <w:numId w:val="0"/>
        </w:numPr>
        <w:tabs>
          <w:tab w:val="left" w:pos="480"/>
        </w:tabs>
        <w:spacing w:line="360" w:lineRule="auto"/>
        <w:ind w:firstLine="480" w:firstLineChars="200"/>
        <w:rPr>
          <w:rFonts w:hint="default" w:hAnsi="宋体" w:cs="宋体"/>
          <w:sz w:val="24"/>
          <w:szCs w:val="24"/>
          <w:highlight w:val="none"/>
          <w:lang w:val="en-US" w:eastAsia="zh-CN"/>
        </w:rPr>
      </w:pPr>
      <w:r>
        <w:rPr>
          <w:rFonts w:hint="eastAsia" w:hAnsi="宋体" w:cs="宋体"/>
          <w:sz w:val="24"/>
          <w:szCs w:val="24"/>
          <w:highlight w:val="none"/>
        </w:rPr>
        <w:t>3、</w:t>
      </w:r>
      <w:r>
        <w:rPr>
          <w:rFonts w:hint="default" w:ascii="宋体" w:hAnsi="宋体" w:eastAsia="宋体" w:cs="宋体"/>
          <w:color w:val="auto"/>
          <w:sz w:val="24"/>
          <w:szCs w:val="24"/>
          <w:highlight w:val="none"/>
          <w:lang w:val="en-US" w:eastAsia="zh-CN"/>
        </w:rPr>
        <w:t>服务期（合同履行期）：60天</w:t>
      </w:r>
    </w:p>
    <w:p w14:paraId="237FC184">
      <w:pPr>
        <w:tabs>
          <w:tab w:val="left" w:pos="480"/>
        </w:tabs>
        <w:spacing w:line="360" w:lineRule="auto"/>
        <w:outlineLvl w:val="1"/>
        <w:rPr>
          <w:rFonts w:hAnsi="宋体" w:cs="宋体"/>
          <w:b/>
          <w:sz w:val="24"/>
          <w:szCs w:val="24"/>
          <w:highlight w:val="none"/>
        </w:rPr>
      </w:pPr>
      <w:bookmarkStart w:id="31" w:name="_Toc12558"/>
      <w:bookmarkStart w:id="32" w:name="_Toc21314"/>
      <w:r>
        <w:rPr>
          <w:rFonts w:hint="eastAsia" w:hAnsi="宋体" w:cs="宋体"/>
          <w:b/>
          <w:sz w:val="24"/>
          <w:szCs w:val="24"/>
          <w:highlight w:val="none"/>
          <w:lang w:val="en-US" w:eastAsia="zh-CN"/>
        </w:rPr>
        <w:t>二</w:t>
      </w:r>
      <w:r>
        <w:rPr>
          <w:rFonts w:hint="eastAsia" w:hAnsi="宋体" w:cs="宋体"/>
          <w:b/>
          <w:sz w:val="24"/>
          <w:szCs w:val="24"/>
          <w:highlight w:val="none"/>
        </w:rPr>
        <w:t>、技术与服务</w:t>
      </w:r>
      <w:bookmarkEnd w:id="31"/>
      <w:bookmarkEnd w:id="32"/>
    </w:p>
    <w:p w14:paraId="46F61C43">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（一）技术资料：</w:t>
      </w:r>
    </w:p>
    <w:p w14:paraId="5EDB6C7B">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技术资料：成交供应商应随同服务提供相应的中文技术文件。</w:t>
      </w:r>
    </w:p>
    <w:p w14:paraId="05AD79C5">
      <w:pPr>
        <w:numPr>
          <w:ilvl w:val="0"/>
          <w:numId w:val="4"/>
        </w:numPr>
        <w:tabs>
          <w:tab w:val="left" w:pos="480"/>
        </w:tabs>
        <w:spacing w:line="360" w:lineRule="auto"/>
        <w:ind w:firstLine="480" w:firstLineChars="200"/>
        <w:rPr>
          <w:rFonts w:hint="eastAsia" w:hAnsi="宋体" w:cs="宋体"/>
          <w:sz w:val="24"/>
          <w:szCs w:val="24"/>
          <w:highlight w:val="none"/>
        </w:rPr>
      </w:pPr>
      <w:r>
        <w:rPr>
          <w:rFonts w:hint="eastAsia" w:hAnsi="宋体" w:cs="宋体"/>
          <w:sz w:val="24"/>
          <w:szCs w:val="24"/>
          <w:highlight w:val="none"/>
        </w:rPr>
        <w:t>服务承诺：以</w:t>
      </w:r>
      <w:r>
        <w:rPr>
          <w:rFonts w:hint="eastAsia" w:hAnsi="宋体" w:cs="宋体"/>
          <w:sz w:val="24"/>
          <w:szCs w:val="24"/>
          <w:highlight w:val="none"/>
          <w:lang w:eastAsia="zh-CN"/>
        </w:rPr>
        <w:t>单一来源谈判</w:t>
      </w:r>
      <w:r>
        <w:rPr>
          <w:rFonts w:hint="eastAsia" w:hAnsi="宋体" w:cs="宋体"/>
          <w:sz w:val="24"/>
          <w:szCs w:val="24"/>
          <w:highlight w:val="none"/>
        </w:rPr>
        <w:t>响应文件、澄清表（函）、合同和随货物的相关文件为准。</w:t>
      </w:r>
    </w:p>
    <w:p w14:paraId="6C5B2A92">
      <w:pPr>
        <w:numPr>
          <w:ilvl w:val="0"/>
          <w:numId w:val="0"/>
        </w:numPr>
        <w:tabs>
          <w:tab w:val="left" w:pos="480"/>
        </w:tabs>
        <w:spacing w:line="360" w:lineRule="auto"/>
        <w:rPr>
          <w:rFonts w:hint="eastAsia" w:hAnsi="宋体" w:cs="宋体"/>
          <w:b/>
          <w:bCs/>
          <w:sz w:val="24"/>
          <w:szCs w:val="24"/>
          <w:highlight w:val="none"/>
        </w:rPr>
      </w:pPr>
      <w:r>
        <w:rPr>
          <w:rFonts w:hint="eastAsia" w:hAnsi="宋体" w:cs="宋体"/>
          <w:b/>
          <w:bCs/>
          <w:sz w:val="24"/>
          <w:szCs w:val="24"/>
          <w:highlight w:val="none"/>
          <w:lang w:val="en-US" w:eastAsia="zh-CN"/>
        </w:rPr>
        <w:t>三</w:t>
      </w:r>
      <w:r>
        <w:rPr>
          <w:rFonts w:hint="eastAsia" w:hAnsi="宋体" w:cs="宋体"/>
          <w:b/>
          <w:bCs/>
          <w:sz w:val="24"/>
          <w:szCs w:val="24"/>
          <w:highlight w:val="none"/>
        </w:rPr>
        <w:t>、甲方的权利和义务</w:t>
      </w:r>
      <w:r>
        <w:rPr>
          <w:rFonts w:hint="eastAsia" w:hAnsi="宋体" w:cs="宋体"/>
          <w:b/>
          <w:bCs/>
          <w:sz w:val="24"/>
          <w:szCs w:val="24"/>
          <w:highlight w:val="none"/>
          <w:u w:val="single"/>
          <w:lang w:val="en-US" w:eastAsia="zh-CN"/>
        </w:rPr>
        <w:t xml:space="preserve">   以合同签订为准，甲乙双方自行约定     </w:t>
      </w:r>
    </w:p>
    <w:p w14:paraId="68B5F76C">
      <w:pPr>
        <w:tabs>
          <w:tab w:val="left" w:pos="480"/>
        </w:tabs>
        <w:spacing w:line="360" w:lineRule="auto"/>
        <w:outlineLvl w:val="1"/>
        <w:rPr>
          <w:rFonts w:hAnsi="宋体" w:cs="宋体"/>
          <w:b/>
          <w:sz w:val="24"/>
          <w:szCs w:val="24"/>
          <w:highlight w:val="none"/>
        </w:rPr>
      </w:pPr>
      <w:bookmarkStart w:id="33" w:name="_Toc12975"/>
      <w:bookmarkStart w:id="34" w:name="_Toc22161"/>
      <w:r>
        <w:rPr>
          <w:rFonts w:hint="eastAsia" w:hAnsi="宋体" w:cs="宋体"/>
          <w:b/>
          <w:sz w:val="24"/>
          <w:szCs w:val="24"/>
          <w:highlight w:val="none"/>
          <w:lang w:val="en-US" w:eastAsia="zh-CN"/>
        </w:rPr>
        <w:t>四</w:t>
      </w:r>
      <w:r>
        <w:rPr>
          <w:rFonts w:hint="eastAsia" w:hAnsi="宋体" w:cs="宋体"/>
          <w:b/>
          <w:sz w:val="24"/>
          <w:szCs w:val="24"/>
          <w:highlight w:val="none"/>
        </w:rPr>
        <w:t>、验收</w:t>
      </w:r>
      <w:bookmarkEnd w:id="33"/>
      <w:bookmarkEnd w:id="34"/>
    </w:p>
    <w:p w14:paraId="5EFA737C">
      <w:pPr>
        <w:spacing w:line="360" w:lineRule="auto"/>
        <w:ind w:firstLine="480" w:firstLineChars="200"/>
        <w:rPr>
          <w:sz w:val="24"/>
          <w:szCs w:val="24"/>
          <w:highlight w:val="none"/>
        </w:rPr>
      </w:pPr>
      <w:r>
        <w:rPr>
          <w:rFonts w:hint="eastAsia"/>
          <w:sz w:val="24"/>
          <w:szCs w:val="24"/>
          <w:highlight w:val="none"/>
        </w:rPr>
        <w:t>1、所验服务最终验收达不到</w:t>
      </w:r>
      <w:r>
        <w:rPr>
          <w:rFonts w:hint="eastAsia"/>
          <w:sz w:val="24"/>
          <w:szCs w:val="24"/>
          <w:highlight w:val="none"/>
          <w:lang w:eastAsia="zh-CN"/>
        </w:rPr>
        <w:t>谈判</w:t>
      </w:r>
      <w:r>
        <w:rPr>
          <w:rFonts w:hint="eastAsia"/>
          <w:sz w:val="24"/>
          <w:szCs w:val="24"/>
          <w:highlight w:val="none"/>
        </w:rPr>
        <w:t>文件要求和</w:t>
      </w:r>
      <w:r>
        <w:rPr>
          <w:rFonts w:hint="eastAsia"/>
          <w:sz w:val="24"/>
          <w:szCs w:val="24"/>
          <w:highlight w:val="none"/>
          <w:lang w:eastAsia="zh-CN"/>
        </w:rPr>
        <w:t>谈判</w:t>
      </w:r>
      <w:r>
        <w:rPr>
          <w:rFonts w:hint="eastAsia"/>
          <w:sz w:val="24"/>
          <w:szCs w:val="24"/>
          <w:highlight w:val="none"/>
        </w:rPr>
        <w:t>响应文件承诺及国家或行业标准的，或在使用中发现甲方不能容忍的缺陷等，将视为验收不合格，乙方应在甲方要求的时间内无条件完善或要求赔付甲方损失。</w:t>
      </w:r>
    </w:p>
    <w:p w14:paraId="2FD32F3E">
      <w:pPr>
        <w:spacing w:line="360" w:lineRule="auto"/>
        <w:ind w:firstLine="480" w:firstLineChars="200"/>
        <w:rPr>
          <w:sz w:val="24"/>
          <w:szCs w:val="24"/>
          <w:highlight w:val="none"/>
        </w:rPr>
      </w:pPr>
      <w:r>
        <w:rPr>
          <w:rFonts w:hint="eastAsia"/>
          <w:sz w:val="24"/>
          <w:szCs w:val="24"/>
          <w:highlight w:val="none"/>
        </w:rPr>
        <w:t>2、若发现乙方有弄虚作假的，及在项目实施阶段故意或随意夸大服务，本合同解除，乙方赔偿甲方相应的损失。</w:t>
      </w:r>
    </w:p>
    <w:p w14:paraId="1771F04C">
      <w:pPr>
        <w:spacing w:line="360" w:lineRule="auto"/>
        <w:ind w:firstLine="480" w:firstLineChars="200"/>
        <w:rPr>
          <w:sz w:val="24"/>
          <w:szCs w:val="24"/>
          <w:highlight w:val="none"/>
        </w:rPr>
      </w:pPr>
      <w:r>
        <w:rPr>
          <w:rFonts w:hint="eastAsia"/>
          <w:sz w:val="24"/>
          <w:szCs w:val="24"/>
          <w:highlight w:val="none"/>
        </w:rPr>
        <w:t>3、验收标准：国家规定的编制深度要求。</w:t>
      </w:r>
    </w:p>
    <w:p w14:paraId="520CC755">
      <w:pPr>
        <w:tabs>
          <w:tab w:val="left" w:pos="480"/>
        </w:tabs>
        <w:spacing w:line="360" w:lineRule="auto"/>
        <w:outlineLvl w:val="1"/>
        <w:rPr>
          <w:rFonts w:hAnsi="宋体" w:cs="宋体"/>
          <w:b/>
          <w:sz w:val="24"/>
          <w:szCs w:val="24"/>
          <w:highlight w:val="none"/>
        </w:rPr>
      </w:pPr>
      <w:bookmarkStart w:id="35" w:name="_Toc9858"/>
      <w:bookmarkStart w:id="36" w:name="_Toc20026"/>
      <w:r>
        <w:rPr>
          <w:rFonts w:hint="eastAsia" w:hAnsi="宋体" w:cs="宋体"/>
          <w:b/>
          <w:sz w:val="24"/>
          <w:szCs w:val="24"/>
          <w:highlight w:val="none"/>
          <w:lang w:val="en-US" w:eastAsia="zh-CN"/>
        </w:rPr>
        <w:t>五</w:t>
      </w:r>
      <w:r>
        <w:rPr>
          <w:rFonts w:hint="eastAsia" w:hAnsi="宋体" w:cs="宋体"/>
          <w:b/>
          <w:sz w:val="24"/>
          <w:szCs w:val="24"/>
          <w:highlight w:val="none"/>
        </w:rPr>
        <w:t>、违约责任</w:t>
      </w:r>
      <w:bookmarkEnd w:id="35"/>
      <w:bookmarkEnd w:id="36"/>
    </w:p>
    <w:p w14:paraId="56A3B489">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1、按《中华人民共和国民法典》中的相关条款执行。</w:t>
      </w:r>
    </w:p>
    <w:p w14:paraId="38717D9D">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6F1EB753">
      <w:pPr>
        <w:tabs>
          <w:tab w:val="left" w:pos="480"/>
        </w:tabs>
        <w:spacing w:line="360" w:lineRule="auto"/>
        <w:outlineLvl w:val="1"/>
        <w:rPr>
          <w:rFonts w:hAnsi="宋体" w:cs="宋体"/>
          <w:b/>
          <w:sz w:val="24"/>
          <w:szCs w:val="24"/>
          <w:highlight w:val="none"/>
        </w:rPr>
      </w:pPr>
      <w:bookmarkStart w:id="37" w:name="_Toc13662"/>
      <w:bookmarkStart w:id="38" w:name="_Toc15856"/>
      <w:r>
        <w:rPr>
          <w:rFonts w:hint="eastAsia" w:hAnsi="宋体" w:cs="宋体"/>
          <w:b/>
          <w:sz w:val="24"/>
          <w:szCs w:val="24"/>
          <w:highlight w:val="none"/>
          <w:lang w:val="en-US" w:eastAsia="zh-CN"/>
        </w:rPr>
        <w:t>六</w:t>
      </w:r>
      <w:r>
        <w:rPr>
          <w:rFonts w:hint="eastAsia" w:hAnsi="宋体" w:cs="宋体"/>
          <w:b/>
          <w:sz w:val="24"/>
          <w:szCs w:val="24"/>
          <w:highlight w:val="none"/>
        </w:rPr>
        <w:t>、合同争议解决的方式</w:t>
      </w:r>
      <w:bookmarkEnd w:id="37"/>
      <w:bookmarkEnd w:id="38"/>
    </w:p>
    <w:p w14:paraId="0B6F9BC7">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本合同在履行过程中发生的争议，由甲、乙双方当事人协商解决，协商不成的按下列第</w:t>
      </w:r>
      <w:r>
        <w:rPr>
          <w:rFonts w:hint="eastAsia" w:hAnsi="宋体" w:cs="宋体"/>
          <w:sz w:val="24"/>
          <w:szCs w:val="24"/>
          <w:highlight w:val="none"/>
          <w:u w:val="single"/>
        </w:rPr>
        <w:t xml:space="preserve">    </w:t>
      </w:r>
      <w:r>
        <w:rPr>
          <w:rFonts w:hint="eastAsia" w:hAnsi="宋体" w:cs="宋体"/>
          <w:sz w:val="24"/>
          <w:szCs w:val="24"/>
          <w:highlight w:val="none"/>
        </w:rPr>
        <w:t>种方式解决：</w:t>
      </w:r>
    </w:p>
    <w:p w14:paraId="64BBEEA6">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（一）提交</w:t>
      </w:r>
      <w:r>
        <w:rPr>
          <w:rFonts w:hint="eastAsia" w:hAnsi="宋体" w:cs="宋体"/>
          <w:sz w:val="24"/>
          <w:szCs w:val="24"/>
          <w:highlight w:val="none"/>
          <w:u w:val="single"/>
        </w:rPr>
        <w:t xml:space="preserve">        </w:t>
      </w:r>
      <w:r>
        <w:rPr>
          <w:rFonts w:hint="eastAsia" w:hAnsi="宋体" w:cs="宋体"/>
          <w:sz w:val="24"/>
          <w:szCs w:val="24"/>
          <w:highlight w:val="none"/>
        </w:rPr>
        <w:t>仲裁委员会仲裁；</w:t>
      </w:r>
    </w:p>
    <w:p w14:paraId="729C27DA">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（二）依法向 </w:t>
      </w:r>
      <w:r>
        <w:rPr>
          <w:rFonts w:hint="eastAsia" w:hAnsi="宋体" w:cs="宋体"/>
          <w:sz w:val="24"/>
          <w:szCs w:val="24"/>
          <w:highlight w:val="none"/>
          <w:u w:val="single"/>
        </w:rPr>
        <w:t xml:space="preserve">       </w:t>
      </w:r>
      <w:r>
        <w:rPr>
          <w:rFonts w:hint="eastAsia" w:hAnsi="宋体" w:cs="宋体"/>
          <w:sz w:val="24"/>
          <w:szCs w:val="24"/>
          <w:highlight w:val="none"/>
        </w:rPr>
        <w:t>所在地人民法院起诉。</w:t>
      </w:r>
    </w:p>
    <w:p w14:paraId="17C6610A">
      <w:pPr>
        <w:tabs>
          <w:tab w:val="left" w:pos="480"/>
        </w:tabs>
        <w:spacing w:line="360" w:lineRule="auto"/>
        <w:outlineLvl w:val="1"/>
        <w:rPr>
          <w:rFonts w:hAnsi="宋体" w:cs="宋体"/>
          <w:b/>
          <w:sz w:val="24"/>
          <w:szCs w:val="24"/>
          <w:highlight w:val="none"/>
        </w:rPr>
      </w:pPr>
      <w:bookmarkStart w:id="39" w:name="_Toc7342"/>
      <w:bookmarkStart w:id="40" w:name="_Toc18389"/>
      <w:r>
        <w:rPr>
          <w:rFonts w:hint="eastAsia" w:hAnsi="宋体" w:cs="宋体"/>
          <w:b/>
          <w:sz w:val="24"/>
          <w:szCs w:val="24"/>
          <w:highlight w:val="none"/>
          <w:lang w:val="en-US" w:eastAsia="zh-CN"/>
        </w:rPr>
        <w:t>七</w:t>
      </w:r>
      <w:r>
        <w:rPr>
          <w:rFonts w:hint="eastAsia" w:hAnsi="宋体" w:cs="宋体"/>
          <w:b/>
          <w:sz w:val="24"/>
          <w:szCs w:val="24"/>
          <w:highlight w:val="none"/>
        </w:rPr>
        <w:t>、合同生效</w:t>
      </w:r>
      <w:bookmarkEnd w:id="39"/>
      <w:bookmarkEnd w:id="40"/>
    </w:p>
    <w:p w14:paraId="6FBD9464">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本合同一式</w:t>
      </w:r>
      <w:r>
        <w:rPr>
          <w:rFonts w:hint="eastAsia" w:hAnsi="宋体" w:cs="宋体"/>
          <w:sz w:val="24"/>
          <w:szCs w:val="24"/>
          <w:highlight w:val="none"/>
          <w:u w:val="single"/>
        </w:rPr>
        <w:t xml:space="preserve">   </w:t>
      </w:r>
      <w:r>
        <w:rPr>
          <w:rFonts w:hint="eastAsia" w:hAnsi="宋体" w:cs="宋体"/>
          <w:sz w:val="24"/>
          <w:szCs w:val="24"/>
          <w:highlight w:val="none"/>
        </w:rPr>
        <w:t>份，甲方执</w:t>
      </w:r>
      <w:r>
        <w:rPr>
          <w:rFonts w:hint="eastAsia" w:hAnsi="宋体" w:cs="宋体"/>
          <w:sz w:val="24"/>
          <w:szCs w:val="24"/>
          <w:highlight w:val="none"/>
          <w:u w:val="single"/>
        </w:rPr>
        <w:t xml:space="preserve">   </w:t>
      </w:r>
      <w:r>
        <w:rPr>
          <w:rFonts w:hint="eastAsia" w:hAnsi="宋体" w:cs="宋体"/>
          <w:sz w:val="24"/>
          <w:szCs w:val="24"/>
          <w:highlight w:val="none"/>
        </w:rPr>
        <w:t>份，乙方执</w:t>
      </w:r>
      <w:r>
        <w:rPr>
          <w:rFonts w:hint="eastAsia" w:hAnsi="宋体" w:cs="宋体"/>
          <w:sz w:val="24"/>
          <w:szCs w:val="24"/>
          <w:highlight w:val="none"/>
          <w:u w:val="single"/>
        </w:rPr>
        <w:t xml:space="preserve">    </w:t>
      </w:r>
      <w:r>
        <w:rPr>
          <w:rFonts w:hint="eastAsia" w:hAnsi="宋体" w:cs="宋体"/>
          <w:sz w:val="24"/>
          <w:szCs w:val="24"/>
          <w:highlight w:val="none"/>
        </w:rPr>
        <w:t>份，本合同甲、乙、确认各方签字盖章后生效，合同执行完毕后，自动失效（合同的服务承诺则长期有效）。</w:t>
      </w:r>
    </w:p>
    <w:p w14:paraId="0494FCB0">
      <w:pPr>
        <w:tabs>
          <w:tab w:val="left" w:pos="480"/>
        </w:tabs>
        <w:spacing w:line="360" w:lineRule="auto"/>
        <w:outlineLvl w:val="1"/>
        <w:rPr>
          <w:rFonts w:hAnsi="宋体" w:cs="宋体"/>
          <w:b/>
          <w:sz w:val="24"/>
          <w:szCs w:val="24"/>
          <w:highlight w:val="none"/>
        </w:rPr>
      </w:pPr>
      <w:bookmarkStart w:id="41" w:name="_Toc823"/>
      <w:bookmarkStart w:id="42" w:name="_Toc18381"/>
      <w:r>
        <w:rPr>
          <w:rFonts w:hint="eastAsia" w:hAnsi="宋体" w:cs="宋体"/>
          <w:b/>
          <w:sz w:val="24"/>
          <w:szCs w:val="24"/>
          <w:highlight w:val="none"/>
          <w:lang w:val="en-US" w:eastAsia="zh-CN"/>
        </w:rPr>
        <w:t>八</w:t>
      </w:r>
      <w:r>
        <w:rPr>
          <w:rFonts w:hint="eastAsia" w:hAnsi="宋体" w:cs="宋体"/>
          <w:b/>
          <w:sz w:val="24"/>
          <w:szCs w:val="24"/>
          <w:highlight w:val="none"/>
        </w:rPr>
        <w:t>、其他事项</w:t>
      </w:r>
      <w:bookmarkEnd w:id="41"/>
      <w:bookmarkEnd w:id="42"/>
    </w:p>
    <w:p w14:paraId="0DD05CC3">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单一来源谈判</w:t>
      </w:r>
      <w:r>
        <w:rPr>
          <w:rFonts w:hint="eastAsia" w:hAnsi="宋体" w:cs="宋体"/>
          <w:sz w:val="24"/>
          <w:szCs w:val="24"/>
          <w:highlight w:val="none"/>
        </w:rPr>
        <w:t>、</w:t>
      </w:r>
      <w:r>
        <w:rPr>
          <w:rFonts w:hint="eastAsia" w:hAnsi="宋体" w:cs="宋体"/>
          <w:sz w:val="24"/>
          <w:szCs w:val="24"/>
          <w:highlight w:val="none"/>
          <w:lang w:eastAsia="zh-CN"/>
        </w:rPr>
        <w:t>单一来源谈判</w:t>
      </w:r>
      <w:r>
        <w:rPr>
          <w:rFonts w:hint="eastAsia" w:hAnsi="宋体" w:cs="宋体"/>
          <w:sz w:val="24"/>
          <w:szCs w:val="24"/>
          <w:highlight w:val="none"/>
        </w:rPr>
        <w:t>响应文件、澄清表（函）、成交通知书、合同附件均成为合同不可分割的部分。</w:t>
      </w:r>
    </w:p>
    <w:p w14:paraId="45343308">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（二）合同未尽事宜，由甲、乙双方协商，作为合同补充，与原合同具有同等法律效力。</w:t>
      </w:r>
    </w:p>
    <w:p w14:paraId="40AB4821">
      <w:pPr>
        <w:tabs>
          <w:tab w:val="left" w:pos="480"/>
        </w:tabs>
        <w:spacing w:line="360" w:lineRule="auto"/>
        <w:ind w:firstLine="480" w:firstLineChars="200"/>
        <w:rPr>
          <w:rFonts w:hAnsi="宋体" w:cs="宋体"/>
          <w:sz w:val="24"/>
          <w:szCs w:val="24"/>
          <w:highlight w:val="none"/>
        </w:rPr>
      </w:pPr>
      <w:r>
        <w:rPr>
          <w:rFonts w:hint="eastAsia" w:hAnsi="宋体" w:cs="宋体"/>
          <w:sz w:val="24"/>
          <w:szCs w:val="24"/>
          <w:highlight w:val="none"/>
        </w:rPr>
        <w:t>（三）合同一经签订，不得擅自变更、中止或终止合同。但若与甲方的上级管理机关的政策性行为或其他规定发生冲突，甲方有权与乙方协商调整协议内容或终止协议执行。</w:t>
      </w:r>
    </w:p>
    <w:p w14:paraId="1DE0CC00">
      <w:pPr>
        <w:spacing w:line="360" w:lineRule="auto"/>
        <w:ind w:firstLine="420"/>
        <w:rPr>
          <w:sz w:val="24"/>
          <w:szCs w:val="24"/>
          <w:highlight w:val="none"/>
        </w:rPr>
      </w:pPr>
      <w:r>
        <w:rPr>
          <w:rFonts w:hint="eastAsia" w:hAnsi="宋体"/>
          <w:sz w:val="24"/>
          <w:szCs w:val="24"/>
          <w:highlight w:val="none"/>
        </w:rPr>
        <w:t>（四）执行本合同过程中发生争议，由当事人双方协商解决。协商不成，可向采购方所在地人民法院提起诉讼。</w:t>
      </w:r>
    </w:p>
    <w:p w14:paraId="0BBAC309">
      <w:pPr>
        <w:spacing w:line="360" w:lineRule="auto"/>
        <w:ind w:firstLine="420"/>
        <w:rPr>
          <w:sz w:val="24"/>
          <w:szCs w:val="24"/>
          <w:highlight w:val="none"/>
        </w:rPr>
      </w:pPr>
      <w:r>
        <w:rPr>
          <w:rFonts w:hint="eastAsia" w:hAnsi="宋体"/>
          <w:sz w:val="24"/>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79821E6C">
      <w:pPr>
        <w:tabs>
          <w:tab w:val="left" w:pos="480"/>
        </w:tabs>
        <w:spacing w:line="360" w:lineRule="auto"/>
        <w:ind w:firstLine="480" w:firstLineChars="200"/>
        <w:rPr>
          <w:rFonts w:hint="eastAsia" w:hAnsi="宋体" w:cs="宋体"/>
          <w:sz w:val="24"/>
          <w:szCs w:val="24"/>
          <w:highlight w:val="none"/>
        </w:rPr>
      </w:pPr>
      <w:r>
        <w:rPr>
          <w:rFonts w:hint="eastAsia" w:hAnsi="宋体" w:cs="宋体"/>
          <w:sz w:val="24"/>
          <w:szCs w:val="24"/>
          <w:highlight w:val="none"/>
        </w:rPr>
        <w:t>（</w:t>
      </w:r>
      <w:r>
        <w:rPr>
          <w:rFonts w:hint="eastAsia" w:hAnsi="宋体"/>
          <w:sz w:val="24"/>
          <w:szCs w:val="24"/>
          <w:highlight w:val="none"/>
        </w:rPr>
        <w:t>六</w:t>
      </w:r>
      <w:r>
        <w:rPr>
          <w:rFonts w:hint="eastAsia" w:hAnsi="宋体" w:cs="宋体"/>
          <w:sz w:val="24"/>
          <w:szCs w:val="24"/>
          <w:highlight w:val="none"/>
        </w:rPr>
        <w:t>）本合同按照中华人民共和国的现行法律进行解释。</w:t>
      </w:r>
    </w:p>
    <w:p w14:paraId="0CEA5DFA">
      <w:pPr>
        <w:rPr>
          <w:rFonts w:hint="eastAsia" w:hAnsi="宋体" w:cs="宋体"/>
          <w:sz w:val="24"/>
          <w:szCs w:val="24"/>
          <w:highlight w:val="none"/>
        </w:rPr>
      </w:pPr>
      <w:r>
        <w:rPr>
          <w:rFonts w:hint="eastAsia" w:hAnsi="宋体" w:cs="宋体"/>
          <w:sz w:val="24"/>
          <w:szCs w:val="24"/>
          <w:highlight w:val="none"/>
        </w:rPr>
        <w:br w:type="page"/>
      </w:r>
    </w:p>
    <w:p w14:paraId="26388572">
      <w:pPr>
        <w:pStyle w:val="2"/>
        <w:rPr>
          <w:rFonts w:hint="eastAsia" w:ascii="Times New Roman" w:hAnsi="宋体" w:eastAsia="宋体" w:cs="宋体"/>
          <w:color w:val="auto"/>
          <w:kern w:val="2"/>
          <w:sz w:val="24"/>
          <w:szCs w:val="24"/>
          <w:highlight w:val="none"/>
          <w:lang w:val="en-US" w:eastAsia="zh-CN" w:bidi="ar-SA"/>
        </w:rPr>
      </w:pPr>
      <w:r>
        <w:rPr>
          <w:rFonts w:hint="eastAsia" w:ascii="Times New Roman" w:hAnsi="宋体" w:eastAsia="宋体" w:cs="宋体"/>
          <w:color w:val="auto"/>
          <w:kern w:val="2"/>
          <w:sz w:val="24"/>
          <w:szCs w:val="24"/>
          <w:highlight w:val="none"/>
          <w:lang w:val="en-US" w:eastAsia="zh-CN" w:bidi="ar-SA"/>
        </w:rPr>
        <w:t>（此页无正文）</w:t>
      </w:r>
    </w:p>
    <w:p w14:paraId="1A5F6A0E">
      <w:pPr>
        <w:tabs>
          <w:tab w:val="left" w:pos="480"/>
        </w:tabs>
        <w:spacing w:line="480" w:lineRule="auto"/>
        <w:ind w:firstLine="480" w:firstLineChars="200"/>
        <w:rPr>
          <w:rFonts w:hint="eastAsia" w:hAnsi="宋体" w:cs="宋体"/>
          <w:sz w:val="24"/>
          <w:szCs w:val="24"/>
          <w:highlight w:val="none"/>
        </w:rPr>
      </w:pPr>
    </w:p>
    <w:p w14:paraId="0BC67640">
      <w:pPr>
        <w:keepNext w:val="0"/>
        <w:keepLines w:val="0"/>
        <w:pageBreakBefore w:val="0"/>
        <w:widowControl w:val="0"/>
        <w:tabs>
          <w:tab w:val="left" w:pos="480"/>
        </w:tabs>
        <w:kinsoku/>
        <w:wordWrap/>
        <w:overflowPunct/>
        <w:topLinePunct w:val="0"/>
        <w:autoSpaceDE/>
        <w:autoSpaceDN/>
        <w:bidi w:val="0"/>
        <w:adjustRightInd/>
        <w:snapToGrid/>
        <w:spacing w:line="600" w:lineRule="auto"/>
        <w:ind w:firstLine="480" w:firstLineChars="200"/>
        <w:textAlignment w:val="auto"/>
        <w:rPr>
          <w:rFonts w:hAnsi="宋体" w:cs="宋体"/>
          <w:sz w:val="24"/>
          <w:szCs w:val="24"/>
          <w:highlight w:val="none"/>
        </w:rPr>
      </w:pPr>
      <w:r>
        <w:rPr>
          <w:rFonts w:hint="eastAsia" w:hAnsi="宋体" w:cs="宋体"/>
          <w:sz w:val="24"/>
          <w:szCs w:val="24"/>
          <w:highlight w:val="none"/>
        </w:rPr>
        <w:t>甲  方：（盖章）                          乙  方：（盖章）</w:t>
      </w:r>
    </w:p>
    <w:p w14:paraId="10415AF8">
      <w:pPr>
        <w:keepNext w:val="0"/>
        <w:keepLines w:val="0"/>
        <w:pageBreakBefore w:val="0"/>
        <w:widowControl w:val="0"/>
        <w:tabs>
          <w:tab w:val="left" w:pos="480"/>
        </w:tabs>
        <w:kinsoku/>
        <w:wordWrap/>
        <w:overflowPunct/>
        <w:topLinePunct w:val="0"/>
        <w:autoSpaceDE/>
        <w:autoSpaceDN/>
        <w:bidi w:val="0"/>
        <w:adjustRightInd/>
        <w:snapToGrid/>
        <w:spacing w:line="600" w:lineRule="auto"/>
        <w:ind w:firstLine="480" w:firstLineChars="200"/>
        <w:textAlignment w:val="auto"/>
        <w:rPr>
          <w:rFonts w:hAnsi="宋体" w:cs="宋体"/>
          <w:sz w:val="24"/>
          <w:szCs w:val="24"/>
          <w:highlight w:val="none"/>
        </w:rPr>
      </w:pPr>
      <w:r>
        <w:rPr>
          <w:rFonts w:hint="eastAsia" w:hAnsi="宋体" w:cs="宋体"/>
          <w:sz w:val="24"/>
          <w:szCs w:val="24"/>
          <w:highlight w:val="none"/>
        </w:rPr>
        <w:t>单位名称：                                单位名称：</w:t>
      </w:r>
    </w:p>
    <w:p w14:paraId="490FE150">
      <w:pPr>
        <w:keepNext w:val="0"/>
        <w:keepLines w:val="0"/>
        <w:pageBreakBefore w:val="0"/>
        <w:widowControl w:val="0"/>
        <w:tabs>
          <w:tab w:val="left" w:pos="480"/>
        </w:tabs>
        <w:kinsoku/>
        <w:wordWrap/>
        <w:overflowPunct/>
        <w:topLinePunct w:val="0"/>
        <w:autoSpaceDE/>
        <w:autoSpaceDN/>
        <w:bidi w:val="0"/>
        <w:adjustRightInd/>
        <w:snapToGrid/>
        <w:spacing w:line="600" w:lineRule="auto"/>
        <w:ind w:left="6660" w:leftChars="200" w:hanging="6240" w:hangingChars="2600"/>
        <w:textAlignment w:val="auto"/>
        <w:rPr>
          <w:rFonts w:hAnsi="宋体" w:cs="宋体"/>
          <w:sz w:val="24"/>
          <w:szCs w:val="24"/>
          <w:highlight w:val="none"/>
        </w:rPr>
      </w:pPr>
      <w:r>
        <w:rPr>
          <w:rFonts w:hint="eastAsia" w:hAnsi="宋体" w:cs="宋体"/>
          <w:sz w:val="24"/>
          <w:szCs w:val="24"/>
          <w:highlight w:val="none"/>
        </w:rPr>
        <w:t>地  址：                                  地  址：</w:t>
      </w:r>
    </w:p>
    <w:p w14:paraId="16B9B965">
      <w:pPr>
        <w:keepNext w:val="0"/>
        <w:keepLines w:val="0"/>
        <w:pageBreakBefore w:val="0"/>
        <w:widowControl w:val="0"/>
        <w:tabs>
          <w:tab w:val="left" w:pos="480"/>
        </w:tabs>
        <w:kinsoku/>
        <w:wordWrap/>
        <w:overflowPunct/>
        <w:topLinePunct w:val="0"/>
        <w:autoSpaceDE/>
        <w:autoSpaceDN/>
        <w:bidi w:val="0"/>
        <w:adjustRightInd/>
        <w:snapToGrid/>
        <w:spacing w:line="600" w:lineRule="auto"/>
        <w:ind w:firstLine="480" w:firstLineChars="200"/>
        <w:textAlignment w:val="auto"/>
        <w:rPr>
          <w:rFonts w:hAnsi="宋体" w:cs="宋体"/>
          <w:sz w:val="24"/>
          <w:szCs w:val="24"/>
          <w:highlight w:val="none"/>
        </w:rPr>
      </w:pPr>
      <w:r>
        <w:rPr>
          <w:rFonts w:hint="eastAsia" w:hAnsi="宋体" w:cs="宋体"/>
          <w:sz w:val="24"/>
          <w:szCs w:val="24"/>
          <w:highlight w:val="none"/>
        </w:rPr>
        <w:t>法定代表人                                法定代表人</w:t>
      </w:r>
    </w:p>
    <w:p w14:paraId="5C8EB48B">
      <w:pPr>
        <w:keepNext w:val="0"/>
        <w:keepLines w:val="0"/>
        <w:pageBreakBefore w:val="0"/>
        <w:widowControl w:val="0"/>
        <w:tabs>
          <w:tab w:val="left" w:pos="480"/>
        </w:tabs>
        <w:kinsoku/>
        <w:wordWrap/>
        <w:overflowPunct/>
        <w:topLinePunct w:val="0"/>
        <w:autoSpaceDE/>
        <w:autoSpaceDN/>
        <w:bidi w:val="0"/>
        <w:adjustRightInd/>
        <w:snapToGrid/>
        <w:spacing w:line="600" w:lineRule="auto"/>
        <w:ind w:firstLine="480" w:firstLineChars="200"/>
        <w:textAlignment w:val="auto"/>
        <w:rPr>
          <w:rFonts w:hAnsi="宋体" w:cs="宋体"/>
          <w:sz w:val="24"/>
          <w:szCs w:val="24"/>
          <w:highlight w:val="none"/>
        </w:rPr>
      </w:pPr>
      <w:r>
        <w:rPr>
          <w:rFonts w:hint="eastAsia" w:hAnsi="宋体" w:cs="宋体"/>
          <w:sz w:val="24"/>
          <w:szCs w:val="24"/>
          <w:highlight w:val="none"/>
        </w:rPr>
        <w:t>或委托代理人：                            或委托代理人：</w:t>
      </w:r>
    </w:p>
    <w:p w14:paraId="6593129E">
      <w:pPr>
        <w:keepNext w:val="0"/>
        <w:keepLines w:val="0"/>
        <w:pageBreakBefore w:val="0"/>
        <w:widowControl w:val="0"/>
        <w:tabs>
          <w:tab w:val="left" w:pos="480"/>
        </w:tabs>
        <w:kinsoku/>
        <w:wordWrap/>
        <w:overflowPunct/>
        <w:topLinePunct w:val="0"/>
        <w:autoSpaceDE/>
        <w:autoSpaceDN/>
        <w:bidi w:val="0"/>
        <w:adjustRightInd/>
        <w:snapToGrid/>
        <w:spacing w:line="600" w:lineRule="auto"/>
        <w:ind w:firstLine="480" w:firstLineChars="200"/>
        <w:textAlignment w:val="auto"/>
        <w:rPr>
          <w:rFonts w:hAnsi="宋体" w:cs="宋体"/>
          <w:sz w:val="24"/>
          <w:szCs w:val="24"/>
          <w:highlight w:val="none"/>
        </w:rPr>
      </w:pPr>
      <w:r>
        <w:rPr>
          <w:rFonts w:hint="eastAsia" w:hAnsi="宋体" w:cs="宋体"/>
          <w:sz w:val="24"/>
          <w:szCs w:val="24"/>
          <w:highlight w:val="none"/>
        </w:rPr>
        <w:t>联系电话：                                联系电话：</w:t>
      </w:r>
    </w:p>
    <w:p w14:paraId="05174D5E">
      <w:pPr>
        <w:keepNext w:val="0"/>
        <w:keepLines w:val="0"/>
        <w:pageBreakBefore w:val="0"/>
        <w:widowControl w:val="0"/>
        <w:tabs>
          <w:tab w:val="left" w:pos="480"/>
        </w:tabs>
        <w:kinsoku/>
        <w:wordWrap/>
        <w:overflowPunct/>
        <w:topLinePunct w:val="0"/>
        <w:autoSpaceDE/>
        <w:autoSpaceDN/>
        <w:bidi w:val="0"/>
        <w:adjustRightInd/>
        <w:snapToGrid/>
        <w:spacing w:line="600" w:lineRule="auto"/>
        <w:ind w:firstLine="480" w:firstLineChars="200"/>
        <w:textAlignment w:val="auto"/>
        <w:rPr>
          <w:rFonts w:hAnsi="宋体" w:cs="宋体"/>
          <w:szCs w:val="21"/>
          <w:highlight w:val="none"/>
        </w:rPr>
      </w:pPr>
      <w:r>
        <w:rPr>
          <w:rFonts w:hint="eastAsia" w:hAnsi="宋体" w:cs="宋体"/>
          <w:sz w:val="24"/>
          <w:szCs w:val="24"/>
          <w:highlight w:val="none"/>
        </w:rPr>
        <w:t>签订日期：     年    月      日           签订日期：     年    月   日</w:t>
      </w:r>
    </w:p>
    <w:p w14:paraId="4A8F1311">
      <w:pPr>
        <w:rPr>
          <w:rFonts w:hint="eastAsia" w:ascii="宋体" w:hAnsi="宋体" w:cs="宋体"/>
          <w:b/>
          <w:bCs/>
          <w:sz w:val="32"/>
          <w:szCs w:val="32"/>
          <w:highlight w:val="none"/>
        </w:rPr>
      </w:pPr>
      <w:bookmarkStart w:id="43" w:name="_Toc328739380"/>
      <w:bookmarkStart w:id="44" w:name="_Toc401837217"/>
      <w:bookmarkStart w:id="45" w:name="_Toc19918"/>
      <w:r>
        <w:rPr>
          <w:rFonts w:hint="eastAsia" w:ascii="宋体" w:hAnsi="宋体" w:cs="宋体"/>
          <w:b/>
          <w:bCs/>
          <w:sz w:val="32"/>
          <w:szCs w:val="32"/>
          <w:highlight w:val="none"/>
        </w:rPr>
        <w:br w:type="page"/>
      </w:r>
    </w:p>
    <w:p w14:paraId="7B6A8007">
      <w:pPr>
        <w:jc w:val="center"/>
        <w:outlineLvl w:val="0"/>
        <w:rPr>
          <w:rFonts w:ascii="宋体" w:hAnsi="宋体" w:cs="宋体"/>
          <w:b/>
          <w:bCs/>
          <w:sz w:val="32"/>
          <w:szCs w:val="32"/>
          <w:highlight w:val="none"/>
        </w:rPr>
      </w:pPr>
      <w:bookmarkStart w:id="46" w:name="_Toc31404"/>
      <w:r>
        <w:rPr>
          <w:rFonts w:hint="eastAsia" w:ascii="宋体" w:hAnsi="宋体" w:cs="宋体"/>
          <w:b/>
          <w:bCs/>
          <w:sz w:val="32"/>
          <w:szCs w:val="32"/>
          <w:highlight w:val="none"/>
        </w:rPr>
        <w:t xml:space="preserve">第五章  </w:t>
      </w:r>
      <w:bookmarkStart w:id="47" w:name="_Toc13588"/>
      <w:r>
        <w:rPr>
          <w:rFonts w:hint="eastAsia" w:ascii="宋体" w:hAnsi="宋体" w:cs="宋体"/>
          <w:b/>
          <w:bCs/>
          <w:sz w:val="32"/>
          <w:szCs w:val="32"/>
          <w:highlight w:val="none"/>
        </w:rPr>
        <w:t>谈</w:t>
      </w:r>
      <w:bookmarkEnd w:id="47"/>
      <w:bookmarkStart w:id="48" w:name="_Toc18526"/>
      <w:r>
        <w:rPr>
          <w:rFonts w:hint="eastAsia" w:ascii="宋体" w:hAnsi="宋体" w:cs="宋体"/>
          <w:b/>
          <w:bCs/>
          <w:sz w:val="32"/>
          <w:szCs w:val="32"/>
          <w:highlight w:val="none"/>
        </w:rPr>
        <w:t>判</w:t>
      </w:r>
      <w:bookmarkEnd w:id="48"/>
      <w:bookmarkStart w:id="49" w:name="_Toc32414"/>
      <w:r>
        <w:rPr>
          <w:rFonts w:hint="eastAsia" w:ascii="宋体" w:hAnsi="宋体" w:cs="宋体"/>
          <w:b/>
          <w:bCs/>
          <w:sz w:val="32"/>
          <w:szCs w:val="32"/>
          <w:highlight w:val="none"/>
        </w:rPr>
        <w:t>响</w:t>
      </w:r>
      <w:bookmarkEnd w:id="49"/>
      <w:bookmarkStart w:id="50" w:name="_Toc14263"/>
      <w:r>
        <w:rPr>
          <w:rFonts w:hint="eastAsia" w:ascii="宋体" w:hAnsi="宋体" w:cs="宋体"/>
          <w:b/>
          <w:bCs/>
          <w:sz w:val="32"/>
          <w:szCs w:val="32"/>
          <w:highlight w:val="none"/>
        </w:rPr>
        <w:t>应</w:t>
      </w:r>
      <w:bookmarkEnd w:id="50"/>
      <w:bookmarkStart w:id="51" w:name="_Toc13394"/>
      <w:r>
        <w:rPr>
          <w:rFonts w:hint="eastAsia" w:ascii="宋体" w:hAnsi="宋体" w:cs="宋体"/>
          <w:b/>
          <w:bCs/>
          <w:sz w:val="32"/>
          <w:szCs w:val="32"/>
          <w:highlight w:val="none"/>
        </w:rPr>
        <w:t>文</w:t>
      </w:r>
      <w:bookmarkEnd w:id="51"/>
      <w:bookmarkStart w:id="52" w:name="_Toc21627"/>
      <w:r>
        <w:rPr>
          <w:rFonts w:hint="eastAsia" w:ascii="宋体" w:hAnsi="宋体" w:cs="宋体"/>
          <w:b/>
          <w:bCs/>
          <w:sz w:val="32"/>
          <w:szCs w:val="32"/>
          <w:highlight w:val="none"/>
        </w:rPr>
        <w:t>件</w:t>
      </w:r>
      <w:bookmarkEnd w:id="52"/>
      <w:bookmarkStart w:id="53" w:name="_Toc18694"/>
      <w:r>
        <w:rPr>
          <w:rFonts w:hint="eastAsia" w:ascii="宋体" w:hAnsi="宋体" w:cs="宋体"/>
          <w:b/>
          <w:bCs/>
          <w:sz w:val="32"/>
          <w:szCs w:val="32"/>
          <w:highlight w:val="none"/>
        </w:rPr>
        <w:t>格</w:t>
      </w:r>
      <w:bookmarkEnd w:id="53"/>
      <w:bookmarkStart w:id="54" w:name="_Toc26500"/>
      <w:r>
        <w:rPr>
          <w:rFonts w:hint="eastAsia" w:ascii="宋体" w:hAnsi="宋体" w:cs="宋体"/>
          <w:b/>
          <w:bCs/>
          <w:sz w:val="32"/>
          <w:szCs w:val="32"/>
          <w:highlight w:val="none"/>
        </w:rPr>
        <w:t>式</w:t>
      </w:r>
      <w:bookmarkEnd w:id="43"/>
      <w:bookmarkEnd w:id="44"/>
      <w:bookmarkEnd w:id="45"/>
      <w:bookmarkEnd w:id="46"/>
      <w:bookmarkEnd w:id="54"/>
    </w:p>
    <w:p w14:paraId="59B6A26A">
      <w:pPr>
        <w:tabs>
          <w:tab w:val="left" w:pos="840"/>
        </w:tabs>
        <w:kinsoku w:val="0"/>
        <w:spacing w:line="360" w:lineRule="auto"/>
        <w:rPr>
          <w:rFonts w:ascii="宋体" w:hAnsi="宋体" w:cs="宋体"/>
          <w:sz w:val="24"/>
          <w:highlight w:val="none"/>
        </w:rPr>
      </w:pPr>
    </w:p>
    <w:p w14:paraId="50D31617">
      <w:pPr>
        <w:spacing w:line="360" w:lineRule="atLeast"/>
        <w:outlineLvl w:val="1"/>
        <w:rPr>
          <w:rFonts w:hint="eastAsia" w:ascii="宋体" w:hAnsi="宋体" w:eastAsia="宋体" w:cs="宋体"/>
          <w:kern w:val="0"/>
          <w:sz w:val="32"/>
          <w:szCs w:val="32"/>
          <w:highlight w:val="none"/>
          <w:lang w:eastAsia="zh-CN"/>
        </w:rPr>
      </w:pPr>
      <w:r>
        <w:rPr>
          <w:rFonts w:hint="eastAsia" w:ascii="宋体" w:hAnsi="宋体" w:cs="宋体"/>
          <w:b/>
          <w:sz w:val="32"/>
          <w:szCs w:val="32"/>
          <w:highlight w:val="none"/>
        </w:rPr>
        <w:t>项目编号：</w:t>
      </w:r>
      <w:r>
        <w:rPr>
          <w:rFonts w:hint="eastAsia" w:ascii="宋体" w:hAnsi="宋体" w:cs="宋体"/>
          <w:b/>
          <w:sz w:val="32"/>
          <w:szCs w:val="32"/>
          <w:highlight w:val="none"/>
          <w:lang w:eastAsia="zh-CN"/>
        </w:rPr>
        <w:t>SXZCZB2024-ZCDY-1021</w:t>
      </w:r>
    </w:p>
    <w:p w14:paraId="23CD9D9F">
      <w:pPr>
        <w:spacing w:line="360" w:lineRule="atLeast"/>
        <w:rPr>
          <w:rFonts w:ascii="宋体" w:hAnsi="宋体" w:cs="宋体"/>
          <w:kern w:val="0"/>
          <w:sz w:val="32"/>
          <w:szCs w:val="32"/>
          <w:highlight w:val="none"/>
        </w:rPr>
      </w:pPr>
    </w:p>
    <w:p w14:paraId="352FDA37">
      <w:pPr>
        <w:spacing w:line="360" w:lineRule="atLeast"/>
        <w:jc w:val="right"/>
        <w:rPr>
          <w:rFonts w:ascii="宋体" w:hAnsi="宋体" w:cs="宋体"/>
          <w:sz w:val="32"/>
          <w:szCs w:val="32"/>
          <w:highlight w:val="none"/>
        </w:rPr>
      </w:pPr>
      <w:r>
        <w:rPr>
          <w:rFonts w:hint="eastAsia" w:ascii="宋体" w:hAnsi="宋体" w:cs="宋体"/>
          <w:b/>
          <w:sz w:val="32"/>
          <w:szCs w:val="32"/>
          <w:highlight w:val="none"/>
        </w:rPr>
        <w:t>（正本或副本）</w:t>
      </w:r>
    </w:p>
    <w:p w14:paraId="55D4584D">
      <w:pPr>
        <w:rPr>
          <w:rFonts w:ascii="宋体" w:hAnsi="宋体" w:cs="宋体"/>
          <w:highlight w:val="none"/>
        </w:rPr>
      </w:pPr>
    </w:p>
    <w:p w14:paraId="2DC9CF5B">
      <w:pPr>
        <w:rPr>
          <w:rFonts w:ascii="宋体" w:hAnsi="宋体" w:cs="宋体"/>
          <w:highlight w:val="none"/>
        </w:rPr>
      </w:pPr>
    </w:p>
    <w:p w14:paraId="23227170">
      <w:pPr>
        <w:spacing w:line="360" w:lineRule="atLeast"/>
        <w:jc w:val="center"/>
        <w:rPr>
          <w:rFonts w:hint="eastAsia" w:ascii="宋体" w:hAnsi="宋体" w:eastAsia="宋体" w:cs="宋体"/>
          <w:b/>
          <w:w w:val="90"/>
          <w:sz w:val="52"/>
          <w:szCs w:val="52"/>
          <w:highlight w:val="none"/>
          <w:lang w:eastAsia="zh-CN"/>
        </w:rPr>
      </w:pPr>
      <w:r>
        <w:rPr>
          <w:rFonts w:hint="eastAsia" w:ascii="宋体" w:hAnsi="宋体" w:cs="宋体"/>
          <w:b/>
          <w:sz w:val="52"/>
          <w:szCs w:val="52"/>
          <w:highlight w:val="none"/>
          <w:lang w:eastAsia="zh-CN"/>
        </w:rPr>
        <w:t>信息化升级</w:t>
      </w:r>
    </w:p>
    <w:p w14:paraId="54DE75D6">
      <w:pPr>
        <w:spacing w:line="360" w:lineRule="atLeast"/>
        <w:jc w:val="center"/>
        <w:rPr>
          <w:rFonts w:ascii="宋体" w:hAnsi="宋体" w:cs="宋体"/>
          <w:b/>
          <w:sz w:val="52"/>
          <w:szCs w:val="52"/>
          <w:highlight w:val="none"/>
        </w:rPr>
      </w:pPr>
    </w:p>
    <w:p w14:paraId="3B481A19">
      <w:pPr>
        <w:spacing w:line="360" w:lineRule="atLeast"/>
        <w:jc w:val="center"/>
        <w:rPr>
          <w:rFonts w:ascii="宋体" w:hAnsi="宋体" w:cs="宋体"/>
          <w:b/>
          <w:sz w:val="52"/>
          <w:szCs w:val="52"/>
          <w:highlight w:val="none"/>
        </w:rPr>
      </w:pPr>
    </w:p>
    <w:p w14:paraId="3FA9B9F4">
      <w:pPr>
        <w:spacing w:line="360" w:lineRule="atLeast"/>
        <w:jc w:val="center"/>
        <w:rPr>
          <w:rFonts w:ascii="宋体" w:hAnsi="宋体" w:cs="宋体"/>
          <w:b/>
          <w:sz w:val="52"/>
          <w:szCs w:val="52"/>
          <w:highlight w:val="none"/>
        </w:rPr>
      </w:pPr>
      <w:r>
        <w:rPr>
          <w:rFonts w:hint="eastAsia" w:ascii="宋体" w:hAnsi="宋体" w:cs="宋体"/>
          <w:b/>
          <w:w w:val="90"/>
          <w:sz w:val="52"/>
          <w:szCs w:val="52"/>
          <w:highlight w:val="none"/>
        </w:rPr>
        <w:t>单一来源谈判响应文件</w:t>
      </w:r>
    </w:p>
    <w:p w14:paraId="6824E36F">
      <w:pPr>
        <w:spacing w:line="360" w:lineRule="atLeast"/>
        <w:jc w:val="center"/>
        <w:rPr>
          <w:rFonts w:ascii="宋体" w:hAnsi="宋体" w:cs="宋体"/>
          <w:sz w:val="52"/>
          <w:szCs w:val="52"/>
          <w:highlight w:val="none"/>
        </w:rPr>
      </w:pPr>
    </w:p>
    <w:p w14:paraId="30927AEB">
      <w:pPr>
        <w:spacing w:line="360" w:lineRule="atLeast"/>
        <w:rPr>
          <w:rFonts w:ascii="宋体" w:hAnsi="宋体" w:cs="宋体"/>
          <w:sz w:val="52"/>
          <w:szCs w:val="52"/>
          <w:highlight w:val="none"/>
        </w:rPr>
      </w:pPr>
    </w:p>
    <w:p w14:paraId="62CDE994">
      <w:pPr>
        <w:tabs>
          <w:tab w:val="center" w:pos="5346"/>
        </w:tabs>
        <w:spacing w:line="360" w:lineRule="atLeast"/>
        <w:jc w:val="left"/>
        <w:rPr>
          <w:rFonts w:ascii="宋体" w:hAnsi="宋体" w:cs="宋体"/>
          <w:b/>
          <w:sz w:val="32"/>
          <w:szCs w:val="32"/>
          <w:highlight w:val="none"/>
        </w:rPr>
      </w:pPr>
    </w:p>
    <w:p w14:paraId="2DE5A1C3">
      <w:pPr>
        <w:tabs>
          <w:tab w:val="center" w:pos="5346"/>
        </w:tabs>
        <w:spacing w:line="360" w:lineRule="atLeast"/>
        <w:jc w:val="left"/>
        <w:rPr>
          <w:rFonts w:ascii="宋体" w:hAnsi="宋体" w:cs="宋体"/>
          <w:b/>
          <w:sz w:val="32"/>
          <w:szCs w:val="32"/>
          <w:highlight w:val="none"/>
        </w:rPr>
      </w:pPr>
    </w:p>
    <w:p w14:paraId="6D538084">
      <w:pPr>
        <w:tabs>
          <w:tab w:val="center" w:pos="5346"/>
        </w:tabs>
        <w:spacing w:line="360" w:lineRule="atLeast"/>
        <w:jc w:val="left"/>
        <w:rPr>
          <w:rFonts w:ascii="宋体" w:hAnsi="宋体" w:cs="宋体"/>
          <w:b/>
          <w:sz w:val="32"/>
          <w:szCs w:val="32"/>
          <w:highlight w:val="none"/>
          <w:u w:val="single"/>
        </w:rPr>
      </w:pPr>
      <w:r>
        <w:rPr>
          <w:rFonts w:hint="eastAsia" w:ascii="宋体" w:hAnsi="宋体" w:cs="宋体"/>
          <w:b/>
          <w:sz w:val="32"/>
          <w:szCs w:val="32"/>
          <w:highlight w:val="none"/>
        </w:rPr>
        <w:t xml:space="preserve">            供应商：                    </w:t>
      </w:r>
    </w:p>
    <w:p w14:paraId="1E0F894E">
      <w:pPr>
        <w:spacing w:line="360" w:lineRule="atLeast"/>
        <w:jc w:val="left"/>
        <w:rPr>
          <w:rFonts w:ascii="宋体" w:hAnsi="宋体" w:cs="宋体"/>
          <w:b/>
          <w:sz w:val="36"/>
          <w:szCs w:val="36"/>
          <w:highlight w:val="none"/>
          <w:u w:val="single"/>
        </w:rPr>
      </w:pPr>
      <w:r>
        <w:rPr>
          <w:rFonts w:hint="eastAsia" w:ascii="宋体" w:hAnsi="宋体" w:cs="宋体"/>
          <w:b/>
          <w:sz w:val="32"/>
          <w:szCs w:val="32"/>
          <w:highlight w:val="none"/>
        </w:rPr>
        <w:t xml:space="preserve">            时  间</w:t>
      </w:r>
      <w:r>
        <w:rPr>
          <w:rFonts w:hint="eastAsia" w:ascii="宋体" w:hAnsi="宋体" w:cs="宋体"/>
          <w:b/>
          <w:sz w:val="36"/>
          <w:szCs w:val="36"/>
          <w:highlight w:val="none"/>
        </w:rPr>
        <w:t xml:space="preserve">：                  </w:t>
      </w:r>
    </w:p>
    <w:p w14:paraId="3CF95762">
      <w:pPr>
        <w:spacing w:line="360" w:lineRule="atLeast"/>
        <w:ind w:firstLine="3698" w:firstLineChars="1151"/>
        <w:rPr>
          <w:rFonts w:ascii="宋体" w:hAnsi="宋体" w:cs="宋体"/>
          <w:b/>
          <w:sz w:val="32"/>
          <w:szCs w:val="32"/>
          <w:highlight w:val="none"/>
        </w:rPr>
      </w:pPr>
      <w:r>
        <w:rPr>
          <w:rFonts w:hint="eastAsia" w:ascii="宋体" w:hAnsi="宋体" w:cs="宋体"/>
          <w:b/>
          <w:sz w:val="32"/>
          <w:szCs w:val="32"/>
          <w:highlight w:val="none"/>
        </w:rPr>
        <w:br w:type="page"/>
      </w:r>
    </w:p>
    <w:p w14:paraId="76ACAAF8">
      <w:pPr>
        <w:spacing w:line="360" w:lineRule="atLeast"/>
        <w:ind w:firstLine="3698" w:firstLineChars="1151"/>
        <w:rPr>
          <w:rFonts w:ascii="宋体" w:hAnsi="宋体" w:cs="宋体"/>
          <w:b/>
          <w:sz w:val="32"/>
          <w:szCs w:val="32"/>
          <w:highlight w:val="none"/>
        </w:rPr>
      </w:pPr>
      <w:r>
        <w:rPr>
          <w:rFonts w:hint="eastAsia" w:ascii="宋体" w:hAnsi="宋体" w:cs="宋体"/>
          <w:b/>
          <w:sz w:val="32"/>
          <w:szCs w:val="32"/>
          <w:highlight w:val="none"/>
        </w:rPr>
        <w:t>目    录</w:t>
      </w:r>
    </w:p>
    <w:p w14:paraId="6898CA6C">
      <w:pPr>
        <w:spacing w:line="360" w:lineRule="atLeast"/>
        <w:rPr>
          <w:rFonts w:ascii="宋体" w:hAnsi="宋体" w:cs="宋体"/>
          <w:highlight w:val="none"/>
        </w:rPr>
      </w:pPr>
    </w:p>
    <w:p w14:paraId="24E7514C">
      <w:pPr>
        <w:spacing w:line="360" w:lineRule="atLeast"/>
        <w:rPr>
          <w:rFonts w:ascii="宋体" w:hAnsi="宋体" w:cs="宋体"/>
          <w:highlight w:val="none"/>
        </w:rPr>
      </w:pPr>
    </w:p>
    <w:p w14:paraId="2AD05A9B">
      <w:pPr>
        <w:pStyle w:val="9"/>
        <w:spacing w:line="500" w:lineRule="exact"/>
        <w:ind w:firstLine="1843" w:firstLineChars="612"/>
        <w:rPr>
          <w:rFonts w:hAnsi="宋体" w:cs="宋体"/>
          <w:b/>
          <w:bCs/>
          <w:sz w:val="30"/>
          <w:szCs w:val="30"/>
          <w:highlight w:val="none"/>
        </w:rPr>
      </w:pPr>
      <w:r>
        <w:rPr>
          <w:rFonts w:hint="eastAsia" w:hAnsi="宋体" w:cs="宋体"/>
          <w:b/>
          <w:bCs/>
          <w:sz w:val="30"/>
          <w:szCs w:val="30"/>
          <w:highlight w:val="none"/>
        </w:rPr>
        <w:t>第一部分   谈判响应函</w:t>
      </w:r>
    </w:p>
    <w:p w14:paraId="707B9A45">
      <w:pPr>
        <w:pStyle w:val="9"/>
        <w:spacing w:line="500" w:lineRule="exact"/>
        <w:ind w:firstLine="1843" w:firstLineChars="612"/>
        <w:rPr>
          <w:rFonts w:hAnsi="宋体" w:cs="宋体"/>
          <w:b/>
          <w:bCs/>
          <w:sz w:val="30"/>
          <w:szCs w:val="30"/>
          <w:highlight w:val="none"/>
        </w:rPr>
      </w:pPr>
    </w:p>
    <w:p w14:paraId="03DA3E03">
      <w:pPr>
        <w:autoSpaceDE w:val="0"/>
        <w:autoSpaceDN w:val="0"/>
        <w:adjustRightInd w:val="0"/>
        <w:snapToGrid w:val="0"/>
        <w:spacing w:line="360" w:lineRule="auto"/>
        <w:ind w:firstLine="1807" w:firstLineChars="600"/>
        <w:rPr>
          <w:rFonts w:ascii="宋体" w:hAnsi="宋体" w:cs="宋体"/>
          <w:b/>
          <w:bCs/>
          <w:sz w:val="30"/>
          <w:szCs w:val="30"/>
          <w:highlight w:val="none"/>
        </w:rPr>
      </w:pPr>
      <w:r>
        <w:rPr>
          <w:rFonts w:hint="eastAsia" w:ascii="宋体" w:hAnsi="宋体" w:cs="宋体"/>
          <w:b/>
          <w:sz w:val="30"/>
          <w:szCs w:val="30"/>
          <w:highlight w:val="none"/>
        </w:rPr>
        <w:t xml:space="preserve">第二部分   </w:t>
      </w:r>
      <w:r>
        <w:rPr>
          <w:rFonts w:hint="eastAsia" w:ascii="宋体" w:hAnsi="宋体" w:cs="宋体"/>
          <w:b/>
          <w:bCs/>
          <w:sz w:val="30"/>
          <w:szCs w:val="30"/>
          <w:highlight w:val="none"/>
          <w:lang w:val="zh-CN"/>
        </w:rPr>
        <w:t>谈判报价表</w:t>
      </w:r>
    </w:p>
    <w:p w14:paraId="7D12A388">
      <w:pPr>
        <w:autoSpaceDE w:val="0"/>
        <w:autoSpaceDN w:val="0"/>
        <w:adjustRightInd w:val="0"/>
        <w:snapToGrid w:val="0"/>
        <w:spacing w:line="360" w:lineRule="auto"/>
        <w:ind w:firstLine="3614" w:firstLineChars="1200"/>
        <w:rPr>
          <w:rFonts w:ascii="宋体" w:hAnsi="宋体" w:cs="宋体"/>
          <w:b/>
          <w:bCs/>
          <w:sz w:val="30"/>
          <w:szCs w:val="30"/>
          <w:highlight w:val="none"/>
        </w:rPr>
      </w:pPr>
      <w:r>
        <w:rPr>
          <w:rFonts w:hint="eastAsia" w:ascii="宋体" w:hAnsi="宋体" w:cs="宋体"/>
          <w:b/>
          <w:bCs/>
          <w:sz w:val="30"/>
          <w:szCs w:val="30"/>
          <w:highlight w:val="none"/>
          <w:lang w:val="zh-CN"/>
        </w:rPr>
        <w:t>分项报价表</w:t>
      </w:r>
    </w:p>
    <w:p w14:paraId="276E027F">
      <w:pPr>
        <w:pStyle w:val="9"/>
        <w:numPr>
          <w:ilvl w:val="0"/>
          <w:numId w:val="5"/>
        </w:numPr>
        <w:spacing w:line="500" w:lineRule="exact"/>
        <w:ind w:firstLine="1843" w:firstLineChars="612"/>
        <w:rPr>
          <w:rFonts w:hAnsi="宋体" w:cs="宋体"/>
          <w:b/>
          <w:bCs/>
          <w:sz w:val="30"/>
          <w:szCs w:val="30"/>
          <w:highlight w:val="none"/>
        </w:rPr>
      </w:pPr>
      <w:r>
        <w:rPr>
          <w:rFonts w:hint="eastAsia" w:hAnsi="宋体" w:cs="宋体"/>
          <w:b/>
          <w:bCs/>
          <w:sz w:val="30"/>
          <w:szCs w:val="30"/>
          <w:highlight w:val="none"/>
        </w:rPr>
        <w:t xml:space="preserve">  商务条款偏离表</w:t>
      </w:r>
    </w:p>
    <w:p w14:paraId="0ED66E4B">
      <w:pPr>
        <w:pStyle w:val="9"/>
        <w:spacing w:line="500" w:lineRule="exact"/>
        <w:rPr>
          <w:rFonts w:hAnsi="宋体" w:cs="宋体"/>
          <w:b/>
          <w:bCs/>
          <w:sz w:val="30"/>
          <w:szCs w:val="30"/>
          <w:highlight w:val="none"/>
        </w:rPr>
      </w:pPr>
    </w:p>
    <w:p w14:paraId="5763C75A">
      <w:pPr>
        <w:pStyle w:val="9"/>
        <w:numPr>
          <w:ilvl w:val="0"/>
          <w:numId w:val="5"/>
        </w:numPr>
        <w:spacing w:line="500" w:lineRule="exact"/>
        <w:ind w:firstLine="1843" w:firstLineChars="612"/>
        <w:rPr>
          <w:rFonts w:hAnsi="宋体" w:cs="宋体"/>
          <w:b/>
          <w:bCs/>
          <w:sz w:val="30"/>
          <w:szCs w:val="30"/>
          <w:highlight w:val="none"/>
        </w:rPr>
      </w:pPr>
      <w:r>
        <w:rPr>
          <w:rFonts w:hint="eastAsia" w:hAnsi="宋体" w:cs="宋体"/>
          <w:b/>
          <w:bCs/>
          <w:sz w:val="30"/>
          <w:szCs w:val="30"/>
          <w:highlight w:val="none"/>
        </w:rPr>
        <w:t xml:space="preserve">  谈判方案说明</w:t>
      </w:r>
    </w:p>
    <w:p w14:paraId="6A54ED53">
      <w:pPr>
        <w:pStyle w:val="9"/>
        <w:spacing w:line="500" w:lineRule="exact"/>
        <w:ind w:firstLine="1966" w:firstLineChars="612"/>
        <w:rPr>
          <w:rFonts w:hAnsi="宋体" w:cs="宋体"/>
          <w:b/>
          <w:sz w:val="32"/>
          <w:szCs w:val="32"/>
          <w:highlight w:val="none"/>
        </w:rPr>
      </w:pPr>
    </w:p>
    <w:p w14:paraId="14A51392">
      <w:pPr>
        <w:pStyle w:val="9"/>
        <w:spacing w:line="500" w:lineRule="exact"/>
        <w:ind w:firstLine="1843" w:firstLineChars="612"/>
        <w:rPr>
          <w:rFonts w:hAnsi="宋体" w:cs="宋体"/>
          <w:b/>
          <w:sz w:val="30"/>
          <w:szCs w:val="30"/>
          <w:highlight w:val="none"/>
        </w:rPr>
      </w:pPr>
      <w:r>
        <w:rPr>
          <w:rFonts w:hint="eastAsia" w:hAnsi="宋体" w:cs="宋体"/>
          <w:b/>
          <w:sz w:val="30"/>
          <w:szCs w:val="30"/>
          <w:highlight w:val="none"/>
        </w:rPr>
        <w:t>第五部分   商承诺书</w:t>
      </w:r>
    </w:p>
    <w:p w14:paraId="79ECCA1F">
      <w:pPr>
        <w:pStyle w:val="9"/>
        <w:spacing w:line="500" w:lineRule="exact"/>
        <w:ind w:firstLine="1843" w:firstLineChars="612"/>
        <w:rPr>
          <w:rFonts w:hAnsi="宋体" w:cs="宋体"/>
          <w:b/>
          <w:sz w:val="30"/>
          <w:szCs w:val="30"/>
          <w:highlight w:val="none"/>
        </w:rPr>
      </w:pPr>
    </w:p>
    <w:p w14:paraId="47F7B2BC">
      <w:pPr>
        <w:spacing w:line="360" w:lineRule="atLeast"/>
        <w:ind w:firstLine="1843" w:firstLineChars="612"/>
        <w:rPr>
          <w:rFonts w:ascii="宋体" w:hAnsi="宋体" w:cs="宋体"/>
          <w:b/>
          <w:sz w:val="32"/>
          <w:highlight w:val="none"/>
        </w:rPr>
      </w:pPr>
      <w:r>
        <w:rPr>
          <w:rFonts w:hint="eastAsia" w:ascii="宋体" w:hAnsi="宋体" w:cs="宋体"/>
          <w:b/>
          <w:bCs/>
          <w:sz w:val="30"/>
          <w:szCs w:val="30"/>
          <w:highlight w:val="none"/>
        </w:rPr>
        <w:t xml:space="preserve">第六部分   </w:t>
      </w:r>
      <w:r>
        <w:rPr>
          <w:rFonts w:hint="eastAsia" w:ascii="宋体" w:hAnsi="宋体" w:cs="宋体"/>
          <w:b/>
          <w:sz w:val="32"/>
          <w:highlight w:val="none"/>
        </w:rPr>
        <w:t>供应商资格证明文件</w:t>
      </w:r>
    </w:p>
    <w:p w14:paraId="2FA7C502">
      <w:pPr>
        <w:spacing w:line="500" w:lineRule="exact"/>
        <w:ind w:firstLine="1843" w:firstLineChars="612"/>
        <w:rPr>
          <w:rFonts w:ascii="宋体" w:hAnsi="宋体" w:cs="宋体"/>
          <w:b/>
          <w:bCs/>
          <w:sz w:val="30"/>
          <w:szCs w:val="30"/>
          <w:highlight w:val="none"/>
        </w:rPr>
      </w:pPr>
    </w:p>
    <w:p w14:paraId="7566D3B8">
      <w:pPr>
        <w:spacing w:line="360" w:lineRule="atLeast"/>
        <w:jc w:val="center"/>
        <w:rPr>
          <w:rFonts w:ascii="宋体" w:hAnsi="宋体" w:cs="宋体"/>
          <w:b/>
          <w:sz w:val="32"/>
          <w:szCs w:val="32"/>
          <w:highlight w:val="none"/>
        </w:rPr>
      </w:pPr>
      <w:r>
        <w:rPr>
          <w:rFonts w:hint="eastAsia" w:ascii="宋体" w:hAnsi="宋体" w:cs="宋体"/>
          <w:b/>
          <w:sz w:val="32"/>
          <w:szCs w:val="32"/>
          <w:highlight w:val="none"/>
        </w:rPr>
        <w:t xml:space="preserve">  </w:t>
      </w:r>
    </w:p>
    <w:p w14:paraId="5149A665">
      <w:pPr>
        <w:pStyle w:val="5"/>
        <w:spacing w:before="312" w:beforeLines="100"/>
        <w:ind w:firstLine="640"/>
        <w:jc w:val="center"/>
        <w:outlineLvl w:val="1"/>
        <w:rPr>
          <w:rFonts w:ascii="宋体" w:hAnsi="宋体" w:eastAsia="宋体" w:cs="宋体"/>
          <w:bCs w:val="0"/>
          <w:sz w:val="32"/>
          <w:highlight w:val="none"/>
        </w:rPr>
      </w:pPr>
      <w:r>
        <w:rPr>
          <w:rFonts w:hint="eastAsia" w:ascii="宋体" w:hAnsi="宋体" w:eastAsia="宋体" w:cs="宋体"/>
          <w:b w:val="0"/>
          <w:sz w:val="32"/>
          <w:highlight w:val="none"/>
        </w:rPr>
        <w:br w:type="page"/>
      </w:r>
      <w:r>
        <w:rPr>
          <w:rFonts w:hint="eastAsia" w:ascii="宋体" w:hAnsi="宋体" w:eastAsia="宋体" w:cs="宋体"/>
          <w:sz w:val="32"/>
          <w:highlight w:val="none"/>
          <w:lang w:val="zh-CN"/>
        </w:rPr>
        <w:t>第一部分  谈判响应函</w:t>
      </w:r>
    </w:p>
    <w:p w14:paraId="6285D870">
      <w:pPr>
        <w:spacing w:line="360" w:lineRule="auto"/>
        <w:jc w:val="left"/>
        <w:rPr>
          <w:rFonts w:ascii="宋体" w:hAnsi="宋体" w:cs="宋体"/>
          <w:sz w:val="24"/>
          <w:highlight w:val="none"/>
        </w:rPr>
      </w:pPr>
      <w:r>
        <w:rPr>
          <w:rFonts w:hint="eastAsia" w:ascii="宋体" w:hAnsi="宋体" w:cs="宋体"/>
          <w:sz w:val="24"/>
          <w:highlight w:val="none"/>
          <w:lang w:eastAsia="zh-CN"/>
        </w:rPr>
        <w:t>陕西至诚项目管理集团有限公司</w:t>
      </w:r>
      <w:r>
        <w:rPr>
          <w:rFonts w:hint="eastAsia" w:ascii="宋体" w:hAnsi="宋体" w:cs="宋体"/>
          <w:sz w:val="24"/>
          <w:highlight w:val="none"/>
        </w:rPr>
        <w:t>：</w:t>
      </w:r>
    </w:p>
    <w:p w14:paraId="43C2224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我单位收到贵公司</w:t>
      </w:r>
      <w:r>
        <w:rPr>
          <w:rFonts w:hint="eastAsia" w:ascii="宋体" w:hAnsi="宋体" w:cs="宋体"/>
          <w:sz w:val="24"/>
          <w:highlight w:val="none"/>
          <w:u w:val="single"/>
        </w:rPr>
        <w:t xml:space="preserve">              （项目名称/项目编号）</w:t>
      </w:r>
      <w:r>
        <w:rPr>
          <w:rFonts w:hint="eastAsia" w:ascii="宋体" w:hAnsi="宋体" w:cs="宋体"/>
          <w:sz w:val="24"/>
          <w:highlight w:val="none"/>
        </w:rPr>
        <w:t>单一来源采购文件，经详细研究，我们决定参加本次谈判采购活动。为此，我方郑重声明以下诸点，并负法律责任。</w:t>
      </w:r>
    </w:p>
    <w:p w14:paraId="3A593AC4">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1、愿意按照单一来源采购文件中的一切要求，提供谈判产品及技术服务，完成合同的责任和义务。</w:t>
      </w:r>
    </w:p>
    <w:p w14:paraId="5C01918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2、按单一来源采购文件的规定，我公司的第一次谈判总报价为：人民币（大写）：         （￥：   万元），并对其后的谈判报价负法律责任。</w:t>
      </w:r>
    </w:p>
    <w:p w14:paraId="1177A5A9">
      <w:pPr>
        <w:spacing w:line="360" w:lineRule="auto"/>
        <w:ind w:firstLine="480" w:firstLineChars="200"/>
        <w:jc w:val="left"/>
        <w:outlineLvl w:val="2"/>
        <w:rPr>
          <w:rFonts w:ascii="宋体" w:hAnsi="宋体" w:cs="宋体"/>
          <w:sz w:val="24"/>
          <w:highlight w:val="none"/>
        </w:rPr>
      </w:pPr>
      <w:r>
        <w:rPr>
          <w:rFonts w:hint="eastAsia" w:ascii="宋体" w:hAnsi="宋体" w:cs="宋体"/>
          <w:sz w:val="24"/>
          <w:highlight w:val="none"/>
        </w:rPr>
        <w:t>3、我方提交的单一来源采购响应文件正本一份、副本二份。</w:t>
      </w:r>
    </w:p>
    <w:p w14:paraId="6FA7E60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4、我方已详细阅读了单一来源采购文件，完全理解并放弃提出含糊不清或易形成歧义的表述和资料。</w:t>
      </w:r>
    </w:p>
    <w:p w14:paraId="4FCA764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5、谈判后在规定的有效期内撤回谈判，我们愿接受政府采购的有关处罚决定。</w:t>
      </w:r>
    </w:p>
    <w:p w14:paraId="0AABEBF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6、同意向贵方提供可能要求的，与本次谈判有关的任何证据或资料。我们完全理解最低谈判报价不作为成交的唯一条件，且尊重谈判小组的评审结论和结果。</w:t>
      </w:r>
    </w:p>
    <w:p w14:paraId="14AE46E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7、我方的单一来源采购响应文件在谈判后有效期为90个日历天，若我方成交，单一来源采购响应文件有效期延长至合同执行完毕。</w:t>
      </w:r>
    </w:p>
    <w:p w14:paraId="5F7DCBAD">
      <w:pPr>
        <w:spacing w:line="360" w:lineRule="auto"/>
        <w:ind w:firstLine="480" w:firstLineChars="200"/>
        <w:jc w:val="left"/>
        <w:outlineLvl w:val="2"/>
        <w:rPr>
          <w:rFonts w:ascii="宋体" w:hAnsi="宋体" w:cs="宋体"/>
          <w:sz w:val="24"/>
          <w:highlight w:val="none"/>
        </w:rPr>
      </w:pPr>
      <w:r>
        <w:rPr>
          <w:rFonts w:hint="eastAsia" w:ascii="宋体" w:hAnsi="宋体" w:cs="宋体"/>
          <w:sz w:val="24"/>
          <w:highlight w:val="none"/>
        </w:rPr>
        <w:t>8、有关于本单一来源采购文件的函电，请按下列地址联系。</w:t>
      </w:r>
    </w:p>
    <w:p w14:paraId="74C80A2E">
      <w:pPr>
        <w:spacing w:line="360" w:lineRule="auto"/>
        <w:jc w:val="left"/>
        <w:rPr>
          <w:rFonts w:ascii="宋体" w:hAnsi="宋体" w:cs="宋体"/>
          <w:sz w:val="24"/>
          <w:highlight w:val="none"/>
        </w:rPr>
      </w:pPr>
      <w:r>
        <w:rPr>
          <w:rFonts w:hint="eastAsia" w:ascii="宋体" w:hAnsi="宋体" w:cs="宋体"/>
          <w:sz w:val="24"/>
          <w:highlight w:val="none"/>
        </w:rPr>
        <w:t>供应商全称（印章）：</w:t>
      </w:r>
    </w:p>
    <w:p w14:paraId="496691B8">
      <w:pPr>
        <w:spacing w:line="360" w:lineRule="auto"/>
        <w:jc w:val="center"/>
        <w:rPr>
          <w:rFonts w:ascii="宋体" w:hAnsi="宋体" w:cs="宋体"/>
          <w:sz w:val="24"/>
          <w:highlight w:val="none"/>
        </w:rPr>
      </w:pPr>
      <w:r>
        <w:rPr>
          <w:rFonts w:hint="eastAsia" w:ascii="宋体" w:hAnsi="宋体" w:cs="宋体"/>
          <w:sz w:val="24"/>
          <w:highlight w:val="none"/>
        </w:rPr>
        <w:t>地    址：__________________________________________</w:t>
      </w:r>
    </w:p>
    <w:p w14:paraId="706A636B">
      <w:pPr>
        <w:spacing w:line="360" w:lineRule="auto"/>
        <w:jc w:val="center"/>
        <w:rPr>
          <w:rFonts w:ascii="宋体" w:hAnsi="宋体" w:cs="宋体"/>
          <w:sz w:val="24"/>
          <w:highlight w:val="none"/>
        </w:rPr>
      </w:pPr>
      <w:r>
        <w:rPr>
          <w:rFonts w:hint="eastAsia" w:ascii="宋体" w:hAnsi="宋体" w:cs="宋体"/>
          <w:sz w:val="24"/>
          <w:highlight w:val="none"/>
        </w:rPr>
        <w:t>开户银行：__________________________________________</w:t>
      </w:r>
    </w:p>
    <w:p w14:paraId="6B0B77C3">
      <w:pPr>
        <w:spacing w:line="360" w:lineRule="auto"/>
        <w:jc w:val="center"/>
        <w:rPr>
          <w:rFonts w:ascii="宋体" w:hAnsi="宋体" w:cs="宋体"/>
          <w:sz w:val="24"/>
          <w:highlight w:val="none"/>
        </w:rPr>
      </w:pPr>
      <w:r>
        <w:rPr>
          <w:rFonts w:hint="eastAsia" w:ascii="宋体" w:hAnsi="宋体" w:cs="宋体"/>
          <w:sz w:val="24"/>
          <w:highlight w:val="none"/>
        </w:rPr>
        <w:t>帐    号：__________________________________________</w:t>
      </w:r>
    </w:p>
    <w:p w14:paraId="4F1AAA6E">
      <w:pPr>
        <w:spacing w:line="360" w:lineRule="auto"/>
        <w:jc w:val="center"/>
        <w:rPr>
          <w:rFonts w:ascii="宋体" w:hAnsi="宋体" w:cs="宋体"/>
          <w:sz w:val="24"/>
          <w:highlight w:val="none"/>
        </w:rPr>
      </w:pPr>
      <w:r>
        <w:rPr>
          <w:rFonts w:hint="eastAsia" w:ascii="宋体" w:hAnsi="宋体" w:cs="宋体"/>
          <w:sz w:val="24"/>
          <w:highlight w:val="none"/>
        </w:rPr>
        <w:t>电    话：__________________________________________</w:t>
      </w:r>
    </w:p>
    <w:p w14:paraId="3509444B">
      <w:pPr>
        <w:spacing w:line="360" w:lineRule="auto"/>
        <w:jc w:val="center"/>
        <w:rPr>
          <w:rFonts w:ascii="宋体" w:hAnsi="宋体" w:cs="宋体"/>
          <w:sz w:val="24"/>
          <w:highlight w:val="none"/>
        </w:rPr>
      </w:pPr>
      <w:r>
        <w:rPr>
          <w:rFonts w:hint="eastAsia" w:ascii="宋体" w:hAnsi="宋体" w:cs="宋体"/>
          <w:sz w:val="24"/>
          <w:highlight w:val="none"/>
        </w:rPr>
        <w:t>传    真：__________________________________________</w:t>
      </w:r>
    </w:p>
    <w:p w14:paraId="3F692B03">
      <w:pPr>
        <w:spacing w:line="360" w:lineRule="auto"/>
        <w:jc w:val="center"/>
        <w:rPr>
          <w:rFonts w:ascii="宋体" w:hAnsi="宋体" w:cs="宋体"/>
          <w:sz w:val="24"/>
          <w:highlight w:val="none"/>
        </w:rPr>
      </w:pPr>
      <w:r>
        <w:rPr>
          <w:rFonts w:hint="eastAsia" w:ascii="宋体" w:hAnsi="宋体" w:cs="宋体"/>
          <w:sz w:val="24"/>
          <w:highlight w:val="none"/>
        </w:rPr>
        <w:t>授权代表：_________________________________________</w:t>
      </w:r>
    </w:p>
    <w:p w14:paraId="76AA687D">
      <w:pPr>
        <w:spacing w:line="360" w:lineRule="auto"/>
        <w:jc w:val="center"/>
        <w:rPr>
          <w:rFonts w:ascii="宋体" w:hAnsi="宋体" w:cs="宋体"/>
          <w:sz w:val="24"/>
          <w:highlight w:val="none"/>
        </w:rPr>
      </w:pPr>
      <w:r>
        <w:rPr>
          <w:rFonts w:hint="eastAsia" w:ascii="宋体" w:hAnsi="宋体" w:cs="宋体"/>
          <w:sz w:val="24"/>
          <w:highlight w:val="none"/>
        </w:rPr>
        <w:t xml:space="preserve">                 _____年_____月_____日</w:t>
      </w:r>
    </w:p>
    <w:p w14:paraId="60A267C5">
      <w:pPr>
        <w:pStyle w:val="5"/>
        <w:spacing w:before="312" w:beforeLines="100"/>
        <w:ind w:firstLine="482"/>
        <w:jc w:val="center"/>
        <w:outlineLvl w:val="1"/>
        <w:rPr>
          <w:rFonts w:ascii="宋体" w:hAnsi="宋体" w:eastAsia="宋体" w:cs="宋体"/>
          <w:b w:val="0"/>
          <w:sz w:val="32"/>
          <w:highlight w:val="none"/>
        </w:rPr>
      </w:pPr>
      <w:r>
        <w:rPr>
          <w:rFonts w:hint="eastAsia" w:ascii="宋体" w:hAnsi="宋体" w:eastAsia="宋体" w:cs="宋体"/>
          <w:sz w:val="24"/>
          <w:highlight w:val="none"/>
        </w:rPr>
        <w:br w:type="page"/>
      </w:r>
      <w:r>
        <w:rPr>
          <w:rFonts w:hint="eastAsia" w:ascii="宋体" w:hAnsi="宋体" w:eastAsia="宋体" w:cs="宋体"/>
          <w:sz w:val="36"/>
          <w:szCs w:val="36"/>
          <w:highlight w:val="none"/>
          <w:lang w:val="zh-CN"/>
        </w:rPr>
        <w:t>第二部分  谈判报价表</w:t>
      </w:r>
    </w:p>
    <w:p w14:paraId="40BD8E1D">
      <w:pPr>
        <w:jc w:val="center"/>
        <w:outlineLvl w:val="2"/>
        <w:rPr>
          <w:rFonts w:ascii="宋体" w:hAnsi="宋体" w:cs="宋体"/>
          <w:b/>
          <w:sz w:val="30"/>
          <w:szCs w:val="30"/>
          <w:highlight w:val="none"/>
        </w:rPr>
      </w:pPr>
      <w:r>
        <w:rPr>
          <w:rFonts w:hint="eastAsia" w:ascii="宋体" w:hAnsi="宋体" w:cs="宋体"/>
          <w:b/>
          <w:sz w:val="30"/>
          <w:szCs w:val="30"/>
          <w:highlight w:val="none"/>
        </w:rPr>
        <w:t>2.1谈判报价表</w:t>
      </w:r>
    </w:p>
    <w:p w14:paraId="12AE4219">
      <w:pPr>
        <w:kinsoku w:val="0"/>
        <w:spacing w:line="500" w:lineRule="exact"/>
        <w:ind w:firstLine="240" w:firstLineChars="100"/>
        <w:rPr>
          <w:rFonts w:ascii="宋体" w:hAnsi="宋体" w:cs="宋体"/>
          <w:sz w:val="24"/>
          <w:highlight w:val="none"/>
        </w:rPr>
      </w:pPr>
      <w:r>
        <w:rPr>
          <w:rFonts w:hint="eastAsia" w:ascii="宋体" w:hAnsi="宋体" w:cs="宋体"/>
          <w:sz w:val="24"/>
          <w:highlight w:val="none"/>
        </w:rPr>
        <w:t xml:space="preserve">项目名称：                                                   </w:t>
      </w:r>
    </w:p>
    <w:tbl>
      <w:tblPr>
        <w:tblStyle w:val="16"/>
        <w:tblpPr w:leftFromText="180" w:rightFromText="180" w:vertAnchor="text" w:horzAnchor="page" w:tblpX="1297" w:tblpY="1078"/>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3211"/>
        <w:gridCol w:w="2663"/>
      </w:tblGrid>
      <w:tr w14:paraId="14E5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753" w:type="pct"/>
            <w:vAlign w:val="center"/>
          </w:tcPr>
          <w:p w14:paraId="5E2207A9">
            <w:pPr>
              <w:kinsoku w:val="0"/>
              <w:spacing w:line="500" w:lineRule="exact"/>
              <w:jc w:val="center"/>
              <w:rPr>
                <w:rFonts w:ascii="宋体" w:hAnsi="宋体" w:cs="宋体"/>
                <w:sz w:val="24"/>
                <w:highlight w:val="none"/>
              </w:rPr>
            </w:pPr>
            <w:r>
              <w:rPr>
                <w:rFonts w:hint="eastAsia" w:ascii="宋体" w:hAnsi="宋体" w:cs="宋体"/>
                <w:sz w:val="24"/>
                <w:highlight w:val="none"/>
              </w:rPr>
              <w:t>谈判总报价（元）</w:t>
            </w:r>
          </w:p>
        </w:tc>
        <w:tc>
          <w:tcPr>
            <w:tcW w:w="1775" w:type="pct"/>
            <w:vAlign w:val="center"/>
          </w:tcPr>
          <w:p w14:paraId="7CDFF3B8">
            <w:pPr>
              <w:kinsoku w:val="0"/>
              <w:spacing w:line="50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服务期</w:t>
            </w:r>
          </w:p>
        </w:tc>
        <w:tc>
          <w:tcPr>
            <w:tcW w:w="1470" w:type="pct"/>
            <w:vAlign w:val="center"/>
          </w:tcPr>
          <w:p w14:paraId="2AC53023">
            <w:pPr>
              <w:kinsoku w:val="0"/>
              <w:spacing w:line="500" w:lineRule="exact"/>
              <w:jc w:val="center"/>
              <w:rPr>
                <w:rFonts w:ascii="宋体" w:hAnsi="宋体" w:cs="宋体"/>
                <w:sz w:val="24"/>
                <w:highlight w:val="none"/>
              </w:rPr>
            </w:pPr>
            <w:r>
              <w:rPr>
                <w:rFonts w:hint="eastAsia" w:ascii="宋体" w:hAnsi="宋体" w:cs="宋体"/>
                <w:sz w:val="24"/>
                <w:highlight w:val="none"/>
              </w:rPr>
              <w:t>备 注</w:t>
            </w:r>
          </w:p>
        </w:tc>
      </w:tr>
      <w:tr w14:paraId="547E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753" w:type="pct"/>
            <w:vAlign w:val="center"/>
          </w:tcPr>
          <w:p w14:paraId="3A58C54E">
            <w:pPr>
              <w:kinsoku w:val="0"/>
              <w:spacing w:line="500" w:lineRule="exact"/>
              <w:jc w:val="center"/>
              <w:rPr>
                <w:rFonts w:ascii="宋体" w:hAnsi="宋体" w:cs="宋体"/>
                <w:sz w:val="24"/>
                <w:highlight w:val="none"/>
              </w:rPr>
            </w:pPr>
          </w:p>
        </w:tc>
        <w:tc>
          <w:tcPr>
            <w:tcW w:w="1775" w:type="pct"/>
            <w:vAlign w:val="center"/>
          </w:tcPr>
          <w:p w14:paraId="560C7001">
            <w:pPr>
              <w:kinsoku w:val="0"/>
              <w:spacing w:line="500" w:lineRule="exact"/>
              <w:jc w:val="center"/>
              <w:rPr>
                <w:rFonts w:ascii="宋体" w:hAnsi="宋体" w:cs="宋体"/>
                <w:sz w:val="24"/>
                <w:highlight w:val="none"/>
              </w:rPr>
            </w:pPr>
          </w:p>
        </w:tc>
        <w:tc>
          <w:tcPr>
            <w:tcW w:w="1470" w:type="pct"/>
            <w:vAlign w:val="center"/>
          </w:tcPr>
          <w:p w14:paraId="76C54519">
            <w:pPr>
              <w:kinsoku w:val="0"/>
              <w:spacing w:line="500" w:lineRule="exact"/>
              <w:jc w:val="center"/>
              <w:rPr>
                <w:rFonts w:ascii="宋体" w:hAnsi="宋体" w:cs="宋体"/>
                <w:sz w:val="24"/>
                <w:highlight w:val="none"/>
              </w:rPr>
            </w:pPr>
          </w:p>
        </w:tc>
      </w:tr>
      <w:tr w14:paraId="0175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000" w:type="pct"/>
            <w:gridSpan w:val="3"/>
            <w:vAlign w:val="center"/>
          </w:tcPr>
          <w:p w14:paraId="4B081045">
            <w:pPr>
              <w:kinsoku w:val="0"/>
              <w:spacing w:line="500" w:lineRule="exact"/>
              <w:jc w:val="center"/>
              <w:rPr>
                <w:rFonts w:ascii="宋体" w:hAnsi="宋体" w:cs="宋体"/>
                <w:sz w:val="24"/>
                <w:highlight w:val="none"/>
              </w:rPr>
            </w:pPr>
            <w:r>
              <w:rPr>
                <w:rFonts w:hint="eastAsia" w:ascii="宋体" w:hAnsi="宋体" w:cs="宋体"/>
                <w:sz w:val="24"/>
                <w:highlight w:val="none"/>
              </w:rPr>
              <w:t>谈判总报价：人民币（大写）                                    ￥：        元</w:t>
            </w:r>
          </w:p>
        </w:tc>
      </w:tr>
      <w:tr w14:paraId="06AC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000" w:type="pct"/>
            <w:gridSpan w:val="3"/>
            <w:vAlign w:val="center"/>
          </w:tcPr>
          <w:p w14:paraId="32863837">
            <w:pPr>
              <w:kinsoku w:val="0"/>
              <w:spacing w:line="500" w:lineRule="exact"/>
              <w:jc w:val="left"/>
              <w:rPr>
                <w:rFonts w:ascii="宋体" w:hAnsi="宋体" w:cs="宋体"/>
                <w:sz w:val="24"/>
                <w:highlight w:val="none"/>
              </w:rPr>
            </w:pPr>
            <w:r>
              <w:rPr>
                <w:rFonts w:hint="eastAsia" w:ascii="宋体" w:hAnsi="宋体" w:cs="宋体"/>
                <w:sz w:val="24"/>
                <w:highlight w:val="none"/>
              </w:rPr>
              <w:t>备注：表内报价内容以元为单位，保留小数点后两位。</w:t>
            </w:r>
          </w:p>
        </w:tc>
      </w:tr>
    </w:tbl>
    <w:p w14:paraId="67D6DD03">
      <w:pPr>
        <w:kinsoku w:val="0"/>
        <w:spacing w:line="500" w:lineRule="exact"/>
        <w:ind w:firstLine="120" w:firstLineChars="50"/>
        <w:rPr>
          <w:rFonts w:ascii="宋体" w:hAnsi="宋体" w:cs="宋体"/>
          <w:sz w:val="24"/>
          <w:highlight w:val="none"/>
        </w:rPr>
      </w:pPr>
      <w:r>
        <w:rPr>
          <w:rFonts w:hint="eastAsia" w:ascii="宋体" w:hAnsi="宋体" w:cs="宋体"/>
          <w:sz w:val="24"/>
          <w:highlight w:val="none"/>
        </w:rPr>
        <w:t xml:space="preserve"> 项目编号：</w:t>
      </w:r>
    </w:p>
    <w:p w14:paraId="6CB9809A">
      <w:pPr>
        <w:kinsoku w:val="0"/>
        <w:spacing w:line="500" w:lineRule="exact"/>
        <w:rPr>
          <w:rFonts w:ascii="宋体" w:hAnsi="宋体" w:cs="宋体"/>
          <w:sz w:val="28"/>
          <w:szCs w:val="28"/>
          <w:highlight w:val="none"/>
        </w:rPr>
      </w:pPr>
    </w:p>
    <w:p w14:paraId="423AC86A">
      <w:pPr>
        <w:pStyle w:val="9"/>
        <w:spacing w:line="440" w:lineRule="exact"/>
        <w:ind w:firstLine="480" w:firstLineChars="200"/>
        <w:jc w:val="left"/>
        <w:rPr>
          <w:rFonts w:hAnsi="宋体" w:cs="宋体"/>
          <w:sz w:val="24"/>
          <w:szCs w:val="24"/>
          <w:highlight w:val="none"/>
        </w:rPr>
      </w:pPr>
    </w:p>
    <w:p w14:paraId="14704870">
      <w:pPr>
        <w:pStyle w:val="9"/>
        <w:spacing w:line="440" w:lineRule="exact"/>
        <w:ind w:firstLine="480" w:firstLineChars="200"/>
        <w:jc w:val="left"/>
        <w:rPr>
          <w:rFonts w:hAnsi="宋体" w:cs="宋体"/>
          <w:sz w:val="24"/>
          <w:szCs w:val="24"/>
          <w:highlight w:val="none"/>
        </w:rPr>
      </w:pPr>
      <w:r>
        <w:rPr>
          <w:rFonts w:hint="eastAsia" w:hAnsi="宋体" w:cs="宋体"/>
          <w:sz w:val="24"/>
          <w:szCs w:val="24"/>
          <w:highlight w:val="none"/>
        </w:rPr>
        <w:t xml:space="preserve">供应商（公章）：          </w:t>
      </w:r>
    </w:p>
    <w:p w14:paraId="1F855E03">
      <w:pPr>
        <w:pStyle w:val="9"/>
        <w:spacing w:line="440" w:lineRule="exact"/>
        <w:ind w:firstLine="480" w:firstLineChars="200"/>
        <w:jc w:val="left"/>
        <w:rPr>
          <w:rFonts w:hAnsi="宋体" w:cs="宋体"/>
          <w:sz w:val="24"/>
          <w:szCs w:val="24"/>
          <w:highlight w:val="none"/>
        </w:rPr>
      </w:pPr>
    </w:p>
    <w:p w14:paraId="63A40971">
      <w:pPr>
        <w:pStyle w:val="9"/>
        <w:spacing w:line="440" w:lineRule="exact"/>
        <w:ind w:firstLine="480" w:firstLineChars="200"/>
        <w:jc w:val="left"/>
        <w:rPr>
          <w:rFonts w:hAnsi="宋体" w:cs="宋体"/>
          <w:sz w:val="24"/>
          <w:szCs w:val="24"/>
          <w:highlight w:val="none"/>
        </w:rPr>
      </w:pPr>
      <w:r>
        <w:rPr>
          <w:rFonts w:hint="eastAsia" w:hAnsi="宋体" w:cs="宋体"/>
          <w:sz w:val="24"/>
          <w:szCs w:val="24"/>
          <w:highlight w:val="none"/>
        </w:rPr>
        <w:t>法定代表人/授权代表（签字或盖章）：</w:t>
      </w:r>
    </w:p>
    <w:p w14:paraId="38AA96D2">
      <w:pPr>
        <w:pStyle w:val="9"/>
        <w:spacing w:line="440" w:lineRule="exact"/>
        <w:ind w:firstLine="480" w:firstLineChars="200"/>
        <w:jc w:val="left"/>
        <w:rPr>
          <w:rFonts w:hAnsi="宋体" w:cs="宋体"/>
          <w:sz w:val="24"/>
          <w:szCs w:val="24"/>
          <w:highlight w:val="none"/>
        </w:rPr>
      </w:pPr>
      <w:r>
        <w:rPr>
          <w:rFonts w:hint="eastAsia" w:hAnsi="宋体" w:cs="宋体"/>
          <w:sz w:val="24"/>
          <w:szCs w:val="24"/>
          <w:highlight w:val="none"/>
        </w:rPr>
        <w:t xml:space="preserve">             </w:t>
      </w:r>
    </w:p>
    <w:p w14:paraId="76F30D84">
      <w:pPr>
        <w:pStyle w:val="9"/>
        <w:spacing w:line="440" w:lineRule="exact"/>
        <w:ind w:firstLine="480" w:firstLineChars="200"/>
        <w:jc w:val="left"/>
        <w:rPr>
          <w:rFonts w:hAnsi="宋体" w:cs="宋体"/>
          <w:sz w:val="24"/>
          <w:szCs w:val="24"/>
          <w:highlight w:val="none"/>
        </w:rPr>
      </w:pPr>
      <w:r>
        <w:rPr>
          <w:rFonts w:hint="eastAsia" w:hAnsi="宋体" w:cs="宋体"/>
          <w:sz w:val="24"/>
          <w:szCs w:val="24"/>
          <w:highlight w:val="none"/>
        </w:rPr>
        <w:t xml:space="preserve">                        年       月      日</w:t>
      </w:r>
    </w:p>
    <w:p w14:paraId="33C2A5A0">
      <w:pPr>
        <w:jc w:val="center"/>
        <w:outlineLvl w:val="2"/>
        <w:rPr>
          <w:rFonts w:hint="eastAsia" w:ascii="宋体" w:hAnsi="宋体" w:cs="宋体"/>
          <w:b/>
          <w:sz w:val="30"/>
          <w:szCs w:val="30"/>
          <w:highlight w:val="none"/>
        </w:rPr>
      </w:pPr>
      <w:r>
        <w:rPr>
          <w:rFonts w:hint="eastAsia" w:ascii="宋体" w:hAnsi="宋体" w:cs="宋体"/>
          <w:sz w:val="24"/>
          <w:highlight w:val="none"/>
        </w:rPr>
        <w:br w:type="page"/>
      </w:r>
      <w:r>
        <w:rPr>
          <w:rFonts w:hint="eastAsia" w:ascii="宋体" w:hAnsi="宋体" w:cs="宋体"/>
          <w:b/>
          <w:sz w:val="30"/>
          <w:szCs w:val="30"/>
          <w:highlight w:val="none"/>
        </w:rPr>
        <w:t>2.2谈判分项报价表</w:t>
      </w:r>
    </w:p>
    <w:p w14:paraId="0D64B94C">
      <w:pPr>
        <w:jc w:val="center"/>
        <w:rPr>
          <w:rFonts w:hint="eastAsia" w:ascii="宋体" w:hAnsi="宋体" w:eastAsia="宋体" w:cs="宋体"/>
          <w:sz w:val="36"/>
          <w:szCs w:val="36"/>
          <w:highlight w:val="none"/>
          <w:lang w:val="zh-CN"/>
        </w:rPr>
      </w:pPr>
      <w:r>
        <w:rPr>
          <w:rFonts w:hint="eastAsia" w:ascii="宋体" w:hAnsi="宋体" w:cs="宋体"/>
          <w:b/>
          <w:sz w:val="30"/>
          <w:szCs w:val="30"/>
          <w:highlight w:val="none"/>
          <w:lang w:val="en-US" w:eastAsia="zh-CN"/>
        </w:rPr>
        <w:t>格式自拟</w:t>
      </w:r>
      <w:bookmarkStart w:id="55" w:name="_Toc9218"/>
      <w:bookmarkStart w:id="56" w:name="_Toc2621"/>
      <w:bookmarkStart w:id="57" w:name="_Toc426457713"/>
      <w:bookmarkStart w:id="58" w:name="_Toc1379"/>
      <w:bookmarkStart w:id="59" w:name="_Toc21284"/>
      <w:bookmarkStart w:id="60" w:name="_Toc23455"/>
      <w:bookmarkStart w:id="61" w:name="_Toc403077655"/>
      <w:bookmarkStart w:id="62" w:name="_Toc363474032"/>
      <w:bookmarkStart w:id="63" w:name="_Toc13421"/>
    </w:p>
    <w:p w14:paraId="1DDD8EC7">
      <w:pPr>
        <w:rPr>
          <w:rFonts w:hint="eastAsia" w:ascii="宋体" w:hAnsi="宋体" w:eastAsia="宋体" w:cs="宋体"/>
          <w:sz w:val="36"/>
          <w:szCs w:val="36"/>
          <w:highlight w:val="none"/>
          <w:lang w:val="zh-CN"/>
        </w:rPr>
      </w:pPr>
      <w:r>
        <w:rPr>
          <w:rFonts w:hint="eastAsia" w:ascii="宋体" w:hAnsi="宋体" w:eastAsia="宋体" w:cs="宋体"/>
          <w:sz w:val="36"/>
          <w:szCs w:val="36"/>
          <w:highlight w:val="none"/>
          <w:lang w:val="zh-CN"/>
        </w:rPr>
        <w:br w:type="page"/>
      </w:r>
    </w:p>
    <w:p w14:paraId="6B654145">
      <w:pPr>
        <w:pStyle w:val="5"/>
        <w:spacing w:before="312" w:beforeLines="100"/>
        <w:ind w:firstLine="0" w:firstLineChars="0"/>
        <w:jc w:val="center"/>
        <w:outlineLvl w:val="1"/>
        <w:rPr>
          <w:rFonts w:ascii="宋体" w:hAnsi="宋体" w:eastAsia="宋体" w:cs="宋体"/>
          <w:sz w:val="36"/>
          <w:szCs w:val="36"/>
          <w:highlight w:val="none"/>
        </w:rPr>
      </w:pPr>
      <w:r>
        <w:rPr>
          <w:rFonts w:hint="eastAsia" w:ascii="宋体" w:hAnsi="宋体" w:eastAsia="宋体" w:cs="宋体"/>
          <w:sz w:val="36"/>
          <w:szCs w:val="36"/>
          <w:highlight w:val="none"/>
          <w:lang w:val="zh-CN"/>
        </w:rPr>
        <w:t>第三部分</w:t>
      </w:r>
      <w:bookmarkEnd w:id="55"/>
      <w:bookmarkEnd w:id="56"/>
      <w:bookmarkEnd w:id="57"/>
      <w:bookmarkEnd w:id="58"/>
      <w:bookmarkEnd w:id="59"/>
      <w:bookmarkEnd w:id="60"/>
      <w:bookmarkEnd w:id="61"/>
      <w:bookmarkEnd w:id="62"/>
      <w:r>
        <w:rPr>
          <w:rFonts w:hint="eastAsia" w:ascii="宋体" w:hAnsi="宋体" w:eastAsia="宋体" w:cs="宋体"/>
          <w:sz w:val="36"/>
          <w:szCs w:val="36"/>
          <w:highlight w:val="none"/>
        </w:rPr>
        <w:t xml:space="preserve">  </w:t>
      </w:r>
      <w:r>
        <w:rPr>
          <w:rFonts w:hint="eastAsia" w:ascii="宋体" w:hAnsi="宋体" w:eastAsia="宋体" w:cs="宋体"/>
          <w:sz w:val="36"/>
          <w:szCs w:val="36"/>
          <w:highlight w:val="none"/>
          <w:lang w:val="zh-CN"/>
        </w:rPr>
        <w:t>商务条款偏离表</w:t>
      </w:r>
      <w:bookmarkEnd w:id="63"/>
    </w:p>
    <w:p w14:paraId="65478E3A">
      <w:pPr>
        <w:pStyle w:val="13"/>
        <w:widowControl w:val="0"/>
        <w:spacing w:before="156" w:beforeLines="50" w:after="156" w:afterLines="50"/>
        <w:ind w:firstLine="480" w:firstLineChars="200"/>
        <w:rPr>
          <w:sz w:val="24"/>
          <w:szCs w:val="24"/>
          <w:highlight w:val="none"/>
        </w:rPr>
      </w:pPr>
      <w:r>
        <w:rPr>
          <w:rFonts w:hint="eastAsia"/>
          <w:sz w:val="24"/>
          <w:szCs w:val="24"/>
          <w:highlight w:val="none"/>
        </w:rPr>
        <w:t>项目编号：</w:t>
      </w:r>
    </w:p>
    <w:p w14:paraId="261CD1CB">
      <w:pPr>
        <w:pStyle w:val="13"/>
        <w:widowControl w:val="0"/>
        <w:spacing w:before="156" w:beforeLines="50" w:after="156" w:afterLines="50"/>
        <w:ind w:firstLine="480" w:firstLineChars="200"/>
        <w:rPr>
          <w:sz w:val="24"/>
          <w:szCs w:val="24"/>
          <w:highlight w:val="none"/>
          <w:u w:val="single"/>
        </w:rPr>
      </w:pPr>
      <w:r>
        <w:rPr>
          <w:rFonts w:hint="eastAsia"/>
          <w:sz w:val="24"/>
          <w:szCs w:val="24"/>
          <w:highlight w:val="none"/>
        </w:rPr>
        <w:t>项目名称：</w:t>
      </w:r>
    </w:p>
    <w:tbl>
      <w:tblPr>
        <w:tblStyle w:val="16"/>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022D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59972CE">
            <w:pPr>
              <w:pStyle w:val="13"/>
              <w:widowControl w:val="0"/>
              <w:jc w:val="center"/>
              <w:rPr>
                <w:sz w:val="24"/>
                <w:szCs w:val="24"/>
                <w:highlight w:val="none"/>
              </w:rPr>
            </w:pPr>
            <w:r>
              <w:rPr>
                <w:rFonts w:hint="eastAsia"/>
                <w:sz w:val="24"/>
                <w:szCs w:val="24"/>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14:paraId="20228FE5">
            <w:pPr>
              <w:pStyle w:val="13"/>
              <w:widowControl w:val="0"/>
              <w:jc w:val="center"/>
              <w:rPr>
                <w:sz w:val="24"/>
                <w:szCs w:val="24"/>
                <w:highlight w:val="none"/>
              </w:rPr>
            </w:pPr>
            <w:r>
              <w:rPr>
                <w:rFonts w:hint="eastAsia" w:ascii="宋体" w:hAnsi="宋体" w:cs="宋体"/>
                <w:sz w:val="24"/>
                <w:highlight w:val="none"/>
              </w:rPr>
              <w:t>单一来源谈判文件</w:t>
            </w:r>
            <w:r>
              <w:rPr>
                <w:rFonts w:hint="eastAsia"/>
                <w:sz w:val="24"/>
                <w:szCs w:val="24"/>
                <w:highlight w:val="none"/>
              </w:rPr>
              <w:t>条目号</w:t>
            </w:r>
          </w:p>
        </w:tc>
        <w:tc>
          <w:tcPr>
            <w:tcW w:w="1995" w:type="dxa"/>
            <w:tcBorders>
              <w:top w:val="single" w:color="auto" w:sz="4" w:space="0"/>
              <w:left w:val="single" w:color="auto" w:sz="4" w:space="0"/>
              <w:bottom w:val="single" w:color="auto" w:sz="4" w:space="0"/>
              <w:right w:val="single" w:color="auto" w:sz="4" w:space="0"/>
            </w:tcBorders>
            <w:vAlign w:val="center"/>
          </w:tcPr>
          <w:p w14:paraId="5D5803E3">
            <w:pPr>
              <w:pStyle w:val="13"/>
              <w:widowControl w:val="0"/>
              <w:jc w:val="center"/>
              <w:rPr>
                <w:sz w:val="24"/>
                <w:szCs w:val="24"/>
                <w:highlight w:val="none"/>
              </w:rPr>
            </w:pPr>
            <w:r>
              <w:rPr>
                <w:rFonts w:hint="eastAsia" w:ascii="宋体" w:hAnsi="宋体" w:cs="宋体"/>
                <w:sz w:val="24"/>
                <w:highlight w:val="none"/>
              </w:rPr>
              <w:t>单一来源谈判文件</w:t>
            </w:r>
            <w:r>
              <w:rPr>
                <w:rFonts w:hint="eastAsia"/>
                <w:sz w:val="24"/>
                <w:szCs w:val="24"/>
                <w:highlight w:val="none"/>
              </w:rPr>
              <w:t>的商务条款</w:t>
            </w:r>
          </w:p>
        </w:tc>
        <w:tc>
          <w:tcPr>
            <w:tcW w:w="2085" w:type="dxa"/>
            <w:tcBorders>
              <w:top w:val="single" w:color="auto" w:sz="4" w:space="0"/>
              <w:left w:val="single" w:color="auto" w:sz="4" w:space="0"/>
              <w:bottom w:val="single" w:color="auto" w:sz="4" w:space="0"/>
              <w:right w:val="single" w:color="auto" w:sz="4" w:space="0"/>
            </w:tcBorders>
            <w:vAlign w:val="center"/>
          </w:tcPr>
          <w:p w14:paraId="7F7C9EDD">
            <w:pPr>
              <w:pStyle w:val="13"/>
              <w:widowControl w:val="0"/>
              <w:jc w:val="center"/>
              <w:rPr>
                <w:sz w:val="24"/>
                <w:szCs w:val="24"/>
                <w:highlight w:val="none"/>
              </w:rPr>
            </w:pPr>
            <w:r>
              <w:rPr>
                <w:rFonts w:hint="eastAsia"/>
                <w:sz w:val="24"/>
                <w:szCs w:val="24"/>
                <w:highlight w:val="none"/>
                <w:lang w:val="en-US" w:eastAsia="zh-CN"/>
              </w:rPr>
              <w:t>响应</w:t>
            </w:r>
            <w:r>
              <w:rPr>
                <w:rFonts w:hint="eastAsia"/>
                <w:sz w:val="24"/>
                <w:szCs w:val="24"/>
                <w:highlight w:val="none"/>
              </w:rPr>
              <w:t>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14:paraId="1AC1EDBB">
            <w:pPr>
              <w:pStyle w:val="13"/>
              <w:widowControl w:val="0"/>
              <w:jc w:val="center"/>
              <w:rPr>
                <w:sz w:val="24"/>
                <w:szCs w:val="24"/>
                <w:highlight w:val="none"/>
              </w:rPr>
            </w:pPr>
            <w:r>
              <w:rPr>
                <w:rFonts w:hint="eastAsia"/>
                <w:sz w:val="24"/>
                <w:szCs w:val="24"/>
                <w:highlight w:val="none"/>
              </w:rPr>
              <w:t>偏离</w:t>
            </w:r>
          </w:p>
        </w:tc>
        <w:tc>
          <w:tcPr>
            <w:tcW w:w="944" w:type="dxa"/>
            <w:tcBorders>
              <w:top w:val="single" w:color="auto" w:sz="4" w:space="0"/>
              <w:left w:val="single" w:color="auto" w:sz="4" w:space="0"/>
              <w:bottom w:val="single" w:color="auto" w:sz="4" w:space="0"/>
              <w:right w:val="single" w:color="auto" w:sz="4" w:space="0"/>
            </w:tcBorders>
            <w:vAlign w:val="center"/>
          </w:tcPr>
          <w:p w14:paraId="6A0B627A">
            <w:pPr>
              <w:pStyle w:val="13"/>
              <w:widowControl w:val="0"/>
              <w:jc w:val="center"/>
              <w:rPr>
                <w:sz w:val="24"/>
                <w:szCs w:val="24"/>
                <w:highlight w:val="none"/>
              </w:rPr>
            </w:pPr>
            <w:r>
              <w:rPr>
                <w:rFonts w:hint="eastAsia"/>
                <w:sz w:val="24"/>
                <w:szCs w:val="24"/>
                <w:highlight w:val="none"/>
              </w:rPr>
              <w:t>说明</w:t>
            </w:r>
          </w:p>
        </w:tc>
      </w:tr>
      <w:tr w14:paraId="72F0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BCBFB31">
            <w:pPr>
              <w:pStyle w:val="13"/>
              <w:widowControl w:val="0"/>
              <w:ind w:firstLine="420" w:firstLineChars="200"/>
              <w:jc w:val="center"/>
              <w:rPr>
                <w:sz w:val="21"/>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11CF639B">
            <w:pPr>
              <w:pStyle w:val="13"/>
              <w:widowControl w:val="0"/>
              <w:ind w:firstLine="420" w:firstLineChars="200"/>
              <w:jc w:val="center"/>
              <w:rPr>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96E0817">
            <w:pPr>
              <w:pStyle w:val="13"/>
              <w:widowControl w:val="0"/>
              <w:ind w:firstLine="420" w:firstLineChars="200"/>
              <w:jc w:val="center"/>
              <w:rPr>
                <w:sz w:val="21"/>
                <w:szCs w:val="21"/>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49C6C13">
            <w:pPr>
              <w:pStyle w:val="13"/>
              <w:widowControl w:val="0"/>
              <w:ind w:firstLine="420" w:firstLineChars="200"/>
              <w:jc w:val="center"/>
              <w:rPr>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DC2FEA5">
            <w:pPr>
              <w:pStyle w:val="13"/>
              <w:widowControl w:val="0"/>
              <w:ind w:firstLine="420" w:firstLineChars="200"/>
              <w:jc w:val="center"/>
              <w:rPr>
                <w:sz w:val="21"/>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76884E88">
            <w:pPr>
              <w:pStyle w:val="13"/>
              <w:widowControl w:val="0"/>
              <w:ind w:firstLine="420" w:firstLineChars="200"/>
              <w:jc w:val="center"/>
              <w:rPr>
                <w:sz w:val="21"/>
                <w:szCs w:val="21"/>
                <w:highlight w:val="none"/>
              </w:rPr>
            </w:pPr>
          </w:p>
        </w:tc>
      </w:tr>
      <w:tr w14:paraId="37FD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5A0D299F">
            <w:pPr>
              <w:pStyle w:val="13"/>
              <w:widowControl w:val="0"/>
              <w:ind w:firstLine="420" w:firstLineChars="200"/>
              <w:jc w:val="center"/>
              <w:rPr>
                <w:sz w:val="21"/>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442B1F4">
            <w:pPr>
              <w:pStyle w:val="13"/>
              <w:widowControl w:val="0"/>
              <w:ind w:firstLine="420" w:firstLineChars="200"/>
              <w:jc w:val="center"/>
              <w:rPr>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07A6C03">
            <w:pPr>
              <w:pStyle w:val="13"/>
              <w:widowControl w:val="0"/>
              <w:ind w:firstLine="420" w:firstLineChars="200"/>
              <w:jc w:val="center"/>
              <w:rPr>
                <w:sz w:val="21"/>
                <w:szCs w:val="21"/>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5733664C">
            <w:pPr>
              <w:pStyle w:val="13"/>
              <w:widowControl w:val="0"/>
              <w:ind w:firstLine="420" w:firstLineChars="200"/>
              <w:jc w:val="center"/>
              <w:rPr>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EE00ED">
            <w:pPr>
              <w:pStyle w:val="13"/>
              <w:widowControl w:val="0"/>
              <w:ind w:firstLine="420" w:firstLineChars="200"/>
              <w:jc w:val="center"/>
              <w:rPr>
                <w:sz w:val="21"/>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E0D9494">
            <w:pPr>
              <w:pStyle w:val="13"/>
              <w:widowControl w:val="0"/>
              <w:ind w:firstLine="420" w:firstLineChars="200"/>
              <w:jc w:val="center"/>
              <w:rPr>
                <w:sz w:val="21"/>
                <w:szCs w:val="21"/>
                <w:highlight w:val="none"/>
              </w:rPr>
            </w:pPr>
          </w:p>
        </w:tc>
      </w:tr>
      <w:tr w14:paraId="6F68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0BABCF0C">
            <w:pPr>
              <w:pStyle w:val="13"/>
              <w:widowControl w:val="0"/>
              <w:ind w:firstLine="420" w:firstLineChars="200"/>
              <w:jc w:val="center"/>
              <w:rPr>
                <w:sz w:val="21"/>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56DB26B3">
            <w:pPr>
              <w:pStyle w:val="13"/>
              <w:widowControl w:val="0"/>
              <w:ind w:firstLine="420" w:firstLineChars="200"/>
              <w:jc w:val="center"/>
              <w:rPr>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51EDC5E1">
            <w:pPr>
              <w:pStyle w:val="13"/>
              <w:widowControl w:val="0"/>
              <w:ind w:firstLine="420" w:firstLineChars="200"/>
              <w:jc w:val="center"/>
              <w:rPr>
                <w:sz w:val="21"/>
                <w:szCs w:val="21"/>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08B1C977">
            <w:pPr>
              <w:pStyle w:val="13"/>
              <w:widowControl w:val="0"/>
              <w:ind w:firstLine="420" w:firstLineChars="200"/>
              <w:jc w:val="center"/>
              <w:rPr>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D2B7C23">
            <w:pPr>
              <w:pStyle w:val="13"/>
              <w:widowControl w:val="0"/>
              <w:ind w:firstLine="420" w:firstLineChars="200"/>
              <w:jc w:val="center"/>
              <w:rPr>
                <w:sz w:val="21"/>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48559D57">
            <w:pPr>
              <w:pStyle w:val="13"/>
              <w:widowControl w:val="0"/>
              <w:ind w:firstLine="420" w:firstLineChars="200"/>
              <w:jc w:val="center"/>
              <w:rPr>
                <w:sz w:val="21"/>
                <w:szCs w:val="21"/>
                <w:highlight w:val="none"/>
              </w:rPr>
            </w:pPr>
          </w:p>
        </w:tc>
      </w:tr>
      <w:tr w14:paraId="5987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303CBD7C">
            <w:pPr>
              <w:pStyle w:val="13"/>
              <w:widowControl w:val="0"/>
              <w:ind w:firstLine="420" w:firstLineChars="200"/>
              <w:jc w:val="center"/>
              <w:rPr>
                <w:sz w:val="21"/>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2D1359B6">
            <w:pPr>
              <w:pStyle w:val="13"/>
              <w:widowControl w:val="0"/>
              <w:ind w:firstLine="420" w:firstLineChars="200"/>
              <w:jc w:val="center"/>
              <w:rPr>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0B8F58D4">
            <w:pPr>
              <w:pStyle w:val="13"/>
              <w:widowControl w:val="0"/>
              <w:ind w:firstLine="420" w:firstLineChars="200"/>
              <w:jc w:val="center"/>
              <w:rPr>
                <w:sz w:val="21"/>
                <w:szCs w:val="21"/>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1CD483E1">
            <w:pPr>
              <w:pStyle w:val="13"/>
              <w:widowControl w:val="0"/>
              <w:ind w:firstLine="420" w:firstLineChars="200"/>
              <w:jc w:val="center"/>
              <w:rPr>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0A74351">
            <w:pPr>
              <w:pStyle w:val="13"/>
              <w:widowControl w:val="0"/>
              <w:ind w:firstLine="420" w:firstLineChars="200"/>
              <w:jc w:val="center"/>
              <w:rPr>
                <w:sz w:val="21"/>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07D3F942">
            <w:pPr>
              <w:pStyle w:val="13"/>
              <w:widowControl w:val="0"/>
              <w:ind w:firstLine="420" w:firstLineChars="200"/>
              <w:jc w:val="center"/>
              <w:rPr>
                <w:sz w:val="21"/>
                <w:szCs w:val="21"/>
                <w:highlight w:val="none"/>
              </w:rPr>
            </w:pPr>
          </w:p>
        </w:tc>
      </w:tr>
      <w:tr w14:paraId="7797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vAlign w:val="center"/>
          </w:tcPr>
          <w:p w14:paraId="4F136193">
            <w:pPr>
              <w:pStyle w:val="13"/>
              <w:widowControl w:val="0"/>
              <w:ind w:firstLine="420" w:firstLineChars="200"/>
              <w:jc w:val="center"/>
              <w:rPr>
                <w:sz w:val="21"/>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14:paraId="06D73FE5">
            <w:pPr>
              <w:pStyle w:val="13"/>
              <w:widowControl w:val="0"/>
              <w:ind w:firstLine="420" w:firstLineChars="200"/>
              <w:jc w:val="center"/>
              <w:rPr>
                <w:sz w:val="21"/>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14:paraId="4F0D4E74">
            <w:pPr>
              <w:pStyle w:val="13"/>
              <w:widowControl w:val="0"/>
              <w:ind w:firstLine="420" w:firstLineChars="200"/>
              <w:jc w:val="center"/>
              <w:rPr>
                <w:sz w:val="21"/>
                <w:szCs w:val="21"/>
                <w:highlight w:val="none"/>
              </w:rPr>
            </w:pPr>
          </w:p>
        </w:tc>
        <w:tc>
          <w:tcPr>
            <w:tcW w:w="2085" w:type="dxa"/>
            <w:tcBorders>
              <w:top w:val="single" w:color="auto" w:sz="4" w:space="0"/>
              <w:left w:val="single" w:color="auto" w:sz="4" w:space="0"/>
              <w:bottom w:val="single" w:color="auto" w:sz="4" w:space="0"/>
              <w:right w:val="single" w:color="auto" w:sz="4" w:space="0"/>
            </w:tcBorders>
            <w:vAlign w:val="center"/>
          </w:tcPr>
          <w:p w14:paraId="611D57EE">
            <w:pPr>
              <w:pStyle w:val="13"/>
              <w:widowControl w:val="0"/>
              <w:ind w:firstLine="420" w:firstLineChars="200"/>
              <w:jc w:val="center"/>
              <w:rPr>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C20873">
            <w:pPr>
              <w:pStyle w:val="13"/>
              <w:widowControl w:val="0"/>
              <w:ind w:firstLine="420" w:firstLineChars="200"/>
              <w:jc w:val="center"/>
              <w:rPr>
                <w:sz w:val="21"/>
                <w:szCs w:val="21"/>
                <w:highlight w:val="none"/>
              </w:rPr>
            </w:pPr>
          </w:p>
        </w:tc>
        <w:tc>
          <w:tcPr>
            <w:tcW w:w="944" w:type="dxa"/>
            <w:tcBorders>
              <w:top w:val="single" w:color="auto" w:sz="4" w:space="0"/>
              <w:left w:val="single" w:color="auto" w:sz="4" w:space="0"/>
              <w:bottom w:val="single" w:color="auto" w:sz="4" w:space="0"/>
              <w:right w:val="single" w:color="auto" w:sz="4" w:space="0"/>
            </w:tcBorders>
            <w:vAlign w:val="center"/>
          </w:tcPr>
          <w:p w14:paraId="706C7ED1">
            <w:pPr>
              <w:pStyle w:val="13"/>
              <w:widowControl w:val="0"/>
              <w:ind w:firstLine="420" w:firstLineChars="200"/>
              <w:jc w:val="center"/>
              <w:rPr>
                <w:sz w:val="21"/>
                <w:szCs w:val="21"/>
                <w:highlight w:val="none"/>
              </w:rPr>
            </w:pPr>
          </w:p>
        </w:tc>
      </w:tr>
    </w:tbl>
    <w:p w14:paraId="0E4FCDE9">
      <w:pPr>
        <w:pStyle w:val="13"/>
        <w:widowControl w:val="0"/>
        <w:rPr>
          <w:sz w:val="24"/>
          <w:szCs w:val="24"/>
          <w:highlight w:val="none"/>
        </w:rPr>
      </w:pPr>
      <w:r>
        <w:rPr>
          <w:rFonts w:hint="eastAsia"/>
          <w:sz w:val="24"/>
          <w:szCs w:val="24"/>
          <w:highlight w:val="none"/>
        </w:rPr>
        <w:t>说明：</w:t>
      </w:r>
    </w:p>
    <w:p w14:paraId="29975453">
      <w:pPr>
        <w:pStyle w:val="13"/>
        <w:widowControl w:val="0"/>
        <w:ind w:firstLine="480" w:firstLineChars="200"/>
        <w:jc w:val="both"/>
        <w:rPr>
          <w:sz w:val="24"/>
          <w:szCs w:val="24"/>
          <w:highlight w:val="none"/>
        </w:rPr>
      </w:pPr>
      <w:r>
        <w:rPr>
          <w:rFonts w:hint="eastAsia"/>
          <w:sz w:val="24"/>
          <w:szCs w:val="24"/>
          <w:highlight w:val="none"/>
        </w:rPr>
        <w:t>1.本表只填写</w:t>
      </w:r>
      <w:r>
        <w:rPr>
          <w:rFonts w:hint="eastAsia"/>
          <w:sz w:val="24"/>
          <w:szCs w:val="24"/>
          <w:highlight w:val="none"/>
          <w:lang w:val="en-US" w:eastAsia="zh-CN"/>
        </w:rPr>
        <w:t>响应</w:t>
      </w:r>
      <w:r>
        <w:rPr>
          <w:rFonts w:hint="eastAsia"/>
          <w:sz w:val="24"/>
          <w:szCs w:val="24"/>
          <w:highlight w:val="none"/>
        </w:rPr>
        <w:t>文件中与</w:t>
      </w:r>
      <w:r>
        <w:rPr>
          <w:rFonts w:hint="eastAsia" w:ascii="宋体" w:hAnsi="宋体" w:cs="宋体"/>
          <w:sz w:val="24"/>
          <w:highlight w:val="none"/>
        </w:rPr>
        <w:t>单一来源谈判文件</w:t>
      </w:r>
      <w:r>
        <w:rPr>
          <w:rFonts w:hint="eastAsia"/>
          <w:sz w:val="24"/>
          <w:szCs w:val="24"/>
          <w:highlight w:val="none"/>
        </w:rPr>
        <w:t>有偏离（包括正偏离和负偏离）的内容，</w:t>
      </w:r>
      <w:r>
        <w:rPr>
          <w:rFonts w:hint="eastAsia"/>
          <w:sz w:val="24"/>
          <w:szCs w:val="24"/>
          <w:highlight w:val="none"/>
          <w:lang w:val="en-US" w:eastAsia="zh-CN"/>
        </w:rPr>
        <w:t>响应</w:t>
      </w:r>
      <w:r>
        <w:rPr>
          <w:rFonts w:hint="eastAsia"/>
          <w:sz w:val="24"/>
          <w:szCs w:val="24"/>
          <w:highlight w:val="none"/>
        </w:rPr>
        <w:t>文件中商务响应与</w:t>
      </w:r>
      <w:r>
        <w:rPr>
          <w:rFonts w:hint="eastAsia" w:ascii="宋体" w:hAnsi="宋体" w:cs="宋体"/>
          <w:sz w:val="24"/>
          <w:highlight w:val="none"/>
        </w:rPr>
        <w:t>单一来源谈判文件</w:t>
      </w:r>
      <w:r>
        <w:rPr>
          <w:rFonts w:hint="eastAsia"/>
          <w:sz w:val="24"/>
          <w:szCs w:val="24"/>
          <w:highlight w:val="none"/>
        </w:rPr>
        <w:t>要求完全一致的，不用在此表中列出，但必须提交空白表。</w:t>
      </w:r>
    </w:p>
    <w:p w14:paraId="6BE8046C">
      <w:pPr>
        <w:pStyle w:val="13"/>
        <w:widowControl w:val="0"/>
        <w:ind w:firstLine="480" w:firstLineChars="200"/>
        <w:rPr>
          <w:sz w:val="24"/>
          <w:szCs w:val="24"/>
          <w:highlight w:val="none"/>
        </w:rPr>
      </w:pPr>
      <w:r>
        <w:rPr>
          <w:rFonts w:hint="eastAsia"/>
          <w:sz w:val="24"/>
          <w:szCs w:val="24"/>
          <w:highlight w:val="none"/>
        </w:rPr>
        <w:t>2.供应商必须据实填写，不得虚假响应，否则将取消其投标或中标资格，并按有关规定进处罚。</w:t>
      </w:r>
    </w:p>
    <w:p w14:paraId="1CD0A068">
      <w:pPr>
        <w:pStyle w:val="13"/>
        <w:widowControl w:val="0"/>
        <w:ind w:firstLine="480" w:firstLineChars="200"/>
        <w:rPr>
          <w:sz w:val="24"/>
          <w:szCs w:val="24"/>
          <w:highlight w:val="none"/>
        </w:rPr>
      </w:pPr>
    </w:p>
    <w:p w14:paraId="1B49C5B2">
      <w:pPr>
        <w:pStyle w:val="13"/>
        <w:widowControl w:val="0"/>
        <w:ind w:firstLine="480" w:firstLineChars="200"/>
        <w:rPr>
          <w:sz w:val="24"/>
          <w:szCs w:val="24"/>
          <w:highlight w:val="none"/>
        </w:rPr>
      </w:pPr>
    </w:p>
    <w:p w14:paraId="209B7799">
      <w:pPr>
        <w:pStyle w:val="13"/>
        <w:widowControl w:val="0"/>
        <w:ind w:firstLine="480" w:firstLineChars="200"/>
        <w:rPr>
          <w:sz w:val="24"/>
          <w:szCs w:val="24"/>
          <w:highlight w:val="none"/>
        </w:rPr>
      </w:pPr>
    </w:p>
    <w:p w14:paraId="01BABFD3">
      <w:pPr>
        <w:pStyle w:val="13"/>
        <w:widowControl w:val="0"/>
        <w:ind w:firstLine="480" w:firstLineChars="200"/>
        <w:rPr>
          <w:sz w:val="24"/>
          <w:szCs w:val="24"/>
          <w:highlight w:val="none"/>
        </w:rPr>
      </w:pPr>
      <w:r>
        <w:rPr>
          <w:rFonts w:hint="eastAsia"/>
          <w:sz w:val="24"/>
          <w:szCs w:val="24"/>
          <w:highlight w:val="none"/>
        </w:rPr>
        <w:t>供应商名称：                     （单位公章）</w:t>
      </w:r>
    </w:p>
    <w:p w14:paraId="4928947E">
      <w:pPr>
        <w:pStyle w:val="13"/>
        <w:widowControl w:val="0"/>
        <w:ind w:firstLine="480" w:firstLineChars="200"/>
        <w:rPr>
          <w:sz w:val="24"/>
          <w:szCs w:val="24"/>
          <w:highlight w:val="none"/>
        </w:rPr>
      </w:pPr>
    </w:p>
    <w:p w14:paraId="12970FF8">
      <w:pPr>
        <w:pStyle w:val="13"/>
        <w:widowControl w:val="0"/>
        <w:ind w:firstLine="480" w:firstLineChars="200"/>
        <w:rPr>
          <w:sz w:val="24"/>
          <w:szCs w:val="24"/>
          <w:highlight w:val="none"/>
        </w:rPr>
      </w:pPr>
    </w:p>
    <w:p w14:paraId="7DA90ACC">
      <w:pPr>
        <w:pStyle w:val="13"/>
        <w:widowControl w:val="0"/>
        <w:ind w:firstLine="480" w:firstLineChars="200"/>
        <w:rPr>
          <w:sz w:val="24"/>
          <w:szCs w:val="24"/>
          <w:highlight w:val="none"/>
        </w:rPr>
      </w:pPr>
      <w:r>
        <w:rPr>
          <w:rFonts w:hint="eastAsia"/>
          <w:sz w:val="24"/>
          <w:szCs w:val="24"/>
          <w:highlight w:val="none"/>
        </w:rPr>
        <w:t>法定代表人或被授权人：           （</w:t>
      </w:r>
      <w:r>
        <w:rPr>
          <w:rFonts w:hint="eastAsia"/>
          <w:spacing w:val="4"/>
          <w:sz w:val="24"/>
          <w:szCs w:val="24"/>
          <w:highlight w:val="none"/>
        </w:rPr>
        <w:t>签字或盖章</w:t>
      </w:r>
      <w:r>
        <w:rPr>
          <w:rFonts w:hint="eastAsia"/>
          <w:sz w:val="24"/>
          <w:szCs w:val="24"/>
          <w:highlight w:val="none"/>
        </w:rPr>
        <w:t xml:space="preserve">）      </w:t>
      </w:r>
    </w:p>
    <w:p w14:paraId="76C402C5">
      <w:pPr>
        <w:pStyle w:val="5"/>
        <w:spacing w:before="312" w:beforeLines="100"/>
        <w:ind w:firstLine="723"/>
        <w:jc w:val="center"/>
        <w:outlineLvl w:val="1"/>
        <w:rPr>
          <w:rFonts w:ascii="宋体" w:hAnsi="宋体" w:eastAsia="宋体" w:cs="宋体"/>
          <w:b w:val="0"/>
          <w:sz w:val="32"/>
          <w:highlight w:val="none"/>
        </w:rPr>
      </w:pPr>
      <w:r>
        <w:rPr>
          <w:rFonts w:hint="eastAsia" w:ascii="宋体" w:hAnsi="宋体" w:eastAsia="宋体" w:cs="宋体"/>
          <w:sz w:val="36"/>
          <w:szCs w:val="36"/>
          <w:highlight w:val="none"/>
        </w:rPr>
        <w:br w:type="page"/>
      </w:r>
      <w:r>
        <w:rPr>
          <w:rFonts w:hint="eastAsia" w:ascii="宋体" w:hAnsi="宋体" w:eastAsia="宋体" w:cs="宋体"/>
          <w:sz w:val="32"/>
          <w:highlight w:val="none"/>
          <w:lang w:val="zh-CN"/>
        </w:rPr>
        <w:t>第四部分  谈判方案说明</w:t>
      </w:r>
    </w:p>
    <w:p w14:paraId="460A1587">
      <w:pPr>
        <w:spacing w:line="360" w:lineRule="auto"/>
        <w:ind w:firstLine="560" w:firstLineChars="200"/>
        <w:rPr>
          <w:rFonts w:ascii="宋体" w:hAnsi="宋体" w:cs="宋体"/>
          <w:bCs/>
          <w:sz w:val="28"/>
          <w:szCs w:val="36"/>
          <w:highlight w:val="none"/>
        </w:rPr>
      </w:pPr>
      <w:r>
        <w:rPr>
          <w:rFonts w:hint="eastAsia" w:ascii="宋体" w:hAnsi="宋体" w:cs="宋体"/>
          <w:bCs/>
          <w:sz w:val="28"/>
          <w:szCs w:val="36"/>
          <w:highlight w:val="none"/>
        </w:rPr>
        <w:t>按照单一来源谈判文件的要求编制的谈判方案说明书，内容包括完成本项目所提供的产品及服务的详细说明，格式自拟。</w:t>
      </w:r>
    </w:p>
    <w:p w14:paraId="345717E0">
      <w:pPr>
        <w:rPr>
          <w:rFonts w:ascii="宋体" w:hAnsi="宋体" w:cs="宋体"/>
          <w:sz w:val="24"/>
          <w:highlight w:val="none"/>
        </w:rPr>
      </w:pPr>
    </w:p>
    <w:p w14:paraId="5355FB25">
      <w:pPr>
        <w:pStyle w:val="24"/>
        <w:rPr>
          <w:rFonts w:hAnsi="宋体" w:cs="宋体"/>
          <w:sz w:val="24"/>
          <w:szCs w:val="24"/>
          <w:highlight w:val="none"/>
        </w:rPr>
      </w:pPr>
    </w:p>
    <w:p w14:paraId="1A063104">
      <w:pPr>
        <w:pStyle w:val="5"/>
        <w:spacing w:before="312" w:beforeLines="100"/>
        <w:ind w:firstLine="482"/>
        <w:jc w:val="center"/>
        <w:outlineLvl w:val="1"/>
        <w:rPr>
          <w:rFonts w:ascii="宋体" w:hAnsi="宋体" w:eastAsia="宋体" w:cs="宋体"/>
          <w:b w:val="0"/>
          <w:sz w:val="32"/>
          <w:highlight w:val="none"/>
        </w:rPr>
      </w:pPr>
      <w:r>
        <w:rPr>
          <w:rFonts w:hint="eastAsia" w:ascii="宋体" w:hAnsi="宋体" w:eastAsia="宋体" w:cs="宋体"/>
          <w:sz w:val="24"/>
          <w:szCs w:val="24"/>
          <w:highlight w:val="none"/>
        </w:rPr>
        <w:br w:type="page"/>
      </w:r>
      <w:r>
        <w:rPr>
          <w:rFonts w:hint="eastAsia" w:ascii="宋体" w:hAnsi="宋体" w:eastAsia="宋体" w:cs="宋体"/>
          <w:sz w:val="32"/>
          <w:highlight w:val="none"/>
          <w:lang w:val="zh-CN"/>
        </w:rPr>
        <w:t>第五部分  承诺书</w:t>
      </w:r>
    </w:p>
    <w:p w14:paraId="36D87770">
      <w:pPr>
        <w:pStyle w:val="9"/>
        <w:jc w:val="center"/>
        <w:outlineLvl w:val="2"/>
        <w:rPr>
          <w:rFonts w:hAnsi="宋体" w:cs="宋体"/>
          <w:b/>
          <w:sz w:val="32"/>
          <w:highlight w:val="none"/>
        </w:rPr>
      </w:pPr>
      <w:r>
        <w:rPr>
          <w:rFonts w:hint="eastAsia" w:hAnsi="宋体" w:cs="宋体"/>
          <w:b/>
          <w:sz w:val="32"/>
          <w:highlight w:val="none"/>
        </w:rPr>
        <w:t>陕西省政府采购供应商拒绝政府采购领域商业贿赂承诺书</w:t>
      </w:r>
    </w:p>
    <w:p w14:paraId="2B0C0E3B">
      <w:pPr>
        <w:rPr>
          <w:rFonts w:ascii="宋体" w:hAnsi="宋体" w:cs="宋体"/>
          <w:highlight w:val="none"/>
        </w:rPr>
      </w:pPr>
    </w:p>
    <w:p w14:paraId="53843636">
      <w:pPr>
        <w:spacing w:line="360" w:lineRule="auto"/>
        <w:ind w:firstLine="360" w:firstLineChars="150"/>
        <w:rPr>
          <w:rFonts w:ascii="宋体" w:hAnsi="宋体" w:cs="宋体"/>
          <w:sz w:val="24"/>
          <w:szCs w:val="28"/>
          <w:highlight w:val="none"/>
        </w:rPr>
      </w:pPr>
      <w:r>
        <w:rPr>
          <w:rFonts w:hint="eastAsia" w:ascii="宋体" w:hAnsi="宋体" w:cs="宋体"/>
          <w:sz w:val="24"/>
          <w:szCs w:val="28"/>
          <w:highlight w:val="none"/>
        </w:rPr>
        <w:t>为响应党中央、国务院关于治理政府采购领域商业贿赂行为的号召，我公司在此庄严承诺：</w:t>
      </w:r>
    </w:p>
    <w:p w14:paraId="748EC08D">
      <w:pPr>
        <w:spacing w:line="360" w:lineRule="auto"/>
        <w:ind w:firstLine="480" w:firstLineChars="200"/>
        <w:outlineLvl w:val="2"/>
        <w:rPr>
          <w:rFonts w:ascii="宋体" w:hAnsi="宋体" w:cs="宋体"/>
          <w:sz w:val="24"/>
          <w:szCs w:val="28"/>
          <w:highlight w:val="none"/>
        </w:rPr>
      </w:pPr>
      <w:r>
        <w:rPr>
          <w:rFonts w:hint="eastAsia" w:ascii="宋体" w:hAnsi="宋体" w:cs="宋体"/>
          <w:sz w:val="24"/>
          <w:szCs w:val="28"/>
          <w:highlight w:val="none"/>
        </w:rPr>
        <w:t>1、在参与政府采购活动中遵纪守法、诚信经营、公平竞标。</w:t>
      </w:r>
    </w:p>
    <w:p w14:paraId="6123440C">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2、不向政府采购人、谈判组织机构和政府采购评审专家进行任何形式的商业贿赂以谋取交易机会。</w:t>
      </w:r>
    </w:p>
    <w:p w14:paraId="29B732BE">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3、不向政府谈判组织机构和采购人提供虚假资质文件或采用虚假应标方式参与政府采购市场竞争并谋取成交。</w:t>
      </w:r>
    </w:p>
    <w:p w14:paraId="5B0C8E7D">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4、不采取“围标、陪标”等商业欺诈手段获得政府采购订单。</w:t>
      </w:r>
    </w:p>
    <w:p w14:paraId="37AFE23D">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5、不采取不正当手段诋毁、排挤其他供应商。</w:t>
      </w:r>
    </w:p>
    <w:p w14:paraId="79512ADA">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6、不在提供商品和服务时“偷梁换柱、以次充好”损害采购人的合法权益。</w:t>
      </w:r>
    </w:p>
    <w:p w14:paraId="7E99468E">
      <w:pPr>
        <w:spacing w:line="360" w:lineRule="auto"/>
        <w:ind w:left="239" w:leftChars="114" w:firstLine="240" w:firstLineChars="100"/>
        <w:rPr>
          <w:rFonts w:ascii="宋体" w:hAnsi="宋体" w:cs="宋体"/>
          <w:sz w:val="24"/>
          <w:szCs w:val="28"/>
          <w:highlight w:val="none"/>
        </w:rPr>
      </w:pPr>
      <w:r>
        <w:rPr>
          <w:rFonts w:hint="eastAsia" w:ascii="宋体" w:hAnsi="宋体" w:cs="宋体"/>
          <w:sz w:val="24"/>
          <w:szCs w:val="28"/>
          <w:highlight w:val="none"/>
        </w:rPr>
        <w:t>7、不与采购人、谈判组织机构政府采购评审专家或其它供应商恶意串通，进行质疑和投诉，维护政府采购市场秩序。</w:t>
      </w:r>
    </w:p>
    <w:p w14:paraId="55E065C5">
      <w:pPr>
        <w:spacing w:line="360" w:lineRule="auto"/>
        <w:ind w:left="239" w:leftChars="114" w:firstLine="240" w:firstLineChars="100"/>
        <w:rPr>
          <w:rFonts w:ascii="宋体" w:hAnsi="宋体" w:cs="宋体"/>
          <w:sz w:val="24"/>
          <w:szCs w:val="28"/>
          <w:highlight w:val="none"/>
        </w:rPr>
      </w:pPr>
      <w:r>
        <w:rPr>
          <w:rFonts w:hint="eastAsia" w:ascii="宋体" w:hAnsi="宋体" w:cs="宋体"/>
          <w:sz w:val="24"/>
          <w:szCs w:val="28"/>
          <w:highlight w:val="none"/>
        </w:rPr>
        <w:t>8、尊重和接受政府采购监督管理部门的监督和政府谈判组织机构谈判采购要求，承担因违约行为给采购人造成的损失。</w:t>
      </w:r>
    </w:p>
    <w:p w14:paraId="68A59B5A">
      <w:pPr>
        <w:spacing w:line="360" w:lineRule="auto"/>
        <w:ind w:firstLine="480" w:firstLineChars="200"/>
        <w:rPr>
          <w:rFonts w:ascii="宋体" w:hAnsi="宋体" w:cs="宋体"/>
          <w:sz w:val="24"/>
          <w:szCs w:val="28"/>
          <w:highlight w:val="none"/>
        </w:rPr>
      </w:pPr>
      <w:r>
        <w:rPr>
          <w:rFonts w:hint="eastAsia" w:ascii="宋体" w:hAnsi="宋体" w:cs="宋体"/>
          <w:sz w:val="24"/>
          <w:szCs w:val="28"/>
          <w:highlight w:val="none"/>
        </w:rPr>
        <w:t>9、不发生其他有悖于政府采购公开、公平、公正和诚信原则的行为。</w:t>
      </w:r>
    </w:p>
    <w:p w14:paraId="3387FB09">
      <w:pPr>
        <w:spacing w:line="360" w:lineRule="auto"/>
        <w:ind w:firstLine="360" w:firstLineChars="150"/>
        <w:rPr>
          <w:rFonts w:ascii="宋体" w:hAnsi="宋体" w:cs="宋体"/>
          <w:sz w:val="24"/>
          <w:szCs w:val="28"/>
          <w:highlight w:val="none"/>
        </w:rPr>
      </w:pPr>
    </w:p>
    <w:p w14:paraId="111E7D7B">
      <w:pPr>
        <w:kinsoku w:val="0"/>
        <w:spacing w:line="500" w:lineRule="exact"/>
        <w:ind w:firstLine="240" w:firstLineChars="100"/>
        <w:rPr>
          <w:rFonts w:ascii="宋体" w:hAnsi="宋体" w:cs="宋体"/>
          <w:sz w:val="24"/>
          <w:highlight w:val="none"/>
        </w:rPr>
      </w:pPr>
      <w:r>
        <w:rPr>
          <w:rFonts w:hint="eastAsia" w:ascii="宋体" w:hAnsi="宋体" w:cs="宋体"/>
          <w:sz w:val="24"/>
          <w:highlight w:val="none"/>
        </w:rPr>
        <w:t xml:space="preserve">供应商（公章）：     </w:t>
      </w:r>
    </w:p>
    <w:p w14:paraId="2C213317">
      <w:pPr>
        <w:kinsoku w:val="0"/>
        <w:spacing w:line="500" w:lineRule="exact"/>
        <w:ind w:firstLine="240" w:firstLineChars="100"/>
        <w:rPr>
          <w:rFonts w:ascii="宋体" w:hAnsi="宋体" w:cs="宋体"/>
          <w:sz w:val="24"/>
          <w:highlight w:val="none"/>
        </w:rPr>
      </w:pPr>
      <w:r>
        <w:rPr>
          <w:rFonts w:hint="eastAsia" w:ascii="宋体" w:hAnsi="宋体" w:cs="宋体"/>
          <w:sz w:val="24"/>
          <w:highlight w:val="none"/>
        </w:rPr>
        <w:t xml:space="preserve">                    </w:t>
      </w:r>
    </w:p>
    <w:p w14:paraId="7573F43B">
      <w:pPr>
        <w:kinsoku w:val="0"/>
        <w:spacing w:line="500" w:lineRule="exact"/>
        <w:ind w:firstLine="240" w:firstLineChars="100"/>
        <w:rPr>
          <w:rFonts w:ascii="宋体" w:hAnsi="宋体" w:cs="宋体"/>
          <w:sz w:val="24"/>
          <w:highlight w:val="none"/>
        </w:rPr>
      </w:pPr>
      <w:r>
        <w:rPr>
          <w:rFonts w:hint="eastAsia" w:ascii="宋体" w:hAnsi="宋体" w:cs="宋体"/>
          <w:sz w:val="24"/>
          <w:highlight w:val="none"/>
        </w:rPr>
        <w:t>法定代表人/授权代表（签字或盖章）：</w:t>
      </w:r>
    </w:p>
    <w:p w14:paraId="487B93D6">
      <w:pPr>
        <w:kinsoku w:val="0"/>
        <w:spacing w:line="500" w:lineRule="exact"/>
        <w:ind w:firstLine="240" w:firstLineChars="100"/>
        <w:rPr>
          <w:rFonts w:ascii="宋体" w:hAnsi="宋体" w:cs="宋体"/>
          <w:sz w:val="24"/>
          <w:highlight w:val="none"/>
        </w:rPr>
      </w:pPr>
      <w:r>
        <w:rPr>
          <w:rFonts w:hint="eastAsia" w:ascii="宋体" w:hAnsi="宋体" w:cs="宋体"/>
          <w:sz w:val="24"/>
          <w:highlight w:val="none"/>
        </w:rPr>
        <w:t xml:space="preserve">                </w:t>
      </w:r>
    </w:p>
    <w:p w14:paraId="604CBCDC">
      <w:pPr>
        <w:spacing w:line="360" w:lineRule="auto"/>
        <w:ind w:firstLine="240" w:firstLineChars="100"/>
        <w:rPr>
          <w:rFonts w:ascii="宋体" w:hAnsi="宋体" w:cs="宋体"/>
          <w:sz w:val="24"/>
          <w:szCs w:val="28"/>
          <w:highlight w:val="none"/>
        </w:rPr>
      </w:pPr>
      <w:r>
        <w:rPr>
          <w:rFonts w:hint="eastAsia" w:ascii="宋体" w:hAnsi="宋体" w:cs="宋体"/>
          <w:sz w:val="24"/>
          <w:szCs w:val="28"/>
          <w:highlight w:val="none"/>
        </w:rPr>
        <w:t xml:space="preserve">地址：                                </w:t>
      </w:r>
    </w:p>
    <w:p w14:paraId="0739CCD2">
      <w:pPr>
        <w:spacing w:line="360" w:lineRule="auto"/>
        <w:ind w:firstLine="360" w:firstLineChars="150"/>
        <w:rPr>
          <w:rFonts w:ascii="宋体" w:hAnsi="宋体" w:cs="宋体"/>
          <w:sz w:val="24"/>
          <w:szCs w:val="28"/>
          <w:highlight w:val="none"/>
        </w:rPr>
      </w:pPr>
    </w:p>
    <w:p w14:paraId="6510BE1A">
      <w:pPr>
        <w:spacing w:line="360" w:lineRule="auto"/>
        <w:ind w:firstLine="240" w:firstLineChars="100"/>
        <w:rPr>
          <w:rFonts w:ascii="宋体" w:hAnsi="宋体" w:cs="宋体"/>
          <w:sz w:val="24"/>
          <w:szCs w:val="28"/>
          <w:highlight w:val="none"/>
        </w:rPr>
      </w:pPr>
      <w:r>
        <w:rPr>
          <w:rFonts w:hint="eastAsia" w:ascii="宋体" w:hAnsi="宋体" w:cs="宋体"/>
          <w:sz w:val="24"/>
          <w:szCs w:val="28"/>
          <w:highlight w:val="none"/>
        </w:rPr>
        <w:t>电话：</w:t>
      </w:r>
    </w:p>
    <w:p w14:paraId="7C6C9C0F">
      <w:pPr>
        <w:spacing w:line="360" w:lineRule="auto"/>
        <w:ind w:firstLine="360" w:firstLineChars="150"/>
        <w:rPr>
          <w:rFonts w:ascii="宋体" w:hAnsi="宋体" w:cs="宋体"/>
          <w:sz w:val="24"/>
          <w:szCs w:val="28"/>
          <w:highlight w:val="none"/>
        </w:rPr>
      </w:pPr>
    </w:p>
    <w:p w14:paraId="114A03C8">
      <w:pPr>
        <w:spacing w:line="360" w:lineRule="auto"/>
        <w:ind w:right="480" w:firstLine="360" w:firstLineChars="150"/>
        <w:jc w:val="center"/>
        <w:rPr>
          <w:rFonts w:ascii="宋体" w:hAnsi="宋体" w:cs="宋体"/>
          <w:sz w:val="24"/>
          <w:szCs w:val="28"/>
          <w:highlight w:val="none"/>
        </w:rPr>
      </w:pPr>
      <w:r>
        <w:rPr>
          <w:rFonts w:hint="eastAsia" w:ascii="宋体" w:hAnsi="宋体" w:cs="宋体"/>
          <w:sz w:val="24"/>
          <w:szCs w:val="28"/>
          <w:highlight w:val="none"/>
        </w:rPr>
        <w:t xml:space="preserve">                                                 年  月  日</w:t>
      </w:r>
    </w:p>
    <w:p w14:paraId="09158604">
      <w:pPr>
        <w:pStyle w:val="5"/>
        <w:spacing w:before="312" w:beforeLines="100"/>
        <w:ind w:firstLine="422"/>
        <w:jc w:val="center"/>
        <w:outlineLvl w:val="1"/>
        <w:rPr>
          <w:rFonts w:ascii="宋体" w:hAnsi="宋体" w:eastAsia="宋体" w:cs="宋体"/>
          <w:sz w:val="32"/>
          <w:highlight w:val="none"/>
          <w:lang w:val="zh-CN"/>
        </w:rPr>
      </w:pPr>
      <w:r>
        <w:rPr>
          <w:rFonts w:hint="eastAsia" w:ascii="宋体" w:hAnsi="宋体" w:eastAsia="宋体" w:cs="宋体"/>
          <w:highlight w:val="none"/>
        </w:rPr>
        <w:br w:type="page"/>
      </w:r>
      <w:r>
        <w:rPr>
          <w:rFonts w:hint="eastAsia" w:ascii="宋体" w:hAnsi="宋体" w:eastAsia="宋体" w:cs="宋体"/>
          <w:sz w:val="32"/>
          <w:highlight w:val="none"/>
          <w:lang w:val="zh-CN"/>
        </w:rPr>
        <w:t>第六部分</w:t>
      </w:r>
      <w:r>
        <w:rPr>
          <w:rFonts w:hint="eastAsia" w:ascii="宋体" w:hAnsi="宋体" w:eastAsia="宋体" w:cs="宋体"/>
          <w:sz w:val="32"/>
          <w:highlight w:val="none"/>
        </w:rPr>
        <w:t xml:space="preserve">  </w:t>
      </w:r>
      <w:r>
        <w:rPr>
          <w:rFonts w:hint="eastAsia" w:ascii="宋体" w:hAnsi="宋体" w:eastAsia="宋体" w:cs="宋体"/>
          <w:sz w:val="32"/>
          <w:highlight w:val="none"/>
          <w:lang w:val="zh-CN"/>
        </w:rPr>
        <w:t>供应商资格证明文件</w:t>
      </w:r>
    </w:p>
    <w:p w14:paraId="69CF1F37">
      <w:pPr>
        <w:pStyle w:val="13"/>
        <w:wordWrap w:val="0"/>
        <w:spacing w:line="360" w:lineRule="auto"/>
        <w:ind w:firstLine="480" w:firstLineChars="200"/>
        <w:jc w:val="both"/>
        <w:rPr>
          <w:sz w:val="24"/>
          <w:szCs w:val="24"/>
          <w:highlight w:val="none"/>
          <w:shd w:val="clear" w:color="auto" w:fill="FFFFFF"/>
        </w:rPr>
      </w:pPr>
      <w:r>
        <w:rPr>
          <w:rFonts w:hint="eastAsia"/>
          <w:sz w:val="24"/>
          <w:szCs w:val="24"/>
          <w:highlight w:val="none"/>
          <w:shd w:val="clear" w:color="auto" w:fill="FFFFFF"/>
        </w:rPr>
        <w:t>1、提供合格有效的法人或者其他组织的营业执照等证明文件，自然人的身份证明；</w:t>
      </w:r>
    </w:p>
    <w:p w14:paraId="5DC14035">
      <w:pPr>
        <w:pStyle w:val="13"/>
        <w:wordWrap w:val="0"/>
        <w:spacing w:line="360" w:lineRule="auto"/>
        <w:ind w:firstLine="480" w:firstLineChars="200"/>
        <w:jc w:val="both"/>
        <w:rPr>
          <w:sz w:val="24"/>
          <w:szCs w:val="24"/>
          <w:highlight w:val="none"/>
          <w:shd w:val="clear" w:color="auto" w:fill="FFFFFF"/>
        </w:rPr>
      </w:pPr>
      <w:r>
        <w:rPr>
          <w:rFonts w:hint="eastAsia"/>
          <w:sz w:val="24"/>
          <w:szCs w:val="24"/>
          <w:highlight w:val="none"/>
          <w:shd w:val="clear" w:color="auto" w:fill="FFFFFF"/>
        </w:rPr>
        <w:t>2、提供法定代表人授权书（附法定代表人、被授权人身份证复印件）及被授权人身份证原件（法定代表人直接参加谈判，须提供法定代表人身份证明及身份证原件）；</w:t>
      </w:r>
    </w:p>
    <w:p w14:paraId="0F2BA661">
      <w:pPr>
        <w:pStyle w:val="13"/>
        <w:wordWrap w:val="0"/>
        <w:spacing w:line="360" w:lineRule="auto"/>
        <w:ind w:firstLine="480" w:firstLineChars="200"/>
        <w:jc w:val="both"/>
        <w:rPr>
          <w:rFonts w:hint="eastAsia"/>
          <w:sz w:val="24"/>
          <w:szCs w:val="24"/>
          <w:highlight w:val="none"/>
          <w:shd w:val="clear" w:color="auto" w:fill="FFFFFF"/>
        </w:rPr>
      </w:pPr>
      <w:r>
        <w:rPr>
          <w:rFonts w:hint="eastAsia"/>
          <w:sz w:val="24"/>
          <w:szCs w:val="24"/>
          <w:highlight w:val="none"/>
          <w:shd w:val="clear" w:color="auto" w:fill="FFFFFF"/>
        </w:rPr>
        <w:t>3、财务状况：提供2023年度经审计的财务审计报告（成立时间至提交谈判响应文件截止时间不足一年的可提供成立后任意时段的资产负债表），或其基本存款账户开户银行出具的资信证明及基本存款账户开户许可证；</w:t>
      </w:r>
    </w:p>
    <w:p w14:paraId="5890910A">
      <w:pPr>
        <w:pStyle w:val="13"/>
        <w:wordWrap w:val="0"/>
        <w:spacing w:line="360" w:lineRule="auto"/>
        <w:ind w:firstLine="480" w:firstLineChars="200"/>
        <w:jc w:val="both"/>
        <w:rPr>
          <w:sz w:val="24"/>
          <w:szCs w:val="24"/>
          <w:highlight w:val="none"/>
          <w:shd w:val="clear" w:color="auto" w:fill="FFFFFF"/>
        </w:rPr>
      </w:pPr>
      <w:r>
        <w:rPr>
          <w:rFonts w:hint="eastAsia"/>
          <w:sz w:val="24"/>
          <w:szCs w:val="24"/>
          <w:highlight w:val="none"/>
          <w:shd w:val="clear" w:color="auto" w:fill="FFFFFF"/>
        </w:rPr>
        <w:t>4、税收缴纳证明：提供谈判响应文件递交截止时间前一年内至少一个月的纳税证明或完税证明；</w:t>
      </w:r>
    </w:p>
    <w:p w14:paraId="56BCA9C5">
      <w:pPr>
        <w:pStyle w:val="13"/>
        <w:wordWrap w:val="0"/>
        <w:spacing w:line="360" w:lineRule="auto"/>
        <w:ind w:firstLine="480" w:firstLineChars="200"/>
        <w:jc w:val="both"/>
        <w:rPr>
          <w:sz w:val="24"/>
          <w:szCs w:val="24"/>
          <w:highlight w:val="none"/>
          <w:shd w:val="clear" w:color="auto" w:fill="FFFFFF"/>
        </w:rPr>
      </w:pPr>
      <w:r>
        <w:rPr>
          <w:rFonts w:hint="eastAsia"/>
          <w:sz w:val="24"/>
          <w:szCs w:val="24"/>
          <w:highlight w:val="none"/>
          <w:shd w:val="clear" w:color="auto" w:fill="FFFFFF"/>
        </w:rPr>
        <w:t>5、社会保障资金缴纳证明：提供谈判响应文件截止日前近一年内至少一个月的社会保障资金缴存单据或社保机构开具的社会保险参保情况证明</w:t>
      </w:r>
      <w:r>
        <w:rPr>
          <w:rFonts w:hint="eastAsia"/>
          <w:sz w:val="24"/>
          <w:szCs w:val="24"/>
          <w:highlight w:val="none"/>
          <w:shd w:val="clear" w:color="auto" w:fill="FFFFFF"/>
          <w:lang w:eastAsia="zh-CN"/>
        </w:rPr>
        <w:t>，</w:t>
      </w:r>
      <w:r>
        <w:rPr>
          <w:rFonts w:hint="eastAsia"/>
          <w:sz w:val="24"/>
          <w:szCs w:val="24"/>
          <w:highlight w:val="none"/>
          <w:shd w:val="clear" w:color="auto" w:fill="FFFFFF"/>
        </w:rPr>
        <w:t>依法不需要缴纳社会保障资金的单位应提供相关证明材料；</w:t>
      </w:r>
    </w:p>
    <w:p w14:paraId="15E28708">
      <w:pPr>
        <w:pStyle w:val="13"/>
        <w:wordWrap w:val="0"/>
        <w:spacing w:line="360" w:lineRule="auto"/>
        <w:ind w:firstLine="480" w:firstLineChars="200"/>
        <w:jc w:val="both"/>
        <w:rPr>
          <w:sz w:val="24"/>
          <w:szCs w:val="24"/>
          <w:highlight w:val="none"/>
          <w:shd w:val="clear" w:color="auto" w:fill="FFFFFF"/>
        </w:rPr>
      </w:pPr>
      <w:r>
        <w:rPr>
          <w:rFonts w:hint="eastAsia"/>
          <w:sz w:val="24"/>
          <w:szCs w:val="24"/>
          <w:highlight w:val="none"/>
          <w:shd w:val="clear" w:color="auto" w:fill="FFFFFF"/>
        </w:rPr>
        <w:t>6、供应商通过“信用中国”网站(www.creditchina.gov.cn)、中国政府采购网(www.ccgp.gov.cn)等查询相关主体信用记录；</w:t>
      </w:r>
    </w:p>
    <w:p w14:paraId="68CD5361">
      <w:pPr>
        <w:pStyle w:val="13"/>
        <w:wordWrap w:val="0"/>
        <w:spacing w:line="360" w:lineRule="auto"/>
        <w:ind w:firstLine="480" w:firstLineChars="200"/>
        <w:jc w:val="both"/>
        <w:rPr>
          <w:sz w:val="24"/>
          <w:szCs w:val="24"/>
          <w:highlight w:val="none"/>
          <w:shd w:val="clear" w:color="auto" w:fill="FFFFFF"/>
        </w:rPr>
      </w:pPr>
      <w:r>
        <w:rPr>
          <w:rFonts w:hint="eastAsia"/>
          <w:sz w:val="24"/>
          <w:szCs w:val="24"/>
          <w:highlight w:val="none"/>
          <w:shd w:val="clear" w:color="auto" w:fill="FFFFFF"/>
          <w:lang w:val="en-US" w:eastAsia="zh-CN"/>
        </w:rPr>
        <w:t>7</w:t>
      </w:r>
      <w:r>
        <w:rPr>
          <w:rFonts w:hint="eastAsia"/>
          <w:sz w:val="24"/>
          <w:szCs w:val="24"/>
          <w:highlight w:val="none"/>
          <w:shd w:val="clear" w:color="auto" w:fill="FFFFFF"/>
        </w:rPr>
        <w:t>、参加政府采购活动前3年内，在经营活动中没有重大违法记录的书面声明；</w:t>
      </w:r>
    </w:p>
    <w:p w14:paraId="662492EF">
      <w:pPr>
        <w:pStyle w:val="13"/>
        <w:wordWrap w:val="0"/>
        <w:spacing w:line="360" w:lineRule="auto"/>
        <w:ind w:firstLine="480" w:firstLineChars="200"/>
        <w:jc w:val="both"/>
        <w:rPr>
          <w:rFonts w:hint="eastAsia"/>
          <w:sz w:val="24"/>
          <w:szCs w:val="24"/>
          <w:highlight w:val="none"/>
          <w:shd w:val="clear" w:color="auto" w:fill="FFFFFF"/>
        </w:rPr>
      </w:pPr>
      <w:r>
        <w:rPr>
          <w:rFonts w:hint="eastAsia"/>
          <w:sz w:val="24"/>
          <w:szCs w:val="24"/>
          <w:highlight w:val="none"/>
          <w:shd w:val="clear" w:color="auto" w:fill="FFFFFF"/>
          <w:lang w:val="en-US" w:eastAsia="zh-CN"/>
        </w:rPr>
        <w:t>8</w:t>
      </w:r>
      <w:r>
        <w:rPr>
          <w:rFonts w:hint="eastAsia"/>
          <w:sz w:val="24"/>
          <w:szCs w:val="24"/>
          <w:highlight w:val="none"/>
          <w:shd w:val="clear" w:color="auto" w:fill="FFFFFF"/>
        </w:rPr>
        <w:t>、提供具有履行合同所必需的设备和专业技术能力的书面承诺；</w:t>
      </w:r>
    </w:p>
    <w:p w14:paraId="2E1B407F">
      <w:pPr>
        <w:pStyle w:val="13"/>
        <w:wordWrap w:val="0"/>
        <w:spacing w:line="360" w:lineRule="auto"/>
        <w:ind w:firstLine="480" w:firstLineChars="200"/>
        <w:jc w:val="both"/>
        <w:rPr>
          <w:sz w:val="24"/>
          <w:szCs w:val="24"/>
          <w:highlight w:val="none"/>
          <w:shd w:val="clear" w:color="auto" w:fill="FFFFFF"/>
        </w:rPr>
      </w:pPr>
      <w:r>
        <w:rPr>
          <w:rFonts w:hint="eastAsia"/>
          <w:sz w:val="24"/>
          <w:szCs w:val="24"/>
          <w:highlight w:val="none"/>
          <w:shd w:val="clear" w:color="auto" w:fill="FFFFFF"/>
          <w:lang w:val="en-US" w:eastAsia="zh-CN"/>
        </w:rPr>
        <w:t>9</w:t>
      </w:r>
      <w:r>
        <w:rPr>
          <w:rFonts w:hint="eastAsia"/>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fill="FFFFFF"/>
        </w:rPr>
        <w:t>供应商需提供中小企业声明函；</w:t>
      </w:r>
    </w:p>
    <w:p w14:paraId="5F92E65A">
      <w:pPr>
        <w:pStyle w:val="13"/>
        <w:wordWrap w:val="0"/>
        <w:spacing w:line="360" w:lineRule="auto"/>
        <w:ind w:firstLine="480" w:firstLineChars="200"/>
        <w:jc w:val="both"/>
        <w:rPr>
          <w:sz w:val="24"/>
          <w:szCs w:val="24"/>
          <w:highlight w:val="none"/>
        </w:rPr>
      </w:pPr>
      <w:r>
        <w:rPr>
          <w:rFonts w:hint="eastAsia"/>
          <w:sz w:val="24"/>
          <w:szCs w:val="24"/>
          <w:highlight w:val="none"/>
          <w:shd w:val="clear" w:color="auto" w:fill="FFFFFF"/>
          <w:lang w:val="en-US" w:eastAsia="zh-CN"/>
        </w:rPr>
        <w:t>10</w:t>
      </w:r>
      <w:r>
        <w:rPr>
          <w:rFonts w:hint="eastAsia"/>
          <w:sz w:val="24"/>
          <w:szCs w:val="24"/>
          <w:highlight w:val="none"/>
          <w:shd w:val="clear" w:color="auto" w:fill="FFFFFF"/>
        </w:rPr>
        <w:t>、本项目不接受联合体谈判。</w:t>
      </w:r>
    </w:p>
    <w:p w14:paraId="134E91B1">
      <w:pPr>
        <w:spacing w:before="156" w:beforeLines="50" w:after="156" w:afterLines="50" w:line="500" w:lineRule="exact"/>
        <w:rPr>
          <w:rFonts w:ascii="宋体" w:hAnsi="宋体" w:cs="宋体"/>
          <w:b/>
          <w:sz w:val="28"/>
          <w:szCs w:val="28"/>
          <w:highlight w:val="none"/>
        </w:rPr>
      </w:pPr>
      <w:r>
        <w:rPr>
          <w:rFonts w:hint="eastAsia" w:ascii="宋体" w:hAnsi="宋体" w:cs="宋体"/>
          <w:highlight w:val="none"/>
        </w:rPr>
        <w:br w:type="page"/>
      </w:r>
      <w:r>
        <w:rPr>
          <w:rFonts w:hint="eastAsia" w:ascii="宋体" w:hAnsi="宋体" w:cs="宋体"/>
          <w:b/>
          <w:sz w:val="28"/>
          <w:szCs w:val="28"/>
          <w:highlight w:val="none"/>
        </w:rPr>
        <w:t>附件1：</w:t>
      </w:r>
    </w:p>
    <w:p w14:paraId="37BAD063">
      <w:pPr>
        <w:keepNext/>
        <w:spacing w:before="312" w:beforeLines="100" w:line="360" w:lineRule="auto"/>
        <w:outlineLvl w:val="2"/>
        <w:rPr>
          <w:rFonts w:ascii="宋体" w:hAnsi="宋体" w:cs="宋体"/>
          <w:sz w:val="32"/>
          <w:szCs w:val="32"/>
          <w:highlight w:val="none"/>
        </w:rPr>
      </w:pPr>
      <w:bookmarkStart w:id="64" w:name="_Toc403077649"/>
      <w:bookmarkStart w:id="65" w:name="_Toc363474028"/>
      <w:r>
        <w:rPr>
          <w:rFonts w:hint="eastAsia" w:ascii="宋体" w:hAnsi="宋体" w:cs="宋体"/>
          <w:sz w:val="32"/>
          <w:szCs w:val="32"/>
          <w:highlight w:val="none"/>
        </w:rPr>
        <w:t>法定代表人身份证明/法定代表人授权书</w:t>
      </w:r>
      <w:bookmarkEnd w:id="64"/>
      <w:bookmarkEnd w:id="65"/>
    </w:p>
    <w:p w14:paraId="603EBA0E">
      <w:pPr>
        <w:rPr>
          <w:rFonts w:ascii="宋体" w:hAnsi="宋体" w:cs="宋体"/>
          <w:b/>
          <w:bCs/>
          <w:szCs w:val="32"/>
          <w:highlight w:val="none"/>
        </w:rPr>
      </w:pPr>
      <w:r>
        <w:rPr>
          <w:rFonts w:hint="eastAsia" w:ascii="宋体" w:hAnsi="宋体" w:cs="宋体"/>
          <w:highlight w:val="none"/>
        </w:rPr>
        <w:t xml:space="preserve">      </w:t>
      </w:r>
      <w:r>
        <w:rPr>
          <w:rFonts w:hint="eastAsia" w:ascii="宋体" w:hAnsi="宋体" w:cs="宋体"/>
          <w:szCs w:val="32"/>
          <w:highlight w:val="none"/>
        </w:rPr>
        <w:t xml:space="preserve"> </w:t>
      </w:r>
    </w:p>
    <w:p w14:paraId="31FF48C1">
      <w:pPr>
        <w:pStyle w:val="2"/>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14:paraId="1F31049A">
      <w:pPr>
        <w:autoSpaceDE w:val="0"/>
        <w:autoSpaceDN w:val="0"/>
        <w:adjustRightInd w:val="0"/>
        <w:snapToGrid w:val="0"/>
        <w:spacing w:before="156" w:beforeLines="50" w:line="360" w:lineRule="auto"/>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4C9160C8">
      <w:pPr>
        <w:autoSpaceDE w:val="0"/>
        <w:autoSpaceDN w:val="0"/>
        <w:adjustRightInd w:val="0"/>
        <w:snapToGrid w:val="0"/>
        <w:spacing w:before="156" w:beforeLines="50" w:line="360" w:lineRule="auto"/>
        <w:jc w:val="left"/>
        <w:rPr>
          <w:rFonts w:ascii="宋体" w:hAnsi="宋体" w:cs="宋体"/>
          <w:sz w:val="24"/>
          <w:highlight w:val="none"/>
        </w:rPr>
      </w:pPr>
      <w:r>
        <w:rPr>
          <w:rFonts w:hint="eastAsia" w:ascii="宋体" w:hAnsi="宋体" w:cs="宋体"/>
          <w:sz w:val="24"/>
          <w:highlight w:val="none"/>
        </w:rPr>
        <w:t>统一社会信用代码：</w:t>
      </w:r>
      <w:r>
        <w:rPr>
          <w:rFonts w:hint="eastAsia" w:ascii="宋体" w:hAnsi="宋体" w:cs="宋体"/>
          <w:sz w:val="24"/>
          <w:highlight w:val="none"/>
          <w:u w:val="single"/>
        </w:rPr>
        <w:t xml:space="preserve">                </w:t>
      </w:r>
    </w:p>
    <w:p w14:paraId="1580E660">
      <w:pPr>
        <w:autoSpaceDE w:val="0"/>
        <w:autoSpaceDN w:val="0"/>
        <w:adjustRightInd w:val="0"/>
        <w:snapToGrid w:val="0"/>
        <w:spacing w:before="156" w:beforeLines="50" w:line="360" w:lineRule="auto"/>
        <w:jc w:val="left"/>
        <w:rPr>
          <w:rFonts w:ascii="宋体" w:hAnsi="宋体" w:cs="宋体"/>
          <w:sz w:val="24"/>
          <w:highlight w:val="none"/>
        </w:rPr>
      </w:pPr>
      <w:r>
        <w:rPr>
          <w:rFonts w:hint="eastAsia" w:ascii="宋体" w:hAnsi="宋体" w:cs="宋体"/>
          <w:sz w:val="24"/>
          <w:highlight w:val="none"/>
        </w:rPr>
        <w:t>注册地址：</w:t>
      </w:r>
      <w:r>
        <w:rPr>
          <w:rFonts w:hint="eastAsia" w:ascii="宋体" w:hAnsi="宋体" w:cs="宋体"/>
          <w:sz w:val="24"/>
          <w:highlight w:val="none"/>
          <w:u w:val="single"/>
        </w:rPr>
        <w:t xml:space="preserve">                        </w:t>
      </w:r>
    </w:p>
    <w:p w14:paraId="21A85EEB">
      <w:pPr>
        <w:autoSpaceDE w:val="0"/>
        <w:autoSpaceDN w:val="0"/>
        <w:adjustRightInd w:val="0"/>
        <w:snapToGrid w:val="0"/>
        <w:spacing w:before="156" w:beforeLines="50" w:line="360" w:lineRule="auto"/>
        <w:jc w:val="left"/>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 xml:space="preserve">年 </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5AE73CCA">
      <w:pPr>
        <w:autoSpaceDE w:val="0"/>
        <w:autoSpaceDN w:val="0"/>
        <w:adjustRightInd w:val="0"/>
        <w:snapToGrid w:val="0"/>
        <w:spacing w:before="156" w:beforeLines="50" w:line="360" w:lineRule="auto"/>
        <w:jc w:val="left"/>
        <w:rPr>
          <w:rFonts w:ascii="宋体" w:hAnsi="宋体" w:cs="宋体"/>
          <w:sz w:val="24"/>
          <w:highlight w:val="none"/>
          <w:u w:val="singl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14:paraId="6BE9085C">
      <w:pPr>
        <w:autoSpaceDE w:val="0"/>
        <w:autoSpaceDN w:val="0"/>
        <w:adjustRightInd w:val="0"/>
        <w:snapToGrid w:val="0"/>
        <w:spacing w:before="156" w:beforeLines="50" w:line="360" w:lineRule="auto"/>
        <w:jc w:val="left"/>
        <w:rPr>
          <w:rFonts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系</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w:t>
      </w:r>
    </w:p>
    <w:p w14:paraId="12FFAC2B">
      <w:pPr>
        <w:autoSpaceDE w:val="0"/>
        <w:autoSpaceDN w:val="0"/>
        <w:adjustRightInd w:val="0"/>
        <w:snapToGrid w:val="0"/>
        <w:spacing w:before="156" w:beforeLines="50" w:line="360" w:lineRule="auto"/>
        <w:jc w:val="left"/>
        <w:rPr>
          <w:rFonts w:ascii="宋体" w:hAnsi="宋体" w:cs="宋体"/>
          <w:sz w:val="24"/>
          <w:highlight w:val="none"/>
        </w:rPr>
      </w:pPr>
      <w:r>
        <w:rPr>
          <w:rFonts w:hint="eastAsia" w:ascii="宋体" w:hAnsi="宋体" w:cs="宋体"/>
          <w:sz w:val="24"/>
          <w:highlight w:val="none"/>
        </w:rPr>
        <w:t>特此证明。</w:t>
      </w:r>
    </w:p>
    <w:p w14:paraId="3F00E480">
      <w:pPr>
        <w:autoSpaceDE w:val="0"/>
        <w:autoSpaceDN w:val="0"/>
        <w:adjustRightInd w:val="0"/>
        <w:snapToGrid w:val="0"/>
        <w:spacing w:before="156" w:beforeLines="50" w:line="360" w:lineRule="auto"/>
        <w:jc w:val="left"/>
        <w:rPr>
          <w:rFonts w:ascii="宋体" w:hAnsi="宋体" w:cs="宋体"/>
          <w:sz w:val="24"/>
          <w:highlight w:val="none"/>
        </w:rPr>
      </w:pPr>
      <w:r>
        <w:rPr>
          <w:rFonts w:hint="eastAsia" w:ascii="宋体" w:hAnsi="宋体" w:cs="宋体"/>
          <w:sz w:val="24"/>
          <w:highlight w:val="none"/>
        </w:rPr>
        <w:t>附：法定代表人身份证复印件</w:t>
      </w:r>
    </w:p>
    <w:tbl>
      <w:tblPr>
        <w:tblStyle w:val="16"/>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431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5" w:hRule="atLeast"/>
        </w:trPr>
        <w:tc>
          <w:tcPr>
            <w:tcW w:w="5868" w:type="dxa"/>
            <w:vAlign w:val="center"/>
          </w:tcPr>
          <w:p w14:paraId="12BF49E1">
            <w:pPr>
              <w:snapToGrid w:val="0"/>
              <w:spacing w:line="480" w:lineRule="auto"/>
              <w:jc w:val="center"/>
              <w:rPr>
                <w:rFonts w:ascii="宋体" w:hAnsi="宋体" w:cs="宋体"/>
                <w:sz w:val="24"/>
                <w:highlight w:val="none"/>
              </w:rPr>
            </w:pPr>
          </w:p>
          <w:p w14:paraId="3D2B0B8D">
            <w:pPr>
              <w:snapToGrid w:val="0"/>
              <w:spacing w:line="480" w:lineRule="auto"/>
              <w:jc w:val="center"/>
              <w:rPr>
                <w:rFonts w:ascii="宋体" w:hAnsi="宋体" w:cs="宋体"/>
                <w:sz w:val="24"/>
                <w:highlight w:val="none"/>
              </w:rPr>
            </w:pPr>
          </w:p>
          <w:p w14:paraId="20E0A26F">
            <w:pPr>
              <w:autoSpaceDE w:val="0"/>
              <w:autoSpaceDN w:val="0"/>
              <w:adjustRightInd w:val="0"/>
              <w:snapToGrid w:val="0"/>
              <w:spacing w:before="156" w:beforeLines="50" w:line="360" w:lineRule="auto"/>
              <w:jc w:val="center"/>
              <w:rPr>
                <w:rFonts w:ascii="宋体" w:hAnsi="宋体" w:cs="宋体"/>
                <w:sz w:val="24"/>
                <w:highlight w:val="none"/>
              </w:rPr>
            </w:pPr>
            <w:r>
              <w:rPr>
                <w:rFonts w:hint="eastAsia" w:ascii="宋体" w:hAnsi="宋体" w:cs="宋体"/>
                <w:sz w:val="24"/>
                <w:highlight w:val="none"/>
              </w:rPr>
              <w:t>法定代表人身份证复印件粘贴处</w:t>
            </w:r>
          </w:p>
          <w:p w14:paraId="76AD4909">
            <w:pPr>
              <w:pStyle w:val="2"/>
              <w:jc w:val="center"/>
              <w:rPr>
                <w:rFonts w:ascii="宋体" w:hAnsi="宋体" w:cs="宋体"/>
                <w:color w:val="auto"/>
                <w:highlight w:val="none"/>
              </w:rPr>
            </w:pPr>
            <w:r>
              <w:rPr>
                <w:rFonts w:hint="eastAsia" w:ascii="宋体" w:hAnsi="宋体" w:cs="宋体"/>
                <w:color w:val="auto"/>
                <w:highlight w:val="none"/>
              </w:rPr>
              <w:t>（正反面）</w:t>
            </w:r>
          </w:p>
          <w:p w14:paraId="61BDDA14">
            <w:pPr>
              <w:snapToGrid w:val="0"/>
              <w:spacing w:line="480" w:lineRule="auto"/>
              <w:jc w:val="center"/>
              <w:rPr>
                <w:rFonts w:ascii="宋体" w:hAnsi="宋体" w:cs="宋体"/>
                <w:sz w:val="24"/>
                <w:highlight w:val="none"/>
              </w:rPr>
            </w:pPr>
          </w:p>
          <w:p w14:paraId="5BCA54D4">
            <w:pPr>
              <w:snapToGrid w:val="0"/>
              <w:spacing w:line="480" w:lineRule="auto"/>
              <w:jc w:val="center"/>
              <w:rPr>
                <w:rFonts w:ascii="宋体" w:hAnsi="宋体" w:cs="宋体"/>
                <w:sz w:val="24"/>
                <w:highlight w:val="none"/>
              </w:rPr>
            </w:pPr>
          </w:p>
        </w:tc>
      </w:tr>
    </w:tbl>
    <w:p w14:paraId="20E6F0A1">
      <w:pPr>
        <w:snapToGrid w:val="0"/>
        <w:spacing w:line="480" w:lineRule="auto"/>
        <w:rPr>
          <w:rFonts w:ascii="宋体" w:hAnsi="宋体" w:cs="宋体"/>
          <w:sz w:val="24"/>
          <w:highlight w:val="none"/>
        </w:rPr>
      </w:pPr>
    </w:p>
    <w:p w14:paraId="34B5996B">
      <w:pPr>
        <w:snapToGrid w:val="0"/>
        <w:rPr>
          <w:rFonts w:ascii="宋体" w:hAnsi="宋体" w:cs="宋体"/>
          <w:sz w:val="24"/>
          <w:highlight w:val="none"/>
        </w:rPr>
      </w:pPr>
    </w:p>
    <w:p w14:paraId="60E0297A">
      <w:pPr>
        <w:snapToGrid w:val="0"/>
        <w:rPr>
          <w:rFonts w:ascii="宋体" w:hAnsi="宋体" w:cs="宋体"/>
          <w:sz w:val="24"/>
          <w:highlight w:val="none"/>
        </w:rPr>
      </w:pPr>
    </w:p>
    <w:p w14:paraId="57253277">
      <w:pPr>
        <w:snapToGrid w:val="0"/>
        <w:rPr>
          <w:rFonts w:ascii="宋体" w:hAnsi="宋体" w:cs="宋体"/>
          <w:sz w:val="24"/>
          <w:highlight w:val="none"/>
        </w:rPr>
      </w:pPr>
    </w:p>
    <w:p w14:paraId="747B6295">
      <w:pPr>
        <w:snapToGrid w:val="0"/>
        <w:rPr>
          <w:rFonts w:ascii="宋体" w:hAnsi="宋体" w:cs="宋体"/>
          <w:sz w:val="24"/>
          <w:highlight w:val="none"/>
        </w:rPr>
      </w:pPr>
    </w:p>
    <w:p w14:paraId="4AF89ED8">
      <w:pPr>
        <w:adjustRightInd w:val="0"/>
        <w:snapToGrid w:val="0"/>
        <w:spacing w:line="360" w:lineRule="auto"/>
        <w:rPr>
          <w:rFonts w:ascii="宋体" w:hAnsi="宋体" w:cs="宋体"/>
          <w:sz w:val="24"/>
          <w:highlight w:val="none"/>
        </w:rPr>
      </w:pPr>
    </w:p>
    <w:p w14:paraId="7FBB53C6">
      <w:pPr>
        <w:adjustRightInd w:val="0"/>
        <w:snapToGrid w:val="0"/>
        <w:spacing w:line="360" w:lineRule="auto"/>
        <w:ind w:right="420"/>
        <w:rPr>
          <w:rFonts w:ascii="宋体" w:hAnsi="宋体" w:cs="宋体"/>
          <w:sz w:val="24"/>
          <w:highlight w:val="none"/>
        </w:rPr>
      </w:pPr>
    </w:p>
    <w:p w14:paraId="3EF15D6A">
      <w:pPr>
        <w:adjustRightInd w:val="0"/>
        <w:snapToGrid w:val="0"/>
        <w:spacing w:line="360" w:lineRule="auto"/>
        <w:ind w:right="420"/>
        <w:rPr>
          <w:rFonts w:ascii="宋体" w:hAnsi="宋体" w:cs="宋体"/>
          <w:sz w:val="24"/>
          <w:highlight w:val="none"/>
        </w:rPr>
      </w:pPr>
    </w:p>
    <w:p w14:paraId="2DDAF36B">
      <w:pPr>
        <w:adjustRightInd w:val="0"/>
        <w:snapToGrid w:val="0"/>
        <w:spacing w:line="360" w:lineRule="auto"/>
        <w:ind w:right="420"/>
        <w:rPr>
          <w:rFonts w:ascii="宋体" w:hAnsi="宋体" w:cs="宋体"/>
          <w:sz w:val="24"/>
          <w:highlight w:val="none"/>
        </w:rPr>
      </w:pPr>
    </w:p>
    <w:p w14:paraId="4AE19CC2">
      <w:pPr>
        <w:adjustRightInd w:val="0"/>
        <w:snapToGrid w:val="0"/>
        <w:spacing w:line="360" w:lineRule="auto"/>
        <w:ind w:right="420"/>
        <w:rPr>
          <w:rFonts w:ascii="宋体" w:hAnsi="宋体" w:cs="宋体"/>
          <w:sz w:val="24"/>
          <w:highlight w:val="none"/>
        </w:rPr>
      </w:pPr>
    </w:p>
    <w:p w14:paraId="2C4B58F5">
      <w:pPr>
        <w:adjustRightInd w:val="0"/>
        <w:snapToGrid w:val="0"/>
        <w:spacing w:line="360" w:lineRule="auto"/>
        <w:ind w:right="420"/>
        <w:rPr>
          <w:rFonts w:ascii="宋体" w:hAnsi="宋体" w:cs="宋体"/>
          <w:sz w:val="24"/>
          <w:highlight w:val="none"/>
        </w:rPr>
      </w:pPr>
      <w:r>
        <w:rPr>
          <w:rFonts w:hint="eastAsia" w:ascii="宋体" w:hAnsi="宋体" w:cs="宋体"/>
          <w:sz w:val="24"/>
          <w:highlight w:val="none"/>
        </w:rPr>
        <w:t>供应商名称（公章）：</w:t>
      </w:r>
    </w:p>
    <w:p w14:paraId="40EBD49E">
      <w:pPr>
        <w:adjustRightInd w:val="0"/>
        <w:snapToGrid w:val="0"/>
        <w:spacing w:line="360" w:lineRule="auto"/>
        <w:ind w:right="420"/>
        <w:rPr>
          <w:rFonts w:ascii="宋体" w:hAnsi="宋体" w:cs="宋体"/>
          <w:sz w:val="24"/>
          <w:highlight w:val="none"/>
        </w:rPr>
      </w:pPr>
      <w:r>
        <w:rPr>
          <w:rFonts w:hint="eastAsia" w:ascii="宋体" w:hAnsi="宋体" w:cs="宋体"/>
          <w:sz w:val="24"/>
          <w:highlight w:val="none"/>
        </w:rPr>
        <w:t>日期：    年  月  日</w:t>
      </w:r>
    </w:p>
    <w:p w14:paraId="5B402A89">
      <w:pPr>
        <w:pStyle w:val="2"/>
        <w:rPr>
          <w:rFonts w:ascii="宋体" w:hAnsi="宋体" w:cs="宋体"/>
          <w:highlight w:val="none"/>
        </w:rPr>
      </w:pPr>
    </w:p>
    <w:p w14:paraId="2AB9A747">
      <w:pPr>
        <w:rPr>
          <w:rFonts w:ascii="宋体" w:hAnsi="宋体" w:cs="宋体"/>
          <w:spacing w:val="4"/>
          <w:highlight w:val="none"/>
        </w:rPr>
      </w:pPr>
      <w:r>
        <w:rPr>
          <w:rFonts w:hint="eastAsia" w:ascii="宋体" w:hAnsi="宋体" w:cs="宋体"/>
          <w:spacing w:val="4"/>
          <w:highlight w:val="none"/>
        </w:rPr>
        <w:br w:type="page"/>
      </w:r>
    </w:p>
    <w:p w14:paraId="6B209E98">
      <w:pPr>
        <w:keepNext/>
        <w:spacing w:before="312" w:beforeLines="100"/>
        <w:jc w:val="center"/>
        <w:rPr>
          <w:rFonts w:ascii="宋体" w:hAnsi="宋体" w:cs="宋体"/>
          <w:b/>
          <w:bCs/>
          <w:sz w:val="32"/>
          <w:szCs w:val="32"/>
          <w:highlight w:val="none"/>
        </w:rPr>
      </w:pPr>
      <w:r>
        <w:rPr>
          <w:rFonts w:hint="eastAsia" w:ascii="宋体" w:hAnsi="宋体" w:cs="宋体"/>
          <w:b/>
          <w:bCs/>
          <w:sz w:val="32"/>
          <w:szCs w:val="32"/>
          <w:highlight w:val="none"/>
        </w:rPr>
        <w:t>法定代表人授权书</w:t>
      </w:r>
    </w:p>
    <w:p w14:paraId="4A8F7915">
      <w:pPr>
        <w:spacing w:line="500" w:lineRule="exact"/>
        <w:jc w:val="left"/>
        <w:rPr>
          <w:rFonts w:ascii="宋体" w:hAnsi="宋体" w:cs="宋体"/>
          <w:spacing w:val="4"/>
          <w:sz w:val="24"/>
          <w:highlight w:val="none"/>
        </w:rPr>
      </w:pPr>
      <w:r>
        <w:rPr>
          <w:rFonts w:hint="eastAsia" w:ascii="宋体" w:hAnsi="宋体" w:cs="宋体"/>
          <w:spacing w:val="4"/>
          <w:sz w:val="24"/>
          <w:highlight w:val="none"/>
        </w:rPr>
        <w:t>致：</w:t>
      </w:r>
      <w:r>
        <w:rPr>
          <w:rFonts w:hint="eastAsia" w:ascii="宋体" w:hAnsi="宋体" w:cs="宋体"/>
          <w:spacing w:val="4"/>
          <w:sz w:val="24"/>
          <w:highlight w:val="none"/>
          <w:u w:val="single"/>
          <w:lang w:eastAsia="zh-CN"/>
        </w:rPr>
        <w:t>陕西至诚项目管理集团有限公司</w:t>
      </w:r>
      <w:r>
        <w:rPr>
          <w:rFonts w:hint="eastAsia" w:ascii="宋体" w:hAnsi="宋体" w:cs="宋体"/>
          <w:spacing w:val="4"/>
          <w:sz w:val="24"/>
          <w:highlight w:val="none"/>
          <w:u w:val="single"/>
        </w:rPr>
        <w:t xml:space="preserve"> </w:t>
      </w:r>
    </w:p>
    <w:p w14:paraId="6AC21CB8">
      <w:pPr>
        <w:spacing w:line="500" w:lineRule="exact"/>
        <w:ind w:firstLine="496" w:firstLineChars="200"/>
        <w:jc w:val="left"/>
        <w:rPr>
          <w:rFonts w:ascii="宋体" w:hAnsi="宋体" w:cs="宋体"/>
          <w:spacing w:val="4"/>
          <w:sz w:val="24"/>
          <w:highlight w:val="none"/>
        </w:rPr>
      </w:pPr>
      <w:r>
        <w:rPr>
          <w:rFonts w:hint="eastAsia" w:ascii="宋体" w:hAnsi="宋体" w:cs="宋体"/>
          <w:spacing w:val="4"/>
          <w:sz w:val="24"/>
          <w:highlight w:val="none"/>
          <w:u w:val="single"/>
        </w:rPr>
        <w:t>(供应商名称)</w:t>
      </w:r>
      <w:r>
        <w:rPr>
          <w:rFonts w:hint="eastAsia" w:ascii="宋体" w:hAnsi="宋体" w:cs="宋体"/>
          <w:spacing w:val="4"/>
          <w:sz w:val="24"/>
          <w:highlight w:val="none"/>
        </w:rPr>
        <w:t>按中华人民共和国法律于</w:t>
      </w:r>
      <w:r>
        <w:rPr>
          <w:rFonts w:hint="eastAsia" w:ascii="宋体" w:hAnsi="宋体" w:cs="宋体"/>
          <w:spacing w:val="4"/>
          <w:sz w:val="24"/>
          <w:highlight w:val="none"/>
          <w:u w:val="single"/>
        </w:rPr>
        <w:t>（  年  月  日 ）</w:t>
      </w:r>
      <w:r>
        <w:rPr>
          <w:rFonts w:hint="eastAsia" w:ascii="宋体" w:hAnsi="宋体" w:cs="宋体"/>
          <w:spacing w:val="4"/>
          <w:sz w:val="24"/>
          <w:highlight w:val="none"/>
        </w:rPr>
        <w:t>成立。</w:t>
      </w:r>
      <w:r>
        <w:rPr>
          <w:rFonts w:hint="eastAsia" w:ascii="宋体" w:hAnsi="宋体" w:cs="宋体"/>
          <w:spacing w:val="4"/>
          <w:sz w:val="24"/>
          <w:highlight w:val="none"/>
          <w:u w:val="single"/>
        </w:rPr>
        <w:t>(法定代表人姓名)</w:t>
      </w:r>
      <w:r>
        <w:rPr>
          <w:rFonts w:hint="eastAsia" w:ascii="宋体" w:hAnsi="宋体" w:cs="宋体"/>
          <w:spacing w:val="4"/>
          <w:sz w:val="24"/>
          <w:highlight w:val="none"/>
        </w:rPr>
        <w:t>特授权</w:t>
      </w:r>
      <w:r>
        <w:rPr>
          <w:rFonts w:hint="eastAsia" w:ascii="宋体" w:hAnsi="宋体" w:cs="宋体"/>
          <w:spacing w:val="4"/>
          <w:sz w:val="24"/>
          <w:highlight w:val="none"/>
          <w:u w:val="single"/>
        </w:rPr>
        <w:t xml:space="preserve">（ </w:t>
      </w:r>
      <w:r>
        <w:rPr>
          <w:rFonts w:hint="eastAsia" w:ascii="宋体" w:hAnsi="宋体" w:cs="宋体"/>
          <w:sz w:val="24"/>
          <w:highlight w:val="none"/>
          <w:u w:val="single"/>
        </w:rPr>
        <w:t>授权代表</w:t>
      </w:r>
      <w:r>
        <w:rPr>
          <w:rFonts w:hint="eastAsia" w:ascii="宋体" w:hAnsi="宋体" w:cs="宋体"/>
          <w:spacing w:val="4"/>
          <w:sz w:val="24"/>
          <w:highlight w:val="none"/>
          <w:u w:val="single"/>
        </w:rPr>
        <w:t>姓名 ）</w:t>
      </w:r>
      <w:r>
        <w:rPr>
          <w:rFonts w:hint="eastAsia" w:ascii="宋体" w:hAnsi="宋体" w:cs="宋体"/>
          <w:spacing w:val="4"/>
          <w:sz w:val="24"/>
          <w:highlight w:val="none"/>
        </w:rPr>
        <w:t xml:space="preserve">代表我公司全权办理针对本次 </w:t>
      </w:r>
      <w:r>
        <w:rPr>
          <w:rFonts w:hint="eastAsia" w:ascii="宋体" w:hAnsi="宋体" w:cs="宋体"/>
          <w:spacing w:val="4"/>
          <w:sz w:val="24"/>
          <w:highlight w:val="none"/>
          <w:u w:val="single"/>
        </w:rPr>
        <w:t>（项目编号 ）</w:t>
      </w:r>
      <w:r>
        <w:rPr>
          <w:rFonts w:hint="eastAsia" w:ascii="宋体" w:hAnsi="宋体" w:cs="宋体"/>
          <w:spacing w:val="4"/>
          <w:sz w:val="24"/>
          <w:highlight w:val="none"/>
        </w:rPr>
        <w:t>项目的谈判、签约等具体工作，并签署全部有关的文件、协议及合同。</w:t>
      </w:r>
    </w:p>
    <w:p w14:paraId="341ABB15">
      <w:pPr>
        <w:spacing w:line="500" w:lineRule="exact"/>
        <w:ind w:firstLine="496" w:firstLineChars="200"/>
        <w:jc w:val="left"/>
        <w:rPr>
          <w:rFonts w:ascii="宋体" w:hAnsi="宋体" w:cs="宋体"/>
          <w:spacing w:val="4"/>
          <w:sz w:val="24"/>
          <w:highlight w:val="none"/>
        </w:rPr>
      </w:pPr>
      <w:r>
        <w:rPr>
          <w:rFonts w:hint="eastAsia" w:ascii="宋体" w:hAnsi="宋体" w:cs="宋体"/>
          <w:spacing w:val="4"/>
          <w:sz w:val="24"/>
          <w:highlight w:val="none"/>
        </w:rPr>
        <w:t>我公司对</w:t>
      </w:r>
      <w:r>
        <w:rPr>
          <w:rFonts w:hint="eastAsia" w:ascii="宋体" w:hAnsi="宋体" w:cs="宋体"/>
          <w:sz w:val="24"/>
          <w:highlight w:val="none"/>
        </w:rPr>
        <w:t>授权代表</w:t>
      </w:r>
      <w:r>
        <w:rPr>
          <w:rFonts w:hint="eastAsia" w:ascii="宋体" w:hAnsi="宋体" w:cs="宋体"/>
          <w:spacing w:val="4"/>
          <w:sz w:val="24"/>
          <w:highlight w:val="none"/>
        </w:rPr>
        <w:t>的签名负全部责任。</w:t>
      </w:r>
    </w:p>
    <w:p w14:paraId="6B67A166">
      <w:pPr>
        <w:spacing w:line="500" w:lineRule="exact"/>
        <w:ind w:right="540" w:rightChars="257" w:firstLine="480" w:firstLineChars="200"/>
        <w:jc w:val="left"/>
        <w:rPr>
          <w:rFonts w:ascii="宋体" w:hAnsi="宋体" w:cs="宋体"/>
          <w:spacing w:val="4"/>
          <w:sz w:val="24"/>
          <w:highlight w:val="none"/>
        </w:rPr>
      </w:pPr>
      <w:r>
        <w:rPr>
          <w:rFonts w:hint="eastAsia" w:ascii="宋体" w:hAnsi="宋体" w:cs="宋体"/>
          <w:sz w:val="24"/>
          <w:highlight w:val="none"/>
        </w:rPr>
        <w:t>委托期限：</w:t>
      </w:r>
      <w:r>
        <w:rPr>
          <w:rFonts w:hint="eastAsia" w:ascii="宋体" w:hAnsi="宋体" w:cs="宋体"/>
          <w:sz w:val="24"/>
          <w:highlight w:val="none"/>
          <w:lang w:val="zh-CN"/>
        </w:rPr>
        <w:t>自谈判之日起</w:t>
      </w:r>
      <w:r>
        <w:rPr>
          <w:rFonts w:hint="eastAsia" w:ascii="宋体" w:hAnsi="宋体" w:cs="宋体"/>
          <w:sz w:val="24"/>
          <w:highlight w:val="none"/>
          <w:u w:val="single"/>
        </w:rPr>
        <w:t>90</w:t>
      </w:r>
      <w:r>
        <w:rPr>
          <w:rFonts w:hint="eastAsia" w:ascii="宋体" w:hAnsi="宋体" w:cs="宋体"/>
          <w:sz w:val="24"/>
          <w:highlight w:val="none"/>
          <w:lang w:val="zh-CN"/>
        </w:rPr>
        <w:t>天。</w:t>
      </w:r>
    </w:p>
    <w:tbl>
      <w:tblPr>
        <w:tblStyle w:val="16"/>
        <w:tblW w:w="0" w:type="auto"/>
        <w:tblInd w:w="633" w:type="dxa"/>
        <w:tblLayout w:type="fixed"/>
        <w:tblCellMar>
          <w:top w:w="0" w:type="dxa"/>
          <w:left w:w="108" w:type="dxa"/>
          <w:bottom w:w="0" w:type="dxa"/>
          <w:right w:w="108" w:type="dxa"/>
        </w:tblCellMar>
      </w:tblPr>
      <w:tblGrid>
        <w:gridCol w:w="4200"/>
        <w:gridCol w:w="3990"/>
      </w:tblGrid>
      <w:tr w14:paraId="70A9223C">
        <w:tblPrEx>
          <w:tblCellMar>
            <w:top w:w="0" w:type="dxa"/>
            <w:left w:w="108" w:type="dxa"/>
            <w:bottom w:w="0" w:type="dxa"/>
            <w:right w:w="108" w:type="dxa"/>
          </w:tblCellMar>
        </w:tblPrEx>
        <w:trPr>
          <w:trHeight w:val="600" w:hRule="atLeast"/>
        </w:trPr>
        <w:tc>
          <w:tcPr>
            <w:tcW w:w="4200" w:type="dxa"/>
          </w:tcPr>
          <w:p w14:paraId="66E3EB62">
            <w:pPr>
              <w:spacing w:line="360" w:lineRule="auto"/>
              <w:jc w:val="left"/>
              <w:rPr>
                <w:rFonts w:ascii="宋体" w:hAnsi="宋体" w:cs="宋体"/>
                <w:spacing w:val="4"/>
                <w:sz w:val="24"/>
                <w:highlight w:val="none"/>
              </w:rPr>
            </w:pPr>
            <w:r>
              <w:rPr>
                <w:rFonts w:hint="eastAsia" w:ascii="宋体" w:hAnsi="宋体" w:cs="宋体"/>
                <w:spacing w:val="4"/>
                <w:sz w:val="24"/>
                <w:highlight w:val="none"/>
              </w:rPr>
              <w:t>被授权人签字或盖章：</w:t>
            </w:r>
          </w:p>
        </w:tc>
        <w:tc>
          <w:tcPr>
            <w:tcW w:w="3990" w:type="dxa"/>
          </w:tcPr>
          <w:p w14:paraId="4CE4D880">
            <w:pPr>
              <w:spacing w:line="360" w:lineRule="auto"/>
              <w:jc w:val="left"/>
              <w:rPr>
                <w:rFonts w:ascii="宋体" w:hAnsi="宋体" w:cs="宋体"/>
                <w:spacing w:val="4"/>
                <w:sz w:val="24"/>
                <w:highlight w:val="none"/>
              </w:rPr>
            </w:pPr>
            <w:r>
              <w:rPr>
                <w:rFonts w:hint="eastAsia" w:ascii="宋体" w:hAnsi="宋体" w:cs="宋体"/>
                <w:spacing w:val="4"/>
                <w:sz w:val="24"/>
                <w:highlight w:val="none"/>
              </w:rPr>
              <w:t>法定代表人签字或盖章：</w:t>
            </w:r>
          </w:p>
        </w:tc>
      </w:tr>
      <w:tr w14:paraId="23F45B76">
        <w:tblPrEx>
          <w:tblCellMar>
            <w:top w:w="0" w:type="dxa"/>
            <w:left w:w="108" w:type="dxa"/>
            <w:bottom w:w="0" w:type="dxa"/>
            <w:right w:w="108" w:type="dxa"/>
          </w:tblCellMar>
        </w:tblPrEx>
        <w:trPr>
          <w:trHeight w:val="600" w:hRule="atLeast"/>
        </w:trPr>
        <w:tc>
          <w:tcPr>
            <w:tcW w:w="4200" w:type="dxa"/>
          </w:tcPr>
          <w:p w14:paraId="3420BE25">
            <w:pPr>
              <w:spacing w:line="360" w:lineRule="auto"/>
              <w:jc w:val="left"/>
              <w:rPr>
                <w:rFonts w:ascii="宋体" w:hAnsi="宋体" w:cs="宋体"/>
                <w:spacing w:val="4"/>
                <w:sz w:val="24"/>
                <w:highlight w:val="none"/>
              </w:rPr>
            </w:pPr>
            <w:r>
              <w:rPr>
                <w:rFonts w:hint="eastAsia" w:ascii="宋体" w:hAnsi="宋体" w:cs="宋体"/>
                <w:spacing w:val="4"/>
                <w:sz w:val="24"/>
                <w:highlight w:val="none"/>
              </w:rPr>
              <w:t>职务：</w:t>
            </w:r>
          </w:p>
        </w:tc>
        <w:tc>
          <w:tcPr>
            <w:tcW w:w="3990" w:type="dxa"/>
          </w:tcPr>
          <w:p w14:paraId="162D4401">
            <w:pPr>
              <w:spacing w:line="360" w:lineRule="auto"/>
              <w:jc w:val="left"/>
              <w:rPr>
                <w:rFonts w:ascii="宋体" w:hAnsi="宋体" w:cs="宋体"/>
                <w:spacing w:val="4"/>
                <w:sz w:val="24"/>
                <w:highlight w:val="none"/>
              </w:rPr>
            </w:pPr>
            <w:r>
              <w:rPr>
                <w:rFonts w:hint="eastAsia" w:ascii="宋体" w:hAnsi="宋体" w:cs="宋体"/>
                <w:spacing w:val="4"/>
                <w:sz w:val="24"/>
                <w:highlight w:val="none"/>
              </w:rPr>
              <w:t>职务：</w:t>
            </w:r>
          </w:p>
        </w:tc>
      </w:tr>
      <w:tr w14:paraId="49355B4B">
        <w:tblPrEx>
          <w:tblCellMar>
            <w:top w:w="0" w:type="dxa"/>
            <w:left w:w="108" w:type="dxa"/>
            <w:bottom w:w="0" w:type="dxa"/>
            <w:right w:w="108" w:type="dxa"/>
          </w:tblCellMar>
        </w:tblPrEx>
        <w:trPr>
          <w:trHeight w:val="600" w:hRule="atLeast"/>
        </w:trPr>
        <w:tc>
          <w:tcPr>
            <w:tcW w:w="4200" w:type="dxa"/>
          </w:tcPr>
          <w:p w14:paraId="47EF6290">
            <w:pPr>
              <w:spacing w:line="360" w:lineRule="auto"/>
              <w:jc w:val="left"/>
              <w:rPr>
                <w:rFonts w:ascii="宋体" w:hAnsi="宋体" w:cs="宋体"/>
                <w:spacing w:val="4"/>
                <w:sz w:val="24"/>
                <w:highlight w:val="none"/>
              </w:rPr>
            </w:pPr>
            <w:r>
              <w:rPr>
                <w:rFonts w:hint="eastAsia" w:ascii="宋体" w:hAnsi="宋体" w:cs="宋体"/>
                <w:spacing w:val="4"/>
                <w:sz w:val="24"/>
                <w:highlight w:val="none"/>
              </w:rPr>
              <w:t>身份证号：</w:t>
            </w:r>
          </w:p>
        </w:tc>
        <w:tc>
          <w:tcPr>
            <w:tcW w:w="3990" w:type="dxa"/>
          </w:tcPr>
          <w:p w14:paraId="5B58C62E">
            <w:pPr>
              <w:spacing w:line="360" w:lineRule="auto"/>
              <w:jc w:val="left"/>
              <w:rPr>
                <w:rFonts w:ascii="宋体" w:hAnsi="宋体" w:cs="宋体"/>
                <w:spacing w:val="4"/>
                <w:sz w:val="24"/>
                <w:highlight w:val="none"/>
              </w:rPr>
            </w:pPr>
            <w:r>
              <w:rPr>
                <w:rFonts w:hint="eastAsia" w:ascii="宋体" w:hAnsi="宋体" w:cs="宋体"/>
                <w:spacing w:val="4"/>
                <w:sz w:val="24"/>
                <w:highlight w:val="none"/>
              </w:rPr>
              <w:t>身份证号：</w:t>
            </w:r>
          </w:p>
        </w:tc>
      </w:tr>
      <w:tr w14:paraId="2BA0655A">
        <w:tblPrEx>
          <w:tblCellMar>
            <w:top w:w="0" w:type="dxa"/>
            <w:left w:w="108" w:type="dxa"/>
            <w:bottom w:w="0" w:type="dxa"/>
            <w:right w:w="108" w:type="dxa"/>
          </w:tblCellMar>
        </w:tblPrEx>
        <w:trPr>
          <w:trHeight w:val="600" w:hRule="atLeast"/>
        </w:trPr>
        <w:tc>
          <w:tcPr>
            <w:tcW w:w="4200" w:type="dxa"/>
          </w:tcPr>
          <w:p w14:paraId="21765C23">
            <w:pPr>
              <w:spacing w:line="360" w:lineRule="auto"/>
              <w:jc w:val="left"/>
              <w:rPr>
                <w:rFonts w:ascii="宋体" w:hAnsi="宋体" w:cs="宋体"/>
                <w:spacing w:val="4"/>
                <w:sz w:val="24"/>
                <w:highlight w:val="none"/>
              </w:rPr>
            </w:pPr>
            <w:r>
              <w:rPr>
                <w:rFonts w:hint="eastAsia" w:ascii="宋体" w:hAnsi="宋体" w:cs="宋体"/>
                <w:spacing w:val="4"/>
                <w:sz w:val="24"/>
                <w:highlight w:val="none"/>
              </w:rPr>
              <w:t>所在部门：</w:t>
            </w:r>
          </w:p>
        </w:tc>
        <w:tc>
          <w:tcPr>
            <w:tcW w:w="3990" w:type="dxa"/>
          </w:tcPr>
          <w:p w14:paraId="06618053">
            <w:pPr>
              <w:spacing w:line="360" w:lineRule="auto"/>
              <w:jc w:val="left"/>
              <w:rPr>
                <w:rFonts w:ascii="宋体" w:hAnsi="宋体" w:cs="宋体"/>
                <w:spacing w:val="4"/>
                <w:sz w:val="24"/>
                <w:highlight w:val="none"/>
              </w:rPr>
            </w:pPr>
          </w:p>
        </w:tc>
      </w:tr>
    </w:tbl>
    <w:p w14:paraId="2A342F5B">
      <w:pPr>
        <w:spacing w:line="360" w:lineRule="auto"/>
        <w:ind w:firstLine="505" w:firstLineChars="204"/>
        <w:rPr>
          <w:rFonts w:ascii="宋体" w:hAnsi="宋体" w:cs="宋体"/>
          <w:spacing w:val="4"/>
          <w:sz w:val="24"/>
          <w:highlight w:val="none"/>
        </w:rPr>
      </w:pPr>
      <w:r>
        <w:rPr>
          <w:rFonts w:hint="eastAsia" w:ascii="宋体" w:hAnsi="宋体" w:cs="宋体"/>
          <w:spacing w:val="4"/>
          <w:sz w:val="24"/>
          <w:highlight w:val="none"/>
        </w:rPr>
        <w:t>附：法定代表人、被授权人身份证复印件</w:t>
      </w:r>
    </w:p>
    <w:p w14:paraId="04FDCD71">
      <w:pPr>
        <w:spacing w:line="360" w:lineRule="auto"/>
        <w:rPr>
          <w:rFonts w:ascii="宋体" w:hAnsi="宋体" w:cs="宋体"/>
          <w:spacing w:val="4"/>
          <w:sz w:val="24"/>
          <w:highlight w:val="none"/>
        </w:rPr>
      </w:pPr>
    </w:p>
    <w:tbl>
      <w:tblPr>
        <w:tblStyle w:val="16"/>
        <w:tblW w:w="0" w:type="auto"/>
        <w:tblInd w:w="540" w:type="dxa"/>
        <w:tblLayout w:type="fixed"/>
        <w:tblCellMar>
          <w:top w:w="0" w:type="dxa"/>
          <w:left w:w="108" w:type="dxa"/>
          <w:bottom w:w="0" w:type="dxa"/>
          <w:right w:w="108" w:type="dxa"/>
        </w:tblCellMar>
      </w:tblPr>
      <w:tblGrid>
        <w:gridCol w:w="4246"/>
        <w:gridCol w:w="4111"/>
      </w:tblGrid>
      <w:tr w14:paraId="6C3E3CAC">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4196E926">
            <w:pPr>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法定代表人身份证复印件粘贴处</w:t>
            </w:r>
          </w:p>
          <w:p w14:paraId="1EF6F4E2">
            <w:pPr>
              <w:spacing w:line="360" w:lineRule="auto"/>
              <w:jc w:val="center"/>
              <w:rPr>
                <w:rFonts w:ascii="宋体" w:hAnsi="宋体" w:cs="宋体"/>
                <w:color w:val="000000"/>
                <w:sz w:val="24"/>
                <w:highlight w:val="none"/>
                <w:u w:val="single"/>
              </w:rPr>
            </w:pPr>
            <w:r>
              <w:rPr>
                <w:rFonts w:hint="eastAsia" w:ascii="宋体" w:hAnsi="宋体" w:cs="宋体"/>
                <w:color w:val="000000"/>
                <w:sz w:val="24"/>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29F4712C">
            <w:pPr>
              <w:spacing w:line="360" w:lineRule="auto"/>
              <w:jc w:val="center"/>
              <w:rPr>
                <w:rFonts w:ascii="宋体" w:hAnsi="宋体" w:cs="宋体"/>
                <w:color w:val="000000"/>
                <w:sz w:val="24"/>
                <w:highlight w:val="none"/>
                <w:lang w:val="zh-CN"/>
              </w:rPr>
            </w:pPr>
            <w:r>
              <w:rPr>
                <w:rFonts w:hint="eastAsia" w:ascii="宋体" w:hAnsi="宋体" w:cs="宋体"/>
                <w:color w:val="000000"/>
                <w:sz w:val="24"/>
                <w:highlight w:val="none"/>
                <w:lang w:val="zh-CN"/>
              </w:rPr>
              <w:t>授权代表身份证复印件粘贴处</w:t>
            </w:r>
          </w:p>
          <w:p w14:paraId="1551CEFF">
            <w:pPr>
              <w:spacing w:line="360" w:lineRule="auto"/>
              <w:jc w:val="center"/>
              <w:rPr>
                <w:rFonts w:ascii="宋体" w:hAnsi="宋体" w:cs="宋体"/>
                <w:color w:val="000000"/>
                <w:sz w:val="24"/>
                <w:highlight w:val="none"/>
                <w:u w:val="single"/>
              </w:rPr>
            </w:pPr>
            <w:r>
              <w:rPr>
                <w:rFonts w:hint="eastAsia" w:ascii="宋体" w:hAnsi="宋体" w:cs="宋体"/>
                <w:color w:val="000000"/>
                <w:sz w:val="24"/>
                <w:highlight w:val="none"/>
                <w:lang w:val="zh-CN"/>
              </w:rPr>
              <w:t>（正反面）</w:t>
            </w:r>
          </w:p>
        </w:tc>
      </w:tr>
    </w:tbl>
    <w:p w14:paraId="420C47C1">
      <w:pPr>
        <w:spacing w:line="360" w:lineRule="auto"/>
        <w:ind w:firstLine="510"/>
        <w:rPr>
          <w:rFonts w:ascii="宋体" w:hAnsi="宋体" w:cs="宋体"/>
          <w:spacing w:val="4"/>
          <w:sz w:val="24"/>
          <w:highlight w:val="none"/>
        </w:rPr>
      </w:pPr>
    </w:p>
    <w:p w14:paraId="48B0C3BF">
      <w:pPr>
        <w:spacing w:before="156" w:beforeLines="50" w:after="156" w:afterLines="50" w:line="360" w:lineRule="auto"/>
        <w:rPr>
          <w:rFonts w:ascii="宋体" w:hAnsi="宋体" w:cs="宋体"/>
          <w:spacing w:val="4"/>
          <w:sz w:val="24"/>
          <w:highlight w:val="none"/>
        </w:rPr>
      </w:pPr>
      <w:r>
        <w:rPr>
          <w:rFonts w:hint="eastAsia" w:ascii="宋体" w:hAnsi="宋体" w:cs="宋体"/>
          <w:spacing w:val="4"/>
          <w:sz w:val="24"/>
          <w:highlight w:val="none"/>
        </w:rPr>
        <w:t>供应商名称：</w:t>
      </w:r>
      <w:r>
        <w:rPr>
          <w:rFonts w:hint="eastAsia" w:ascii="宋体" w:hAnsi="宋体" w:cs="宋体"/>
          <w:sz w:val="24"/>
          <w:highlight w:val="none"/>
          <w:u w:val="single"/>
        </w:rPr>
        <w:t xml:space="preserve">      （加盖单位公章）       </w:t>
      </w:r>
    </w:p>
    <w:p w14:paraId="2249A6A7">
      <w:pPr>
        <w:spacing w:before="156" w:beforeLines="50" w:after="156" w:afterLines="50" w:line="360" w:lineRule="auto"/>
        <w:rPr>
          <w:rFonts w:ascii="宋体" w:hAnsi="宋体" w:cs="宋体"/>
          <w:sz w:val="24"/>
          <w:highlight w:val="none"/>
        </w:rPr>
      </w:pPr>
      <w:r>
        <w:rPr>
          <w:rFonts w:hint="eastAsia" w:ascii="宋体" w:hAnsi="宋体" w:cs="宋体"/>
          <w:spacing w:val="4"/>
          <w:sz w:val="24"/>
          <w:highlight w:val="none"/>
        </w:rPr>
        <w:t>日期：</w:t>
      </w:r>
    </w:p>
    <w:p w14:paraId="053FF688">
      <w:pPr>
        <w:spacing w:before="156" w:beforeLines="50" w:after="156" w:afterLines="50"/>
        <w:rPr>
          <w:rFonts w:ascii="宋体" w:hAnsi="宋体" w:cs="宋体"/>
          <w:highlight w:val="none"/>
        </w:rPr>
      </w:pPr>
      <w:r>
        <w:rPr>
          <w:rFonts w:hint="eastAsia" w:ascii="宋体" w:hAnsi="宋体" w:cs="宋体"/>
          <w:sz w:val="28"/>
          <w:szCs w:val="28"/>
          <w:highlight w:val="none"/>
          <w:u w:val="single"/>
        </w:rPr>
        <w:br w:type="page"/>
      </w:r>
      <w:r>
        <w:rPr>
          <w:rFonts w:hint="eastAsia" w:ascii="宋体" w:hAnsi="宋体" w:cs="宋体"/>
          <w:b/>
          <w:bCs/>
          <w:sz w:val="28"/>
          <w:szCs w:val="28"/>
          <w:highlight w:val="none"/>
        </w:rPr>
        <w:t>附件2：</w:t>
      </w:r>
    </w:p>
    <w:p w14:paraId="66A2B5FC">
      <w:pPr>
        <w:spacing w:before="100" w:beforeAutospacing="1" w:after="156" w:afterLines="50" w:line="360" w:lineRule="auto"/>
        <w:jc w:val="center"/>
        <w:rPr>
          <w:rFonts w:ascii="宋体" w:hAnsi="宋体" w:cs="宋体"/>
          <w:b/>
          <w:sz w:val="28"/>
          <w:szCs w:val="28"/>
          <w:highlight w:val="none"/>
        </w:rPr>
      </w:pPr>
    </w:p>
    <w:p w14:paraId="58076C87">
      <w:pPr>
        <w:spacing w:before="156" w:beforeLines="50" w:after="156" w:afterLines="50" w:line="360" w:lineRule="auto"/>
        <w:jc w:val="center"/>
        <w:rPr>
          <w:rFonts w:hAnsi="宋体" w:cs="宋体"/>
          <w:sz w:val="28"/>
          <w:szCs w:val="28"/>
          <w:highlight w:val="none"/>
        </w:rPr>
      </w:pPr>
      <w:bookmarkStart w:id="66" w:name="_Toc13836"/>
      <w:r>
        <w:rPr>
          <w:rFonts w:hint="eastAsia" w:hAnsi="宋体" w:cs="宋体"/>
          <w:b/>
          <w:sz w:val="28"/>
          <w:szCs w:val="28"/>
          <w:highlight w:val="none"/>
        </w:rPr>
        <w:t>中小企业声明函</w:t>
      </w:r>
    </w:p>
    <w:p w14:paraId="04FDFB83">
      <w:pP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本公司郑重声明，根据《政府采购促进中小企业发展管理办法》（财库﹝2020﹞46 号）的规定，本公司参加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采购活动，工程的施工单位全部为符合政策要求的中小企业（或者：服务全部由符合政策要求的中小企业承接）。相关企业的具体情况如下：</w:t>
      </w:r>
    </w:p>
    <w:p w14:paraId="467F296F">
      <w:pP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人，营业收入</w:t>
      </w:r>
      <w:r>
        <w:rPr>
          <w:rFonts w:hint="eastAsia" w:ascii="宋体" w:hAnsi="宋体" w:cs="宋体"/>
          <w:sz w:val="24"/>
          <w:szCs w:val="24"/>
          <w:highlight w:val="none"/>
          <w:u w:val="single"/>
        </w:rPr>
        <w:t xml:space="preserve">为 </w:t>
      </w:r>
      <w:r>
        <w:rPr>
          <w:rFonts w:hint="eastAsia" w:ascii="宋体" w:hAnsi="宋体" w:cs="宋体"/>
          <w:sz w:val="24"/>
          <w:szCs w:val="24"/>
          <w:highlight w:val="none"/>
          <w:u w:val="single"/>
        </w:rPr>
        <w:tab/>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3D886E80">
      <w:pP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（标的名称）</w:t>
      </w:r>
      <w:r>
        <w:rPr>
          <w:rFonts w:hint="eastAsia" w:ascii="宋体" w:hAnsi="宋体" w:cs="宋体"/>
          <w:sz w:val="24"/>
          <w:szCs w:val="24"/>
          <w:highlight w:val="none"/>
        </w:rPr>
        <w:t>，属于</w:t>
      </w:r>
      <w:r>
        <w:rPr>
          <w:rFonts w:hint="eastAsia" w:ascii="宋体" w:hAnsi="宋体" w:cs="宋体"/>
          <w:sz w:val="24"/>
          <w:szCs w:val="24"/>
          <w:highlight w:val="none"/>
          <w:u w:val="single"/>
        </w:rPr>
        <w:t>（采购文件中明确的所属行业</w:t>
      </w:r>
      <w:r>
        <w:rPr>
          <w:rFonts w:hint="eastAsia" w:ascii="宋体" w:hAnsi="宋体" w:cs="宋体"/>
          <w:sz w:val="24"/>
          <w:szCs w:val="24"/>
          <w:highlight w:val="none"/>
        </w:rPr>
        <w:t>）；承建（承接）企业为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39241598">
      <w:pPr>
        <w:tabs>
          <w:tab w:val="left" w:pos="1620"/>
          <w:tab w:val="left" w:pos="1800"/>
        </w:tabs>
        <w:spacing w:line="500" w:lineRule="exact"/>
        <w:rPr>
          <w:rFonts w:ascii="宋体" w:hAnsi="宋体" w:cs="宋体"/>
          <w:sz w:val="24"/>
          <w:szCs w:val="24"/>
          <w:highlight w:val="none"/>
        </w:rPr>
      </w:pPr>
      <w:r>
        <w:rPr>
          <w:rFonts w:hint="eastAsia" w:ascii="宋体" w:hAnsi="宋体" w:cs="宋体"/>
          <w:sz w:val="24"/>
          <w:szCs w:val="24"/>
          <w:highlight w:val="none"/>
        </w:rPr>
        <w:t>……</w:t>
      </w:r>
    </w:p>
    <w:p w14:paraId="5D93D347">
      <w:pP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2E13AA15">
      <w:pPr>
        <w:tabs>
          <w:tab w:val="left" w:pos="1620"/>
          <w:tab w:val="left" w:pos="1800"/>
        </w:tabs>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14:paraId="4B73A6EF">
      <w:pPr>
        <w:tabs>
          <w:tab w:val="left" w:pos="1620"/>
          <w:tab w:val="left" w:pos="1800"/>
        </w:tabs>
        <w:spacing w:line="500" w:lineRule="exact"/>
        <w:rPr>
          <w:rFonts w:ascii="宋体" w:hAnsi="宋体" w:cs="宋体"/>
          <w:sz w:val="24"/>
          <w:szCs w:val="24"/>
          <w:highlight w:val="none"/>
        </w:rPr>
      </w:pPr>
    </w:p>
    <w:p w14:paraId="195D7FE7">
      <w:pPr>
        <w:tabs>
          <w:tab w:val="left" w:pos="1620"/>
          <w:tab w:val="left" w:pos="1800"/>
        </w:tabs>
        <w:spacing w:line="500" w:lineRule="exact"/>
        <w:rPr>
          <w:rFonts w:ascii="宋体" w:hAnsi="宋体" w:cs="宋体"/>
          <w:sz w:val="24"/>
          <w:szCs w:val="24"/>
          <w:highlight w:val="none"/>
        </w:rPr>
      </w:pPr>
    </w:p>
    <w:p w14:paraId="69F00A8E">
      <w:pPr>
        <w:tabs>
          <w:tab w:val="left" w:pos="1620"/>
          <w:tab w:val="left" w:pos="1800"/>
        </w:tabs>
        <w:spacing w:line="500" w:lineRule="exact"/>
        <w:ind w:firstLine="4800" w:firstLineChars="2000"/>
        <w:rPr>
          <w:rFonts w:ascii="宋体" w:hAnsi="宋体" w:cs="宋体"/>
          <w:sz w:val="24"/>
          <w:szCs w:val="24"/>
          <w:highlight w:val="none"/>
        </w:rPr>
      </w:pPr>
      <w:r>
        <w:rPr>
          <w:rFonts w:hint="eastAsia" w:ascii="宋体" w:hAnsi="宋体" w:cs="宋体"/>
          <w:sz w:val="24"/>
          <w:szCs w:val="24"/>
          <w:highlight w:val="none"/>
        </w:rPr>
        <w:t>企业名称（盖章）：</w:t>
      </w:r>
    </w:p>
    <w:p w14:paraId="27C5E3D8">
      <w:pPr>
        <w:ind w:firstLine="5280" w:firstLineChars="2200"/>
        <w:rPr>
          <w:rFonts w:ascii="宋体" w:hAnsi="宋体" w:cs="宋体"/>
          <w:sz w:val="24"/>
          <w:szCs w:val="32"/>
          <w:highlight w:val="none"/>
        </w:rPr>
      </w:pPr>
      <w:r>
        <w:rPr>
          <w:rFonts w:hint="eastAsia" w:ascii="宋体" w:hAnsi="宋体" w:cs="宋体"/>
          <w:sz w:val="24"/>
          <w:szCs w:val="24"/>
          <w:highlight w:val="none"/>
        </w:rPr>
        <w:t>日期：</w:t>
      </w:r>
    </w:p>
    <w:p w14:paraId="3B3F955F">
      <w:pPr>
        <w:tabs>
          <w:tab w:val="left" w:pos="1620"/>
          <w:tab w:val="left" w:pos="1800"/>
        </w:tabs>
        <w:spacing w:line="500" w:lineRule="exact"/>
        <w:rPr>
          <w:rFonts w:ascii="宋体" w:hAnsi="宋体" w:cs="宋体"/>
          <w:szCs w:val="21"/>
          <w:highlight w:val="none"/>
        </w:rPr>
      </w:pPr>
    </w:p>
    <w:p w14:paraId="37FE3964">
      <w:pPr>
        <w:tabs>
          <w:tab w:val="left" w:pos="1620"/>
          <w:tab w:val="left" w:pos="1800"/>
        </w:tabs>
        <w:spacing w:line="500" w:lineRule="exact"/>
        <w:rPr>
          <w:rFonts w:ascii="宋体" w:hAnsi="宋体" w:cs="宋体"/>
          <w:szCs w:val="21"/>
          <w:highlight w:val="none"/>
        </w:rPr>
      </w:pPr>
    </w:p>
    <w:p w14:paraId="26614AF0">
      <w:pPr>
        <w:tabs>
          <w:tab w:val="left" w:pos="1620"/>
          <w:tab w:val="left" w:pos="1800"/>
        </w:tabs>
        <w:spacing w:line="500" w:lineRule="exact"/>
        <w:rPr>
          <w:rFonts w:ascii="宋体" w:hAnsi="宋体" w:cs="宋体"/>
          <w:szCs w:val="21"/>
          <w:highlight w:val="none"/>
        </w:rPr>
      </w:pPr>
    </w:p>
    <w:p w14:paraId="6F71F15F">
      <w:pPr>
        <w:spacing w:before="312" w:beforeLines="100" w:after="156" w:afterLines="50"/>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附件3（如有）：</w:t>
      </w:r>
    </w:p>
    <w:p w14:paraId="53F548E0">
      <w:pPr>
        <w:spacing w:before="312" w:beforeLines="100" w:after="156" w:afterLines="50"/>
        <w:jc w:val="center"/>
        <w:rPr>
          <w:rFonts w:ascii="宋体" w:hAnsi="宋体" w:cs="宋体"/>
          <w:b/>
          <w:sz w:val="28"/>
          <w:szCs w:val="28"/>
          <w:highlight w:val="none"/>
        </w:rPr>
      </w:pPr>
      <w:r>
        <w:rPr>
          <w:rFonts w:hint="eastAsia" w:ascii="宋体" w:hAnsi="宋体" w:cs="宋体"/>
          <w:b/>
          <w:sz w:val="28"/>
          <w:szCs w:val="28"/>
          <w:highlight w:val="none"/>
        </w:rPr>
        <w:t>谈判产品属节能、环境标志产品列表</w:t>
      </w:r>
      <w:bookmarkEnd w:id="66"/>
    </w:p>
    <w:p w14:paraId="6460C5D0">
      <w:pPr>
        <w:spacing w:line="360" w:lineRule="auto"/>
        <w:rPr>
          <w:rFonts w:ascii="宋体" w:hAnsi="宋体" w:cs="宋体"/>
          <w:bCs/>
          <w:sz w:val="24"/>
          <w:highlight w:val="none"/>
        </w:rPr>
      </w:pPr>
      <w:r>
        <w:rPr>
          <w:rFonts w:hint="eastAsia" w:ascii="宋体" w:hAnsi="宋体" w:cs="宋体"/>
          <w:bCs/>
          <w:sz w:val="24"/>
          <w:highlight w:val="none"/>
        </w:rPr>
        <w:t>项目名称：</w:t>
      </w:r>
    </w:p>
    <w:p w14:paraId="79ABA3F5">
      <w:pPr>
        <w:spacing w:line="360" w:lineRule="auto"/>
        <w:rPr>
          <w:rFonts w:ascii="宋体" w:hAnsi="宋体" w:cs="宋体"/>
          <w:bCs/>
          <w:sz w:val="24"/>
          <w:highlight w:val="none"/>
        </w:rPr>
      </w:pPr>
      <w:r>
        <w:rPr>
          <w:rFonts w:hint="eastAsia" w:ascii="宋体" w:hAnsi="宋体" w:cs="宋体"/>
          <w:bCs/>
          <w:sz w:val="24"/>
          <w:highlight w:val="none"/>
        </w:rPr>
        <w:t>项目编号：</w:t>
      </w:r>
    </w:p>
    <w:tbl>
      <w:tblPr>
        <w:tblStyle w:val="16"/>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14:paraId="7E2495FE">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vAlign w:val="center"/>
          </w:tcPr>
          <w:p w14:paraId="21E02892">
            <w:pPr>
              <w:spacing w:after="120"/>
              <w:jc w:val="center"/>
              <w:rPr>
                <w:rFonts w:ascii="宋体" w:hAnsi="宋体" w:cs="宋体"/>
                <w:highlight w:val="none"/>
              </w:rPr>
            </w:pPr>
            <w:r>
              <w:rPr>
                <w:rFonts w:hint="eastAsia" w:ascii="宋体" w:hAnsi="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vAlign w:val="center"/>
          </w:tcPr>
          <w:p w14:paraId="1CB7E55A">
            <w:pPr>
              <w:spacing w:after="120"/>
              <w:jc w:val="center"/>
              <w:rPr>
                <w:rFonts w:ascii="宋体" w:hAnsi="宋体" w:cs="宋体"/>
                <w:highlight w:val="none"/>
              </w:rPr>
            </w:pPr>
            <w:r>
              <w:rPr>
                <w:rFonts w:hint="eastAsia" w:ascii="宋体" w:hAnsi="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vAlign w:val="center"/>
          </w:tcPr>
          <w:p w14:paraId="76B67007">
            <w:pPr>
              <w:spacing w:before="156" w:beforeLines="50" w:after="120"/>
              <w:jc w:val="center"/>
              <w:rPr>
                <w:rFonts w:ascii="宋体" w:hAnsi="宋体" w:cs="宋体"/>
                <w:highlight w:val="none"/>
              </w:rPr>
            </w:pPr>
            <w:r>
              <w:rPr>
                <w:rFonts w:hint="eastAsia" w:ascii="宋体" w:hAnsi="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vAlign w:val="center"/>
          </w:tcPr>
          <w:p w14:paraId="26B18244">
            <w:pPr>
              <w:spacing w:after="120"/>
              <w:jc w:val="center"/>
              <w:rPr>
                <w:rFonts w:ascii="宋体" w:hAnsi="宋体" w:cs="宋体"/>
                <w:highlight w:val="none"/>
              </w:rPr>
            </w:pPr>
            <w:r>
              <w:rPr>
                <w:rFonts w:hint="eastAsia" w:ascii="宋体" w:hAnsi="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vAlign w:val="center"/>
          </w:tcPr>
          <w:p w14:paraId="644E930C">
            <w:pPr>
              <w:spacing w:after="120"/>
              <w:jc w:val="center"/>
              <w:rPr>
                <w:rFonts w:ascii="宋体" w:hAnsi="宋体" w:cs="宋体"/>
                <w:highlight w:val="none"/>
              </w:rPr>
            </w:pPr>
            <w:r>
              <w:rPr>
                <w:rFonts w:hint="eastAsia" w:ascii="宋体" w:hAnsi="宋体" w:cs="宋体"/>
                <w:highlight w:val="none"/>
              </w:rPr>
              <w:t>单价</w:t>
            </w:r>
          </w:p>
          <w:p w14:paraId="22D13C94">
            <w:pPr>
              <w:spacing w:after="120"/>
              <w:jc w:val="center"/>
              <w:rPr>
                <w:rFonts w:ascii="宋体" w:hAnsi="宋体" w:cs="宋体"/>
                <w:bCs/>
                <w:highlight w:val="none"/>
              </w:rPr>
            </w:pPr>
            <w:r>
              <w:rPr>
                <w:rFonts w:hint="eastAsia" w:ascii="宋体" w:hAnsi="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vAlign w:val="center"/>
          </w:tcPr>
          <w:p w14:paraId="4F6DCCC9">
            <w:pPr>
              <w:spacing w:after="120"/>
              <w:jc w:val="center"/>
              <w:rPr>
                <w:rFonts w:ascii="宋体" w:hAnsi="宋体" w:cs="宋体"/>
                <w:bCs/>
                <w:highlight w:val="none"/>
              </w:rPr>
            </w:pPr>
            <w:r>
              <w:rPr>
                <w:rFonts w:hint="eastAsia" w:ascii="宋体" w:hAnsi="宋体" w:cs="宋体"/>
                <w:bCs/>
                <w:highlight w:val="none"/>
              </w:rPr>
              <w:t>总价</w:t>
            </w:r>
          </w:p>
          <w:p w14:paraId="67492875">
            <w:pPr>
              <w:spacing w:after="120"/>
              <w:jc w:val="center"/>
              <w:rPr>
                <w:rFonts w:ascii="宋体" w:hAnsi="宋体" w:cs="宋体"/>
                <w:bCs/>
                <w:highlight w:val="none"/>
              </w:rPr>
            </w:pPr>
            <w:r>
              <w:rPr>
                <w:rFonts w:hint="eastAsia" w:ascii="宋体" w:hAnsi="宋体" w:cs="宋体"/>
                <w:bCs/>
                <w:highlight w:val="none"/>
              </w:rPr>
              <w:t>（元）</w:t>
            </w:r>
          </w:p>
        </w:tc>
      </w:tr>
      <w:tr w14:paraId="1E74E53A">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vAlign w:val="center"/>
          </w:tcPr>
          <w:p w14:paraId="0C5A8FD5">
            <w:pPr>
              <w:spacing w:before="312" w:beforeLines="100"/>
              <w:jc w:val="center"/>
              <w:rPr>
                <w:rFonts w:ascii="宋体" w:hAnsi="宋体" w:cs="宋体"/>
                <w:highlight w:val="none"/>
              </w:rPr>
            </w:pPr>
            <w:r>
              <w:rPr>
                <w:rFonts w:hint="eastAsia" w:ascii="宋体" w:hAnsi="宋体" w:cs="宋体"/>
                <w:highlight w:val="none"/>
              </w:rPr>
              <w:t>1</w:t>
            </w:r>
          </w:p>
        </w:tc>
        <w:tc>
          <w:tcPr>
            <w:tcW w:w="1863" w:type="dxa"/>
            <w:tcBorders>
              <w:top w:val="single" w:color="auto" w:sz="6" w:space="0"/>
              <w:left w:val="single" w:color="auto" w:sz="6" w:space="0"/>
              <w:bottom w:val="single" w:color="auto" w:sz="4" w:space="0"/>
              <w:right w:val="single" w:color="auto" w:sz="6" w:space="0"/>
            </w:tcBorders>
            <w:vAlign w:val="center"/>
          </w:tcPr>
          <w:p w14:paraId="074C2EA9">
            <w:pPr>
              <w:spacing w:before="156" w:beforeLines="50"/>
              <w:jc w:val="center"/>
              <w:rPr>
                <w:rFonts w:ascii="宋体" w:hAnsi="宋体" w:cs="宋体"/>
                <w:highlight w:val="none"/>
              </w:rPr>
            </w:pPr>
          </w:p>
        </w:tc>
        <w:tc>
          <w:tcPr>
            <w:tcW w:w="2250" w:type="dxa"/>
            <w:tcBorders>
              <w:top w:val="single" w:color="auto" w:sz="6" w:space="0"/>
              <w:left w:val="single" w:color="auto" w:sz="6" w:space="0"/>
              <w:bottom w:val="single" w:color="auto" w:sz="4" w:space="0"/>
              <w:right w:val="single" w:color="auto" w:sz="6" w:space="0"/>
            </w:tcBorders>
            <w:vAlign w:val="center"/>
          </w:tcPr>
          <w:p w14:paraId="609168FC">
            <w:pPr>
              <w:spacing w:before="156" w:beforeLines="50"/>
              <w:jc w:val="center"/>
              <w:rPr>
                <w:rFonts w:ascii="宋体" w:hAnsi="宋体" w:cs="宋体"/>
                <w:highlight w:val="none"/>
              </w:rPr>
            </w:pPr>
          </w:p>
        </w:tc>
        <w:tc>
          <w:tcPr>
            <w:tcW w:w="1311" w:type="dxa"/>
            <w:tcBorders>
              <w:top w:val="single" w:color="auto" w:sz="6" w:space="0"/>
              <w:left w:val="single" w:color="auto" w:sz="6" w:space="0"/>
              <w:bottom w:val="single" w:color="auto" w:sz="4" w:space="0"/>
              <w:right w:val="single" w:color="auto" w:sz="6" w:space="0"/>
            </w:tcBorders>
            <w:vAlign w:val="center"/>
          </w:tcPr>
          <w:p w14:paraId="3F2C1B8E">
            <w:pPr>
              <w:spacing w:before="156" w:beforeLines="50"/>
              <w:jc w:val="center"/>
              <w:rPr>
                <w:rFonts w:ascii="宋体" w:hAnsi="宋体" w:cs="宋体"/>
                <w:highlight w:val="none"/>
              </w:rPr>
            </w:pPr>
          </w:p>
        </w:tc>
        <w:tc>
          <w:tcPr>
            <w:tcW w:w="1307" w:type="dxa"/>
            <w:tcBorders>
              <w:top w:val="single" w:color="auto" w:sz="6" w:space="0"/>
              <w:left w:val="single" w:color="auto" w:sz="6" w:space="0"/>
              <w:bottom w:val="single" w:color="auto" w:sz="4" w:space="0"/>
              <w:right w:val="single" w:color="auto" w:sz="6" w:space="0"/>
            </w:tcBorders>
            <w:vAlign w:val="center"/>
          </w:tcPr>
          <w:p w14:paraId="329A8395">
            <w:pPr>
              <w:spacing w:before="156" w:beforeLines="50"/>
              <w:jc w:val="center"/>
              <w:rPr>
                <w:rFonts w:ascii="宋体" w:hAnsi="宋体" w:cs="宋体"/>
                <w:highlight w:val="none"/>
              </w:rPr>
            </w:pPr>
          </w:p>
        </w:tc>
        <w:tc>
          <w:tcPr>
            <w:tcW w:w="1313" w:type="dxa"/>
            <w:tcBorders>
              <w:top w:val="single" w:color="auto" w:sz="6" w:space="0"/>
              <w:left w:val="single" w:color="auto" w:sz="6" w:space="0"/>
              <w:bottom w:val="single" w:color="auto" w:sz="4" w:space="0"/>
              <w:right w:val="single" w:color="auto" w:sz="6" w:space="0"/>
            </w:tcBorders>
            <w:vAlign w:val="center"/>
          </w:tcPr>
          <w:p w14:paraId="407C7024">
            <w:pPr>
              <w:spacing w:before="156" w:beforeLines="50"/>
              <w:jc w:val="center"/>
              <w:rPr>
                <w:rFonts w:ascii="宋体" w:hAnsi="宋体" w:cs="宋体"/>
                <w:highlight w:val="none"/>
              </w:rPr>
            </w:pPr>
          </w:p>
        </w:tc>
      </w:tr>
      <w:tr w14:paraId="6E82F39E">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6515BA4">
            <w:pPr>
              <w:spacing w:before="312" w:beforeLines="100"/>
              <w:jc w:val="center"/>
              <w:rPr>
                <w:rFonts w:ascii="宋体" w:hAnsi="宋体" w:cs="宋体"/>
                <w:highlight w:val="none"/>
              </w:rPr>
            </w:pPr>
            <w:r>
              <w:rPr>
                <w:rFonts w:hint="eastAsia" w:ascii="宋体" w:hAnsi="宋体" w:cs="宋体"/>
                <w:highlight w:val="none"/>
              </w:rPr>
              <w:t>2</w:t>
            </w:r>
          </w:p>
        </w:tc>
        <w:tc>
          <w:tcPr>
            <w:tcW w:w="1863" w:type="dxa"/>
            <w:tcBorders>
              <w:top w:val="single" w:color="auto" w:sz="4" w:space="0"/>
              <w:left w:val="single" w:color="auto" w:sz="6" w:space="0"/>
              <w:bottom w:val="single" w:color="auto" w:sz="6" w:space="0"/>
              <w:right w:val="single" w:color="auto" w:sz="6" w:space="0"/>
            </w:tcBorders>
            <w:vAlign w:val="center"/>
          </w:tcPr>
          <w:p w14:paraId="55923D6B">
            <w:pPr>
              <w:spacing w:before="312" w:beforeLines="100"/>
              <w:jc w:val="center"/>
              <w:rPr>
                <w:rFonts w:ascii="宋体"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1A1B9538">
            <w:pPr>
              <w:spacing w:before="156" w:beforeLines="50"/>
              <w:jc w:val="center"/>
              <w:rPr>
                <w:rFonts w:ascii="宋体"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558C0DCC">
            <w:pPr>
              <w:spacing w:before="156" w:beforeLines="50"/>
              <w:jc w:val="center"/>
              <w:rPr>
                <w:rFonts w:ascii="宋体"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8CBE50A">
            <w:pPr>
              <w:spacing w:before="156" w:beforeLines="50"/>
              <w:jc w:val="center"/>
              <w:rPr>
                <w:rFonts w:ascii="宋体"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526F6185">
            <w:pPr>
              <w:spacing w:before="156" w:beforeLines="50"/>
              <w:jc w:val="center"/>
              <w:rPr>
                <w:rFonts w:ascii="宋体" w:hAnsi="宋体" w:cs="宋体"/>
                <w:highlight w:val="none"/>
              </w:rPr>
            </w:pPr>
          </w:p>
        </w:tc>
      </w:tr>
      <w:tr w14:paraId="566D0BC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CBDD5A3">
            <w:pPr>
              <w:spacing w:before="312" w:beforeLines="100"/>
              <w:jc w:val="center"/>
              <w:rPr>
                <w:rFonts w:ascii="宋体" w:hAnsi="宋体" w:cs="宋体"/>
                <w:highlight w:val="none"/>
              </w:rPr>
            </w:pPr>
            <w:r>
              <w:rPr>
                <w:rFonts w:hint="eastAsia" w:ascii="宋体" w:hAnsi="宋体" w:cs="宋体"/>
                <w:highlight w:val="none"/>
              </w:rPr>
              <w:t>3</w:t>
            </w:r>
          </w:p>
        </w:tc>
        <w:tc>
          <w:tcPr>
            <w:tcW w:w="1863" w:type="dxa"/>
            <w:tcBorders>
              <w:top w:val="single" w:color="auto" w:sz="4" w:space="0"/>
              <w:left w:val="single" w:color="auto" w:sz="6" w:space="0"/>
              <w:bottom w:val="single" w:color="auto" w:sz="6" w:space="0"/>
              <w:right w:val="single" w:color="auto" w:sz="6" w:space="0"/>
            </w:tcBorders>
            <w:vAlign w:val="center"/>
          </w:tcPr>
          <w:p w14:paraId="74AABBCA">
            <w:pPr>
              <w:spacing w:before="312" w:beforeLines="100"/>
              <w:jc w:val="center"/>
              <w:rPr>
                <w:rFonts w:ascii="宋体"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3510CC7A">
            <w:pPr>
              <w:spacing w:before="156" w:beforeLines="50"/>
              <w:jc w:val="center"/>
              <w:rPr>
                <w:rFonts w:ascii="宋体"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5DDAF445">
            <w:pPr>
              <w:spacing w:before="156" w:beforeLines="50"/>
              <w:jc w:val="center"/>
              <w:rPr>
                <w:rFonts w:ascii="宋体"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2148A14B">
            <w:pPr>
              <w:spacing w:before="156" w:beforeLines="50"/>
              <w:jc w:val="center"/>
              <w:rPr>
                <w:rFonts w:ascii="宋体"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015EBAFB">
            <w:pPr>
              <w:spacing w:before="156" w:beforeLines="50"/>
              <w:jc w:val="center"/>
              <w:rPr>
                <w:rFonts w:ascii="宋体" w:hAnsi="宋体" w:cs="宋体"/>
                <w:highlight w:val="none"/>
              </w:rPr>
            </w:pPr>
          </w:p>
        </w:tc>
      </w:tr>
      <w:tr w14:paraId="12297822">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057DF276">
            <w:pPr>
              <w:spacing w:before="312" w:beforeLines="100"/>
              <w:jc w:val="center"/>
              <w:rPr>
                <w:rFonts w:ascii="宋体" w:hAnsi="宋体" w:cs="宋体"/>
                <w:highlight w:val="none"/>
              </w:rPr>
            </w:pPr>
            <w:r>
              <w:rPr>
                <w:rFonts w:hint="eastAsia" w:ascii="宋体" w:hAnsi="宋体" w:cs="宋体"/>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46D6F416">
            <w:pPr>
              <w:spacing w:before="156" w:beforeLines="50"/>
              <w:jc w:val="center"/>
              <w:rPr>
                <w:rFonts w:ascii="宋体"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0CFCE9D4">
            <w:pPr>
              <w:spacing w:before="156" w:beforeLines="50"/>
              <w:jc w:val="center"/>
              <w:rPr>
                <w:rFonts w:ascii="宋体"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6F1F7FB7">
            <w:pPr>
              <w:spacing w:before="156" w:beforeLines="50"/>
              <w:jc w:val="center"/>
              <w:rPr>
                <w:rFonts w:ascii="宋体"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7DCA7910">
            <w:pPr>
              <w:spacing w:before="156" w:beforeLines="50"/>
              <w:jc w:val="center"/>
              <w:rPr>
                <w:rFonts w:ascii="宋体"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3F8D5550">
            <w:pPr>
              <w:spacing w:before="156" w:beforeLines="50"/>
              <w:jc w:val="center"/>
              <w:rPr>
                <w:rFonts w:ascii="宋体" w:hAnsi="宋体" w:cs="宋体"/>
                <w:highlight w:val="none"/>
              </w:rPr>
            </w:pPr>
          </w:p>
        </w:tc>
      </w:tr>
      <w:tr w14:paraId="619FB7FB">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vAlign w:val="center"/>
          </w:tcPr>
          <w:p w14:paraId="6BD54272">
            <w:pPr>
              <w:spacing w:before="312" w:beforeLines="100"/>
              <w:jc w:val="center"/>
              <w:rPr>
                <w:rFonts w:ascii="宋体" w:hAnsi="宋体" w:cs="宋体"/>
                <w:b/>
                <w:highlight w:val="none"/>
              </w:rPr>
            </w:pPr>
            <w:r>
              <w:rPr>
                <w:rFonts w:hint="eastAsia" w:ascii="宋体" w:hAnsi="宋体" w:cs="宋体"/>
                <w:highlight w:val="none"/>
              </w:rPr>
              <w:t>……</w:t>
            </w:r>
          </w:p>
        </w:tc>
        <w:tc>
          <w:tcPr>
            <w:tcW w:w="1863" w:type="dxa"/>
            <w:tcBorders>
              <w:top w:val="single" w:color="auto" w:sz="4" w:space="0"/>
              <w:left w:val="single" w:color="auto" w:sz="6" w:space="0"/>
              <w:bottom w:val="single" w:color="auto" w:sz="6" w:space="0"/>
              <w:right w:val="single" w:color="auto" w:sz="6" w:space="0"/>
            </w:tcBorders>
            <w:vAlign w:val="center"/>
          </w:tcPr>
          <w:p w14:paraId="6226E92C">
            <w:pPr>
              <w:spacing w:before="156" w:beforeLines="50"/>
              <w:jc w:val="center"/>
              <w:rPr>
                <w:rFonts w:ascii="宋体" w:hAnsi="宋体" w:cs="宋体"/>
                <w:highlight w:val="none"/>
              </w:rPr>
            </w:pPr>
          </w:p>
        </w:tc>
        <w:tc>
          <w:tcPr>
            <w:tcW w:w="2250" w:type="dxa"/>
            <w:tcBorders>
              <w:top w:val="single" w:color="auto" w:sz="4" w:space="0"/>
              <w:left w:val="single" w:color="auto" w:sz="6" w:space="0"/>
              <w:bottom w:val="single" w:color="auto" w:sz="6" w:space="0"/>
              <w:right w:val="single" w:color="auto" w:sz="6" w:space="0"/>
            </w:tcBorders>
            <w:vAlign w:val="center"/>
          </w:tcPr>
          <w:p w14:paraId="2E760D32">
            <w:pPr>
              <w:spacing w:before="156" w:beforeLines="50"/>
              <w:jc w:val="center"/>
              <w:rPr>
                <w:rFonts w:ascii="宋体" w:hAnsi="宋体" w:cs="宋体"/>
                <w:highlight w:val="none"/>
              </w:rPr>
            </w:pPr>
          </w:p>
        </w:tc>
        <w:tc>
          <w:tcPr>
            <w:tcW w:w="1311" w:type="dxa"/>
            <w:tcBorders>
              <w:top w:val="single" w:color="auto" w:sz="4" w:space="0"/>
              <w:left w:val="single" w:color="auto" w:sz="6" w:space="0"/>
              <w:bottom w:val="single" w:color="auto" w:sz="6" w:space="0"/>
              <w:right w:val="single" w:color="auto" w:sz="6" w:space="0"/>
            </w:tcBorders>
            <w:vAlign w:val="center"/>
          </w:tcPr>
          <w:p w14:paraId="7BC4ADE6">
            <w:pPr>
              <w:spacing w:before="156" w:beforeLines="50"/>
              <w:jc w:val="center"/>
              <w:rPr>
                <w:rFonts w:ascii="宋体" w:hAnsi="宋体" w:cs="宋体"/>
                <w:highlight w:val="none"/>
              </w:rPr>
            </w:pPr>
          </w:p>
        </w:tc>
        <w:tc>
          <w:tcPr>
            <w:tcW w:w="1307" w:type="dxa"/>
            <w:tcBorders>
              <w:top w:val="single" w:color="auto" w:sz="4" w:space="0"/>
              <w:left w:val="single" w:color="auto" w:sz="6" w:space="0"/>
              <w:bottom w:val="single" w:color="auto" w:sz="6" w:space="0"/>
              <w:right w:val="single" w:color="auto" w:sz="6" w:space="0"/>
            </w:tcBorders>
            <w:vAlign w:val="center"/>
          </w:tcPr>
          <w:p w14:paraId="06ACE251">
            <w:pPr>
              <w:spacing w:before="156" w:beforeLines="50"/>
              <w:jc w:val="center"/>
              <w:rPr>
                <w:rFonts w:ascii="宋体" w:hAnsi="宋体" w:cs="宋体"/>
                <w:highlight w:val="none"/>
              </w:rPr>
            </w:pPr>
          </w:p>
        </w:tc>
        <w:tc>
          <w:tcPr>
            <w:tcW w:w="1313" w:type="dxa"/>
            <w:tcBorders>
              <w:top w:val="single" w:color="auto" w:sz="4" w:space="0"/>
              <w:left w:val="single" w:color="auto" w:sz="6" w:space="0"/>
              <w:bottom w:val="single" w:color="auto" w:sz="6" w:space="0"/>
              <w:right w:val="single" w:color="auto" w:sz="6" w:space="0"/>
            </w:tcBorders>
            <w:vAlign w:val="center"/>
          </w:tcPr>
          <w:p w14:paraId="1DFD2A7B">
            <w:pPr>
              <w:spacing w:before="156" w:beforeLines="50"/>
              <w:jc w:val="center"/>
              <w:rPr>
                <w:rFonts w:ascii="宋体" w:hAnsi="宋体" w:cs="宋体"/>
                <w:highlight w:val="none"/>
              </w:rPr>
            </w:pPr>
          </w:p>
        </w:tc>
      </w:tr>
      <w:tr w14:paraId="4032969C">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6EAA3F3A">
            <w:pPr>
              <w:jc w:val="center"/>
              <w:rPr>
                <w:rFonts w:ascii="宋体" w:hAnsi="宋体" w:cs="宋体"/>
                <w:highlight w:val="none"/>
              </w:rPr>
            </w:pPr>
            <w:r>
              <w:rPr>
                <w:rFonts w:hint="eastAsia" w:ascii="宋体" w:hAnsi="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4BFDA1E8">
            <w:pPr>
              <w:spacing w:before="156" w:beforeLines="50"/>
              <w:jc w:val="left"/>
              <w:rPr>
                <w:rFonts w:ascii="宋体" w:hAnsi="宋体" w:cs="宋体"/>
                <w:highlight w:val="none"/>
              </w:rPr>
            </w:pPr>
            <w:r>
              <w:rPr>
                <w:rFonts w:hint="eastAsia" w:ascii="宋体" w:hAnsi="宋体" w:cs="宋体"/>
                <w:highlight w:val="none"/>
              </w:rPr>
              <w:t>大写：                                小写：</w:t>
            </w:r>
          </w:p>
        </w:tc>
      </w:tr>
      <w:tr w14:paraId="1F8A1FC0">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vAlign w:val="center"/>
          </w:tcPr>
          <w:p w14:paraId="3BCEEC55">
            <w:pPr>
              <w:jc w:val="center"/>
              <w:rPr>
                <w:rFonts w:ascii="宋体" w:hAnsi="宋体" w:cs="宋体"/>
                <w:highlight w:val="none"/>
              </w:rPr>
            </w:pPr>
            <w:r>
              <w:rPr>
                <w:rFonts w:hint="eastAsia" w:ascii="宋体" w:hAnsi="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vAlign w:val="center"/>
          </w:tcPr>
          <w:p w14:paraId="3BC28FED">
            <w:pPr>
              <w:spacing w:before="156" w:beforeLines="50"/>
              <w:jc w:val="center"/>
              <w:rPr>
                <w:rFonts w:ascii="宋体" w:hAnsi="宋体" w:cs="宋体"/>
                <w:highlight w:val="none"/>
              </w:rPr>
            </w:pPr>
            <w:r>
              <w:rPr>
                <w:rFonts w:hint="eastAsia" w:ascii="宋体" w:hAnsi="宋体" w:cs="宋体"/>
                <w:spacing w:val="-6"/>
                <w:highlight w:val="none"/>
              </w:rPr>
              <w:t>保留小数点后两位。</w:t>
            </w:r>
          </w:p>
        </w:tc>
      </w:tr>
    </w:tbl>
    <w:p w14:paraId="2DC5EA45">
      <w:pPr>
        <w:adjustRightInd w:val="0"/>
        <w:snapToGrid w:val="0"/>
        <w:spacing w:line="360" w:lineRule="auto"/>
        <w:rPr>
          <w:rFonts w:ascii="宋体" w:hAnsi="宋体" w:cs="宋体"/>
          <w:szCs w:val="21"/>
          <w:highlight w:val="none"/>
        </w:rPr>
      </w:pPr>
    </w:p>
    <w:p w14:paraId="4779B33D">
      <w:pPr>
        <w:adjustRightInd w:val="0"/>
        <w:snapToGrid w:val="0"/>
        <w:spacing w:line="360" w:lineRule="auto"/>
        <w:rPr>
          <w:rFonts w:ascii="宋体" w:hAnsi="宋体" w:cs="宋体"/>
          <w:bCs/>
          <w:sz w:val="24"/>
          <w:highlight w:val="none"/>
        </w:rPr>
      </w:pPr>
      <w:r>
        <w:rPr>
          <w:rFonts w:hint="eastAsia" w:ascii="宋体" w:hAnsi="宋体" w:cs="宋体"/>
          <w:sz w:val="24"/>
          <w:highlight w:val="none"/>
        </w:rPr>
        <w:t>说明：</w:t>
      </w:r>
      <w:r>
        <w:rPr>
          <w:rFonts w:hint="eastAsia" w:ascii="宋体" w:hAnsi="宋体" w:cs="宋体"/>
          <w:bCs/>
          <w:sz w:val="24"/>
          <w:highlight w:val="none"/>
        </w:rPr>
        <w:t>1、</w:t>
      </w:r>
      <w:r>
        <w:rPr>
          <w:rFonts w:hint="eastAsia" w:ascii="宋体" w:hAnsi="宋体" w:cs="宋体"/>
          <w:sz w:val="24"/>
          <w:highlight w:val="none"/>
        </w:rPr>
        <w:t>供应商提供的属于节能、环境标志产品品目清单中优先采购的产品，须按谈判文件要求提供相关证明材料。</w:t>
      </w:r>
    </w:p>
    <w:p w14:paraId="5B0234EF">
      <w:pPr>
        <w:pStyle w:val="25"/>
        <w:spacing w:line="400" w:lineRule="exact"/>
        <w:ind w:left="420" w:leftChars="200" w:firstLine="240" w:firstLineChars="100"/>
        <w:outlineLvl w:val="2"/>
        <w:rPr>
          <w:rFonts w:ascii="宋体" w:hAnsi="宋体" w:cs="宋体"/>
          <w:highlight w:val="none"/>
        </w:rPr>
      </w:pPr>
      <w:r>
        <w:rPr>
          <w:rFonts w:hint="eastAsia" w:ascii="宋体" w:hAnsi="宋体" w:cs="宋体"/>
          <w:bCs/>
          <w:highlight w:val="none"/>
        </w:rPr>
        <w:t>2、未按上述要求提供、</w:t>
      </w:r>
      <w:r>
        <w:rPr>
          <w:rFonts w:hint="eastAsia" w:ascii="宋体" w:hAnsi="宋体" w:cs="宋体"/>
          <w:highlight w:val="none"/>
        </w:rPr>
        <w:t>填写</w:t>
      </w:r>
      <w:r>
        <w:rPr>
          <w:rFonts w:hint="eastAsia" w:ascii="宋体" w:hAnsi="宋体" w:cs="宋体"/>
          <w:bCs/>
          <w:highlight w:val="none"/>
        </w:rPr>
        <w:t>的，评审时不予以考虑。</w:t>
      </w:r>
    </w:p>
    <w:p w14:paraId="039C5188">
      <w:pPr>
        <w:spacing w:before="100" w:beforeAutospacing="1" w:after="156" w:afterLines="50" w:line="360" w:lineRule="auto"/>
        <w:rPr>
          <w:rFonts w:ascii="宋体" w:hAnsi="宋体" w:cs="宋体"/>
          <w:b/>
          <w:bCs/>
          <w:spacing w:val="6"/>
          <w:sz w:val="30"/>
          <w:szCs w:val="30"/>
          <w:highlight w:val="none"/>
        </w:rPr>
      </w:pPr>
      <w:r>
        <w:rPr>
          <w:rFonts w:hint="eastAsia" w:ascii="宋体" w:hAnsi="宋体" w:cs="宋体"/>
          <w:highlight w:val="none"/>
        </w:rPr>
        <w:br w:type="page"/>
      </w:r>
      <w:r>
        <w:rPr>
          <w:rFonts w:hint="eastAsia" w:ascii="宋体" w:hAnsi="宋体" w:cs="宋体"/>
          <w:b/>
          <w:bCs/>
          <w:spacing w:val="6"/>
          <w:sz w:val="30"/>
          <w:szCs w:val="30"/>
          <w:highlight w:val="none"/>
        </w:rPr>
        <w:t>附件4（如有）：</w:t>
      </w:r>
    </w:p>
    <w:p w14:paraId="753E030A">
      <w:pPr>
        <w:spacing w:line="588" w:lineRule="exact"/>
        <w:jc w:val="center"/>
        <w:outlineLvl w:val="0"/>
        <w:rPr>
          <w:rFonts w:ascii="宋体" w:hAnsi="宋体" w:cs="宋体"/>
          <w:b/>
          <w:spacing w:val="6"/>
          <w:sz w:val="32"/>
          <w:szCs w:val="32"/>
          <w:highlight w:val="none"/>
        </w:rPr>
      </w:pPr>
      <w:bookmarkStart w:id="67" w:name="_Toc11025"/>
      <w:bookmarkStart w:id="68" w:name="_Toc22926"/>
      <w:bookmarkStart w:id="69" w:name="OLE_LINK13"/>
      <w:bookmarkStart w:id="70" w:name="OLE_LINK14"/>
      <w:r>
        <w:rPr>
          <w:rFonts w:hint="eastAsia" w:ascii="宋体" w:hAnsi="宋体" w:cs="宋体"/>
          <w:b/>
          <w:spacing w:val="6"/>
          <w:sz w:val="32"/>
          <w:szCs w:val="32"/>
          <w:highlight w:val="none"/>
        </w:rPr>
        <w:t>残疾人福利性单位声明函</w:t>
      </w:r>
      <w:bookmarkEnd w:id="67"/>
      <w:bookmarkEnd w:id="68"/>
    </w:p>
    <w:bookmarkEnd w:id="69"/>
    <w:bookmarkEnd w:id="70"/>
    <w:p w14:paraId="181E50D9">
      <w:pPr>
        <w:spacing w:line="588" w:lineRule="exact"/>
        <w:rPr>
          <w:rFonts w:ascii="宋体" w:hAnsi="宋体" w:cs="宋体"/>
          <w:b/>
          <w:spacing w:val="6"/>
          <w:sz w:val="30"/>
          <w:szCs w:val="30"/>
          <w:highlight w:val="none"/>
        </w:rPr>
      </w:pPr>
    </w:p>
    <w:p w14:paraId="741ADE3E">
      <w:pPr>
        <w:spacing w:line="588" w:lineRule="exact"/>
        <w:ind w:firstLine="444" w:firstLineChars="200"/>
        <w:rPr>
          <w:rFonts w:ascii="宋体" w:hAnsi="宋体" w:cs="宋体"/>
          <w:spacing w:val="6"/>
          <w:highlight w:val="none"/>
        </w:rPr>
      </w:pPr>
      <w:r>
        <w:rPr>
          <w:rFonts w:hint="eastAsia" w:ascii="宋体" w:hAnsi="宋体" w:cs="宋体"/>
          <w:spacing w:val="6"/>
          <w:highlight w:val="none"/>
        </w:rPr>
        <w:t>本单位郑重声明，根据《财政部 民政部 中国残疾人联合会关于促进残疾人就业政府采购政策的通知》（财库</w:t>
      </w:r>
      <w:r>
        <w:rPr>
          <w:rFonts w:hint="eastAsia" w:ascii="宋体" w:hAnsi="宋体" w:cs="宋体"/>
          <w:highlight w:val="none"/>
        </w:rPr>
        <w:t>〔2017〕 141</w:t>
      </w:r>
      <w:r>
        <w:rPr>
          <w:rFonts w:hint="eastAsia" w:ascii="宋体" w:hAnsi="宋体" w:cs="宋体"/>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C6581F">
      <w:pPr>
        <w:spacing w:line="588" w:lineRule="exact"/>
        <w:ind w:firstLine="444" w:firstLineChars="200"/>
        <w:rPr>
          <w:rFonts w:ascii="宋体" w:hAnsi="宋体" w:cs="宋体"/>
          <w:spacing w:val="6"/>
          <w:highlight w:val="none"/>
        </w:rPr>
      </w:pPr>
      <w:r>
        <w:rPr>
          <w:rFonts w:hint="eastAsia" w:ascii="宋体" w:hAnsi="宋体" w:cs="宋体"/>
          <w:spacing w:val="6"/>
          <w:highlight w:val="none"/>
        </w:rPr>
        <w:t>本单位对上述声明的真实性负责。如有虚假，将依法承担相应责任。</w:t>
      </w:r>
    </w:p>
    <w:p w14:paraId="649E51C2">
      <w:pPr>
        <w:spacing w:line="588" w:lineRule="exact"/>
        <w:ind w:firstLine="444" w:firstLineChars="200"/>
        <w:rPr>
          <w:rFonts w:ascii="宋体" w:hAnsi="宋体" w:cs="宋体"/>
          <w:spacing w:val="6"/>
          <w:highlight w:val="none"/>
        </w:rPr>
      </w:pPr>
    </w:p>
    <w:p w14:paraId="11E55B3A">
      <w:pPr>
        <w:spacing w:line="588" w:lineRule="exact"/>
        <w:ind w:firstLine="444" w:firstLineChars="200"/>
        <w:rPr>
          <w:rFonts w:ascii="宋体" w:hAnsi="宋体" w:cs="宋体"/>
          <w:spacing w:val="6"/>
          <w:highlight w:val="none"/>
        </w:rPr>
      </w:pPr>
    </w:p>
    <w:p w14:paraId="137F9E67">
      <w:pPr>
        <w:spacing w:line="588" w:lineRule="exact"/>
        <w:ind w:firstLine="444" w:firstLineChars="200"/>
        <w:rPr>
          <w:rFonts w:ascii="宋体" w:hAnsi="宋体" w:cs="宋体"/>
          <w:spacing w:val="6"/>
          <w:highlight w:val="none"/>
        </w:rPr>
      </w:pPr>
    </w:p>
    <w:p w14:paraId="30985695">
      <w:pPr>
        <w:spacing w:line="588" w:lineRule="exact"/>
        <w:ind w:firstLine="444" w:firstLineChars="200"/>
        <w:rPr>
          <w:rFonts w:ascii="宋体" w:hAnsi="宋体" w:cs="宋体"/>
          <w:spacing w:val="6"/>
          <w:highlight w:val="none"/>
        </w:rPr>
      </w:pPr>
    </w:p>
    <w:p w14:paraId="7F705B66">
      <w:pPr>
        <w:tabs>
          <w:tab w:val="left" w:pos="4860"/>
        </w:tabs>
        <w:spacing w:line="588" w:lineRule="exact"/>
        <w:ind w:right="1560" w:firstLine="444" w:firstLineChars="200"/>
        <w:jc w:val="center"/>
        <w:rPr>
          <w:rFonts w:ascii="宋体" w:hAnsi="宋体" w:cs="宋体"/>
          <w:spacing w:val="6"/>
          <w:highlight w:val="none"/>
        </w:rPr>
      </w:pPr>
      <w:r>
        <w:rPr>
          <w:rFonts w:hint="eastAsia" w:ascii="宋体" w:hAnsi="宋体" w:cs="宋体"/>
          <w:spacing w:val="6"/>
          <w:highlight w:val="none"/>
        </w:rPr>
        <w:t xml:space="preserve">               单位名称（盖章）：</w:t>
      </w:r>
    </w:p>
    <w:p w14:paraId="04F1B11D">
      <w:pPr>
        <w:tabs>
          <w:tab w:val="left" w:pos="4860"/>
        </w:tabs>
        <w:spacing w:line="588" w:lineRule="exact"/>
        <w:ind w:right="1560" w:firstLine="444" w:firstLineChars="200"/>
        <w:jc w:val="center"/>
        <w:rPr>
          <w:rFonts w:ascii="宋体" w:hAnsi="宋体" w:cs="宋体"/>
          <w:spacing w:val="6"/>
          <w:highlight w:val="none"/>
        </w:rPr>
      </w:pPr>
      <w:r>
        <w:rPr>
          <w:rFonts w:hint="eastAsia" w:ascii="宋体" w:hAnsi="宋体" w:cs="宋体"/>
          <w:spacing w:val="6"/>
          <w:highlight w:val="none"/>
        </w:rPr>
        <w:t xml:space="preserve">       日    期：</w:t>
      </w:r>
    </w:p>
    <w:p w14:paraId="7656849C">
      <w:pPr>
        <w:rPr>
          <w:rFonts w:ascii="宋体" w:hAnsi="宋体" w:cs="宋体"/>
          <w:highlight w:val="none"/>
        </w:rPr>
      </w:pPr>
    </w:p>
    <w:sectPr>
      <w:footerReference r:id="rId12" w:type="default"/>
      <w:pgSz w:w="11906" w:h="16838"/>
      <w:pgMar w:top="1418" w:right="1531" w:bottom="1418" w:left="1531"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CBDB3">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2C14">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1B6C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FEBB">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6</w:t>
    </w:r>
    <w:r>
      <w:fldChar w:fldCharType="end"/>
    </w:r>
  </w:p>
  <w:p w14:paraId="47BC912B">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0D9E">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6F0617">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6F0617">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47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49EFD">
    <w:pPr>
      <w:pStyle w:val="11"/>
      <w:pBdr>
        <w:bottom w:val="none" w:color="auto" w:sz="0" w:space="0"/>
      </w:pBdr>
      <w:jc w:val="both"/>
      <w:rPr>
        <w:rFonts w:ascii="宋体" w:hAnsi="宋体"/>
        <w:sz w:val="24"/>
      </w:rPr>
    </w:pPr>
  </w:p>
  <w:p w14:paraId="1968CD17">
    <w:pPr>
      <w:pStyle w:val="11"/>
      <w:pBdr>
        <w:bottom w:val="none" w:color="auto" w:sz="0" w:space="0"/>
      </w:pBdr>
      <w:jc w:val="both"/>
      <w:rPr>
        <w:rFonts w:ascii="宋体" w:hAnsi="宋体"/>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EEBF">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F6986">
    <w:pPr>
      <w:pStyle w:val="11"/>
      <w:pBdr>
        <w:bottom w:val="single" w:color="auto" w:sz="6" w:space="2"/>
      </w:pBdr>
      <w:jc w:val="both"/>
      <w:rPr>
        <w:rFonts w:ascii="宋体" w:hAnsi="宋体" w:cs="宋体"/>
      </w:rPr>
    </w:pPr>
    <w:r>
      <w:rPr>
        <w:rFonts w:hint="eastAsia" w:ascii="宋体" w:hAnsi="宋体" w:cs="宋体"/>
        <w:lang w:eastAsia="zh-CN"/>
      </w:rPr>
      <w:t>信息化升级</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单一来源文件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738A5"/>
    <w:multiLevelType w:val="singleLevel"/>
    <w:tmpl w:val="97C738A5"/>
    <w:lvl w:ilvl="0" w:tentative="0">
      <w:start w:val="1"/>
      <w:numFmt w:val="chineseCounting"/>
      <w:suff w:val="nothing"/>
      <w:lvlText w:val="%1、"/>
      <w:lvlJc w:val="left"/>
      <w:rPr>
        <w:rFonts w:hint="eastAsia"/>
      </w:rPr>
    </w:lvl>
  </w:abstractNum>
  <w:abstractNum w:abstractNumId="1">
    <w:nsid w:val="9F4CCDDC"/>
    <w:multiLevelType w:val="singleLevel"/>
    <w:tmpl w:val="9F4CCDDC"/>
    <w:lvl w:ilvl="0" w:tentative="0">
      <w:start w:val="3"/>
      <w:numFmt w:val="chineseCounting"/>
      <w:suff w:val="space"/>
      <w:lvlText w:val="第%1部分"/>
      <w:lvlJc w:val="left"/>
      <w:rPr>
        <w:rFonts w:hint="eastAsia"/>
      </w:rPr>
    </w:lvl>
  </w:abstractNum>
  <w:abstractNum w:abstractNumId="2">
    <w:nsid w:val="9FCF3639"/>
    <w:multiLevelType w:val="singleLevel"/>
    <w:tmpl w:val="9FCF3639"/>
    <w:lvl w:ilvl="0" w:tentative="0">
      <w:start w:val="3"/>
      <w:numFmt w:val="decimal"/>
      <w:suff w:val="space"/>
      <w:lvlText w:val="（%1）"/>
      <w:lvlJc w:val="left"/>
    </w:lvl>
  </w:abstractNum>
  <w:abstractNum w:abstractNumId="3">
    <w:nsid w:val="00000001"/>
    <w:multiLevelType w:val="multilevel"/>
    <w:tmpl w:val="00000001"/>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5940779E"/>
    <w:multiLevelType w:val="singleLevel"/>
    <w:tmpl w:val="5940779E"/>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MmExZmM3MjhmNDhmZjI1MDBiNWQ3ODkxODIzZGEifQ=="/>
  </w:docVars>
  <w:rsids>
    <w:rsidRoot w:val="002C04FB"/>
    <w:rsid w:val="00052A18"/>
    <w:rsid w:val="000B6281"/>
    <w:rsid w:val="00126F59"/>
    <w:rsid w:val="002C04FB"/>
    <w:rsid w:val="00717C72"/>
    <w:rsid w:val="007614C2"/>
    <w:rsid w:val="007637A4"/>
    <w:rsid w:val="00FC1578"/>
    <w:rsid w:val="011E693C"/>
    <w:rsid w:val="02247ACE"/>
    <w:rsid w:val="022A117B"/>
    <w:rsid w:val="02A824AD"/>
    <w:rsid w:val="02D768EE"/>
    <w:rsid w:val="02DA1F3A"/>
    <w:rsid w:val="03767EB5"/>
    <w:rsid w:val="03BC1D79"/>
    <w:rsid w:val="03BD675F"/>
    <w:rsid w:val="03FA34B4"/>
    <w:rsid w:val="06B56AE0"/>
    <w:rsid w:val="070875E0"/>
    <w:rsid w:val="07846919"/>
    <w:rsid w:val="07AF7E3A"/>
    <w:rsid w:val="081138ED"/>
    <w:rsid w:val="09546414"/>
    <w:rsid w:val="0AEC6CAF"/>
    <w:rsid w:val="0BB93035"/>
    <w:rsid w:val="0DB70B01"/>
    <w:rsid w:val="0DD028B8"/>
    <w:rsid w:val="0E3C7F4D"/>
    <w:rsid w:val="0E707BF7"/>
    <w:rsid w:val="0E7B0A75"/>
    <w:rsid w:val="0F8D1230"/>
    <w:rsid w:val="111156C1"/>
    <w:rsid w:val="14A32948"/>
    <w:rsid w:val="15397164"/>
    <w:rsid w:val="15BB209F"/>
    <w:rsid w:val="162437A1"/>
    <w:rsid w:val="16B01B86"/>
    <w:rsid w:val="19BD63E6"/>
    <w:rsid w:val="1AB33345"/>
    <w:rsid w:val="1ADB0F9E"/>
    <w:rsid w:val="1B395F40"/>
    <w:rsid w:val="1D0460DA"/>
    <w:rsid w:val="1DBE272D"/>
    <w:rsid w:val="1F5D1149"/>
    <w:rsid w:val="20801F1B"/>
    <w:rsid w:val="21CA26D7"/>
    <w:rsid w:val="244F4611"/>
    <w:rsid w:val="247B3126"/>
    <w:rsid w:val="26404627"/>
    <w:rsid w:val="28481571"/>
    <w:rsid w:val="289E5635"/>
    <w:rsid w:val="291122AA"/>
    <w:rsid w:val="29324574"/>
    <w:rsid w:val="29D137E8"/>
    <w:rsid w:val="2A9F7442"/>
    <w:rsid w:val="2B9968D0"/>
    <w:rsid w:val="2C714E0E"/>
    <w:rsid w:val="2C770676"/>
    <w:rsid w:val="2CEE040A"/>
    <w:rsid w:val="2D404F0C"/>
    <w:rsid w:val="2D613695"/>
    <w:rsid w:val="2E4B1DBB"/>
    <w:rsid w:val="2EEF26C0"/>
    <w:rsid w:val="2F1877C3"/>
    <w:rsid w:val="2F7874B3"/>
    <w:rsid w:val="30281C88"/>
    <w:rsid w:val="30D30A90"/>
    <w:rsid w:val="312D549F"/>
    <w:rsid w:val="31496359"/>
    <w:rsid w:val="319F7D66"/>
    <w:rsid w:val="326730D1"/>
    <w:rsid w:val="33DE0FDB"/>
    <w:rsid w:val="34052A0C"/>
    <w:rsid w:val="348576A9"/>
    <w:rsid w:val="35103416"/>
    <w:rsid w:val="354D65F4"/>
    <w:rsid w:val="355F1A48"/>
    <w:rsid w:val="36525CB0"/>
    <w:rsid w:val="36767BF1"/>
    <w:rsid w:val="38563F1C"/>
    <w:rsid w:val="390F7E89"/>
    <w:rsid w:val="3D5A3ECB"/>
    <w:rsid w:val="3E2715FB"/>
    <w:rsid w:val="3E9C3F6D"/>
    <w:rsid w:val="3EBC2270"/>
    <w:rsid w:val="3EC77910"/>
    <w:rsid w:val="3EEA1066"/>
    <w:rsid w:val="44625310"/>
    <w:rsid w:val="449D459A"/>
    <w:rsid w:val="44FA19ED"/>
    <w:rsid w:val="46D7245C"/>
    <w:rsid w:val="47CD33E9"/>
    <w:rsid w:val="48FD4C17"/>
    <w:rsid w:val="4AC62A9D"/>
    <w:rsid w:val="4B103D18"/>
    <w:rsid w:val="4C285091"/>
    <w:rsid w:val="4D227D33"/>
    <w:rsid w:val="4E630603"/>
    <w:rsid w:val="4EF63225"/>
    <w:rsid w:val="4F0022F6"/>
    <w:rsid w:val="4F587A3C"/>
    <w:rsid w:val="4F67415D"/>
    <w:rsid w:val="4FCE5F50"/>
    <w:rsid w:val="503A2DB0"/>
    <w:rsid w:val="50E83041"/>
    <w:rsid w:val="511D718F"/>
    <w:rsid w:val="54114646"/>
    <w:rsid w:val="55B41744"/>
    <w:rsid w:val="56890E23"/>
    <w:rsid w:val="576553EC"/>
    <w:rsid w:val="583077A8"/>
    <w:rsid w:val="58E16CF4"/>
    <w:rsid w:val="5A21710D"/>
    <w:rsid w:val="5AEE1F92"/>
    <w:rsid w:val="5B5D4B65"/>
    <w:rsid w:val="5C3655A9"/>
    <w:rsid w:val="5C4C6B7A"/>
    <w:rsid w:val="5D107BA8"/>
    <w:rsid w:val="5D55380D"/>
    <w:rsid w:val="5EFA194E"/>
    <w:rsid w:val="5F1F40D2"/>
    <w:rsid w:val="5F4226A0"/>
    <w:rsid w:val="5F463D55"/>
    <w:rsid w:val="60441700"/>
    <w:rsid w:val="615A3AE7"/>
    <w:rsid w:val="615D3BAD"/>
    <w:rsid w:val="61C937C2"/>
    <w:rsid w:val="62037CDB"/>
    <w:rsid w:val="620D6A29"/>
    <w:rsid w:val="62487DE4"/>
    <w:rsid w:val="62E07BBA"/>
    <w:rsid w:val="63B219B9"/>
    <w:rsid w:val="658E5B0E"/>
    <w:rsid w:val="66E225B5"/>
    <w:rsid w:val="68153C99"/>
    <w:rsid w:val="69562DE6"/>
    <w:rsid w:val="69A73642"/>
    <w:rsid w:val="6B2D5DC9"/>
    <w:rsid w:val="6B910106"/>
    <w:rsid w:val="6CBA7B30"/>
    <w:rsid w:val="6D413DAD"/>
    <w:rsid w:val="6E002106"/>
    <w:rsid w:val="6E881C94"/>
    <w:rsid w:val="6EDD3662"/>
    <w:rsid w:val="6F330979"/>
    <w:rsid w:val="6F5558EE"/>
    <w:rsid w:val="70440E86"/>
    <w:rsid w:val="70585696"/>
    <w:rsid w:val="718B3849"/>
    <w:rsid w:val="71CD79BE"/>
    <w:rsid w:val="72611747"/>
    <w:rsid w:val="74A25132"/>
    <w:rsid w:val="74D53759"/>
    <w:rsid w:val="76580CFC"/>
    <w:rsid w:val="771816DB"/>
    <w:rsid w:val="77185B7F"/>
    <w:rsid w:val="7741049F"/>
    <w:rsid w:val="79B55092"/>
    <w:rsid w:val="7B14665D"/>
    <w:rsid w:val="7BB265A2"/>
    <w:rsid w:val="7C807057"/>
    <w:rsid w:val="7D140B97"/>
    <w:rsid w:val="7DEA317D"/>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2"/>
    <w:basedOn w:val="1"/>
    <w:next w:val="1"/>
    <w:qFormat/>
    <w:uiPriority w:val="99"/>
    <w:pPr>
      <w:keepNext/>
      <w:keepLines/>
      <w:spacing w:before="260" w:after="260" w:line="416" w:lineRule="auto"/>
      <w:jc w:val="left"/>
      <w:outlineLvl w:val="1"/>
    </w:pPr>
    <w:rPr>
      <w:rFonts w:ascii="Cambria" w:hAnsi="Cambria" w:cs="Cambria"/>
      <w:b/>
      <w:bCs/>
      <w:sz w:val="32"/>
      <w:szCs w:val="32"/>
    </w:rPr>
  </w:style>
  <w:style w:type="paragraph" w:styleId="5">
    <w:name w:val="heading 3"/>
    <w:basedOn w:val="1"/>
    <w:next w:val="1"/>
    <w:qFormat/>
    <w:uiPriority w:val="0"/>
    <w:pPr>
      <w:keepNext/>
      <w:keepLines/>
      <w:spacing w:before="120" w:after="120" w:line="360" w:lineRule="auto"/>
      <w:ind w:firstLine="200" w:firstLineChars="200"/>
      <w:outlineLvl w:val="2"/>
    </w:pPr>
    <w:rPr>
      <w:rFonts w:eastAsia="黑体"/>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6">
    <w:name w:val="Normal Indent"/>
    <w:basedOn w:val="1"/>
    <w:qFormat/>
    <w:uiPriority w:val="0"/>
    <w:pPr>
      <w:spacing w:line="300" w:lineRule="auto"/>
      <w:ind w:firstLine="420" w:firstLineChars="200"/>
    </w:pPr>
  </w:style>
  <w:style w:type="paragraph" w:styleId="7">
    <w:name w:val="Body Text Indent"/>
    <w:basedOn w:val="1"/>
    <w:next w:val="8"/>
    <w:qFormat/>
    <w:uiPriority w:val="0"/>
    <w:pPr>
      <w:ind w:firstLine="480"/>
    </w:pPr>
    <w:rPr>
      <w:rFonts w:ascii="宋体" w:hAnsi="宋体"/>
    </w:rPr>
  </w:style>
  <w:style w:type="paragraph" w:customStyle="1" w:styleId="8">
    <w:name w:val="font5"/>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9">
    <w:name w:val="Plain Text"/>
    <w:basedOn w:val="1"/>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qFormat/>
    <w:uiPriority w:val="0"/>
  </w:style>
  <w:style w:type="paragraph" w:styleId="13">
    <w:name w:val="Normal (Web)"/>
    <w:basedOn w:val="1"/>
    <w:qFormat/>
    <w:uiPriority w:val="0"/>
    <w:pPr>
      <w:widowControl/>
      <w:spacing w:line="240" w:lineRule="auto"/>
      <w:jc w:val="left"/>
    </w:pPr>
    <w:rPr>
      <w:rFonts w:ascii="宋体" w:hAnsi="宋体" w:cs="宋体"/>
      <w:kern w:val="0"/>
      <w:sz w:val="18"/>
      <w:szCs w:val="18"/>
    </w:rPr>
  </w:style>
  <w:style w:type="paragraph" w:styleId="14">
    <w:name w:val="Body Text First Indent"/>
    <w:basedOn w:val="1"/>
    <w:qFormat/>
    <w:uiPriority w:val="0"/>
    <w:pPr>
      <w:adjustRightInd w:val="0"/>
      <w:ind w:firstLine="420"/>
      <w:jc w:val="left"/>
      <w:textAlignment w:val="baseline"/>
    </w:pPr>
    <w:rPr>
      <w:b/>
      <w:kern w:val="0"/>
      <w:sz w:val="21"/>
    </w:rPr>
  </w:style>
  <w:style w:type="paragraph" w:styleId="15">
    <w:name w:val="Body Text First Indent 2"/>
    <w:basedOn w:val="7"/>
    <w:next w:val="14"/>
    <w:qFormat/>
    <w:uiPriority w:val="99"/>
  </w:style>
  <w:style w:type="table" w:styleId="17">
    <w:name w:val="Table Grid"/>
    <w:basedOn w:val="1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rFonts w:ascii="Times New Roman" w:hAnsi="Times New Roman" w:eastAsia="宋体" w:cs="Times New Roman"/>
      <w:b/>
      <w:bCs/>
    </w:rPr>
  </w:style>
  <w:style w:type="character" w:styleId="20">
    <w:name w:val="page number"/>
    <w:qFormat/>
    <w:uiPriority w:val="0"/>
    <w:rPr>
      <w:rFonts w:ascii="Times New Roman" w:hAnsi="Times New Roman" w:eastAsia="宋体" w:cs="Times New Roman"/>
    </w:rPr>
  </w:style>
  <w:style w:type="character" w:styleId="21">
    <w:name w:val="Hyperlink"/>
    <w:basedOn w:val="18"/>
    <w:qFormat/>
    <w:uiPriority w:val="0"/>
    <w:rPr>
      <w:rFonts w:ascii="Times New Roman" w:hAnsi="Times New Roman" w:eastAsia="宋体" w:cs="Times New Roman"/>
      <w:color w:val="333333"/>
      <w:sz w:val="18"/>
      <w:szCs w:val="18"/>
      <w:u w:val="none"/>
    </w:rPr>
  </w:style>
  <w:style w:type="paragraph" w:customStyle="1" w:styleId="22">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23">
    <w:name w:val="列出段落1"/>
    <w:basedOn w:val="1"/>
    <w:qFormat/>
    <w:uiPriority w:val="0"/>
    <w:pPr>
      <w:ind w:firstLine="420" w:firstLineChars="200"/>
    </w:pPr>
  </w:style>
  <w:style w:type="paragraph" w:customStyle="1" w:styleId="24">
    <w:name w:val="纯文本1"/>
    <w:basedOn w:val="1"/>
    <w:qFormat/>
    <w:uiPriority w:val="0"/>
    <w:rPr>
      <w:rFonts w:ascii="宋体" w:hAnsi="Courier New" w:cs="Courier New"/>
      <w:szCs w:val="21"/>
    </w:rPr>
  </w:style>
  <w:style w:type="paragraph" w:customStyle="1" w:styleId="25">
    <w:name w:val="Char1"/>
    <w:basedOn w:val="1"/>
    <w:qFormat/>
    <w:uiPriority w:val="0"/>
    <w:pPr>
      <w:tabs>
        <w:tab w:val="left" w:pos="360"/>
      </w:tabs>
      <w:ind w:left="360" w:hanging="360" w:hangingChars="200"/>
    </w:pPr>
    <w:rPr>
      <w:sz w:val="24"/>
    </w:rPr>
  </w:style>
  <w:style w:type="paragraph" w:customStyle="1" w:styleId="26">
    <w:name w:val="样式 首行缩进:  2 字符"/>
    <w:basedOn w:val="1"/>
    <w:qFormat/>
    <w:uiPriority w:val="0"/>
    <w:pPr>
      <w:spacing w:line="400" w:lineRule="exact"/>
      <w:ind w:firstLine="200" w:firstLineChars="200"/>
    </w:pPr>
    <w:rPr>
      <w:sz w:val="24"/>
    </w:rPr>
  </w:style>
  <w:style w:type="paragraph" w:customStyle="1" w:styleId="27">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styleId="28">
    <w:name w:val="List Paragraph"/>
    <w:basedOn w:val="1"/>
    <w:autoRedefine/>
    <w:qFormat/>
    <w:uiPriority w:val="34"/>
    <w:pPr>
      <w:ind w:left="720"/>
      <w:contextualSpacing/>
    </w:pPr>
    <w:rPr>
      <w:szCs w:val="20"/>
    </w:rPr>
  </w:style>
  <w:style w:type="paragraph" w:customStyle="1" w:styleId="29">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www.lenovo.com</Company>
  <Pages>50</Pages>
  <Words>20931</Words>
  <Characters>21947</Characters>
  <Lines>172</Lines>
  <Paragraphs>48</Paragraphs>
  <TotalTime>4</TotalTime>
  <ScaleCrop>false</ScaleCrop>
  <LinksUpToDate>false</LinksUpToDate>
  <CharactersWithSpaces>23083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2023-03-17T07:21:00Z</dcterms:created>
  <dc:creator>Administrator</dc:creator>
  <cp:lastModifiedBy>张赫冠潦谷</cp:lastModifiedBy>
  <dcterms:modified xsi:type="dcterms:W3CDTF">2024-10-21T09:41:54Z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01F37F6AE4B5466D85A2E664B714FD35_13</vt:lpwstr>
  </property>
</Properties>
</file>