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版本号：HYJR-XX-17320250320001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三原县2024年重点区域绿化提升改造项目（碳汇林试点）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HYJR-XX-173</w:t>
      </w:r>
      <w:r>
        <w:br/>
      </w:r>
      <w:r>
        <w:br/>
      </w:r>
      <w:r>
        <w:br/>
      </w:r>
    </w:p>
    <w:p>
      <w:pPr>
        <w:pStyle w:val="null3"/>
        <w:jc w:val="center"/>
        <w:outlineLvl w:val="2"/>
      </w:pPr>
      <w:r>
        <w:rPr>
          <w:rFonts w:ascii="仿宋_GB2312" w:hAnsi="仿宋_GB2312" w:cs="仿宋_GB2312" w:eastAsia="仿宋_GB2312"/>
          <w:sz w:val="28"/>
          <w:b/>
        </w:rPr>
        <w:t>三原县林业工作站</w:t>
      </w:r>
    </w:p>
    <w:p>
      <w:pPr>
        <w:pStyle w:val="null3"/>
        <w:jc w:val="center"/>
        <w:outlineLvl w:val="2"/>
      </w:pPr>
      <w:r>
        <w:rPr>
          <w:rFonts w:ascii="仿宋_GB2312" w:hAnsi="仿宋_GB2312" w:cs="仿宋_GB2312" w:eastAsia="仿宋_GB2312"/>
          <w:sz w:val="28"/>
          <w:b/>
        </w:rPr>
        <w:t>陕西华誉佳容项目管理有限公司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陕西华誉佳容项目管理有限公司</w:t>
      </w:r>
      <w:r>
        <w:rPr>
          <w:rFonts w:ascii="仿宋_GB2312" w:hAnsi="仿宋_GB2312" w:cs="仿宋_GB2312" w:eastAsia="仿宋_GB2312"/>
        </w:rPr>
        <w:t>（以下简称“代理机构”）受</w:t>
      </w:r>
      <w:r>
        <w:rPr>
          <w:rFonts w:ascii="仿宋_GB2312" w:hAnsi="仿宋_GB2312" w:cs="仿宋_GB2312" w:eastAsia="仿宋_GB2312"/>
        </w:rPr>
        <w:t>三原县林业工作站</w:t>
      </w:r>
      <w:r>
        <w:rPr>
          <w:rFonts w:ascii="仿宋_GB2312" w:hAnsi="仿宋_GB2312" w:cs="仿宋_GB2312" w:eastAsia="仿宋_GB2312"/>
        </w:rPr>
        <w:t>委托，拟对</w:t>
      </w:r>
      <w:r>
        <w:rPr>
          <w:rFonts w:ascii="仿宋_GB2312" w:hAnsi="仿宋_GB2312" w:cs="仿宋_GB2312" w:eastAsia="仿宋_GB2312"/>
        </w:rPr>
        <w:t>三原县2024年重点区域绿化提升改造项目（碳汇林试点）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HYJR-XX-173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三原县2024年重点区域绿化提升改造项目（碳汇林试点）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实施“林业技术推广驱动生态修复—碳汇增值—产业增效—农民致富”全链条工程，构建乔灌木立体复合体系，显著提升区域碳汇能力，最终构建“生态修复—碳汇增值—产业增效—农民致富”的闭环模式，激活乡村资源并实现绿色可持续发展。通过三原县2024年重点区域绿化提升改造项目(碳汇林试点)的实施，将有效发挥保持水土、涵养水源、调节气候，土壤保育、固碳释氧、净化空气、森林游憩等方面发挥积极的作用，对改善区域生态环境产生巨大的生态效益。将区域性增加植被覆盖度，增强蓄洪、防涝、抗旱、防风能力,减少滑坡、泥石流等发生频率和破坏力,减少自然灾害造成的经济损失。</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采购包1（三原县2024年重点区域绿化提升改造项目（碳汇林试点））：属于专门面向中小企业采购。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1、营业执照等主体资格证明文件：供应商应是合法注册的法人或其他组织,并出具合法有效的营业执照；</w:t>
      </w:r>
    </w:p>
    <w:p>
      <w:pPr>
        <w:pStyle w:val="null3"/>
      </w:pPr>
      <w:r>
        <w:rPr>
          <w:rFonts w:ascii="仿宋_GB2312" w:hAnsi="仿宋_GB2312" w:cs="仿宋_GB2312" w:eastAsia="仿宋_GB2312"/>
        </w:rPr>
        <w:t>2、财务状况证明：提供2023年度经审计的财务审计报告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w:t>
      </w:r>
    </w:p>
    <w:p>
      <w:pPr>
        <w:pStyle w:val="null3"/>
      </w:pPr>
      <w:r>
        <w:rPr>
          <w:rFonts w:ascii="仿宋_GB2312" w:hAnsi="仿宋_GB2312" w:cs="仿宋_GB2312" w:eastAsia="仿宋_GB2312"/>
        </w:rPr>
        <w:t>4、拟派项目负责人资格：拟派项目负责人须具备林业或绿化相关专业工程师以上（含工程师）资格或市政工程专业二级及以上建造师注册证书及安全考核合格证（建安B证），且提供无在建项目证明材料；</w:t>
      </w:r>
    </w:p>
    <w:p>
      <w:pPr>
        <w:pStyle w:val="null3"/>
      </w:pPr>
      <w:r>
        <w:rPr>
          <w:rFonts w:ascii="仿宋_GB2312" w:hAnsi="仿宋_GB2312" w:cs="仿宋_GB2312" w:eastAsia="仿宋_GB2312"/>
        </w:rPr>
        <w:t>5、书面声明：参加政府采购活动前三年内，在经营活动中没有重大违法记录的书面声明；履行合同所必需的设备和专业技术能力的书面声明。</w:t>
      </w:r>
    </w:p>
    <w:p>
      <w:pPr>
        <w:pStyle w:val="null3"/>
      </w:pPr>
      <w:r>
        <w:rPr>
          <w:rFonts w:ascii="仿宋_GB2312" w:hAnsi="仿宋_GB2312" w:cs="仿宋_GB2312" w:eastAsia="仿宋_GB2312"/>
        </w:rPr>
        <w:t>6、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p>
      <w:pPr>
        <w:pStyle w:val="null3"/>
      </w:pPr>
      <w:r>
        <w:rPr>
          <w:rFonts w:ascii="仿宋_GB2312" w:hAnsi="仿宋_GB2312" w:cs="仿宋_GB2312" w:eastAsia="仿宋_GB2312"/>
        </w:rPr>
        <w:t>7、法定代表人授权书：法人代表证明书或法人授权委托书，后附法人及被委托人身份证（法定代表人直接参加磋商的只需提供法定代表人身份证）；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8、控股管理关系：若与其他供应商存在单位负责人为同一人或者存在直接控股、管理关系的，参加同一合同项下的政府采购活动，则磋商无效</w:t>
      </w:r>
    </w:p>
    <w:p>
      <w:pPr>
        <w:pStyle w:val="null3"/>
      </w:pPr>
      <w:r>
        <w:rPr>
          <w:rFonts w:ascii="仿宋_GB2312" w:hAnsi="仿宋_GB2312" w:cs="仿宋_GB2312" w:eastAsia="仿宋_GB2312"/>
        </w:rPr>
        <w:t>9、非联合体磋商：本项目不接受联合体磋商。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三原县林业工作站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三原县宴友思大街中段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三原县林业工作站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13649103521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陕西华誉佳容项目管理有限公司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陕西省西咸新区沣西新城中铁港沣国际十三层 1308室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029-88680610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采购包1：647,731.00元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招标代理服务收费管理暂行办法》（计价格[2002]1980号）、《国家发展改革委办公厅关于招标代理服务收费有关问题的通知》（发改价格[2003]857号）；《国家发展改革委关于降低部分建设项目收费标准规范收费行为等有关问题的通知》（发改价格[2011]534号）规定的标准，由成交供应商在领取《成交通知书》前直接支付给采购代理单位。</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三原县林业工作站</w:t>
      </w:r>
      <w:r>
        <w:rPr>
          <w:rFonts w:ascii="仿宋_GB2312" w:hAnsi="仿宋_GB2312" w:cs="仿宋_GB2312" w:eastAsia="仿宋_GB2312"/>
        </w:rPr>
        <w:t>和</w:t>
      </w:r>
      <w:r>
        <w:rPr>
          <w:rFonts w:ascii="仿宋_GB2312" w:hAnsi="仿宋_GB2312" w:cs="仿宋_GB2312" w:eastAsia="仿宋_GB2312"/>
        </w:rPr>
        <w:t>陕西华誉佳容项目管理有限公司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三原县林业工作站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陕西华誉佳容项目管理有限公司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三原县林业工作站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陕西华誉佳容项目管理有限公司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完成三原县 2024年重点区域绿化提升改造项目(碳汇林试点)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陕西华誉佳容项目管理有限公司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陕西华誉佳容项目管理有限公司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陕西华誉佳容项目管理有限公司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联系电话：029-88680610</w:t>
      </w:r>
    </w:p>
    <w:p>
      <w:pPr>
        <w:pStyle w:val="null3"/>
      </w:pPr>
      <w:r>
        <w:rPr>
          <w:rFonts w:ascii="仿宋_GB2312" w:hAnsi="仿宋_GB2312" w:cs="仿宋_GB2312" w:eastAsia="仿宋_GB2312"/>
        </w:rPr>
        <w:t>地址：陕西省西咸新区沣西新城中铁港沣国际十三层 1308室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项目作业区主要位于新兴镇张家坳村(丰王村大桥北侧)荒山荒坡地的直观坡面上，共区划1个作业区5个作业小班。小班可作业面积225.94亩，道路绿化长度合计1121米。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647,731.00</w:t>
      </w:r>
    </w:p>
    <w:p>
      <w:pPr>
        <w:pStyle w:val="null3"/>
      </w:pPr>
      <w:r>
        <w:rPr>
          <w:rFonts w:ascii="仿宋_GB2312" w:hAnsi="仿宋_GB2312" w:cs="仿宋_GB2312" w:eastAsia="仿宋_GB2312"/>
        </w:rPr>
        <w:t>采购包最高限价（元）: 647,731.00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绿化提升改造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647,731.00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标的名称：绿化提升改造</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项目基本情况</w:t>
            </w:r>
          </w:p>
        </w:tc>
        <w:tc>
          <w:tcPr>
            <w:tcW w:type="dxa" w:w="2076"/>
          </w:tcPr>
          <w:tbl>
            <w:tblPr>
              <w:tblInd w:type="dxa" w:w="105"/>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none" w:color="000000" w:sz="4"/>
                    <w:left w:val="none" w:color="000000" w:sz="4"/>
                    <w:bottom w:val="none" w:color="000000" w:sz="4"/>
                    <w:right w:val="non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8"/>
                      <w:b/>
                      <w:color w:val="000000"/>
                    </w:rPr>
                    <w:t>三原县</w:t>
                  </w:r>
                  <w:r>
                    <w:rPr>
                      <w:rFonts w:ascii="仿宋_GB2312" w:hAnsi="仿宋_GB2312" w:cs="仿宋_GB2312" w:eastAsia="仿宋_GB2312"/>
                      <w:sz w:val="28"/>
                      <w:b/>
                      <w:color w:val="000000"/>
                    </w:rPr>
                    <w:t>2024年重点区域绿化提升改造项目（碳汇林试点）</w:t>
                  </w:r>
                </w:p>
              </w:tc>
            </w:tr>
            <w:tr>
              <w:tc>
                <w:tcPr>
                  <w:tcW w:type="dxa" w:w="1860"/>
                  <w:tcBorders>
                    <w:top w:val="none" w:color="000000" w:sz="4"/>
                    <w:left w:val="none" w:color="000000" w:sz="4"/>
                    <w:bottom w:val="none" w:color="000000" w:sz="4"/>
                    <w:right w:val="none" w:color="000000" w:sz="4"/>
                  </w:tcBorders>
                  <w:tcMar>
                    <w:top w:type="dxa" w:w="0"/>
                    <w:left w:type="dxa" w:w="105"/>
                    <w:bottom w:type="dxa" w:w="0"/>
                    <w:right w:type="dxa" w:w="105"/>
                  </w:tcMar>
                  <w:vAlign w:val="center"/>
                </w:tcPr>
                <w:p>
                  <w:pPr>
                    <w:pStyle w:val="null3"/>
                    <w:jc w:val="left"/>
                  </w:pPr>
                  <w:r>
                    <w:rPr>
                      <w:rFonts w:ascii="仿宋_GB2312" w:hAnsi="仿宋_GB2312" w:cs="仿宋_GB2312" w:eastAsia="仿宋_GB2312"/>
                      <w:sz w:val="22"/>
                      <w:color w:val="000000"/>
                    </w:rPr>
                    <w:t>附表</w:t>
                  </w:r>
                  <w:r>
                    <w:rPr>
                      <w:rFonts w:ascii="仿宋_GB2312" w:hAnsi="仿宋_GB2312" w:cs="仿宋_GB2312" w:eastAsia="仿宋_GB2312"/>
                      <w:sz w:val="22"/>
                      <w:color w:val="000000"/>
                    </w:rPr>
                    <w:t>1                                         单位：元</w:t>
                  </w:r>
                </w:p>
              </w:tc>
            </w:tr>
          </w:tbl>
          <w:tbl>
            <w:tblPr>
              <w:tblInd w:type="dxa" w:w="135"/>
              <w:tblBorders>
                <w:top w:val="none" w:color="000000" w:sz="4"/>
                <w:left w:val="none" w:color="000000" w:sz="4"/>
                <w:bottom w:val="none" w:color="000000" w:sz="4"/>
                <w:right w:val="none" w:color="000000" w:sz="4"/>
                <w:insideH w:val="none"/>
                <w:insideV w:val="none"/>
              </w:tblBorders>
            </w:tblPr>
            <w:tblGrid>
              <w:gridCol w:w="305"/>
              <w:gridCol w:w="268"/>
              <w:gridCol w:w="201"/>
              <w:gridCol w:w="268"/>
              <w:gridCol w:w="235"/>
              <w:gridCol w:w="305"/>
              <w:gridCol w:w="268"/>
            </w:tblGrid>
            <w:tr>
              <w:tc>
                <w:tcPr>
                  <w:tcW w:type="dxa" w:w="3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序号</w:t>
                  </w:r>
                </w:p>
              </w:tc>
              <w:tc>
                <w:tcPr>
                  <w:tcW w:type="dxa" w:w="2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项目</w:t>
                  </w:r>
                </w:p>
              </w:tc>
              <w:tc>
                <w:tcPr>
                  <w:tcW w:type="dxa" w:w="2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单位</w:t>
                  </w:r>
                </w:p>
              </w:tc>
              <w:tc>
                <w:tcPr>
                  <w:tcW w:type="dxa" w:w="2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数量</w:t>
                  </w:r>
                </w:p>
              </w:tc>
              <w:tc>
                <w:tcPr>
                  <w:tcW w:type="dxa" w:w="2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单价</w:t>
                  </w:r>
                  <w:r>
                    <w:br/>
                  </w:r>
                  <w:r>
                    <w:rPr>
                      <w:rFonts w:ascii="仿宋_GB2312" w:hAnsi="仿宋_GB2312" w:cs="仿宋_GB2312" w:eastAsia="仿宋_GB2312"/>
                      <w:sz w:val="21"/>
                      <w:color w:val="000000"/>
                    </w:rPr>
                    <w:t>（元）</w:t>
                  </w:r>
                </w:p>
              </w:tc>
              <w:tc>
                <w:tcPr>
                  <w:tcW w:type="dxa" w:w="3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总价</w:t>
                  </w:r>
                  <w:r>
                    <w:br/>
                  </w:r>
                  <w:r>
                    <w:rPr>
                      <w:rFonts w:ascii="仿宋_GB2312" w:hAnsi="仿宋_GB2312" w:cs="仿宋_GB2312" w:eastAsia="仿宋_GB2312"/>
                      <w:sz w:val="21"/>
                      <w:color w:val="000000"/>
                    </w:rPr>
                    <w:t>（元）</w:t>
                  </w:r>
                </w:p>
              </w:tc>
              <w:tc>
                <w:tcPr>
                  <w:tcW w:type="dxa" w:w="26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备注</w:t>
                  </w:r>
                </w:p>
              </w:tc>
            </w:tr>
            <w:tr>
              <w:tc>
                <w:tcPr>
                  <w:tcW w:type="dxa" w:w="305"/>
                  <w:vMerge/>
                  <w:tcBorders>
                    <w:top w:val="single" w:color="000000" w:sz="4"/>
                    <w:left w:val="single" w:color="000000" w:sz="4"/>
                    <w:bottom w:val="single" w:color="000000" w:sz="4"/>
                    <w:right w:val="single" w:color="000000" w:sz="4"/>
                  </w:tcBorders>
                </w:tcPr>
                <w:p/>
              </w:tc>
              <w:tc>
                <w:tcPr>
                  <w:tcW w:type="dxa" w:w="268"/>
                  <w:vMerge/>
                  <w:tcBorders>
                    <w:top w:val="single" w:color="000000" w:sz="4"/>
                    <w:left w:val="none" w:color="000000" w:sz="4"/>
                    <w:bottom w:val="single" w:color="000000" w:sz="4"/>
                    <w:right w:val="single" w:color="000000" w:sz="4"/>
                  </w:tcBorders>
                </w:tcPr>
                <w:p/>
              </w:tc>
              <w:tc>
                <w:tcPr>
                  <w:tcW w:type="dxa" w:w="201"/>
                  <w:vMerge/>
                  <w:tcBorders>
                    <w:top w:val="single" w:color="000000" w:sz="4"/>
                    <w:left w:val="none" w:color="000000" w:sz="4"/>
                    <w:bottom w:val="single" w:color="000000" w:sz="4"/>
                    <w:right w:val="single" w:color="000000" w:sz="4"/>
                  </w:tcBorders>
                </w:tcPr>
                <w:p/>
              </w:tc>
              <w:tc>
                <w:tcPr>
                  <w:tcW w:type="dxa" w:w="268"/>
                  <w:vMerge/>
                  <w:tcBorders>
                    <w:top w:val="single" w:color="000000" w:sz="4"/>
                    <w:left w:val="none" w:color="000000" w:sz="4"/>
                    <w:bottom w:val="single" w:color="000000" w:sz="4"/>
                    <w:right w:val="single" w:color="000000" w:sz="4"/>
                  </w:tcBorders>
                </w:tcPr>
                <w:p/>
              </w:tc>
              <w:tc>
                <w:tcPr>
                  <w:tcW w:type="dxa" w:w="235"/>
                  <w:vMerge/>
                  <w:tcBorders>
                    <w:top w:val="single" w:color="000000" w:sz="4"/>
                    <w:left w:val="none" w:color="000000" w:sz="4"/>
                    <w:bottom w:val="single" w:color="000000" w:sz="4"/>
                    <w:right w:val="single" w:color="000000" w:sz="4"/>
                  </w:tcBorders>
                </w:tcPr>
                <w:p/>
              </w:tc>
              <w:tc>
                <w:tcPr>
                  <w:tcW w:type="dxa" w:w="305"/>
                  <w:vMerge/>
                  <w:tcBorders>
                    <w:top w:val="single" w:color="000000" w:sz="4"/>
                    <w:left w:val="none" w:color="000000" w:sz="4"/>
                    <w:bottom w:val="single" w:color="000000" w:sz="4"/>
                    <w:right w:val="single" w:color="000000" w:sz="4"/>
                  </w:tcBorders>
                </w:tcPr>
                <w:p/>
              </w:tc>
              <w:tc>
                <w:tcPr>
                  <w:tcW w:type="dxa" w:w="268"/>
                  <w:vMerge/>
                  <w:tcBorders>
                    <w:top w:val="single" w:color="000000" w:sz="4"/>
                    <w:left w:val="none" w:color="000000" w:sz="4"/>
                    <w:bottom w:val="single" w:color="000000" w:sz="4"/>
                    <w:right w:val="single" w:color="000000" w:sz="4"/>
                  </w:tcBorders>
                </w:tcPr>
                <w:p/>
              </w:tc>
            </w:tr>
            <w:tr>
              <w:tc>
                <w:tcPr>
                  <w:tcW w:type="dxa" w:w="5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合</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计</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一</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直接生产费用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1.1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苗木</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23610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1.1.1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2"/>
                      <w:color w:val="000000"/>
                    </w:rPr>
                    <w:t>侧柏</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5870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1.1.2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2"/>
                      <w:color w:val="000000"/>
                    </w:rPr>
                    <w:t>白皮松</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2803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1.1.3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2"/>
                      <w:color w:val="000000"/>
                    </w:rPr>
                    <w:t>连翘</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14290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1.1.4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2"/>
                      <w:color w:val="000000"/>
                    </w:rPr>
                    <w:t>五角枫</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429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1.1.5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2"/>
                      <w:color w:val="000000"/>
                    </w:rPr>
                    <w:t>樱花</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218</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1.2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用工费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1624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1.2.1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整地</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工日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485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1.2.2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栽植</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工日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485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1.2.3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补植</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工日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364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1.2.4</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幼林抚育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工日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290</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1.2.4.1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第一年抚育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工日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145</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1.2.4.2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第二年抚育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工日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73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1.2.4.3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第三年抚育</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工日</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73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1.3</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b/>
                      <w:color w:val="000000"/>
                    </w:rPr>
                    <w:t>物料费</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1.3.1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GGR6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克</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236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1.3.2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保水剂</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千克</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r>
                    <w:rPr>
                      <w:rFonts w:ascii="仿宋_GB2312" w:hAnsi="仿宋_GB2312" w:cs="仿宋_GB2312" w:eastAsia="仿宋_GB2312"/>
                      <w:sz w:val="21"/>
                      <w:color w:val="000000"/>
                    </w:rPr>
                    <w:t>236</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pPr>
                    <w:pStyle w:val="null3"/>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center"/>
                </w:tcPr>
                <w:p/>
              </w:tc>
            </w:tr>
          </w:tbl>
          <w:tbl>
            <w:tblPr>
              <w:tblBorders>
                <w:top w:val="none" w:color="000000" w:sz="4"/>
                <w:left w:val="none" w:color="000000" w:sz="4"/>
                <w:bottom w:val="none" w:color="000000" w:sz="4"/>
                <w:right w:val="none" w:color="000000" w:sz="4"/>
                <w:insideH w:val="none"/>
                <w:insideV w:val="none"/>
              </w:tblBorders>
            </w:tblPr>
            <w:tblGrid>
              <w:gridCol w:w="265"/>
              <w:gridCol w:w="221"/>
              <w:gridCol w:w="419"/>
              <w:gridCol w:w="417"/>
              <w:gridCol w:w="530"/>
            </w:tblGrid>
            <w:tr>
              <w:tc>
                <w:tcPr>
                  <w:tcW w:type="dxa" w:w="1852"/>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19"/>
                    </w:rPr>
                    <w:t xml:space="preserve"> </w:t>
                  </w:r>
                </w:p>
                <w:p>
                  <w:pPr>
                    <w:pStyle w:val="null3"/>
                    <w:jc w:val="center"/>
                  </w:pPr>
                  <w:r>
                    <w:rPr>
                      <w:rFonts w:ascii="仿宋_GB2312" w:hAnsi="仿宋_GB2312" w:cs="仿宋_GB2312" w:eastAsia="仿宋_GB2312"/>
                      <w:sz w:val="28"/>
                      <w:b/>
                      <w:color w:val="000000"/>
                    </w:rPr>
                    <w:t>三原县</w:t>
                  </w:r>
                  <w:r>
                    <w:rPr>
                      <w:rFonts w:ascii="仿宋_GB2312" w:hAnsi="仿宋_GB2312" w:cs="仿宋_GB2312" w:eastAsia="仿宋_GB2312"/>
                      <w:sz w:val="28"/>
                      <w:b/>
                      <w:color w:val="000000"/>
                    </w:rPr>
                    <w:t>2024年重点区域绿化提升改造项目（碳汇林试点）小班地类面积统计表</w:t>
                  </w:r>
                </w:p>
              </w:tc>
            </w:tr>
            <w:tr>
              <w:tc>
                <w:tcPr>
                  <w:tcW w:type="dxa" w:w="48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附表</w:t>
                  </w:r>
                  <w:r>
                    <w:rPr>
                      <w:rFonts w:ascii="仿宋_GB2312" w:hAnsi="仿宋_GB2312" w:cs="仿宋_GB2312" w:eastAsia="仿宋_GB2312"/>
                      <w:sz w:val="23"/>
                      <w:color w:val="000000"/>
                    </w:rPr>
                    <w:t>2</w:t>
                  </w:r>
                </w:p>
              </w:tc>
              <w:tc>
                <w:tcPr>
                  <w:tcW w:type="dxa" w:w="41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41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5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26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作业区</w:t>
                  </w:r>
                </w:p>
              </w:tc>
              <w:tc>
                <w:tcPr>
                  <w:tcW w:type="dxa" w:w="2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小班号</w:t>
                  </w:r>
                </w:p>
              </w:tc>
              <w:tc>
                <w:tcPr>
                  <w:tcW w:type="dxa" w:w="136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地类</w:t>
                  </w:r>
                </w:p>
              </w:tc>
            </w:tr>
            <w:tr>
              <w:tc>
                <w:tcPr>
                  <w:tcW w:type="dxa" w:w="265"/>
                  <w:vMerge/>
                  <w:tcBorders>
                    <w:top w:val="single" w:color="000000" w:sz="4"/>
                    <w:left w:val="single" w:color="000000" w:sz="4"/>
                    <w:bottom w:val="single" w:color="000000" w:sz="4"/>
                    <w:right w:val="single" w:color="000000" w:sz="4"/>
                  </w:tcBorders>
                </w:tcPr>
                <w:p/>
              </w:tc>
              <w:tc>
                <w:tcPr>
                  <w:tcW w:type="dxa" w:w="221"/>
                  <w:vMerge/>
                  <w:tcBorders>
                    <w:top w:val="single" w:color="000000" w:sz="4"/>
                    <w:left w:val="none" w:color="000000" w:sz="4"/>
                    <w:bottom w:val="single" w:color="000000" w:sz="4"/>
                    <w:right w:val="single" w:color="000000" w:sz="4"/>
                  </w:tcBorders>
                </w:tcP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合计</w:t>
                  </w:r>
                </w:p>
              </w:tc>
              <w:tc>
                <w:tcPr>
                  <w:tcW w:type="dxa" w:w="94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作业面积</w:t>
                  </w:r>
                </w:p>
              </w:tc>
            </w:tr>
            <w:tr>
              <w:tc>
                <w:tcPr>
                  <w:tcW w:type="dxa" w:w="265"/>
                  <w:vMerge/>
                  <w:tcBorders>
                    <w:top w:val="single" w:color="000000" w:sz="4"/>
                    <w:left w:val="single" w:color="000000" w:sz="4"/>
                    <w:bottom w:val="single" w:color="000000" w:sz="4"/>
                    <w:right w:val="single" w:color="000000" w:sz="4"/>
                  </w:tcBorders>
                </w:tcPr>
                <w:p/>
              </w:tc>
              <w:tc>
                <w:tcPr>
                  <w:tcW w:type="dxa" w:w="221"/>
                  <w:vMerge/>
                  <w:tcBorders>
                    <w:top w:val="single" w:color="000000" w:sz="4"/>
                    <w:left w:val="none" w:color="000000" w:sz="4"/>
                    <w:bottom w:val="single" w:color="000000" w:sz="4"/>
                    <w:right w:val="single" w:color="000000" w:sz="4"/>
                  </w:tcBorders>
                </w:tcPr>
                <w:p/>
              </w:tc>
              <w:tc>
                <w:tcPr>
                  <w:tcW w:type="dxa" w:w="419"/>
                  <w:vMerge/>
                  <w:tcBorders>
                    <w:top w:val="none" w:color="000000" w:sz="4"/>
                    <w:left w:val="non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其他林地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灌木林地</w:t>
                  </w:r>
                </w:p>
              </w:tc>
            </w:tr>
            <w:tr>
              <w:tc>
                <w:tcPr>
                  <w:tcW w:type="dxa" w:w="48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总计</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225.94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64.43</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161.51</w:t>
                  </w:r>
                </w:p>
              </w:tc>
            </w:tr>
            <w:tr>
              <w:tc>
                <w:tcPr>
                  <w:tcW w:type="dxa" w:w="2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新兴镇张家坳村作业区</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91.14</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39.05</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52.09</w:t>
                  </w:r>
                </w:p>
              </w:tc>
            </w:tr>
            <w:tr>
              <w:tc>
                <w:tcPr>
                  <w:tcW w:type="dxa" w:w="265"/>
                  <w:vMerge/>
                  <w:tcBorders>
                    <w:top w:val="none" w:color="000000" w:sz="4"/>
                    <w:left w:val="single" w:color="000000" w:sz="4"/>
                    <w:bottom w:val="singl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88.61</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25.38</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63.23</w:t>
                  </w:r>
                </w:p>
              </w:tc>
            </w:tr>
            <w:tr>
              <w:tc>
                <w:tcPr>
                  <w:tcW w:type="dxa" w:w="265"/>
                  <w:vMerge/>
                  <w:tcBorders>
                    <w:top w:val="none" w:color="000000" w:sz="4"/>
                    <w:left w:val="single" w:color="000000" w:sz="4"/>
                    <w:bottom w:val="singl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46.19</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46.19</w:t>
                  </w:r>
                </w:p>
              </w:tc>
            </w:tr>
            <w:tr>
              <w:tc>
                <w:tcPr>
                  <w:tcW w:type="dxa" w:w="265"/>
                  <w:vMerge/>
                  <w:tcBorders>
                    <w:top w:val="none" w:color="000000" w:sz="4"/>
                    <w:left w:val="single" w:color="000000" w:sz="4"/>
                    <w:bottom w:val="singl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661米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5"/>
                  <w:vMerge/>
                  <w:tcBorders>
                    <w:top w:val="none" w:color="000000" w:sz="4"/>
                    <w:left w:val="single" w:color="000000" w:sz="4"/>
                    <w:bottom w:val="single" w:color="000000" w:sz="4"/>
                    <w:right w:val="single" w:color="000000" w:sz="4"/>
                  </w:tcBorders>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3"/>
                      <w:color w:val="000000"/>
                    </w:rPr>
                    <w:t>460米</w:t>
                  </w: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83"/>
              <w:gridCol w:w="126"/>
              <w:gridCol w:w="108"/>
              <w:gridCol w:w="104"/>
              <w:gridCol w:w="164"/>
              <w:gridCol w:w="159"/>
              <w:gridCol w:w="302"/>
              <w:gridCol w:w="83"/>
              <w:gridCol w:w="95"/>
              <w:gridCol w:w="95"/>
              <w:gridCol w:w="192"/>
              <w:gridCol w:w="108"/>
              <w:gridCol w:w="128"/>
              <w:gridCol w:w="95"/>
            </w:tblGrid>
            <w:tr>
              <w:tc>
                <w:tcPr>
                  <w:tcW w:type="dxa" w:w="1842"/>
                  <w:gridSpan w:val="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三原县</w:t>
                  </w:r>
                  <w:r>
                    <w:rPr>
                      <w:rFonts w:ascii="仿宋_GB2312" w:hAnsi="仿宋_GB2312" w:cs="仿宋_GB2312" w:eastAsia="仿宋_GB2312"/>
                      <w:sz w:val="28"/>
                      <w:b/>
                      <w:color w:val="000000"/>
                    </w:rPr>
                    <w:t>2024年重点区域绿化提升改造项目（碳汇林试点）造林类型设计表</w:t>
                  </w:r>
                </w:p>
              </w:tc>
            </w:tr>
            <w:tr>
              <w:tc>
                <w:tcPr>
                  <w:tcW w:type="dxa" w:w="1842"/>
                  <w:gridSpan w:val="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附表</w:t>
                  </w:r>
                  <w:r>
                    <w:rPr>
                      <w:rFonts w:ascii="仿宋_GB2312" w:hAnsi="仿宋_GB2312" w:cs="仿宋_GB2312" w:eastAsia="仿宋_GB2312"/>
                      <w:sz w:val="24"/>
                      <w:b/>
                      <w:color w:val="000000"/>
                    </w:rPr>
                    <w:t>3</w:t>
                  </w:r>
                </w:p>
              </w:tc>
            </w:tr>
            <w:tr>
              <w:tc>
                <w:tcPr>
                  <w:tcW w:type="dxa" w:w="20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造林类型</w:t>
                  </w:r>
                </w:p>
              </w:tc>
              <w:tc>
                <w:tcPr>
                  <w:tcW w:type="dxa" w:w="37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造林树种及配置</w:t>
                  </w:r>
                </w:p>
              </w:tc>
              <w:tc>
                <w:tcPr>
                  <w:tcW w:type="dxa" w:w="1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整地方法及规格</w:t>
                  </w:r>
                </w:p>
              </w:tc>
              <w:tc>
                <w:tcPr>
                  <w:tcW w:type="dxa" w:w="3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苗木规格</w:t>
                  </w:r>
                </w:p>
              </w:tc>
              <w:tc>
                <w:tcPr>
                  <w:tcW w:type="dxa" w:w="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造林类型</w:t>
                  </w:r>
                </w:p>
              </w:tc>
              <w:tc>
                <w:tcPr>
                  <w:tcW w:type="dxa" w:w="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造林方法</w:t>
                  </w:r>
                </w:p>
              </w:tc>
              <w:tc>
                <w:tcPr>
                  <w:tcW w:type="dxa" w:w="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造林时间</w:t>
                  </w: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w:t>
                  </w:r>
                </w:p>
              </w:tc>
              <w:tc>
                <w:tcPr>
                  <w:tcW w:type="dxa" w:w="331"/>
                  <w:gridSpan w:val="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幼林抚育</w:t>
                  </w:r>
                </w:p>
              </w:tc>
            </w:tr>
            <w:tr>
              <w:tc>
                <w:tcPr>
                  <w:tcW w:type="dxa" w:w="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编号</w:t>
                  </w:r>
                </w:p>
              </w:tc>
              <w:tc>
                <w:tcPr>
                  <w:tcW w:type="dxa" w:w="1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混交方式</w:t>
                  </w:r>
                </w:p>
              </w:tc>
              <w:tc>
                <w:tcPr>
                  <w:tcW w:type="dxa" w:w="1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造林密度</w:t>
                  </w:r>
                </w:p>
              </w:tc>
              <w:tc>
                <w:tcPr>
                  <w:tcW w:type="dxa" w:w="1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树种比例</w:t>
                  </w:r>
                </w:p>
              </w:tc>
              <w:tc>
                <w:tcPr>
                  <w:tcW w:type="dxa" w:w="159"/>
                  <w:vMerge/>
                  <w:tcBorders>
                    <w:top w:val="single" w:color="000000" w:sz="4"/>
                    <w:left w:val="none" w:color="000000" w:sz="4"/>
                    <w:bottom w:val="single" w:color="000000" w:sz="4"/>
                    <w:right w:val="single" w:color="000000" w:sz="4"/>
                  </w:tcBorders>
                </w:tcPr>
                <w:p/>
              </w:tc>
              <w:tc>
                <w:tcPr>
                  <w:tcW w:type="dxa" w:w="302"/>
                  <w:vMerge/>
                  <w:tcBorders>
                    <w:top w:val="single" w:color="000000" w:sz="4"/>
                    <w:left w:val="none" w:color="000000" w:sz="4"/>
                    <w:bottom w:val="single" w:color="000000" w:sz="4"/>
                    <w:right w:val="single" w:color="000000" w:sz="4"/>
                  </w:tcBorders>
                </w:tcPr>
                <w:p/>
              </w:tc>
              <w:tc>
                <w:tcPr>
                  <w:tcW w:type="dxa" w:w="83"/>
                  <w:vMerge/>
                  <w:tcBorders>
                    <w:top w:val="single" w:color="000000" w:sz="4"/>
                    <w:left w:val="none" w:color="000000" w:sz="4"/>
                    <w:bottom w:val="single" w:color="000000" w:sz="4"/>
                    <w:right w:val="single" w:color="000000" w:sz="4"/>
                  </w:tcBorders>
                </w:tcPr>
                <w:p/>
              </w:tc>
              <w:tc>
                <w:tcPr>
                  <w:tcW w:type="dxa" w:w="95"/>
                  <w:vMerge/>
                  <w:tcBorders>
                    <w:top w:val="single" w:color="000000" w:sz="4"/>
                    <w:left w:val="none" w:color="000000" w:sz="4"/>
                    <w:bottom w:val="single" w:color="000000" w:sz="4"/>
                    <w:right w:val="single" w:color="000000" w:sz="4"/>
                  </w:tcBorders>
                </w:tcPr>
                <w:p/>
              </w:tc>
              <w:tc>
                <w:tcPr>
                  <w:tcW w:type="dxa" w:w="95"/>
                  <w:vMerge/>
                  <w:tcBorders>
                    <w:top w:val="single" w:color="000000" w:sz="4"/>
                    <w:left w:val="non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年数</w:t>
                  </w:r>
                </w:p>
              </w:tc>
              <w:tc>
                <w:tcPr>
                  <w:tcW w:type="dxa" w:w="12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抚育顺序</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作业</w:t>
                  </w:r>
                </w:p>
              </w:tc>
            </w:tr>
            <w:tr>
              <w:tc>
                <w:tcPr>
                  <w:tcW w:type="dxa" w:w="83"/>
                  <w:vMerge/>
                  <w:tcBorders>
                    <w:top w:val="none" w:color="000000" w:sz="4"/>
                    <w:left w:val="single" w:color="000000" w:sz="4"/>
                    <w:bottom w:val="single" w:color="000000" w:sz="4"/>
                    <w:right w:val="single" w:color="000000" w:sz="4"/>
                  </w:tcBorders>
                </w:tcPr>
                <w:p/>
              </w:tc>
              <w:tc>
                <w:tcPr>
                  <w:tcW w:type="dxa" w:w="126"/>
                  <w:vMerge/>
                  <w:tcBorders>
                    <w:top w:val="none" w:color="000000" w:sz="4"/>
                    <w:left w:val="none" w:color="000000" w:sz="4"/>
                    <w:bottom w:val="single" w:color="000000" w:sz="4"/>
                    <w:right w:val="single" w:color="000000" w:sz="4"/>
                  </w:tcBorders>
                </w:tcPr>
                <w:p/>
              </w:tc>
              <w:tc>
                <w:tcPr>
                  <w:tcW w:type="dxa" w:w="108"/>
                  <w:vMerge/>
                  <w:tcBorders>
                    <w:top w:val="none" w:color="000000" w:sz="4"/>
                    <w:left w:val="none" w:color="000000" w:sz="4"/>
                    <w:bottom w:val="single" w:color="000000" w:sz="4"/>
                    <w:right w:val="single" w:color="000000" w:sz="4"/>
                  </w:tcBorders>
                </w:tcPr>
                <w:p/>
              </w:tc>
              <w:tc>
                <w:tcPr>
                  <w:tcW w:type="dxa" w:w="104"/>
                  <w:vMerge/>
                  <w:tcBorders>
                    <w:top w:val="none" w:color="000000" w:sz="4"/>
                    <w:left w:val="none" w:color="000000" w:sz="4"/>
                    <w:bottom w:val="single" w:color="000000" w:sz="4"/>
                    <w:right w:val="single" w:color="000000" w:sz="4"/>
                  </w:tcBorders>
                </w:tcPr>
                <w:p/>
              </w:tc>
              <w:tc>
                <w:tcPr>
                  <w:tcW w:type="dxa" w:w="164"/>
                  <w:vMerge/>
                  <w:tcBorders>
                    <w:top w:val="none" w:color="000000" w:sz="4"/>
                    <w:left w:val="none" w:color="000000" w:sz="4"/>
                    <w:bottom w:val="single" w:color="000000" w:sz="4"/>
                    <w:right w:val="single" w:color="000000" w:sz="4"/>
                  </w:tcBorders>
                </w:tcPr>
                <w:p/>
              </w:tc>
              <w:tc>
                <w:tcPr>
                  <w:tcW w:type="dxa" w:w="159"/>
                  <w:vMerge/>
                  <w:tcBorders>
                    <w:top w:val="single" w:color="000000" w:sz="4"/>
                    <w:left w:val="none" w:color="000000" w:sz="4"/>
                    <w:bottom w:val="single" w:color="000000" w:sz="4"/>
                    <w:right w:val="single" w:color="000000" w:sz="4"/>
                  </w:tcBorders>
                </w:tcPr>
                <w:p/>
              </w:tc>
              <w:tc>
                <w:tcPr>
                  <w:tcW w:type="dxa" w:w="302"/>
                  <w:vMerge/>
                  <w:tcBorders>
                    <w:top w:val="single" w:color="000000" w:sz="4"/>
                    <w:left w:val="none" w:color="000000" w:sz="4"/>
                    <w:bottom w:val="single" w:color="000000" w:sz="4"/>
                    <w:right w:val="single" w:color="000000" w:sz="4"/>
                  </w:tcBorders>
                </w:tcPr>
                <w:p/>
              </w:tc>
              <w:tc>
                <w:tcPr>
                  <w:tcW w:type="dxa" w:w="83"/>
                  <w:vMerge/>
                  <w:tcBorders>
                    <w:top w:val="single" w:color="000000" w:sz="4"/>
                    <w:left w:val="none" w:color="000000" w:sz="4"/>
                    <w:bottom w:val="single" w:color="000000" w:sz="4"/>
                    <w:right w:val="single" w:color="000000" w:sz="4"/>
                  </w:tcBorders>
                </w:tcPr>
                <w:p/>
              </w:tc>
              <w:tc>
                <w:tcPr>
                  <w:tcW w:type="dxa" w:w="95"/>
                  <w:vMerge/>
                  <w:tcBorders>
                    <w:top w:val="single" w:color="000000" w:sz="4"/>
                    <w:left w:val="none" w:color="000000" w:sz="4"/>
                    <w:bottom w:val="single" w:color="000000" w:sz="4"/>
                    <w:right w:val="single" w:color="000000" w:sz="4"/>
                  </w:tcBorders>
                </w:tcPr>
                <w:p/>
              </w:tc>
              <w:tc>
                <w:tcPr>
                  <w:tcW w:type="dxa" w:w="95"/>
                  <w:vMerge/>
                  <w:tcBorders>
                    <w:top w:val="single" w:color="000000" w:sz="4"/>
                    <w:left w:val="non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08"/>
                  <w:vMerge/>
                  <w:tcBorders>
                    <w:top w:val="single" w:color="000000" w:sz="4"/>
                    <w:left w:val="none" w:color="000000" w:sz="4"/>
                    <w:bottom w:val="single" w:color="000000" w:sz="4"/>
                    <w:right w:val="single" w:color="000000" w:sz="4"/>
                  </w:tcBorders>
                </w:tcPr>
                <w:p/>
              </w:tc>
              <w:tc>
                <w:tcPr>
                  <w:tcW w:type="dxa" w:w="128"/>
                  <w:vMerge/>
                  <w:tcBorders>
                    <w:top w:val="single" w:color="000000" w:sz="4"/>
                    <w:left w:val="none" w:color="000000" w:sz="4"/>
                    <w:bottom w:val="single" w:color="000000" w:sz="4"/>
                    <w:right w:val="single" w:color="000000" w:sz="4"/>
                  </w:tcBorders>
                </w:tcP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项目</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人工造林</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w:t>
                  </w:r>
                  <w:r>
                    <w:br/>
                  </w:r>
                  <w:r>
                    <w:rPr>
                      <w:rFonts w:ascii="仿宋_GB2312" w:hAnsi="仿宋_GB2312" w:cs="仿宋_GB2312" w:eastAsia="仿宋_GB2312"/>
                      <w:sz w:val="18"/>
                      <w:color w:val="000000"/>
                    </w:rPr>
                    <w:t>或块状</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111株/亩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侧柏连翘</w:t>
                  </w:r>
                  <w:r>
                    <w:rPr>
                      <w:rFonts w:ascii="仿宋_GB2312" w:hAnsi="仿宋_GB2312" w:cs="仿宋_GB2312" w:eastAsia="仿宋_GB2312"/>
                      <w:sz w:val="18"/>
                      <w:color w:val="000000"/>
                    </w:rPr>
                    <w:t>1:1配置，</w:t>
                  </w:r>
                  <w:r>
                    <w:br/>
                  </w:r>
                  <w:r>
                    <w:rPr>
                      <w:rFonts w:ascii="仿宋_GB2312" w:hAnsi="仿宋_GB2312" w:cs="仿宋_GB2312" w:eastAsia="仿宋_GB2312"/>
                      <w:sz w:val="18"/>
                      <w:color w:val="000000"/>
                    </w:rPr>
                    <w:t>侧柏</w:t>
                  </w:r>
                  <w:r>
                    <w:rPr>
                      <w:rFonts w:ascii="仿宋_GB2312" w:hAnsi="仿宋_GB2312" w:cs="仿宋_GB2312" w:eastAsia="仿宋_GB2312"/>
                      <w:sz w:val="18"/>
                      <w:color w:val="000000"/>
                    </w:rPr>
                    <w:t>56株/亩</w:t>
                  </w:r>
                  <w:r>
                    <w:br/>
                  </w:r>
                  <w:r>
                    <w:rPr>
                      <w:rFonts w:ascii="仿宋_GB2312" w:hAnsi="仿宋_GB2312" w:cs="仿宋_GB2312" w:eastAsia="仿宋_GB2312"/>
                      <w:sz w:val="18"/>
                      <w:color w:val="000000"/>
                    </w:rPr>
                    <w:t>连翘</w:t>
                  </w:r>
                  <w:r>
                    <w:rPr>
                      <w:rFonts w:ascii="仿宋_GB2312" w:hAnsi="仿宋_GB2312" w:cs="仿宋_GB2312" w:eastAsia="仿宋_GB2312"/>
                      <w:sz w:val="18"/>
                      <w:color w:val="000000"/>
                    </w:rPr>
                    <w:t>55株/亩</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鱼鳞坑整地；</w:t>
                  </w:r>
                </w:p>
                <w:p>
                  <w:pPr>
                    <w:pStyle w:val="null3"/>
                    <w:jc w:val="center"/>
                  </w:pPr>
                  <w:r>
                    <w:rPr>
                      <w:rFonts w:ascii="仿宋_GB2312" w:hAnsi="仿宋_GB2312" w:cs="仿宋_GB2312" w:eastAsia="仿宋_GB2312"/>
                      <w:sz w:val="18"/>
                      <w:color w:val="000000"/>
                    </w:rPr>
                    <w:t>50×50×60cm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侧柏：苗高</w:t>
                  </w:r>
                  <w:r>
                    <w:rPr>
                      <w:rFonts w:ascii="仿宋_GB2312" w:hAnsi="仿宋_GB2312" w:cs="仿宋_GB2312" w:eastAsia="仿宋_GB2312"/>
                      <w:sz w:val="18"/>
                      <w:color w:val="000000"/>
                    </w:rPr>
                    <w:t>≥150厘米，冠幅≥50厘米，土球直径≥25厘米</w:t>
                  </w:r>
                  <w:r>
                    <w:br/>
                  </w:r>
                  <w:r>
                    <w:rPr>
                      <w:rFonts w:ascii="仿宋_GB2312" w:hAnsi="仿宋_GB2312" w:cs="仿宋_GB2312" w:eastAsia="仿宋_GB2312"/>
                      <w:sz w:val="18"/>
                      <w:color w:val="000000"/>
                    </w:rPr>
                    <w:t>连翘苗：连翘为</w:t>
                  </w:r>
                  <w:r>
                    <w:rPr>
                      <w:rFonts w:ascii="仿宋_GB2312" w:hAnsi="仿宋_GB2312" w:cs="仿宋_GB2312" w:eastAsia="仿宋_GB2312"/>
                      <w:sz w:val="18"/>
                      <w:color w:val="000000"/>
                    </w:rPr>
                    <w:t>3年生Ⅱ级以上裸根苗，苗高50厘米，地径≥0.8厘米</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人工造林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春或</w:t>
                  </w:r>
                  <w:r>
                    <w:br/>
                  </w:r>
                  <w:r>
                    <w:rPr>
                      <w:rFonts w:ascii="仿宋_GB2312" w:hAnsi="仿宋_GB2312" w:cs="仿宋_GB2312" w:eastAsia="仿宋_GB2312"/>
                      <w:sz w:val="18"/>
                      <w:color w:val="000000"/>
                    </w:rPr>
                    <w:t>秋季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第二年春季用同龄同规格苗木补植，包括植树与整地。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(2-2-1)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穴内</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人工造林</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w:t>
                  </w:r>
                  <w:r>
                    <w:br/>
                  </w:r>
                  <w:r>
                    <w:rPr>
                      <w:rFonts w:ascii="仿宋_GB2312" w:hAnsi="仿宋_GB2312" w:cs="仿宋_GB2312" w:eastAsia="仿宋_GB2312"/>
                      <w:sz w:val="18"/>
                      <w:color w:val="000000"/>
                    </w:rPr>
                    <w:t>或块状</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111株/亩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白皮松连翘</w:t>
                  </w:r>
                  <w:r>
                    <w:rPr>
                      <w:rFonts w:ascii="仿宋_GB2312" w:hAnsi="仿宋_GB2312" w:cs="仿宋_GB2312" w:eastAsia="仿宋_GB2312"/>
                      <w:sz w:val="18"/>
                      <w:color w:val="000000"/>
                    </w:rPr>
                    <w:t>1:1配置，</w:t>
                  </w:r>
                  <w:r>
                    <w:br/>
                  </w:r>
                  <w:r>
                    <w:rPr>
                      <w:rFonts w:ascii="仿宋_GB2312" w:hAnsi="仿宋_GB2312" w:cs="仿宋_GB2312" w:eastAsia="仿宋_GB2312"/>
                      <w:sz w:val="18"/>
                      <w:color w:val="000000"/>
                    </w:rPr>
                    <w:t>白皮松</w:t>
                  </w:r>
                  <w:r>
                    <w:rPr>
                      <w:rFonts w:ascii="仿宋_GB2312" w:hAnsi="仿宋_GB2312" w:cs="仿宋_GB2312" w:eastAsia="仿宋_GB2312"/>
                      <w:sz w:val="18"/>
                      <w:color w:val="000000"/>
                    </w:rPr>
                    <w:t>56株/亩</w:t>
                  </w:r>
                  <w:r>
                    <w:br/>
                  </w:r>
                  <w:r>
                    <w:rPr>
                      <w:rFonts w:ascii="仿宋_GB2312" w:hAnsi="仿宋_GB2312" w:cs="仿宋_GB2312" w:eastAsia="仿宋_GB2312"/>
                      <w:sz w:val="18"/>
                      <w:color w:val="000000"/>
                    </w:rPr>
                    <w:t>连翘</w:t>
                  </w:r>
                  <w:r>
                    <w:rPr>
                      <w:rFonts w:ascii="仿宋_GB2312" w:hAnsi="仿宋_GB2312" w:cs="仿宋_GB2312" w:eastAsia="仿宋_GB2312"/>
                      <w:sz w:val="18"/>
                      <w:color w:val="000000"/>
                    </w:rPr>
                    <w:t>55株/亩</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鱼鳞坑整地；</w:t>
                  </w:r>
                </w:p>
                <w:p>
                  <w:pPr>
                    <w:pStyle w:val="null3"/>
                    <w:jc w:val="center"/>
                  </w:pPr>
                  <w:r>
                    <w:rPr>
                      <w:rFonts w:ascii="仿宋_GB2312" w:hAnsi="仿宋_GB2312" w:cs="仿宋_GB2312" w:eastAsia="仿宋_GB2312"/>
                      <w:sz w:val="18"/>
                      <w:color w:val="000000"/>
                    </w:rPr>
                    <w:t>60×50×50m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白皮松：苗高</w:t>
                  </w:r>
                  <w:r>
                    <w:rPr>
                      <w:rFonts w:ascii="仿宋_GB2312" w:hAnsi="仿宋_GB2312" w:cs="仿宋_GB2312" w:eastAsia="仿宋_GB2312"/>
                      <w:sz w:val="18"/>
                      <w:color w:val="000000"/>
                    </w:rPr>
                    <w:t>≥150厘米，胸径≥6厘米</w:t>
                  </w:r>
                  <w:r>
                    <w:br/>
                  </w:r>
                  <w:r>
                    <w:rPr>
                      <w:rFonts w:ascii="仿宋_GB2312" w:hAnsi="仿宋_GB2312" w:cs="仿宋_GB2312" w:eastAsia="仿宋_GB2312"/>
                      <w:sz w:val="18"/>
                      <w:color w:val="000000"/>
                    </w:rPr>
                    <w:t>连翘苗：连翘为</w:t>
                  </w:r>
                  <w:r>
                    <w:rPr>
                      <w:rFonts w:ascii="仿宋_GB2312" w:hAnsi="仿宋_GB2312" w:cs="仿宋_GB2312" w:eastAsia="仿宋_GB2312"/>
                      <w:sz w:val="18"/>
                      <w:color w:val="000000"/>
                    </w:rPr>
                    <w:t>3年生Ⅱ级以上裸根苗，苗高50厘米，地径≥0.8厘米</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人工造林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春或</w:t>
                  </w:r>
                  <w:r>
                    <w:br/>
                  </w:r>
                  <w:r>
                    <w:rPr>
                      <w:rFonts w:ascii="仿宋_GB2312" w:hAnsi="仿宋_GB2312" w:cs="仿宋_GB2312" w:eastAsia="仿宋_GB2312"/>
                      <w:sz w:val="18"/>
                      <w:color w:val="000000"/>
                    </w:rPr>
                    <w:t>秋季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第二年春季用同龄同规格苗木补植，包括植树与整地。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(2-2-1)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穴内</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补植补造</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w:t>
                  </w:r>
                  <w:r>
                    <w:br/>
                  </w:r>
                  <w:r>
                    <w:rPr>
                      <w:rFonts w:ascii="仿宋_GB2312" w:hAnsi="仿宋_GB2312" w:cs="仿宋_GB2312" w:eastAsia="仿宋_GB2312"/>
                      <w:sz w:val="18"/>
                      <w:color w:val="000000"/>
                    </w:rPr>
                    <w:t>或块状</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55株/亩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连翘</w:t>
                  </w:r>
                  <w:r>
                    <w:rPr>
                      <w:rFonts w:ascii="仿宋_GB2312" w:hAnsi="仿宋_GB2312" w:cs="仿宋_GB2312" w:eastAsia="仿宋_GB2312"/>
                      <w:sz w:val="18"/>
                      <w:color w:val="000000"/>
                    </w:rPr>
                    <w:t>55株/亩</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鱼鳞坑整地；</w:t>
                  </w:r>
                </w:p>
                <w:p>
                  <w:pPr>
                    <w:pStyle w:val="null3"/>
                    <w:jc w:val="center"/>
                  </w:pPr>
                  <w:r>
                    <w:rPr>
                      <w:rFonts w:ascii="仿宋_GB2312" w:hAnsi="仿宋_GB2312" w:cs="仿宋_GB2312" w:eastAsia="仿宋_GB2312"/>
                      <w:sz w:val="18"/>
                      <w:color w:val="000000"/>
                    </w:rPr>
                    <w:t>60×50×50cm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连翘苗：连翘为</w:t>
                  </w:r>
                  <w:r>
                    <w:rPr>
                      <w:rFonts w:ascii="仿宋_GB2312" w:hAnsi="仿宋_GB2312" w:cs="仿宋_GB2312" w:eastAsia="仿宋_GB2312"/>
                      <w:sz w:val="18"/>
                      <w:color w:val="000000"/>
                    </w:rPr>
                    <w:t>3年生Ⅱ级以上裸根苗，苗高50厘米，地径≥0.8厘米</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人工造林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春或</w:t>
                  </w:r>
                  <w:r>
                    <w:br/>
                  </w:r>
                  <w:r>
                    <w:rPr>
                      <w:rFonts w:ascii="仿宋_GB2312" w:hAnsi="仿宋_GB2312" w:cs="仿宋_GB2312" w:eastAsia="仿宋_GB2312"/>
                      <w:sz w:val="18"/>
                      <w:color w:val="000000"/>
                    </w:rPr>
                    <w:t>秋季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第二年春季用同龄同规格苗木补植，包括植树与整地。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(2-2-1)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穴内</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道路绿化</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166株/亩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五角枫、樱花单行栽植，</w:t>
                  </w:r>
                  <w:r>
                    <w:rPr>
                      <w:rFonts w:ascii="仿宋_GB2312" w:hAnsi="仿宋_GB2312" w:cs="仿宋_GB2312" w:eastAsia="仿宋_GB2312"/>
                      <w:sz w:val="18"/>
                      <w:color w:val="000000"/>
                    </w:rPr>
                    <w:t>4米/株，栽植比例2:1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穴坑整地；</w:t>
                  </w:r>
                </w:p>
                <w:p>
                  <w:pPr>
                    <w:pStyle w:val="null3"/>
                    <w:jc w:val="center"/>
                  </w:pPr>
                  <w:r>
                    <w:rPr>
                      <w:rFonts w:ascii="仿宋_GB2312" w:hAnsi="仿宋_GB2312" w:cs="仿宋_GB2312" w:eastAsia="仿宋_GB2312"/>
                      <w:sz w:val="18"/>
                      <w:color w:val="000000"/>
                    </w:rPr>
                    <w:t>50×50×60cm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五角枫：胸径</w:t>
                  </w:r>
                  <w:r>
                    <w:rPr>
                      <w:rFonts w:ascii="仿宋_GB2312" w:hAnsi="仿宋_GB2312" w:cs="仿宋_GB2312" w:eastAsia="仿宋_GB2312"/>
                      <w:sz w:val="18"/>
                      <w:color w:val="000000"/>
                    </w:rPr>
                    <w:t>≥12厘米，截杆高度≥ 250 厘米，单侧栽植4米/株 樱花：胸径≥12厘米，截杆高度≥ 250 厘米，单侧栽植 4 米/株</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人工造林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春或</w:t>
                  </w:r>
                  <w:r>
                    <w:br/>
                  </w:r>
                  <w:r>
                    <w:rPr>
                      <w:rFonts w:ascii="仿宋_GB2312" w:hAnsi="仿宋_GB2312" w:cs="仿宋_GB2312" w:eastAsia="仿宋_GB2312"/>
                      <w:sz w:val="18"/>
                      <w:color w:val="000000"/>
                    </w:rPr>
                    <w:t>秋季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第二年春季用同龄同规格苗木补植，包括植树与整地。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(2-2-1)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穴内</w:t>
                  </w:r>
                </w:p>
              </w:tc>
            </w:tr>
            <w:tr>
              <w:tc>
                <w:tcPr>
                  <w:tcW w:type="dxa" w:w="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道路绿化</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带状</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166株/亩</w:t>
                  </w:r>
                </w:p>
              </w:tc>
              <w:tc>
                <w:tcPr>
                  <w:tcW w:type="dxa" w:w="1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五角枫、樱花单行栽植，</w:t>
                  </w:r>
                  <w:r>
                    <w:rPr>
                      <w:rFonts w:ascii="仿宋_GB2312" w:hAnsi="仿宋_GB2312" w:cs="仿宋_GB2312" w:eastAsia="仿宋_GB2312"/>
                      <w:sz w:val="18"/>
                      <w:color w:val="000000"/>
                    </w:rPr>
                    <w:t>4米/株，栽植比例2:1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穴坑整地；</w:t>
                  </w:r>
                  <w:r>
                    <w:rPr>
                      <w:rFonts w:ascii="仿宋_GB2312" w:hAnsi="仿宋_GB2312" w:cs="仿宋_GB2312" w:eastAsia="仿宋_GB2312"/>
                      <w:sz w:val="18"/>
                      <w:color w:val="000000"/>
                    </w:rPr>
                    <w:t>50×50×60cm</w:t>
                  </w:r>
                </w:p>
              </w:tc>
              <w:tc>
                <w:tcPr>
                  <w:tcW w:type="dxa" w:w="3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五角枫：胸径</w:t>
                  </w:r>
                  <w:r>
                    <w:rPr>
                      <w:rFonts w:ascii="仿宋_GB2312" w:hAnsi="仿宋_GB2312" w:cs="仿宋_GB2312" w:eastAsia="仿宋_GB2312"/>
                      <w:sz w:val="18"/>
                      <w:color w:val="000000"/>
                    </w:rPr>
                    <w:t>≥12厘米，截杆高度≥ 250 厘米，单侧栽植4米/株 樱花：胸径≥12厘米，截杆高度≥ 250 厘米，单侧栽植 4 米/株</w:t>
                  </w:r>
                </w:p>
              </w:tc>
              <w:tc>
                <w:tcPr>
                  <w:tcW w:type="dxa" w:w="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人工造林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植苗</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春或</w:t>
                  </w:r>
                  <w:r>
                    <w:br/>
                  </w:r>
                  <w:r>
                    <w:rPr>
                      <w:rFonts w:ascii="仿宋_GB2312" w:hAnsi="仿宋_GB2312" w:cs="仿宋_GB2312" w:eastAsia="仿宋_GB2312"/>
                      <w:sz w:val="18"/>
                      <w:color w:val="000000"/>
                    </w:rPr>
                    <w:t>秋季</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第二年春季用同龄同规格苗木补植，包括植树与整地。</w:t>
                  </w:r>
                </w:p>
              </w:tc>
              <w:tc>
                <w:tcPr>
                  <w:tcW w:type="dxa" w:w="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r>
                    <w:br/>
                  </w:r>
                  <w:r>
                    <w:rPr>
                      <w:rFonts w:ascii="仿宋_GB2312" w:hAnsi="仿宋_GB2312" w:cs="仿宋_GB2312" w:eastAsia="仿宋_GB2312"/>
                      <w:sz w:val="18"/>
                      <w:color w:val="000000"/>
                    </w:rPr>
                    <w:t>(2-2-1)</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穴内</w:t>
                  </w:r>
                </w:p>
              </w:tc>
            </w:tr>
          </w:tbl>
          <w:p>
            <w:pPr>
              <w:pStyle w:val="null3"/>
              <w:jc w:val="center"/>
            </w:pPr>
            <w:r>
              <w:rPr>
                <w:rFonts w:ascii="仿宋_GB2312" w:hAnsi="仿宋_GB2312" w:cs="仿宋_GB2312" w:eastAsia="仿宋_GB2312"/>
              </w:rPr>
              <w:t xml:space="preserve"> </w:t>
            </w:r>
          </w:p>
          <w:tbl>
            <w:tblPr>
              <w:tblInd w:type="dxa" w:w="105"/>
              <w:tblBorders>
                <w:top w:val="none" w:color="000000" w:sz="4"/>
                <w:left w:val="none" w:color="000000" w:sz="4"/>
                <w:bottom w:val="none" w:color="000000" w:sz="4"/>
                <w:right w:val="none" w:color="000000" w:sz="4"/>
                <w:insideH w:val="none"/>
                <w:insideV w:val="none"/>
              </w:tblBorders>
            </w:tblPr>
            <w:tblGrid>
              <w:gridCol w:w="92"/>
              <w:gridCol w:w="92"/>
              <w:gridCol w:w="92"/>
              <w:gridCol w:w="92"/>
              <w:gridCol w:w="92"/>
              <w:gridCol w:w="92"/>
              <w:gridCol w:w="92"/>
              <w:gridCol w:w="92"/>
              <w:gridCol w:w="92"/>
              <w:gridCol w:w="92"/>
              <w:gridCol w:w="92"/>
              <w:gridCol w:w="92"/>
              <w:gridCol w:w="92"/>
              <w:gridCol w:w="92"/>
              <w:gridCol w:w="92"/>
              <w:gridCol w:w="92"/>
              <w:gridCol w:w="92"/>
              <w:gridCol w:w="92"/>
              <w:gridCol w:w="92"/>
              <w:gridCol w:w="94"/>
            </w:tblGrid>
            <w:tr>
              <w:tc>
                <w:tcPr>
                  <w:tcW w:type="dxa" w:w="1842"/>
                  <w:gridSpan w:val="2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三原县</w:t>
                  </w:r>
                  <w:r>
                    <w:rPr>
                      <w:rFonts w:ascii="仿宋_GB2312" w:hAnsi="仿宋_GB2312" w:cs="仿宋_GB2312" w:eastAsia="仿宋_GB2312"/>
                      <w:sz w:val="28"/>
                      <w:b/>
                      <w:color w:val="000000"/>
                    </w:rPr>
                    <w:t>2024年重点区域绿化提升改造项目（碳汇林试点）苗数量统计表</w:t>
                  </w:r>
                </w:p>
              </w:tc>
            </w:tr>
            <w:tr>
              <w:tc>
                <w:tcPr>
                  <w:tcW w:type="dxa" w:w="18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附表</w:t>
                  </w:r>
                  <w:r>
                    <w:rPr>
                      <w:rFonts w:ascii="仿宋_GB2312" w:hAnsi="仿宋_GB2312" w:cs="仿宋_GB2312" w:eastAsia="仿宋_GB2312"/>
                      <w:sz w:val="22"/>
                      <w:b/>
                      <w:color w:val="000000"/>
                    </w:rPr>
                    <w:t>4</w:t>
                  </w: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9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作业区</w:t>
                  </w:r>
                </w:p>
              </w:tc>
              <w:tc>
                <w:tcPr>
                  <w:tcW w:type="dxa" w:w="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小班</w:t>
                  </w:r>
                </w:p>
              </w:tc>
              <w:tc>
                <w:tcPr>
                  <w:tcW w:type="dxa" w:w="1658"/>
                  <w:gridSpan w:val="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苗木需要量</w:t>
                  </w:r>
                  <w:r>
                    <w:rPr>
                      <w:rFonts w:ascii="仿宋_GB2312" w:hAnsi="仿宋_GB2312" w:cs="仿宋_GB2312" w:eastAsia="仿宋_GB2312"/>
                      <w:sz w:val="22"/>
                      <w:color w:val="000000"/>
                    </w:rPr>
                    <w:t>(株)</w:t>
                  </w:r>
                </w:p>
              </w:tc>
            </w:tr>
            <w:tr>
              <w:tc>
                <w:tcPr>
                  <w:tcW w:type="dxa" w:w="92"/>
                  <w:vMerge/>
                  <w:tcBorders>
                    <w:top w:val="single" w:color="000000" w:sz="4"/>
                    <w:left w:val="single" w:color="000000" w:sz="4"/>
                    <w:bottom w:val="single" w:color="000000" w:sz="4"/>
                    <w:right w:val="single" w:color="000000" w:sz="4"/>
                  </w:tcBorders>
                </w:tcPr>
                <w:p/>
              </w:tc>
              <w:tc>
                <w:tcPr>
                  <w:tcW w:type="dxa" w:w="92"/>
                  <w:vMerge/>
                  <w:tcBorders>
                    <w:top w:val="single" w:color="000000" w:sz="4"/>
                    <w:left w:val="none" w:color="000000" w:sz="4"/>
                    <w:bottom w:val="single" w:color="000000" w:sz="4"/>
                    <w:right w:val="single" w:color="000000" w:sz="4"/>
                  </w:tcBorders>
                </w:tcPr>
                <w:p/>
              </w:tc>
              <w:tc>
                <w:tcPr>
                  <w:tcW w:type="dxa" w:w="92"/>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计</w:t>
                  </w:r>
                </w:p>
              </w:tc>
              <w:tc>
                <w:tcPr>
                  <w:tcW w:type="dxa" w:w="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27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侧柏</w:t>
                  </w:r>
                </w:p>
              </w:tc>
              <w:tc>
                <w:tcPr>
                  <w:tcW w:type="dxa" w:w="27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白皮松</w:t>
                  </w:r>
                </w:p>
              </w:tc>
              <w:tc>
                <w:tcPr>
                  <w:tcW w:type="dxa" w:w="27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连翘</w:t>
                  </w:r>
                </w:p>
              </w:tc>
              <w:tc>
                <w:tcPr>
                  <w:tcW w:type="dxa" w:w="27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五角枫</w:t>
                  </w:r>
                </w:p>
              </w:tc>
              <w:tc>
                <w:tcPr>
                  <w:tcW w:type="dxa" w:w="27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樱花</w:t>
                  </w:r>
                </w:p>
              </w:tc>
            </w:tr>
            <w:tr>
              <w:tc>
                <w:tcPr>
                  <w:tcW w:type="dxa" w:w="92"/>
                  <w:vMerge/>
                  <w:tcBorders>
                    <w:top w:val="single" w:color="000000" w:sz="4"/>
                    <w:left w:val="single" w:color="000000" w:sz="4"/>
                    <w:bottom w:val="single" w:color="000000" w:sz="4"/>
                    <w:right w:val="single" w:color="000000" w:sz="4"/>
                  </w:tcBorders>
                </w:tcPr>
                <w:p/>
              </w:tc>
              <w:tc>
                <w:tcPr>
                  <w:tcW w:type="dxa" w:w="92"/>
                  <w:vMerge/>
                  <w:tcBorders>
                    <w:top w:val="single" w:color="000000" w:sz="4"/>
                    <w:left w:val="none" w:color="000000" w:sz="4"/>
                    <w:bottom w:val="single" w:color="000000" w:sz="4"/>
                    <w:right w:val="single" w:color="000000" w:sz="4"/>
                  </w:tcBorders>
                </w:tcPr>
                <w:p/>
              </w:tc>
              <w:tc>
                <w:tcPr>
                  <w:tcW w:type="dxa" w:w="92"/>
                  <w:vMerge/>
                  <w:tcBorders>
                    <w:top w:val="none" w:color="000000" w:sz="4"/>
                    <w:left w:val="none" w:color="000000" w:sz="4"/>
                    <w:bottom w:val="single" w:color="000000" w:sz="4"/>
                    <w:right w:val="none" w:color="000000" w:sz="4"/>
                  </w:tcBorders>
                </w:tcPr>
                <w:p/>
              </w:tc>
              <w:tc>
                <w:tcPr>
                  <w:tcW w:type="dxa" w:w="92"/>
                  <w:vMerge/>
                  <w:tcBorders>
                    <w:top w:val="single" w:color="000000" w:sz="4"/>
                    <w:left w:val="single" w:color="000000" w:sz="4"/>
                    <w:bottom w:val="single" w:color="000000" w:sz="4"/>
                    <w:right w:val="single" w:color="000000" w:sz="4"/>
                  </w:tcBorders>
                </w:tcPr>
                <w:p/>
              </w:tc>
              <w:tc>
                <w:tcPr>
                  <w:tcW w:type="dxa" w:w="92"/>
                  <w:vMerge/>
                  <w:tcBorders>
                    <w:top w:val="single" w:color="000000" w:sz="4"/>
                    <w:left w:val="none" w:color="000000" w:sz="4"/>
                    <w:bottom w:val="singl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初植</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补植</w:t>
                  </w:r>
                </w:p>
              </w:tc>
            </w:tr>
            <w:tr>
              <w:tc>
                <w:tcPr>
                  <w:tcW w:type="dxa" w:w="18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23610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20528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3082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5870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5104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14290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12427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429</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r>
            <w:tr>
              <w:tc>
                <w:tcPr>
                  <w:tcW w:type="dxa" w:w="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新兴镇张家坳村作业区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11635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10117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5870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5104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5765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5013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2"/>
                  <w:vMerge/>
                  <w:tcBorders>
                    <w:top w:val="none" w:color="000000" w:sz="4"/>
                    <w:left w:val="single" w:color="000000" w:sz="4"/>
                    <w:bottom w:val="singl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8408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7311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5605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4874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2"/>
                  <w:vMerge/>
                  <w:tcBorders>
                    <w:top w:val="none" w:color="000000" w:sz="4"/>
                    <w:left w:val="single" w:color="000000" w:sz="4"/>
                    <w:bottom w:val="singl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2920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2540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2920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2540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2"/>
                  <w:vMerge/>
                  <w:tcBorders>
                    <w:top w:val="none" w:color="000000" w:sz="4"/>
                    <w:left w:val="single" w:color="000000" w:sz="4"/>
                    <w:bottom w:val="singl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r>
            <w:tr>
              <w:tc>
                <w:tcPr>
                  <w:tcW w:type="dxa" w:w="92"/>
                  <w:vMerge/>
                  <w:tcBorders>
                    <w:top w:val="none" w:color="000000" w:sz="4"/>
                    <w:left w:val="single" w:color="000000" w:sz="4"/>
                    <w:bottom w:val="singl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r>
          </w:tbl>
          <w:p>
            <w:pPr>
              <w:pStyle w:val="null3"/>
              <w:jc w:val="center"/>
            </w:pPr>
            <w:r>
              <w:rPr>
                <w:rFonts w:ascii="仿宋_GB2312" w:hAnsi="仿宋_GB2312" w:cs="仿宋_GB2312" w:eastAsia="仿宋_GB2312"/>
              </w:rPr>
              <w:t xml:space="preserve"> </w:t>
            </w:r>
          </w:p>
          <w:p>
            <w:pPr>
              <w:pStyle w:val="null3"/>
              <w:ind w:firstLine="723"/>
              <w:jc w:val="left"/>
            </w:pPr>
            <w:r>
              <w:rPr>
                <w:rFonts w:ascii="仿宋_GB2312" w:hAnsi="仿宋_GB2312" w:cs="仿宋_GB2312" w:eastAsia="仿宋_GB2312"/>
                <w:sz w:val="28"/>
                <w:b/>
                <w:color w:val="333333"/>
              </w:rPr>
              <w:t>1地理位置</w:t>
            </w:r>
          </w:p>
          <w:p>
            <w:pPr>
              <w:pStyle w:val="null3"/>
              <w:ind w:firstLine="480"/>
              <w:jc w:val="both"/>
            </w:pPr>
            <w:r>
              <w:rPr>
                <w:rFonts w:ascii="仿宋_GB2312" w:hAnsi="仿宋_GB2312" w:cs="仿宋_GB2312" w:eastAsia="仿宋_GB2312"/>
                <w:sz w:val="24"/>
                <w:color w:val="333333"/>
              </w:rPr>
              <w:t>三原县位于关中平原腹地，素有八百里秦川</w:t>
            </w:r>
            <w:r>
              <w:rPr>
                <w:rFonts w:ascii="仿宋_GB2312" w:hAnsi="仿宋_GB2312" w:cs="仿宋_GB2312" w:eastAsia="仿宋_GB2312"/>
                <w:sz w:val="24"/>
                <w:color w:val="333333"/>
              </w:rPr>
              <w:t>“白菜心”之美誉。地理条件优越，区位优势突出，南距西安、西距咸阳、北距铜川、东距阎良等省内大中城市均30公里左右，处于得天独厚的“弧心”位置。西(安)铜(川)一级公路、陇海铁路穿境而过，距西安咸阳国际机场22公里，西安至平凉铁路、107省道关中城镇快速干道环线横贯东西，形成了纵横交错、四通八达的航空、铁路、公路立体道路交通网络。项目实施区域位于三原县新兴镇。</w:t>
            </w:r>
          </w:p>
          <w:p>
            <w:pPr>
              <w:pStyle w:val="null3"/>
              <w:ind w:firstLine="480"/>
              <w:jc w:val="both"/>
            </w:pPr>
            <w:r>
              <w:rPr>
                <w:rFonts w:ascii="仿宋_GB2312" w:hAnsi="仿宋_GB2312" w:cs="仿宋_GB2312" w:eastAsia="仿宋_GB2312"/>
                <w:sz w:val="24"/>
                <w:color w:val="333333"/>
              </w:rPr>
              <w:t>新兴镇位于三原北部，距县城</w:t>
            </w:r>
            <w:r>
              <w:rPr>
                <w:rFonts w:ascii="仿宋_GB2312" w:hAnsi="仿宋_GB2312" w:cs="仿宋_GB2312" w:eastAsia="仿宋_GB2312"/>
                <w:sz w:val="24"/>
                <w:color w:val="333333"/>
              </w:rPr>
              <w:t>20公里。东依浊峪河与陵前镇相邻，南邻鲁桥镇，西临清峪河与嵯峨镇相接，北靠铜川市耀州区小丘镇。辖区东西最大距离4.7千米，南北最大距离13.3千米，总面积77.91平方千米。三新公路、新照公路、洪马公路、张陵公路贯通东西南北，交通十分便利。</w:t>
            </w:r>
          </w:p>
          <w:p>
            <w:pPr>
              <w:pStyle w:val="null3"/>
              <w:ind w:firstLine="562"/>
              <w:jc w:val="both"/>
            </w:pPr>
            <w:r>
              <w:rPr>
                <w:rFonts w:ascii="仿宋_GB2312" w:hAnsi="仿宋_GB2312" w:cs="仿宋_GB2312" w:eastAsia="仿宋_GB2312"/>
                <w:sz w:val="28"/>
                <w:b/>
                <w:color w:val="333333"/>
              </w:rPr>
              <w:t>2</w:t>
            </w:r>
            <w:r>
              <w:rPr>
                <w:rFonts w:ascii="仿宋_GB2312" w:hAnsi="仿宋_GB2312" w:cs="仿宋_GB2312" w:eastAsia="仿宋_GB2312"/>
                <w:sz w:val="28"/>
                <w:b/>
                <w:color w:val="333333"/>
              </w:rPr>
              <w:t>自然条件</w:t>
            </w:r>
          </w:p>
          <w:p>
            <w:pPr>
              <w:pStyle w:val="null3"/>
              <w:ind w:firstLine="562"/>
              <w:jc w:val="both"/>
            </w:pPr>
            <w:r>
              <w:rPr>
                <w:rFonts w:ascii="仿宋_GB2312" w:hAnsi="仿宋_GB2312" w:cs="仿宋_GB2312" w:eastAsia="仿宋_GB2312"/>
                <w:sz w:val="28"/>
                <w:b/>
                <w:color w:val="333333"/>
              </w:rPr>
              <w:t>2.1地形地貌</w:t>
            </w:r>
          </w:p>
          <w:p>
            <w:pPr>
              <w:pStyle w:val="null3"/>
              <w:ind w:firstLine="480"/>
              <w:jc w:val="both"/>
            </w:pPr>
            <w:r>
              <w:rPr>
                <w:rFonts w:ascii="仿宋_GB2312" w:hAnsi="仿宋_GB2312" w:cs="仿宋_GB2312" w:eastAsia="仿宋_GB2312"/>
                <w:sz w:val="24"/>
                <w:color w:val="333333"/>
              </w:rPr>
              <w:t>三原县地处鄂尔多斯地台南缘褶皱带上，地势西北高、东南低，海拔在</w:t>
            </w:r>
            <w:r>
              <w:rPr>
                <w:rFonts w:ascii="仿宋_GB2312" w:hAnsi="仿宋_GB2312" w:cs="仿宋_GB2312" w:eastAsia="仿宋_GB2312"/>
                <w:sz w:val="24"/>
                <w:color w:val="333333"/>
              </w:rPr>
              <w:t>362~1409米之间,南北以四十里原坡为界,东西以清河相隔自然分割成三个明显不同的地形地貌形态，即南部平原、北部台原和西北山原。整体地貌以平原、台原为主，占总面积的72%。</w:t>
            </w:r>
          </w:p>
          <w:p>
            <w:pPr>
              <w:pStyle w:val="null3"/>
              <w:ind w:firstLine="562"/>
              <w:jc w:val="both"/>
            </w:pPr>
            <w:r>
              <w:rPr>
                <w:rFonts w:ascii="仿宋_GB2312" w:hAnsi="仿宋_GB2312" w:cs="仿宋_GB2312" w:eastAsia="仿宋_GB2312"/>
                <w:sz w:val="28"/>
                <w:b/>
                <w:color w:val="333333"/>
              </w:rPr>
              <w:t>2.2气候</w:t>
            </w:r>
          </w:p>
          <w:p>
            <w:pPr>
              <w:pStyle w:val="null3"/>
              <w:ind w:firstLine="480"/>
              <w:jc w:val="both"/>
            </w:pPr>
            <w:r>
              <w:rPr>
                <w:rFonts w:ascii="仿宋_GB2312" w:hAnsi="仿宋_GB2312" w:cs="仿宋_GB2312" w:eastAsia="仿宋_GB2312"/>
                <w:sz w:val="24"/>
                <w:color w:val="333333"/>
              </w:rPr>
              <w:t>三原县属暖温带大陆性季风半干旱气候区。冬季受西伯利亚冷气团和极地变性大陆气团的影响，寒冷干燥，气温低，降水少。春季热带暖湿气团逐渐增强北进，气温回升快，降水增多。但由于蒸发量大，易成春旱。同时冷空气活动亦较频繁，故多有寒流和大风等灾害性天气。夏季受副热带海洋气团影响，炎热多雨，常有雷暴和冰雹出现，夏早也常有发生。秋季冷暖气团交替影响</w:t>
            </w:r>
            <w:r>
              <w:rPr>
                <w:rFonts w:ascii="仿宋_GB2312" w:hAnsi="仿宋_GB2312" w:cs="仿宋_GB2312" w:eastAsia="仿宋_GB2312"/>
                <w:sz w:val="24"/>
                <w:color w:val="333333"/>
              </w:rPr>
              <w:t>,初秋多处于副高压带边缘,常有连阴雨。平均年降水量约为549.9毫米，年平均温度约为13.3°C,年太阳辐射约为118.18千卡每平方厘米。热量条件南北差异明显，年平均气温南部比北部高约2.1°C。累计年光照时数约为2271.3小时，年平均无霜期约为214天。</w:t>
            </w:r>
          </w:p>
          <w:p>
            <w:pPr>
              <w:pStyle w:val="null3"/>
              <w:ind w:firstLine="480"/>
              <w:jc w:val="both"/>
            </w:pPr>
            <w:r>
              <w:rPr>
                <w:rFonts w:ascii="仿宋_GB2312" w:hAnsi="仿宋_GB2312" w:cs="仿宋_GB2312" w:eastAsia="仿宋_GB2312"/>
                <w:sz w:val="24"/>
                <w:color w:val="333333"/>
              </w:rPr>
              <w:t>全县年均降水量</w:t>
            </w:r>
            <w:r>
              <w:rPr>
                <w:rFonts w:ascii="仿宋_GB2312" w:hAnsi="仿宋_GB2312" w:cs="仿宋_GB2312" w:eastAsia="仿宋_GB2312"/>
                <w:sz w:val="24"/>
                <w:color w:val="333333"/>
              </w:rPr>
              <w:t>542.3毫米，年最大降水829.7毫米，最小为382.4毫米。降雨多集中在夏秋两季，占全年降水量的75%。年均蒸</w:t>
            </w:r>
          </w:p>
          <w:p>
            <w:pPr>
              <w:pStyle w:val="null3"/>
              <w:ind w:firstLine="480"/>
              <w:jc w:val="both"/>
            </w:pPr>
            <w:r>
              <w:rPr>
                <w:rFonts w:ascii="仿宋_GB2312" w:hAnsi="仿宋_GB2312" w:cs="仿宋_GB2312" w:eastAsia="仿宋_GB2312"/>
                <w:sz w:val="24"/>
                <w:color w:val="333333"/>
              </w:rPr>
              <w:t>发量为</w:t>
            </w:r>
            <w:r>
              <w:rPr>
                <w:rFonts w:ascii="仿宋_GB2312" w:hAnsi="仿宋_GB2312" w:cs="仿宋_GB2312" w:eastAsia="仿宋_GB2312"/>
                <w:sz w:val="24"/>
                <w:color w:val="333333"/>
              </w:rPr>
              <w:t>417.6毫米，大于最低降雨量的值，且分布不均。对农林业生产影响较大的灾害性天气有霜冻、干旱、冰雹、大风、暴雨和连阴雨，特别是干早和霜冻给一些林业生产带来毁灭性的灾难。</w:t>
            </w:r>
          </w:p>
          <w:p>
            <w:pPr>
              <w:pStyle w:val="null3"/>
              <w:ind w:firstLine="562"/>
              <w:jc w:val="both"/>
            </w:pPr>
            <w:r>
              <w:rPr>
                <w:rFonts w:ascii="仿宋_GB2312" w:hAnsi="仿宋_GB2312" w:cs="仿宋_GB2312" w:eastAsia="仿宋_GB2312"/>
                <w:sz w:val="28"/>
                <w:b/>
                <w:color w:val="333333"/>
              </w:rPr>
              <w:t>2.3水文</w:t>
            </w:r>
          </w:p>
          <w:p>
            <w:pPr>
              <w:pStyle w:val="null3"/>
              <w:ind w:firstLine="480"/>
              <w:jc w:val="both"/>
            </w:pPr>
            <w:r>
              <w:rPr>
                <w:rFonts w:ascii="仿宋_GB2312" w:hAnsi="仿宋_GB2312" w:cs="仿宋_GB2312" w:eastAsia="仿宋_GB2312"/>
                <w:sz w:val="24"/>
                <w:color w:val="333333"/>
              </w:rPr>
              <w:t>三原县境内河流有清峪河、浊峪河。赵氏河。冶峪河于三原、泾阳两县交界处汇入清峪河，境内无流域面积的支流。赵氏河是三原、富平两县界河。清峪、浊峪、赵氏三河流经县境总长度为</w:t>
            </w:r>
            <w:r>
              <w:rPr>
                <w:rFonts w:ascii="仿宋_GB2312" w:hAnsi="仿宋_GB2312" w:cs="仿宋_GB2312" w:eastAsia="仿宋_GB2312"/>
                <w:sz w:val="24"/>
                <w:color w:val="333333"/>
              </w:rPr>
              <w:t>116.4千米流域面积405.4平方千米。三条河流有一级支沟248条，多数支沟不具备长流性质。县境内年径流深由东南向西北递增，变率较大，为13~38毫米。</w:t>
            </w:r>
          </w:p>
          <w:p>
            <w:pPr>
              <w:pStyle w:val="null3"/>
              <w:ind w:firstLine="562"/>
              <w:jc w:val="both"/>
            </w:pPr>
            <w:r>
              <w:rPr>
                <w:rFonts w:ascii="仿宋_GB2312" w:hAnsi="仿宋_GB2312" w:cs="仿宋_GB2312" w:eastAsia="仿宋_GB2312"/>
                <w:sz w:val="28"/>
                <w:b/>
                <w:color w:val="333333"/>
              </w:rPr>
              <w:t>2.4土壤</w:t>
            </w:r>
          </w:p>
          <w:p>
            <w:pPr>
              <w:pStyle w:val="null3"/>
              <w:ind w:firstLine="480"/>
              <w:jc w:val="both"/>
            </w:pPr>
            <w:r>
              <w:rPr>
                <w:rFonts w:ascii="仿宋_GB2312" w:hAnsi="仿宋_GB2312" w:cs="仿宋_GB2312" w:eastAsia="仿宋_GB2312"/>
                <w:sz w:val="24"/>
                <w:color w:val="333333"/>
              </w:rPr>
              <w:t>根据土壤普查资料，设计区土壤多属于在黄土母质上发育的土壤，有</w:t>
            </w:r>
            <w:r>
              <w:rPr>
                <w:rFonts w:ascii="仿宋_GB2312" w:hAnsi="仿宋_GB2312" w:cs="仿宋_GB2312" w:eastAsia="仿宋_GB2312"/>
                <w:sz w:val="24"/>
                <w:color w:val="333333"/>
              </w:rPr>
              <w:t>9个土类，17个亚类，35个土属，73个土种。土壤主要有灌淤土、泸土黄绵土和红土四大类，占全县土壤总面积的95.2%。</w:t>
            </w:r>
          </w:p>
          <w:p>
            <w:pPr>
              <w:pStyle w:val="null3"/>
              <w:ind w:firstLine="562"/>
              <w:jc w:val="both"/>
            </w:pPr>
            <w:r>
              <w:rPr>
                <w:rFonts w:ascii="仿宋_GB2312" w:hAnsi="仿宋_GB2312" w:cs="仿宋_GB2312" w:eastAsia="仿宋_GB2312"/>
                <w:sz w:val="28"/>
                <w:b/>
                <w:color w:val="333333"/>
              </w:rPr>
              <w:t>2.5生物资源</w:t>
            </w:r>
          </w:p>
          <w:p>
            <w:pPr>
              <w:pStyle w:val="null3"/>
              <w:ind w:firstLine="480"/>
              <w:jc w:val="both"/>
            </w:pPr>
            <w:r>
              <w:rPr>
                <w:rFonts w:ascii="仿宋_GB2312" w:hAnsi="仿宋_GB2312" w:cs="仿宋_GB2312" w:eastAsia="仿宋_GB2312"/>
                <w:sz w:val="24"/>
                <w:color w:val="333333"/>
              </w:rPr>
              <w:t>三原县地属华北落叶阔叶林地带西段灌从残存区。天然植被除峨山地相对较好、种类相对较多外，其余川原地区已被人工栽培植被西北残塬沟壑、北部台原沟壑和南部平原四个植被区。残存区又介于泾渭冲积平原与渭北台原阶地交汇地带，县境内地形地貌多有微小变化，山地绵延，川原相间，植被资源比较丰富，气候温和，动物种类较多。据明、清旧志所载，多有兽类、禽类、昆虫类、鱼类两栖爬行类动物。随着人类活动频繁和区域增大，环境变化和动物食物链部分环节缺失，曾经频繁出没的一些动物逐渐匿迹。如鹰、、鸡鸡、喜鹊、狼、乌鸦、狐、豺等。随着林业生态工程实施，境内人工植被栽植和自然林带逐渐恢复，区域环境的改善，清河湿地、峨山次生林带和人工林区扩展，野生生物生存环境得到有效修复，数量不断增加，迁徙类生物或作短暂停留，逐步向趋于生态平衡、人与自然和谐、良性循环的方向转变。</w:t>
            </w:r>
          </w:p>
          <w:p>
            <w:pPr>
              <w:pStyle w:val="null3"/>
              <w:ind w:firstLine="562"/>
              <w:jc w:val="both"/>
            </w:pPr>
            <w:r>
              <w:rPr>
                <w:rFonts w:ascii="仿宋_GB2312" w:hAnsi="仿宋_GB2312" w:cs="仿宋_GB2312" w:eastAsia="仿宋_GB2312"/>
                <w:sz w:val="28"/>
                <w:b/>
                <w:color w:val="333333"/>
              </w:rPr>
              <w:t>2.6森林资源</w:t>
            </w:r>
          </w:p>
          <w:p>
            <w:pPr>
              <w:pStyle w:val="null3"/>
              <w:ind w:firstLine="480"/>
              <w:jc w:val="both"/>
            </w:pPr>
            <w:r>
              <w:rPr>
                <w:rFonts w:ascii="仿宋_GB2312" w:hAnsi="仿宋_GB2312" w:cs="仿宋_GB2312" w:eastAsia="仿宋_GB2312"/>
                <w:sz w:val="24"/>
                <w:color w:val="333333"/>
              </w:rPr>
              <w:t>三原县国土总面积</w:t>
            </w:r>
            <w:r>
              <w:rPr>
                <w:rFonts w:ascii="仿宋_GB2312" w:hAnsi="仿宋_GB2312" w:cs="仿宋_GB2312" w:eastAsia="仿宋_GB2312"/>
                <w:sz w:val="24"/>
                <w:color w:val="333333"/>
              </w:rPr>
              <w:t>576.70平方公里，其中林地面积80.86平方公里，非林地面积495.84平方公里，分别占国土总面积的14.02%和85.98%.</w:t>
            </w:r>
          </w:p>
          <w:p>
            <w:pPr>
              <w:pStyle w:val="null3"/>
              <w:ind w:firstLine="480"/>
              <w:jc w:val="both"/>
            </w:pPr>
            <w:r>
              <w:rPr>
                <w:rFonts w:ascii="仿宋_GB2312" w:hAnsi="仿宋_GB2312" w:cs="仿宋_GB2312" w:eastAsia="仿宋_GB2312"/>
                <w:sz w:val="24"/>
                <w:color w:val="333333"/>
              </w:rPr>
              <w:t>乔木主要有栎类、侧柏、榔榆、河北杨、垂柳、刺槐、泡桐、山杏、山桃、杜梨等。</w:t>
            </w:r>
          </w:p>
          <w:p>
            <w:pPr>
              <w:pStyle w:val="null3"/>
              <w:ind w:firstLine="480"/>
              <w:jc w:val="both"/>
            </w:pPr>
            <w:r>
              <w:rPr>
                <w:rFonts w:ascii="仿宋_GB2312" w:hAnsi="仿宋_GB2312" w:cs="仿宋_GB2312" w:eastAsia="仿宋_GB2312"/>
                <w:sz w:val="24"/>
                <w:color w:val="333333"/>
              </w:rPr>
              <w:t>灌木主要有酸枣、连翘、密刺、蔷薇、橡子、胡枝子、迎春花等。草本植物有白草、菅草、艾蒿、铁杆等及药用植物板蓝、何首乌、葛藤、金银花、丹参、防风、远志、苍术、茵陈、柴胡、地榆、穿山龙、黄精、麻黄、翻白草、艾叶、野菊花、黄芩、续断、杜仲、黄柏、山萸、甘草、射干、百合、甘遂、白头翁、天南星、仙鹤草、天麻、西洋参等</w:t>
            </w:r>
            <w:r>
              <w:rPr>
                <w:rFonts w:ascii="仿宋_GB2312" w:hAnsi="仿宋_GB2312" w:cs="仿宋_GB2312" w:eastAsia="仿宋_GB2312"/>
                <w:sz w:val="24"/>
                <w:color w:val="333333"/>
              </w:rPr>
              <w:t>50余种。</w:t>
            </w:r>
          </w:p>
          <w:p>
            <w:pPr>
              <w:pStyle w:val="null3"/>
              <w:ind w:firstLine="562"/>
              <w:jc w:val="both"/>
            </w:pPr>
            <w:r>
              <w:rPr>
                <w:rFonts w:ascii="仿宋_GB2312" w:hAnsi="仿宋_GB2312" w:cs="仿宋_GB2312" w:eastAsia="仿宋_GB2312"/>
                <w:sz w:val="28"/>
                <w:b/>
                <w:color w:val="333333"/>
              </w:rPr>
              <w:t>3经济人文及交通概况</w:t>
            </w:r>
          </w:p>
          <w:p>
            <w:pPr>
              <w:pStyle w:val="null3"/>
              <w:ind w:firstLine="480"/>
              <w:jc w:val="both"/>
            </w:pPr>
            <w:r>
              <w:rPr>
                <w:rFonts w:ascii="仿宋_GB2312" w:hAnsi="仿宋_GB2312" w:cs="仿宋_GB2312" w:eastAsia="仿宋_GB2312"/>
                <w:sz w:val="24"/>
                <w:color w:val="333333"/>
              </w:rPr>
              <w:t>(1)经济情况</w:t>
            </w:r>
          </w:p>
          <w:p>
            <w:pPr>
              <w:pStyle w:val="null3"/>
              <w:ind w:firstLine="480"/>
              <w:jc w:val="both"/>
            </w:pPr>
            <w:r>
              <w:rPr>
                <w:rFonts w:ascii="仿宋_GB2312" w:hAnsi="仿宋_GB2312" w:cs="仿宋_GB2312" w:eastAsia="仿宋_GB2312"/>
                <w:sz w:val="24"/>
                <w:color w:val="333333"/>
              </w:rPr>
              <w:t>截至</w:t>
            </w:r>
            <w:r>
              <w:rPr>
                <w:rFonts w:ascii="仿宋_GB2312" w:hAnsi="仿宋_GB2312" w:cs="仿宋_GB2312" w:eastAsia="仿宋_GB2312"/>
                <w:sz w:val="24"/>
                <w:color w:val="333333"/>
              </w:rPr>
              <w:t>2022年底，三原县全县生产总值完成248.87亿元，同比长2.6%:规模以上工业增加值同比增长1.1%:全社会固定资产投资完成247.47亿元,同比增长12.6%;社会消费品零售总额完成123.83亿元，同比增长14.07%:地方公共财政预算收入完成4.37亿元，同口径增长7.44%:城多居民人均可支配收入分别完成42637元、16430元，同比增长4.2%、6.6%。项目建设高质高效。健全高质量项目谋划储备、协调推进及“红黄绿”公示等机制，103个新建续建项目完成投资187.92亿元，占年度计划的108%，25个市级重点项目年度投资完成率排全市第一。策划包装项目160个，争取中央预算内及专项债券项目9个1.68亿元，数量、质量、投资量稳居全市前列。</w:t>
            </w:r>
          </w:p>
          <w:p>
            <w:pPr>
              <w:pStyle w:val="null3"/>
              <w:ind w:firstLine="480"/>
              <w:jc w:val="both"/>
            </w:pPr>
            <w:r>
              <w:rPr>
                <w:rFonts w:ascii="仿宋_GB2312" w:hAnsi="仿宋_GB2312" w:cs="仿宋_GB2312" w:eastAsia="仿宋_GB2312"/>
                <w:sz w:val="24"/>
                <w:color w:val="333333"/>
              </w:rPr>
              <w:t>(2)交通情况</w:t>
            </w:r>
          </w:p>
          <w:p>
            <w:pPr>
              <w:pStyle w:val="null3"/>
              <w:ind w:firstLine="480"/>
              <w:jc w:val="both"/>
            </w:pPr>
            <w:r>
              <w:rPr>
                <w:rFonts w:ascii="仿宋_GB2312" w:hAnsi="仿宋_GB2312" w:cs="仿宋_GB2312" w:eastAsia="仿宋_GB2312"/>
                <w:sz w:val="24"/>
                <w:color w:val="333333"/>
              </w:rPr>
              <w:t>三原县境内咸铜铁路横贯东西</w:t>
            </w:r>
            <w:r>
              <w:rPr>
                <w:rFonts w:ascii="仿宋_GB2312" w:hAnsi="仿宋_GB2312" w:cs="仿宋_GB2312" w:eastAsia="仿宋_GB2312"/>
                <w:sz w:val="24"/>
                <w:color w:val="333333"/>
              </w:rPr>
              <w:t>,延西高速(G65W)、包茂高速(G65)公路纵穿南北，210国道和108国道关中环线纵横交错。</w:t>
            </w:r>
          </w:p>
          <w:p>
            <w:pPr>
              <w:pStyle w:val="null3"/>
              <w:ind w:firstLine="480"/>
              <w:jc w:val="both"/>
            </w:pPr>
            <w:r>
              <w:rPr>
                <w:rFonts w:ascii="仿宋_GB2312" w:hAnsi="仿宋_GB2312" w:cs="仿宋_GB2312" w:eastAsia="仿宋_GB2312"/>
                <w:sz w:val="24"/>
                <w:color w:val="333333"/>
              </w:rPr>
              <w:t>三原县</w:t>
            </w:r>
            <w:r>
              <w:rPr>
                <w:rFonts w:ascii="仿宋_GB2312" w:hAnsi="仿宋_GB2312" w:cs="仿宋_GB2312" w:eastAsia="仿宋_GB2312"/>
                <w:sz w:val="24"/>
                <w:color w:val="333333"/>
              </w:rPr>
              <w:t>2024年重点区域绿化提升改造项目(碳汇林试点)工程位于三原县城区北部，距离三原县城6.0km。沿线有X315县道，附近还有包茂高速、延西高速、关中环线公路，对外交通便利。工程区域内外交通条件，能够保证建筑材料和建设物资的供应运输要求。</w:t>
            </w:r>
          </w:p>
          <w:p>
            <w:pPr>
              <w:pStyle w:val="null3"/>
              <w:ind w:firstLine="480"/>
              <w:jc w:val="both"/>
            </w:pPr>
            <w:r>
              <w:rPr>
                <w:rFonts w:ascii="仿宋_GB2312" w:hAnsi="仿宋_GB2312" w:cs="仿宋_GB2312" w:eastAsia="仿宋_GB2312"/>
                <w:sz w:val="24"/>
                <w:color w:val="333333"/>
              </w:rPr>
              <w:t>(3)人口概况</w:t>
            </w:r>
          </w:p>
          <w:p>
            <w:pPr>
              <w:pStyle w:val="null3"/>
              <w:ind w:firstLine="480"/>
              <w:jc w:val="both"/>
            </w:pPr>
            <w:r>
              <w:rPr>
                <w:rFonts w:ascii="仿宋_GB2312" w:hAnsi="仿宋_GB2312" w:cs="仿宋_GB2312" w:eastAsia="仿宋_GB2312"/>
                <w:sz w:val="24"/>
                <w:color w:val="333333"/>
              </w:rPr>
              <w:t>2022年末，三原县全县总户数133146户，户籍总人口402477人，其中:城镇人口202158人，乡村人口200319人。总人口中男性204108人，女性198369人，人口性别比为102.9。全年出生2011人,出生人口性别比为95.9(以女孩为</w:t>
            </w:r>
            <w:r>
              <w:rPr>
                <w:rFonts w:ascii="仿宋_GB2312" w:hAnsi="仿宋_GB2312" w:cs="仿宋_GB2312" w:eastAsia="仿宋_GB2312"/>
                <w:sz w:val="24"/>
                <w:color w:val="333333"/>
              </w:rPr>
              <w:t>100)，人口出生率为4.77%:死亡2769，死亡率6.57%，人口自然增长率为-1.79%，年末全县常住人口34.74万人。</w:t>
            </w:r>
          </w:p>
          <w:p>
            <w:pPr>
              <w:pStyle w:val="null3"/>
              <w:ind w:firstLine="562"/>
              <w:jc w:val="both"/>
            </w:pPr>
            <w:r>
              <w:rPr>
                <w:rFonts w:ascii="仿宋_GB2312" w:hAnsi="仿宋_GB2312" w:cs="仿宋_GB2312" w:eastAsia="仿宋_GB2312"/>
                <w:sz w:val="28"/>
                <w:b/>
                <w:color w:val="333333"/>
              </w:rPr>
              <w:t>4</w:t>
            </w:r>
            <w:r>
              <w:rPr>
                <w:rFonts w:ascii="仿宋_GB2312" w:hAnsi="仿宋_GB2312" w:cs="仿宋_GB2312" w:eastAsia="仿宋_GB2312"/>
                <w:sz w:val="28"/>
                <w:b/>
                <w:color w:val="333333"/>
              </w:rPr>
              <w:t>造林类型设计及树种选择</w:t>
            </w:r>
          </w:p>
          <w:p>
            <w:pPr>
              <w:pStyle w:val="null3"/>
              <w:ind w:firstLine="562"/>
              <w:jc w:val="both"/>
            </w:pPr>
            <w:r>
              <w:rPr>
                <w:rFonts w:ascii="仿宋_GB2312" w:hAnsi="仿宋_GB2312" w:cs="仿宋_GB2312" w:eastAsia="仿宋_GB2312"/>
                <w:sz w:val="28"/>
                <w:b/>
                <w:color w:val="333333"/>
              </w:rPr>
              <w:t>4.1</w:t>
            </w:r>
            <w:r>
              <w:rPr>
                <w:rFonts w:ascii="仿宋_GB2312" w:hAnsi="仿宋_GB2312" w:cs="仿宋_GB2312" w:eastAsia="仿宋_GB2312"/>
                <w:sz w:val="28"/>
                <w:b/>
                <w:color w:val="333333"/>
              </w:rPr>
              <w:t>造林类型</w:t>
            </w:r>
          </w:p>
          <w:p>
            <w:pPr>
              <w:pStyle w:val="null3"/>
              <w:ind w:firstLine="480"/>
              <w:jc w:val="both"/>
            </w:pPr>
            <w:r>
              <w:rPr>
                <w:rFonts w:ascii="仿宋_GB2312" w:hAnsi="仿宋_GB2312" w:cs="仿宋_GB2312" w:eastAsia="仿宋_GB2312"/>
                <w:sz w:val="24"/>
                <w:color w:val="333333"/>
              </w:rPr>
              <w:t>人工植苗造林。根据林种设计和树种选择以及造林作业区各小班的立地条件，设计侧柏、连翘混交林</w:t>
            </w:r>
            <w:r>
              <w:rPr>
                <w:rFonts w:ascii="仿宋_GB2312" w:hAnsi="仿宋_GB2312" w:cs="仿宋_GB2312" w:eastAsia="仿宋_GB2312"/>
                <w:sz w:val="24"/>
                <w:color w:val="333333"/>
              </w:rPr>
              <w:t>;白皮松和连翘混交林;侧柏、连翘混交林补植补种(侧柏为原生，连翘补植);五角枫和樱花混交林四个造林类型。</w:t>
            </w:r>
          </w:p>
          <w:p>
            <w:pPr>
              <w:pStyle w:val="null3"/>
              <w:ind w:firstLine="562"/>
              <w:jc w:val="both"/>
            </w:pPr>
            <w:r>
              <w:rPr>
                <w:rFonts w:ascii="仿宋_GB2312" w:hAnsi="仿宋_GB2312" w:cs="仿宋_GB2312" w:eastAsia="仿宋_GB2312"/>
                <w:sz w:val="28"/>
                <w:b/>
                <w:color w:val="333333"/>
              </w:rPr>
              <w:t>(1)侧柏、连翘混交林</w:t>
            </w:r>
          </w:p>
          <w:p>
            <w:pPr>
              <w:pStyle w:val="null3"/>
              <w:ind w:firstLine="480"/>
              <w:jc w:val="both"/>
            </w:pPr>
            <w:r>
              <w:rPr>
                <w:rFonts w:ascii="仿宋_GB2312" w:hAnsi="仿宋_GB2312" w:cs="仿宋_GB2312" w:eastAsia="仿宋_GB2312"/>
                <w:sz w:val="24"/>
                <w:color w:val="333333"/>
              </w:rPr>
              <w:t>---适宜地段:阴向缓斜坡立地类型</w:t>
            </w:r>
          </w:p>
          <w:p>
            <w:pPr>
              <w:pStyle w:val="null3"/>
              <w:ind w:firstLine="480"/>
              <w:jc w:val="both"/>
            </w:pPr>
            <w:r>
              <w:rPr>
                <w:rFonts w:ascii="仿宋_GB2312" w:hAnsi="仿宋_GB2312" w:cs="仿宋_GB2312" w:eastAsia="仿宋_GB2312"/>
                <w:sz w:val="24"/>
                <w:color w:val="333333"/>
              </w:rPr>
              <w:t>---混交方式:侧柏1行、连翘1行带状混交，混交比1:1。</w:t>
            </w:r>
          </w:p>
          <w:p>
            <w:pPr>
              <w:pStyle w:val="null3"/>
              <w:ind w:firstLine="480"/>
              <w:jc w:val="both"/>
            </w:pPr>
            <w:r>
              <w:rPr>
                <w:rFonts w:ascii="仿宋_GB2312" w:hAnsi="仿宋_GB2312" w:cs="仿宋_GB2312" w:eastAsia="仿宋_GB2312"/>
                <w:sz w:val="24"/>
                <w:color w:val="333333"/>
              </w:rPr>
              <w:t>---初植密度及配置方式:株行距3.0米x2.0米，初植密度111株/亩，三角形配置。</w:t>
            </w:r>
          </w:p>
          <w:p>
            <w:pPr>
              <w:pStyle w:val="null3"/>
              <w:ind w:firstLine="480"/>
              <w:jc w:val="both"/>
            </w:pPr>
            <w:r>
              <w:rPr>
                <w:rFonts w:ascii="仿宋_GB2312" w:hAnsi="仿宋_GB2312" w:cs="仿宋_GB2312" w:eastAsia="仿宋_GB2312"/>
                <w:sz w:val="24"/>
                <w:color w:val="333333"/>
              </w:rPr>
              <w:t>---整地方式、规格:鱼鳞坑整地，规格为侧柏 80x80x50cm，连翘苗 40x40x30cm。整地时要加强对造林地原生散生乡土阔叶树木和灌木的保护保留，打穴的位置刚好有乔木和灌木时，应将穴位置前移或后移。在山脚、山顶应保留一定的原生植被保护带。</w:t>
            </w:r>
          </w:p>
          <w:p>
            <w:pPr>
              <w:pStyle w:val="null3"/>
              <w:ind w:firstLine="480"/>
              <w:jc w:val="both"/>
            </w:pPr>
            <w:r>
              <w:rPr>
                <w:rFonts w:ascii="仿宋_GB2312" w:hAnsi="仿宋_GB2312" w:cs="仿宋_GB2312" w:eastAsia="仿宋_GB2312"/>
                <w:sz w:val="24"/>
                <w:color w:val="333333"/>
              </w:rPr>
              <w:t>---苗木规格:侧柏苗高&gt;150厘米，冠幅&gt;50厘米，土球直径&gt;25 厘米;连翘为3年生Ⅱ级以上裸根苗，苗高50厘米，地径&gt;0.8厘米。</w:t>
            </w:r>
          </w:p>
          <w:p>
            <w:pPr>
              <w:pStyle w:val="null3"/>
              <w:ind w:firstLine="480"/>
              <w:jc w:val="both"/>
            </w:pPr>
            <w:r>
              <w:rPr>
                <w:rFonts w:ascii="仿宋_GB2312" w:hAnsi="仿宋_GB2312" w:cs="仿宋_GB2312" w:eastAsia="仿宋_GB2312"/>
                <w:sz w:val="24"/>
                <w:color w:val="333333"/>
              </w:rPr>
              <w:t>---造林方式:人工植苗造林，1株/穴。</w:t>
            </w:r>
          </w:p>
          <w:p>
            <w:pPr>
              <w:pStyle w:val="null3"/>
              <w:ind w:firstLine="480"/>
              <w:jc w:val="both"/>
            </w:pPr>
            <w:r>
              <w:rPr>
                <w:rFonts w:ascii="仿宋_GB2312" w:hAnsi="仿宋_GB2312" w:cs="仿宋_GB2312" w:eastAsia="仿宋_GB2312"/>
                <w:sz w:val="24"/>
                <w:color w:val="333333"/>
              </w:rPr>
              <w:t>---栽植时对根系难以穿透的容器袋进行处理，GGR6溶液喷根或浸根，栽植后灌足定根水。</w:t>
            </w:r>
          </w:p>
          <w:p>
            <w:pPr>
              <w:pStyle w:val="null3"/>
              <w:ind w:firstLine="480"/>
              <w:jc w:val="both"/>
            </w:pPr>
            <w:r>
              <w:rPr>
                <w:rFonts w:ascii="仿宋_GB2312" w:hAnsi="仿宋_GB2312" w:cs="仿宋_GB2312" w:eastAsia="仿宋_GB2312"/>
                <w:sz w:val="24"/>
                <w:color w:val="333333"/>
              </w:rPr>
              <w:t>---幼林抚育:造林后实行封护，三年内连续抚育4次，以2-1-1为序进行，作业项目包括:除草，松土，扩穴、培土，浇水、病虫害、鼠兔危害防治等</w:t>
            </w:r>
          </w:p>
          <w:p>
            <w:pPr>
              <w:pStyle w:val="null3"/>
              <w:ind w:firstLine="562"/>
              <w:jc w:val="both"/>
            </w:pPr>
            <w:r>
              <w:rPr>
                <w:rFonts w:ascii="仿宋_GB2312" w:hAnsi="仿宋_GB2312" w:cs="仿宋_GB2312" w:eastAsia="仿宋_GB2312"/>
                <w:sz w:val="28"/>
                <w:b/>
                <w:color w:val="333333"/>
              </w:rPr>
              <w:t>(2)白皮松、连翘混交林</w:t>
            </w:r>
          </w:p>
          <w:p>
            <w:pPr>
              <w:pStyle w:val="null3"/>
              <w:ind w:firstLine="480"/>
              <w:jc w:val="both"/>
            </w:pPr>
            <w:r>
              <w:rPr>
                <w:rFonts w:ascii="仿宋_GB2312" w:hAnsi="仿宋_GB2312" w:cs="仿宋_GB2312" w:eastAsia="仿宋_GB2312"/>
                <w:sz w:val="24"/>
                <w:color w:val="333333"/>
              </w:rPr>
              <w:t>---适宜地段:阳向缓斜坡立地类型</w:t>
            </w:r>
          </w:p>
          <w:p>
            <w:pPr>
              <w:pStyle w:val="null3"/>
              <w:ind w:firstLine="480"/>
              <w:jc w:val="both"/>
            </w:pPr>
            <w:r>
              <w:rPr>
                <w:rFonts w:ascii="仿宋_GB2312" w:hAnsi="仿宋_GB2312" w:cs="仿宋_GB2312" w:eastAsia="仿宋_GB2312"/>
                <w:sz w:val="24"/>
                <w:color w:val="333333"/>
              </w:rPr>
              <w:t>---混交方式:白皮松1行、连翘1行带状混交，混交比1:1.---初植密度及配置方式:株行距3.0米x2.0米，初植密度111株/亩，三角形配置、</w:t>
            </w:r>
          </w:p>
          <w:p>
            <w:pPr>
              <w:pStyle w:val="null3"/>
              <w:ind w:firstLine="480"/>
              <w:jc w:val="both"/>
            </w:pPr>
            <w:r>
              <w:rPr>
                <w:rFonts w:ascii="仿宋_GB2312" w:hAnsi="仿宋_GB2312" w:cs="仿宋_GB2312" w:eastAsia="仿宋_GB2312"/>
                <w:sz w:val="24"/>
                <w:color w:val="333333"/>
              </w:rPr>
              <w:t>---整地方式、规格:鱼鳞坑整地，规格为白皮松 80x80x50cm，连翘苗 40x40x30cm。整地时要加强对造林地原生散生乡土阔叶树木和灌木的保护保留，打穴的位置刚好有乔木和灌木时，应将穴位置前移或后移。在山脚、山顶应保留一定的原生植被保护带，</w:t>
            </w:r>
          </w:p>
          <w:p>
            <w:pPr>
              <w:pStyle w:val="null3"/>
              <w:ind w:firstLine="480"/>
              <w:jc w:val="both"/>
            </w:pPr>
            <w:r>
              <w:rPr>
                <w:rFonts w:ascii="仿宋_GB2312" w:hAnsi="仿宋_GB2312" w:cs="仿宋_GB2312" w:eastAsia="仿宋_GB2312"/>
                <w:sz w:val="24"/>
                <w:color w:val="333333"/>
              </w:rPr>
              <w:t>---苗木规格:白皮松苗高&gt;150厘米，胸径&gt;6厘米，土球直径&gt;25厘米;连翘为3年生Ⅱ级以上裸根苗，苗高50厘米，地径&gt;0.8厘米。</w:t>
            </w:r>
          </w:p>
          <w:p>
            <w:pPr>
              <w:pStyle w:val="null3"/>
              <w:ind w:firstLine="480"/>
              <w:jc w:val="both"/>
            </w:pPr>
            <w:r>
              <w:rPr>
                <w:rFonts w:ascii="仿宋_GB2312" w:hAnsi="仿宋_GB2312" w:cs="仿宋_GB2312" w:eastAsia="仿宋_GB2312"/>
                <w:sz w:val="24"/>
                <w:color w:val="333333"/>
              </w:rPr>
              <w:t>---造林方式:人工植苗造林，1株/穴。</w:t>
            </w:r>
          </w:p>
          <w:p>
            <w:pPr>
              <w:pStyle w:val="null3"/>
              <w:ind w:firstLine="480"/>
              <w:jc w:val="both"/>
            </w:pPr>
            <w:r>
              <w:rPr>
                <w:rFonts w:ascii="仿宋_GB2312" w:hAnsi="仿宋_GB2312" w:cs="仿宋_GB2312" w:eastAsia="仿宋_GB2312"/>
                <w:sz w:val="24"/>
                <w:color w:val="333333"/>
              </w:rPr>
              <w:t>---栽植时对根系难以穿透的容器袋进行处理，GGR6 溶液喷根或浸根，栽植后灌足定根水。</w:t>
            </w:r>
          </w:p>
          <w:p>
            <w:pPr>
              <w:pStyle w:val="null3"/>
              <w:ind w:firstLine="480"/>
              <w:jc w:val="both"/>
            </w:pPr>
            <w:r>
              <w:rPr>
                <w:rFonts w:ascii="仿宋_GB2312" w:hAnsi="仿宋_GB2312" w:cs="仿宋_GB2312" w:eastAsia="仿宋_GB2312"/>
                <w:sz w:val="24"/>
                <w:color w:val="333333"/>
              </w:rPr>
              <w:t>---幼林抚育:造林后实行封护，三年内连续抚育4次，以2-1-1为序进行，作业项目包括:除草，松土，扩穴、培土，浇水、病虫害、鼠兔危害防治等。</w:t>
            </w:r>
          </w:p>
          <w:p>
            <w:pPr>
              <w:pStyle w:val="null3"/>
              <w:ind w:firstLine="562"/>
              <w:jc w:val="both"/>
            </w:pPr>
            <w:r>
              <w:rPr>
                <w:rFonts w:ascii="仿宋_GB2312" w:hAnsi="仿宋_GB2312" w:cs="仿宋_GB2312" w:eastAsia="仿宋_GB2312"/>
                <w:sz w:val="28"/>
                <w:b/>
                <w:color w:val="333333"/>
              </w:rPr>
              <w:t>(3)侧柏、连翘混交林(补植补种)</w:t>
            </w:r>
          </w:p>
          <w:p>
            <w:pPr>
              <w:pStyle w:val="null3"/>
              <w:ind w:firstLine="480"/>
              <w:jc w:val="both"/>
            </w:pPr>
            <w:r>
              <w:rPr>
                <w:rFonts w:ascii="仿宋_GB2312" w:hAnsi="仿宋_GB2312" w:cs="仿宋_GB2312" w:eastAsia="仿宋_GB2312"/>
                <w:sz w:val="24"/>
                <w:color w:val="333333"/>
              </w:rPr>
              <w:t>---适宜地段:阴向缓斜坡立地类型---混交方式:侧柏1行、连翘1行带状混交，混交比1:1。---补植密度及配置方式:株行距3.0米x2.0米，补植密度55株/亩，三角形配置。</w:t>
            </w:r>
          </w:p>
          <w:p>
            <w:pPr>
              <w:pStyle w:val="null3"/>
              <w:ind w:firstLine="480"/>
              <w:jc w:val="both"/>
            </w:pPr>
            <w:r>
              <w:rPr>
                <w:rFonts w:ascii="仿宋_GB2312" w:hAnsi="仿宋_GB2312" w:cs="仿宋_GB2312" w:eastAsia="仿宋_GB2312"/>
                <w:sz w:val="24"/>
                <w:color w:val="333333"/>
              </w:rPr>
              <w:t>---整地方式、规格:穴状整地,整地规格为连翘苗40x40x30cm。整地时要加强对造林地原生散生乡土阔叶树木和灌木的保护保留，打穴的位置刚好有乔木和灌木时，应将穴位置前移或后移。在山脚、山顶应保留一定的原生植被保护带。</w:t>
            </w:r>
          </w:p>
          <w:p>
            <w:pPr>
              <w:pStyle w:val="null3"/>
              <w:ind w:firstLine="480"/>
              <w:jc w:val="both"/>
            </w:pPr>
            <w:r>
              <w:rPr>
                <w:rFonts w:ascii="仿宋_GB2312" w:hAnsi="仿宋_GB2312" w:cs="仿宋_GB2312" w:eastAsia="仿宋_GB2312"/>
                <w:sz w:val="24"/>
                <w:color w:val="333333"/>
              </w:rPr>
              <w:t>---苗木规格:连翘为3年生I级以上裸根苗，苗高50厘米，地的生物学特性、现有植被状况，结合三原县林业工作站关于造林树种的建议，树种选择为侧柏、白皮松、连翘、五角枫和樱花。依据设计的苗木规格和数量，本着使用本地苗木为主的原则，工程所需苗木选用当地繁育的苗木，不足部分就近调拨(采购)。所选苗木需树形丰满端正，植株健壮，根系发达，无病虫害，苗木规格达到设计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(1)2025年4月-2025年5月:开展整地、栽植，抚育; (2)2025年5月-2025年9月:加强抚育管护，可视土壤墒情及时浇水; (3)2025年9月-2025年12月:补植，建立健全技术档案，完善图文档案资料，进行项目总结，申请项目验收。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确保当年造林成活率达到 85%以上，符合技术标准要求。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施工完成后经验收提交甲方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养护期结束，通过成活率验收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因合同执行过程中双方发生纠纷，可由双方当事人协商解决或由双方主管部门调解，若达不成协议，当事人双方同意向项目所在地有管辖权的人民法院诉。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壹份、电子版壹份（正本扫描件，U盘壹份）。2）纸质响应文件正副本分别胶装，标明供应商名称密封递交，递交截止时间同在线递交电子响应文件截止时间一致。3）若电子响应文件与纸质响应文件不一致的，以线上提交的电子响应文件为准。4）线下递交文件时间：同响应文件截止时间、开标时间一致。线下递交文件地点：陕西省西咸新区沣西新城中铁港沣国际十三层 1308室。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税收和社保证明</w:t>
            </w:r>
          </w:p>
        </w:tc>
        <w:tc>
          <w:tcPr>
            <w:tcW w:type="dxa" w:w="3322"/>
          </w:tcPr>
          <w:p>
            <w:pPr>
              <w:pStyle w:val="null3"/>
            </w:pPr>
            <w:r>
              <w:rPr>
                <w:rFonts w:ascii="仿宋_GB2312" w:hAnsi="仿宋_GB2312" w:cs="仿宋_GB2312" w:eastAsia="仿宋_GB2312"/>
              </w:rPr>
              <w:t>提供投标截止时间前6个月内任意一个月的依法缴纳的税收和社保证明（社会保障资金缴存单据或社保机构开具的社会保险参保缴费情况证明）；依法免税或不需要缴纳社会保障资金的应提供相关证明材料；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拟派项目负责人须具备林业或绿化相关专业工程师以上（含工程师）资格或市政工程专业二级及以上建造师注册证书及安全考核合格证（建安B证），且提供无在建项目证明材料；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根据财库【2019】38号文规定，此项由采购代理机构在响应截止日当天在“信用中国”网站和中国政府采购网站进行查询，截图留档；如网站无供应商信息的，供应商须提供相关证明资料或书面声明，并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若与其他供应商存在单位负责人为同一人或者存在直接控股、管理关系的，参加同一合同项下的政府采购活动，则磋商无效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响应文件封面 承诺函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完全响应磋商文件要求的各项技术/服务/商务实质性条款。（第三章标注★号的为实质性条款，未设置实质性条款时可忽略此项）</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 情形(合格)，存在法律、法规和竞争性磋商文件规定的其他无 效情形(不合格)</w:t>
            </w:r>
          </w:p>
        </w:tc>
        <w:tc>
          <w:tcPr>
            <w:tcW w:type="dxa" w:w="1661"/>
          </w:tcPr>
          <w:p>
            <w:pPr>
              <w:pStyle w:val="null3"/>
            </w:pPr>
            <w:r>
              <w:rPr>
                <w:rFonts w:ascii="仿宋_GB2312" w:hAnsi="仿宋_GB2312" w:cs="仿宋_GB2312" w:eastAsia="仿宋_GB2312"/>
              </w:rPr>
              <w:t>响应文件封面 商务应答表 服务方案 标的清单 服务内容及服务要求应答表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对工程整体有深刻认识，表述清晰完整，造林绿化总体组织是否符合实际，具有可行的、植被恢复方案（林地清理、整地方式、造林时间、苗木运输、造林方法补植补造、抚育管理等方面）进行综合评审。 A.方案详尽，合理可行，逻辑清楚，针对性及可行性强，得（15-20]分； B.方案详尽，基本合理可行，逻辑基本清楚，针对性及可行性较强，得（10-15]分； C.方案较完善，有一定的逻辑性、针对性、可行性（5-10]分； D.方案内容简单笼统，得（0-5]分； E.其他或未提供不得分。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根据工程情况，编制进度计划，对供应商提供的进度计划安排进行综合评审。 A.进度安排合理可行，各环节有序衔接，完全满足需求得（4-6]分； B.进度安排较合理，基本满足需求，得（2-4]分； C.进度安排合理性较差，对项目满足度较欠缺得（0-2]分；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质量防治措施</w:t>
            </w:r>
          </w:p>
        </w:tc>
        <w:tc>
          <w:tcPr>
            <w:tcW w:type="dxa" w:w="2492"/>
          </w:tcPr>
          <w:p>
            <w:pPr>
              <w:pStyle w:val="null3"/>
            </w:pPr>
            <w:r>
              <w:rPr>
                <w:rFonts w:ascii="仿宋_GB2312" w:hAnsi="仿宋_GB2312" w:cs="仿宋_GB2312" w:eastAsia="仿宋_GB2312"/>
              </w:rPr>
              <w:t>质量目标是否明确、通病治理措施是否有效，是否有完善健全的质量保证体系和防治措施（包括但不限于病虫害防治、防牲畜破坏、自然灾害等方面）进行综合评审。 A.质量目标明确、通病治理措施有效，有完善健全的质量保证体系和防治措施的得（4-6]分； B.质量目标清晰、通病治理措施一般，质量保证体系和防治措施基本满足采购需求的得（2-4]分； C.质量目标不清晰、没有通病治理措施，质量保证体系和防治措施差的得（0-2]分；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安全文明环保措施</w:t>
            </w:r>
          </w:p>
        </w:tc>
        <w:tc>
          <w:tcPr>
            <w:tcW w:type="dxa" w:w="2492"/>
          </w:tcPr>
          <w:p>
            <w:pPr>
              <w:pStyle w:val="null3"/>
            </w:pPr>
            <w:r>
              <w:rPr>
                <w:rFonts w:ascii="仿宋_GB2312" w:hAnsi="仿宋_GB2312" w:cs="仿宋_GB2312" w:eastAsia="仿宋_GB2312"/>
              </w:rPr>
              <w:t>依据供应商对树种供应、起运及栽植过程中采取的安全、环保、文明等措施进行综合评审。 A.安全、环保、文明等方案措施全面，能确保本项目顺利进行的得（4-6]分； B.安全、环保、文明等方案措施一般，基本满足本项目需求的得（2-4]分； C.安全、环保、文明等方案措施较差，不能确保本项目顺利进行的得（0-2]分；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针对本项目的树种成活率、树种的养护、补植方案等保障措施进行综合评审。 A.树种成活率高、树种养护得当、补植方案科学合理的得（6-10]分； B.树种成活率基本满足需求、树种养护措施一般、补植方案基本可行的得（2-6]分； C.树种成活率低、树种养护措施一般、补植方案较差的得（0-2]分； D.其他或未提供不得分。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管护措施</w:t>
            </w:r>
          </w:p>
        </w:tc>
        <w:tc>
          <w:tcPr>
            <w:tcW w:type="dxa" w:w="2492"/>
          </w:tcPr>
          <w:p>
            <w:pPr>
              <w:pStyle w:val="null3"/>
            </w:pPr>
            <w:r>
              <w:rPr>
                <w:rFonts w:ascii="仿宋_GB2312" w:hAnsi="仿宋_GB2312" w:cs="仿宋_GB2312" w:eastAsia="仿宋_GB2312"/>
              </w:rPr>
              <w:t>依据树种特性、种类、季节、土壤干湿程度，采取的管护措施进行综合评审。 A.管护措施科学合理、全面完善得（4-6]分； B.管护措施较合理、较完善得（2-4]分； C.管护措施一般，完善性较差得（0-2]分；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项目机构人员配备合理，岗位职责明确，能够根据本项目的实际需求提供专业全面的技术服务人员，有具体的人员明细表，包括姓名、地址、联系电话、岗位及专业证书等内容。 A.项目机构人员架构清晰、职责明确、安排合理、专业性强的得（6-10]分； B.项目机构人员架构清晰，职责明确，提供的专业人员基本满足本项目的实际需求，分工较合理的得（4-6]分； C.项目机构配备差、专业服务人员少、不符合项目整体需求，不能使项目正常运作的得（0-4]分； D.其他或未提供不得分。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拟投入本项目人员汇总表</w:t>
            </w:r>
          </w:p>
        </w:tc>
      </w:tr>
      <w:tr>
        <w:tc>
          <w:tcPr>
            <w:tcW w:type="dxa" w:w="831"/>
            <w:vMerge/>
          </w:tcPr>
          <w:p/>
        </w:tc>
        <w:tc>
          <w:tcPr>
            <w:tcW w:type="dxa" w:w="1661"/>
          </w:tcPr>
          <w:p>
            <w:pPr>
              <w:pStyle w:val="null3"/>
            </w:pPr>
            <w:r>
              <w:rPr>
                <w:rFonts w:ascii="仿宋_GB2312" w:hAnsi="仿宋_GB2312" w:cs="仿宋_GB2312" w:eastAsia="仿宋_GB2312"/>
              </w:rPr>
              <w:t>设备设施及辅助设施情况</w:t>
            </w:r>
          </w:p>
        </w:tc>
        <w:tc>
          <w:tcPr>
            <w:tcW w:type="dxa" w:w="2492"/>
          </w:tcPr>
          <w:p>
            <w:pPr>
              <w:pStyle w:val="null3"/>
            </w:pPr>
            <w:r>
              <w:rPr>
                <w:rFonts w:ascii="仿宋_GB2312" w:hAnsi="仿宋_GB2312" w:cs="仿宋_GB2312" w:eastAsia="仿宋_GB2312"/>
              </w:rPr>
              <w:t>根据项目拟使用的设备、辅助设施是否完备，是否满足本项目需求进行综合评审。 A.设备、辅助设施提供完善的得（3-5]分； B.设备、辅助设施提供基本完善的得（1-3]分； C.设备、辅助设施提供不完善的得（0-1]分；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根据供应商提供的重难点分析情况进行综合评审。 A.对本项目重难点认识深刻，表述全面准确，可操作性强得（3-4]分； B.重难点表述较全面、较准确，可操作性较强得（1-3]分； C.重难点表述不全面、可操作性差得（0-1]分； D.其他或未提供不得分。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针对项目实际情况有完整的应急救援预案，包括但不限于雨季造林应急预案、森林防火预案等方面进行综合评审。 A.应急救援预案针对性强得（3-5]分； B.应急救援预案针对性较强得（1-3]分； C.应急救援预案一般得（0-1]分；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结合项目需求，对本项目方案设计和具体服务方案提出可行的合理化建议。 A.内容详细、符合项目实际情况最高得（3-6]分； B.内容缺失或提供材料有缺陷的得（0-3]分； C.其他或未提供不得分。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2020年1月1日以来供应商有类似项目业绩的，每有一份得2分，最多得6分。 备注：投标人须提供合同文本复印件，合同复印件须包括合同首页、合同标的页、合同金额所在页、签字盖章页并加盖公章。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供应商业绩情况</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1、磋商报价采用低价优先法计算 , 即满足磋商文件要求且最后磋商报价最低的报价为评审基准价，其价格分为满分。其他供应商的价格 分统一按照下列公式计算：磋商报价得分=【评审基准价/磋商报价( 最终二次报价）】×10；2、本项目专门面向中小企业采购，不再执行价格评审优惠扶持政策。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详见附件：拟投入本项目人员汇总表</w:t>
      </w:r>
    </w:p>
    <w:p>
      <w:pPr>
        <w:pStyle w:val="null3"/>
        <w:ind w:firstLine="960"/>
      </w:pPr>
      <w:r>
        <w:rPr>
          <w:rFonts w:ascii="仿宋_GB2312" w:hAnsi="仿宋_GB2312" w:cs="仿宋_GB2312" w:eastAsia="仿宋_GB2312"/>
        </w:rPr>
        <w:t>详见附件：供应商业绩情况</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详见附件：承诺函</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详见附件：三原县2024年重点区域绿化提升改造项目（碳汇林试点）服务合同.docx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