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版本号：YC25001004（CGQ）20250219002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三原县独三公路赵渠至仇阳村段改建工程设计项目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YC25001004（CGQ）</w:t>
      </w:r>
      <w:r>
        <w:br/>
      </w:r>
      <w:r>
        <w:br/>
      </w:r>
      <w:r>
        <w:br/>
      </w:r>
    </w:p>
    <w:p>
      <w:pPr>
        <w:pStyle w:val="null3"/>
        <w:jc w:val="center"/>
        <w:outlineLvl w:val="2"/>
      </w:pPr>
      <w:r>
        <w:rPr>
          <w:rFonts w:ascii="仿宋_GB2312" w:hAnsi="仿宋_GB2312" w:cs="仿宋_GB2312" w:eastAsia="仿宋_GB2312"/>
          <w:sz w:val="28"/>
          <w:b/>
        </w:rPr>
        <w:t>三原县交通运输局</w:t>
      </w:r>
    </w:p>
    <w:p>
      <w:pPr>
        <w:pStyle w:val="null3"/>
        <w:jc w:val="center"/>
        <w:outlineLvl w:val="2"/>
      </w:pPr>
      <w:r>
        <w:rPr>
          <w:rFonts w:ascii="仿宋_GB2312" w:hAnsi="仿宋_GB2312" w:cs="仿宋_GB2312" w:eastAsia="仿宋_GB2312"/>
          <w:sz w:val="28"/>
          <w:b/>
        </w:rPr>
        <w:t>亿诚建设项目管理有限公司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亿诚建设项目管理有限公司</w:t>
      </w:r>
      <w:r>
        <w:rPr>
          <w:rFonts w:ascii="仿宋_GB2312" w:hAnsi="仿宋_GB2312" w:cs="仿宋_GB2312" w:eastAsia="仿宋_GB2312"/>
        </w:rPr>
        <w:t>（以下简称“代理机构”）受</w:t>
      </w:r>
      <w:r>
        <w:rPr>
          <w:rFonts w:ascii="仿宋_GB2312" w:hAnsi="仿宋_GB2312" w:cs="仿宋_GB2312" w:eastAsia="仿宋_GB2312"/>
        </w:rPr>
        <w:t>三原县交通运输局</w:t>
      </w:r>
      <w:r>
        <w:rPr>
          <w:rFonts w:ascii="仿宋_GB2312" w:hAnsi="仿宋_GB2312" w:cs="仿宋_GB2312" w:eastAsia="仿宋_GB2312"/>
        </w:rPr>
        <w:t>委托，拟对</w:t>
      </w:r>
      <w:r>
        <w:rPr>
          <w:rFonts w:ascii="仿宋_GB2312" w:hAnsi="仿宋_GB2312" w:cs="仿宋_GB2312" w:eastAsia="仿宋_GB2312"/>
        </w:rPr>
        <w:t>三原县独三公路赵渠至仇阳村段改建工程设计项目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YC25001004（CGQ）</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三原县独三公路赵渠至仇阳村段改建工程设计项目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三原县独三公路赵渠至仇阳村段改建工程起于独李镇赵渠村接既有道路，经黄李村、大吉村、惠家村、渠岸村，止于渠岸镇仇阳村接既有道路，路线全长10.282公里，采用三级公路技术标准设计，沥青混凝土路面，设计速度40公里/小时，路基宽度8.5米。主要建设路基、路面、桥涵及交安工程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采购包1（三原县独三公路赵渠至仇阳村段改建工程设计项目）：属于专门面向中小企业采购。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2、法定代表人授权委托书：法定代表人授权委托书（附法定代表人、被授权人身份证复印件并加盖公章）和被授权人身份证原件。（法定代表人参加投标只须提供法定代表人身份证明书及身份证原件）；</w:t>
      </w:r>
    </w:p>
    <w:p>
      <w:pPr>
        <w:pStyle w:val="null3"/>
      </w:pPr>
      <w:r>
        <w:rPr>
          <w:rFonts w:ascii="仿宋_GB2312" w:hAnsi="仿宋_GB2312" w:cs="仿宋_GB2312" w:eastAsia="仿宋_GB2312"/>
        </w:rPr>
        <w:t>3、企业资质：供应商需具备行业主管部门颁发的公路行业（公路）专业丙级及以上设计资质；</w:t>
      </w:r>
    </w:p>
    <w:p>
      <w:pPr>
        <w:pStyle w:val="null3"/>
      </w:pPr>
      <w:r>
        <w:rPr>
          <w:rFonts w:ascii="仿宋_GB2312" w:hAnsi="仿宋_GB2312" w:cs="仿宋_GB2312" w:eastAsia="仿宋_GB2312"/>
        </w:rPr>
        <w:t>4、项目负责人资格要求：供应商拟项目负责人须具备公路行业相关专业高级职称；</w:t>
      </w:r>
    </w:p>
    <w:p>
      <w:pPr>
        <w:pStyle w:val="null3"/>
      </w:pPr>
      <w:r>
        <w:rPr>
          <w:rFonts w:ascii="仿宋_GB2312" w:hAnsi="仿宋_GB2312" w:cs="仿宋_GB2312" w:eastAsia="仿宋_GB2312"/>
        </w:rPr>
        <w:t>5、企业信誉：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提供获取竞争性磋商文件当日起至开标截止前任意一天内的查询结果网页截图并加盖公章）；</w:t>
      </w:r>
    </w:p>
    <w:p>
      <w:pPr>
        <w:pStyle w:val="null3"/>
      </w:pPr>
      <w:r>
        <w:rPr>
          <w:rFonts w:ascii="仿宋_GB2312" w:hAnsi="仿宋_GB2312" w:cs="仿宋_GB2312" w:eastAsia="仿宋_GB2312"/>
        </w:rPr>
        <w:t>6、供应商关联关系声明：单位负责人为同一人或者存在控股、管理关系的不同单位，不得参加同一合同包下的政府采购活动；</w:t>
      </w:r>
    </w:p>
    <w:p>
      <w:pPr>
        <w:pStyle w:val="null3"/>
      </w:pPr>
      <w:r>
        <w:rPr>
          <w:rFonts w:ascii="仿宋_GB2312" w:hAnsi="仿宋_GB2312" w:cs="仿宋_GB2312" w:eastAsia="仿宋_GB2312"/>
        </w:rPr>
        <w:t>7、中小企业采购情况：本项目为专门面向中小企业采购；</w:t>
      </w:r>
    </w:p>
    <w:p>
      <w:pPr>
        <w:pStyle w:val="null3"/>
      </w:pPr>
      <w:r>
        <w:rPr>
          <w:rFonts w:ascii="仿宋_GB2312" w:hAnsi="仿宋_GB2312" w:cs="仿宋_GB2312" w:eastAsia="仿宋_GB2312"/>
        </w:rPr>
        <w:t>8、非联合体声明：本次磋商不接受联合体磋商。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咸阳市三原县交通大厦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任军平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029-32853116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亿诚建设项目管理有限公司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陕西省西安市雁塔区:陕西省西安市高新区丈八五路高科尚都ONE尚城A座10F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蒋斌、王珍、董海龙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029-68683878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采购包1：534,500.00元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代理服务费收费标准：招标代理服务费依据计价格[2002]1980号文和发改价格[2011]534号文收费标准收取。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三原县交通运输局</w:t>
      </w:r>
      <w:r>
        <w:rPr>
          <w:rFonts w:ascii="仿宋_GB2312" w:hAnsi="仿宋_GB2312" w:cs="仿宋_GB2312" w:eastAsia="仿宋_GB2312"/>
        </w:rPr>
        <w:t>和</w:t>
      </w:r>
      <w:r>
        <w:rPr>
          <w:rFonts w:ascii="仿宋_GB2312" w:hAnsi="仿宋_GB2312" w:cs="仿宋_GB2312" w:eastAsia="仿宋_GB2312"/>
        </w:rPr>
        <w:t>亿诚建设项目管理有限公司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亿诚建设项目管理有限公司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亿诚建设项目管理有限公司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符合设计标准要求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联系人：蒋斌、王珍、董海龙</w:t>
      </w:r>
    </w:p>
    <w:p>
      <w:pPr>
        <w:pStyle w:val="null3"/>
      </w:pPr>
      <w:r>
        <w:rPr>
          <w:rFonts w:ascii="仿宋_GB2312" w:hAnsi="仿宋_GB2312" w:cs="仿宋_GB2312" w:eastAsia="仿宋_GB2312"/>
        </w:rPr>
        <w:t>联系电话：029-68683878</w:t>
      </w:r>
    </w:p>
    <w:p>
      <w:pPr>
        <w:pStyle w:val="null3"/>
      </w:pPr>
      <w:r>
        <w:rPr>
          <w:rFonts w:ascii="仿宋_GB2312" w:hAnsi="仿宋_GB2312" w:cs="仿宋_GB2312" w:eastAsia="仿宋_GB2312"/>
        </w:rPr>
        <w:t>地址：陕西省西安市高新区丈八五路高科尚都ONE尚城A座10F</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三原县独三公路赵渠至仇阳村段改建工程起于独李镇赵渠村接既有道路，经黄李村、大吉村、惠家村、渠岸村，止于渠岸镇仇阳村接既有道路，路线全长10.282公里，采用三级公路技术标准设计，沥青混凝土路面，设计速度40公里/小时，路基宽度8.5米。主要建设路基、路面、桥涵及交安工程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534,500.00</w:t>
      </w:r>
    </w:p>
    <w:p>
      <w:pPr>
        <w:pStyle w:val="null3"/>
      </w:pPr>
      <w:r>
        <w:rPr>
          <w:rFonts w:ascii="仿宋_GB2312" w:hAnsi="仿宋_GB2312" w:cs="仿宋_GB2312" w:eastAsia="仿宋_GB2312"/>
        </w:rPr>
        <w:t>采购包最高限价（元）: 534,500.00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三原县独三公路赵渠至仇阳村段改建工程设计项目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534,500.00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标的名称：三原县独三公路赵渠至仇阳村段改建工程设计项目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sz w:val="20"/>
              </w:rPr>
              <w:t>1、项目名称：三原县独三公路赵渠至仇阳村段改建工程设计项目</w:t>
            </w:r>
          </w:p>
          <w:p>
            <w:pPr>
              <w:pStyle w:val="null3"/>
              <w:jc w:val="left"/>
            </w:pPr>
            <w:r>
              <w:rPr>
                <w:rFonts w:ascii="仿宋_GB2312" w:hAnsi="仿宋_GB2312" w:cs="仿宋_GB2312" w:eastAsia="仿宋_GB2312"/>
                <w:sz w:val="20"/>
              </w:rPr>
              <w:t>2、采购内容：三原县独三公路赵渠至仇阳村段改建工程起于独李镇赵渠村接既有道路，经黄李村、大吉村、惠家村、渠岸村，止于渠岸镇仇阳村接既有道路，路线全长10.282公里，采用三级公路技术标准设计，沥青混凝土路面，设计速度40公里/小时，路基宽度8.5米。主要建设路基、路面、桥涵及交安工程等。</w:t>
            </w:r>
          </w:p>
          <w:p>
            <w:pPr>
              <w:pStyle w:val="null3"/>
              <w:jc w:val="left"/>
            </w:pPr>
            <w:r>
              <w:rPr>
                <w:rFonts w:ascii="仿宋_GB2312" w:hAnsi="仿宋_GB2312" w:cs="仿宋_GB2312" w:eastAsia="仿宋_GB2312"/>
                <w:sz w:val="20"/>
              </w:rPr>
              <w:t>3、设计周期：自合同签订之日起30日历天内。</w:t>
            </w:r>
          </w:p>
          <w:p>
            <w:pPr>
              <w:pStyle w:val="null3"/>
              <w:jc w:val="left"/>
            </w:pPr>
            <w:r>
              <w:rPr>
                <w:rFonts w:ascii="仿宋_GB2312" w:hAnsi="仿宋_GB2312" w:cs="仿宋_GB2312" w:eastAsia="仿宋_GB2312"/>
                <w:sz w:val="20"/>
              </w:rPr>
              <w:t>4、商务及服务要求</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1）付款条件（进度和方式）：在合同签订且首次提交设计成果文件后，达到付款条件起10日内，支付合同总金额的30%</w:t>
            </w:r>
            <w:r>
              <w:rPr>
                <w:rFonts w:ascii="仿宋_GB2312" w:hAnsi="仿宋_GB2312" w:cs="仿宋_GB2312" w:eastAsia="仿宋_GB2312"/>
                <w:sz w:val="20"/>
              </w:rPr>
              <w:t>,</w:t>
            </w:r>
            <w:r>
              <w:rPr>
                <w:rFonts w:ascii="仿宋_GB2312" w:hAnsi="仿宋_GB2312" w:cs="仿宋_GB2312" w:eastAsia="仿宋_GB2312"/>
                <w:sz w:val="20"/>
              </w:rPr>
              <w:t>在本项目设计通过评审后，达到付款条件起</w:t>
            </w:r>
            <w:r>
              <w:rPr>
                <w:rFonts w:ascii="仿宋_GB2312" w:hAnsi="仿宋_GB2312" w:cs="仿宋_GB2312" w:eastAsia="仿宋_GB2312"/>
                <w:sz w:val="20"/>
              </w:rPr>
              <w:t>10日内，支付合同总金额的60%</w:t>
            </w:r>
            <w:r>
              <w:rPr>
                <w:rFonts w:ascii="仿宋_GB2312" w:hAnsi="仿宋_GB2312" w:cs="仿宋_GB2312" w:eastAsia="仿宋_GB2312"/>
                <w:sz w:val="20"/>
              </w:rPr>
              <w:t>,</w:t>
            </w:r>
            <w:r>
              <w:rPr>
                <w:rFonts w:ascii="仿宋_GB2312" w:hAnsi="仿宋_GB2312" w:cs="仿宋_GB2312" w:eastAsia="仿宋_GB2312"/>
                <w:sz w:val="20"/>
              </w:rPr>
              <w:t>本项目整体通过甲方验收后</w:t>
            </w:r>
            <w:r>
              <w:rPr>
                <w:rFonts w:ascii="仿宋_GB2312" w:hAnsi="仿宋_GB2312" w:cs="仿宋_GB2312" w:eastAsia="仿宋_GB2312"/>
                <w:sz w:val="20"/>
              </w:rPr>
              <w:t>，达到付款条件起</w:t>
            </w:r>
            <w:r>
              <w:rPr>
                <w:rFonts w:ascii="仿宋_GB2312" w:hAnsi="仿宋_GB2312" w:cs="仿宋_GB2312" w:eastAsia="仿宋_GB2312"/>
                <w:sz w:val="20"/>
              </w:rPr>
              <w:t>10日内，支付合同总金额的10%。</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2）售后服务要求：甲方在验收备案设计图纸审核过程中若发现错误或异议处，乙方须配合甲方无偿进行方案修改，直至验收合格。</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3）采购标的需实现的采购目标：满足独三公路赵渠至仇阳村段改建工程设计需要。</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4）需执行的标准要求：满足相关技术规范及深度要求。</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5）成果：成果应包括施工图设计文件、预算文件及电子版文件。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满足采购项目设计需求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满足采购项目设计需求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满足采购项目设计需求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项目完成后，供应商提出验收申请，采购人组织对供应商的服务及报告进行验收，验收合格出具验收合格单。 验收依据：1.采购文件；2.响应文件；3.方案评审通过记录。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在合同签订且首次提交设计成果文件后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在本项目设计通过评审后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本项目整体通过甲方验收后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（一）按《民法典》中的相关条款执行。 （二）按合同要求提供服务或服务质量不能满足采购方要求，乙方必须无条件提高技术，完善服务质量，否则，甲方会同监督机构、采购代理机构有权终止合同并对乙方违约行为进行追究，同时按政府采购投标人管理办法进行相应的处罚。 （三）任何一方因不可抗力原因不能履行协议时，应尽快通知对方，双方均设法补偿。如仍无法履约协议，可协商延缓或撤销协议，双方责任免除。</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1、营业执照：有独立承担民事责任能力的法人、其他组织或自然人，投标人是法人或其他组织的应提供营业执照等证明文件，自然人的提供有效的自然人身份证明； 2、完税证明：供应商须提供投标截止时间前一年内，已缴纳的任意一个月的纳税证明或完税证明，纳税证明或完税证明上应有代收机构或税务机关的公章或业务专用章，依法免税的投标人应提供相关文件证明；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2023年度经审计的财务报告（包括“四表一注”即《资产负债表》《利润表》《现金流量表》《所有者权益变动表》及其附注或基本存款账户开户银行出具的资信证明（资信证明需提供投标截止时间前6个月内）及基本存款账户开户许可证（基本账户信息）； 注：成立时间至提交投标文件截止时间不足一年的可提供成立后任意时段的资产负债表）。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相关资格证明材料.docx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法定代表人授权委托书（附法定代表人、被授权人身份证复印件并加盖公章）和被授权人身份证原件。（法定代表人参加投标只须提供法定代表人身份证明书及身份证原件）；</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供应商需具备行业主管部门颁发的公路行业（公路）专业丙级及以上设计资质；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项目负责人资格要求</w:t>
            </w:r>
          </w:p>
        </w:tc>
        <w:tc>
          <w:tcPr>
            <w:tcW w:type="dxa" w:w="3322"/>
          </w:tcPr>
          <w:p>
            <w:pPr>
              <w:pStyle w:val="null3"/>
            </w:pPr>
            <w:r>
              <w:rPr>
                <w:rFonts w:ascii="仿宋_GB2312" w:hAnsi="仿宋_GB2312" w:cs="仿宋_GB2312" w:eastAsia="仿宋_GB2312"/>
              </w:rPr>
              <w:t>供应商拟项目负责人须具备公路行业相关专业高级职称；</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提供获取竞争性磋商文件当日起至开标截止前任意一天内的查询结果网页截图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单位负责人为同一人或者存在控股、管理关系的不同单位，不得参加同一合同包下的政府采购活动；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中小企业采购情况</w:t>
            </w:r>
          </w:p>
        </w:tc>
        <w:tc>
          <w:tcPr>
            <w:tcW w:type="dxa" w:w="3322"/>
          </w:tcPr>
          <w:p>
            <w:pPr>
              <w:pStyle w:val="null3"/>
            </w:pPr>
            <w:r>
              <w:rPr>
                <w:rFonts w:ascii="仿宋_GB2312" w:hAnsi="仿宋_GB2312" w:cs="仿宋_GB2312" w:eastAsia="仿宋_GB2312"/>
              </w:rPr>
              <w:t>本项目为专门面向中小企业采购；</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本次磋商不接受联合体磋商。</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响应文件的签署、盖章符合竞争性磋商文件要求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响应函 相关资格证明材料.docx 类似业绩.docx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响应报价不得超过采购预算或者最高限价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提供完善、可靠的设计实施方案：对本项目理解深刻，总体设计思路符合国家相关要求、技术规范，实施方案满足文件要求，设计内容全面、思路清晰得（8-12]分，设计内容较为全面、思路基本可行得（4-8]分，设计内容欠缺、薄弱较差得[0-4]分。 2.对本项目的重点难点进行分析，提出详细的应对措施及合理化建议：重点难点分析全面、针对性强，应对措施及合理化建议具体、全面，可实施性强得（7-10]分；重点难点分析较为可行，应对措施及合理化建议基本全面得（4-7]分；重点难点分析较为片面，应对措施及合理化建议一般得[0-4]分。 3.工作方案重点划分合理、设计技术路线成熟可靠得（5-8]分，方案重点划分基本满足设计需求，设计技术路线较为可行的（2-5]分，方案正对写薄弱，技术思路较差的[0-2]。</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设计质量控制的保证措施</w:t>
            </w:r>
          </w:p>
        </w:tc>
        <w:tc>
          <w:tcPr>
            <w:tcW w:type="dxa" w:w="2492"/>
          </w:tcPr>
          <w:p>
            <w:pPr>
              <w:pStyle w:val="null3"/>
            </w:pPr>
            <w:r>
              <w:rPr>
                <w:rFonts w:ascii="仿宋_GB2312" w:hAnsi="仿宋_GB2312" w:cs="仿宋_GB2312" w:eastAsia="仿宋_GB2312"/>
              </w:rPr>
              <w:t>设计质量控制的保证措施：设计质量保障内容全面、针对性强，保证措施完整、可操作性强的，根据响应情况得（7-10]分；设计质量控制的保证措施较为完整、有力，根据响应情况得（3-7]分；提供设计质量控制的保证措施一般，根据响应情况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时间进度安排计划</w:t>
            </w:r>
          </w:p>
        </w:tc>
        <w:tc>
          <w:tcPr>
            <w:tcW w:type="dxa" w:w="2492"/>
          </w:tcPr>
          <w:p>
            <w:pPr>
              <w:pStyle w:val="null3"/>
            </w:pPr>
            <w:r>
              <w:rPr>
                <w:rFonts w:ascii="仿宋_GB2312" w:hAnsi="仿宋_GB2312" w:cs="仿宋_GB2312" w:eastAsia="仿宋_GB2312"/>
              </w:rPr>
              <w:t>时间进度安排计划：投标人提供进度管理方案，进度管理措施、进度保障内容描述清晰、完整、合理，针对性、可操作性强的，得（7-10]分；进度管理措施、进度保障等内容描述基本清晰、完整、合理的，得（3-7]分；进度管理措施、进度保障措施不全或内容简单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设计服务组织的保证措施</w:t>
            </w:r>
          </w:p>
        </w:tc>
        <w:tc>
          <w:tcPr>
            <w:tcW w:type="dxa" w:w="2492"/>
          </w:tcPr>
          <w:p>
            <w:pPr>
              <w:pStyle w:val="null3"/>
            </w:pPr>
            <w:r>
              <w:rPr>
                <w:rFonts w:ascii="仿宋_GB2312" w:hAnsi="仿宋_GB2312" w:cs="仿宋_GB2312" w:eastAsia="仿宋_GB2312"/>
              </w:rPr>
              <w:t>投标人提供设计组织方案管理措施，组织、进度、质量、沟通、风险等内容描述详细全面、各项措施合理、针对性强的，得（5-8]分；设计组织方案中组织、进度、质量、沟通、风险等内容描述清晰，方案合理、可行、完整的，得（2-5]分；设计服务组织方案措施不全或内容简单得，得[0-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对后期服务的保证措施 、能够处理各类紧急事项的措施，保证项目实施，能够保证在规定的时间解决问题。承诺内容切实可行得（4-8]分；后期服务基本齐全，针对性一般得[0-4]分。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根据本项目提供保密措施，保密措施考虑全面、内容完整、重点突出、具有针对性和可行性的赋（5-7]分；保密措施考虑较为全面、内容较为完整、重点内容体现、较有针对性和可行性的赋（2-5]分；保密措施考虑不够全面、内容不够完整、重点内容未体现、针对性和可行性的较差的赋[0-2]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组织机构设置及主要人员安排</w:t>
            </w:r>
          </w:p>
        </w:tc>
        <w:tc>
          <w:tcPr>
            <w:tcW w:type="dxa" w:w="2492"/>
          </w:tcPr>
          <w:p>
            <w:pPr>
              <w:pStyle w:val="null3"/>
            </w:pPr>
            <w:r>
              <w:rPr>
                <w:rFonts w:ascii="仿宋_GB2312" w:hAnsi="仿宋_GB2312" w:cs="仿宋_GB2312" w:eastAsia="仿宋_GB2312"/>
              </w:rPr>
              <w:t>项目部组织结构设置合理、项目部关键岗位人员配备及职责划分清晰明确得（5-7]分，组织结构设置基本可行，项目部关键岗位及职责划分基本满足得（2-5]分，组织结构设置欠缺，项目部关键岗位及职责划分薄弱较差得（0-2]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2022年01月至今完成类似项目业绩，一项得2分，最多得10分。（须附类似项目业绩的成交（中标）通知书或合同的复印件或扫描件，并加盖公章）。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满足磋商文件要求且投标价格最低的磋商报价为评标基准价，其价格分为满分。其他供应商的价格分统一按照下列公式计算：投标报价得分=（评标基准价/投标报价）×投标报价总分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详见附件：类似业绩.docx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详见附件：设计合同.docx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