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11"/>
        </w:tabs>
        <w:spacing w:line="560" w:lineRule="exact"/>
        <w:ind w:firstLine="602" w:firstLineChars="200"/>
        <w:jc w:val="center"/>
        <w:outlineLvl w:val="0"/>
        <w:rPr>
          <w:rFonts w:hint="eastAsia" w:ascii="宋体" w:hAnsi="宋体" w:cs="宋体"/>
          <w:b/>
          <w:bCs/>
          <w:color w:val="000000"/>
          <w:kern w:val="44"/>
          <w:sz w:val="30"/>
          <w:szCs w:val="44"/>
          <w:lang w:val="zh-CN"/>
        </w:rPr>
      </w:pPr>
      <w:bookmarkStart w:id="0" w:name="_Toc28170_WPSOffice_Level1"/>
      <w:bookmarkStart w:id="1" w:name="_Toc1820"/>
      <w:bookmarkStart w:id="2" w:name="_Toc4710"/>
      <w:bookmarkStart w:id="3" w:name="_Toc2251_WPSOffice_Level1"/>
      <w:bookmarkStart w:id="4" w:name="_Toc2527_WPSOffice_Level1"/>
      <w:bookmarkStart w:id="5" w:name="_Toc14852_WPSOffice_Level1"/>
      <w:bookmarkStart w:id="6" w:name="_Toc6199"/>
      <w:bookmarkStart w:id="7" w:name="_Toc131793870"/>
      <w:bookmarkStart w:id="8" w:name="_Toc18235"/>
      <w:bookmarkStart w:id="9" w:name="_Toc20594"/>
      <w:bookmarkStart w:id="10" w:name="_Toc22688_WPSOffice_Level1"/>
      <w:bookmarkStart w:id="11" w:name="_Toc131969317"/>
      <w:bookmarkStart w:id="12" w:name="_Toc501375838"/>
      <w:bookmarkStart w:id="13" w:name="_Toc14308_WPSOffice_Level1"/>
      <w:bookmarkStart w:id="14" w:name="_Toc8428"/>
      <w:r>
        <w:rPr>
          <w:rFonts w:hint="eastAsia" w:ascii="宋体" w:hAnsi="宋体" w:cs="宋体"/>
          <w:b/>
          <w:bCs/>
          <w:color w:val="000000"/>
          <w:kern w:val="44"/>
          <w:sz w:val="30"/>
          <w:szCs w:val="44"/>
          <w:lang w:val="zh-CN"/>
        </w:rPr>
        <w:t>第四部分  采购内容及要求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bookmarkEnd w:id="12"/>
    <w:bookmarkEnd w:id="13"/>
    <w:bookmarkEnd w:id="14"/>
    <w:p>
      <w:pPr>
        <w:spacing w:line="500" w:lineRule="exact"/>
        <w:jc w:val="left"/>
        <w:outlineLvl w:val="1"/>
        <w:rPr>
          <w:rFonts w:hint="eastAsia" w:ascii="宋体" w:hAnsi="宋体" w:cs="宋体"/>
          <w:b/>
          <w:bCs/>
          <w:sz w:val="24"/>
        </w:rPr>
      </w:pPr>
      <w:bookmarkStart w:id="15" w:name="_Toc19074"/>
      <w:bookmarkStart w:id="16" w:name="_Toc12974"/>
      <w:bookmarkStart w:id="17" w:name="_Toc131969318"/>
      <w:bookmarkStart w:id="18" w:name="_Toc8724"/>
      <w:bookmarkStart w:id="19" w:name="_Toc2712"/>
      <w:bookmarkStart w:id="20" w:name="_Toc8806"/>
      <w:bookmarkStart w:id="21" w:name="_Toc131793871"/>
      <w:r>
        <w:rPr>
          <w:rFonts w:hint="eastAsia" w:ascii="宋体" w:hAnsi="宋体" w:cs="宋体"/>
          <w:b/>
          <w:bCs/>
          <w:sz w:val="24"/>
        </w:rPr>
        <w:t>一、采购范围及内容</w:t>
      </w:r>
      <w:bookmarkEnd w:id="15"/>
      <w:bookmarkEnd w:id="16"/>
      <w:bookmarkEnd w:id="17"/>
      <w:bookmarkEnd w:id="18"/>
      <w:bookmarkEnd w:id="19"/>
      <w:bookmarkEnd w:id="20"/>
      <w:bookmarkEnd w:id="21"/>
    </w:p>
    <w:p>
      <w:pPr>
        <w:spacing w:line="500" w:lineRule="exact"/>
        <w:ind w:firstLine="482" w:firstLineChars="200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1.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建设内容</w:t>
      </w:r>
    </w:p>
    <w:p>
      <w:pPr>
        <w:keepNext w:val="0"/>
        <w:keepLines w:val="0"/>
        <w:pageBreakBefore w:val="0"/>
        <w:widowControl w:val="0"/>
        <w:tabs>
          <w:tab w:val="left" w:pos="3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为了积极推进医技综合楼项目建设，保障医院冬季供暖助力医疗业务良好发展，满足广大患者就医需求，提升我院医疗综合服务能力，特制定本方案。</w:t>
      </w:r>
    </w:p>
    <w:p>
      <w:pPr>
        <w:keepNext w:val="0"/>
        <w:keepLines w:val="0"/>
        <w:pageBreakBefore w:val="0"/>
        <w:widowControl w:val="0"/>
        <w:tabs>
          <w:tab w:val="left" w:pos="3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医技综合楼项目规划建设地下1层，地上12层，框架剪力墙结构，建筑面积17840平方米，配置影像中心、检验中心、功能检查中心、透析中心、老年康复中心、普通病房等，配套建设污水处理及室外工程。</w:t>
      </w:r>
    </w:p>
    <w:p>
      <w:pPr>
        <w:keepNext w:val="0"/>
        <w:keepLines w:val="0"/>
        <w:pageBreakBefore w:val="0"/>
        <w:widowControl w:val="0"/>
        <w:tabs>
          <w:tab w:val="left" w:pos="3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医技综合楼原设计地下换热站一个，用于医技综合楼冬季供暖，市政集中供暖一次网建设，医技综合楼换热站及二次网建设，系统试压调试等。工程建设需符合设计要求，满足医技综合楼供暖，达到国家供热标准要求，提升患者就医感受。</w:t>
      </w:r>
    </w:p>
    <w:p>
      <w:pPr>
        <w:spacing w:line="50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2.采购范围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本工程施工范围内全部内容。</w:t>
      </w:r>
      <w:bookmarkStart w:id="22" w:name="_Toc458848745"/>
      <w:bookmarkStart w:id="23" w:name="_Toc493247327"/>
      <w:bookmarkStart w:id="24" w:name="_Toc4057"/>
      <w:bookmarkStart w:id="25" w:name="_Toc458848830"/>
    </w:p>
    <w:bookmarkEnd w:id="22"/>
    <w:bookmarkEnd w:id="23"/>
    <w:bookmarkEnd w:id="24"/>
    <w:bookmarkEnd w:id="25"/>
    <w:p>
      <w:pPr>
        <w:numPr>
          <w:ilvl w:val="0"/>
          <w:numId w:val="1"/>
        </w:numPr>
        <w:spacing w:line="500" w:lineRule="exact"/>
        <w:jc w:val="left"/>
        <w:outlineLvl w:val="1"/>
        <w:rPr>
          <w:rFonts w:hint="eastAsia" w:ascii="宋体" w:hAnsi="宋体" w:cs="宋体"/>
          <w:b/>
          <w:bCs/>
          <w:sz w:val="24"/>
        </w:rPr>
      </w:pPr>
      <w:bookmarkStart w:id="26" w:name="_Toc5272"/>
      <w:bookmarkStart w:id="27" w:name="_Toc32572"/>
      <w:bookmarkStart w:id="28" w:name="_Toc3529"/>
      <w:bookmarkStart w:id="29" w:name="_Toc9904"/>
      <w:bookmarkStart w:id="30" w:name="_Toc131793872"/>
      <w:bookmarkStart w:id="31" w:name="_Toc14901"/>
      <w:bookmarkStart w:id="32" w:name="_Toc131969319"/>
      <w:r>
        <w:rPr>
          <w:rFonts w:hint="eastAsia" w:ascii="宋体" w:hAnsi="宋体" w:cs="宋体"/>
          <w:b/>
          <w:bCs/>
          <w:sz w:val="24"/>
        </w:rPr>
        <w:t>工期</w:t>
      </w:r>
      <w:bookmarkEnd w:id="26"/>
      <w:bookmarkEnd w:id="27"/>
      <w:bookmarkEnd w:id="28"/>
      <w:bookmarkEnd w:id="29"/>
      <w:bookmarkEnd w:id="30"/>
      <w:bookmarkEnd w:id="31"/>
      <w:bookmarkEnd w:id="32"/>
    </w:p>
    <w:p>
      <w:pPr>
        <w:pStyle w:val="2"/>
        <w:numPr>
          <w:ilvl w:val="0"/>
          <w:numId w:val="0"/>
        </w:numPr>
        <w:shd w:val="clear" w:color="auto" w:fill="auto"/>
        <w:ind w:firstLine="480" w:firstLineChars="200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60日历天</w:t>
      </w:r>
    </w:p>
    <w:p>
      <w:pPr>
        <w:shd w:val="clear" w:color="auto" w:fill="auto"/>
        <w:spacing w:line="500" w:lineRule="exact"/>
        <w:jc w:val="left"/>
        <w:outlineLvl w:val="1"/>
        <w:rPr>
          <w:rFonts w:hint="eastAsia" w:ascii="宋体" w:hAnsi="宋体" w:cs="宋体"/>
          <w:b/>
          <w:bCs/>
          <w:sz w:val="24"/>
        </w:rPr>
      </w:pPr>
      <w:bookmarkStart w:id="33" w:name="_Toc131793873"/>
      <w:bookmarkStart w:id="34" w:name="_Toc14126"/>
      <w:bookmarkStart w:id="35" w:name="_Toc8546"/>
      <w:bookmarkStart w:id="36" w:name="_Toc5287"/>
      <w:bookmarkStart w:id="37" w:name="_Toc20622"/>
      <w:bookmarkStart w:id="38" w:name="_Toc24433"/>
      <w:bookmarkStart w:id="39" w:name="_Toc131969320"/>
      <w:r>
        <w:rPr>
          <w:rFonts w:hint="eastAsia" w:ascii="宋体" w:hAnsi="宋体" w:cs="宋体"/>
          <w:b/>
          <w:bCs/>
          <w:sz w:val="24"/>
        </w:rPr>
        <w:t>三、承包方式</w:t>
      </w:r>
      <w:bookmarkEnd w:id="33"/>
      <w:bookmarkEnd w:id="34"/>
      <w:bookmarkEnd w:id="35"/>
      <w:bookmarkEnd w:id="36"/>
      <w:bookmarkEnd w:id="37"/>
      <w:bookmarkEnd w:id="38"/>
      <w:bookmarkEnd w:id="39"/>
    </w:p>
    <w:p>
      <w:pPr>
        <w:shd w:val="clear" w:color="auto" w:fill="auto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shd w:val="clear" w:color="auto" w:fill="auto"/>
        </w:rPr>
        <w:t>包工包料、包质量、包进度、包安全。</w:t>
      </w:r>
    </w:p>
    <w:p>
      <w:pPr>
        <w:spacing w:line="500" w:lineRule="exact"/>
        <w:jc w:val="left"/>
        <w:outlineLvl w:val="1"/>
        <w:rPr>
          <w:rFonts w:hint="eastAsia" w:ascii="宋体" w:hAnsi="宋体" w:eastAsia="宋体" w:cs="宋体"/>
          <w:b/>
          <w:bCs/>
          <w:sz w:val="24"/>
          <w:lang w:eastAsia="zh-CN"/>
        </w:rPr>
      </w:pPr>
      <w:bookmarkStart w:id="40" w:name="_Toc11676"/>
      <w:r>
        <w:rPr>
          <w:rFonts w:hint="eastAsia" w:ascii="宋体" w:hAnsi="宋体" w:eastAsia="宋体" w:cs="宋体"/>
          <w:b/>
          <w:bCs/>
          <w:sz w:val="24"/>
          <w:lang w:eastAsia="zh-CN"/>
        </w:rPr>
        <w:t>四、付款方式</w:t>
      </w:r>
      <w:bookmarkEnd w:id="40"/>
    </w:p>
    <w:p>
      <w:pPr>
        <w:pStyle w:val="3"/>
        <w:shd w:val="clear" w:color="auto" w:fill="auto"/>
        <w:spacing w:line="500" w:lineRule="exact"/>
        <w:ind w:firstLine="480" w:firstLineChars="200"/>
        <w:outlineLvl w:val="9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bookmarkStart w:id="41" w:name="_Toc131969321"/>
      <w:bookmarkStart w:id="42" w:name="_Toc26628"/>
      <w:bookmarkStart w:id="43" w:name="_Toc131793874"/>
      <w:bookmarkStart w:id="44" w:name="_Toc19013"/>
      <w:bookmarkStart w:id="45" w:name="_Toc24588"/>
      <w:bookmarkStart w:id="46" w:name="_Toc8077"/>
      <w:bookmarkStart w:id="47" w:name="_Toc25727"/>
      <w:bookmarkStart w:id="48" w:name="_Toc17166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由甲乙双方协商付款</w:t>
      </w:r>
    </w:p>
    <w:p>
      <w:pPr>
        <w:pStyle w:val="3"/>
        <w:shd w:val="clear" w:color="auto" w:fill="auto"/>
        <w:spacing w:line="500" w:lineRule="exact"/>
        <w:outlineLvl w:val="1"/>
        <w:rPr>
          <w:rFonts w:hint="eastAsia" w:ascii="宋体" w:hAnsi="宋体" w:cs="宋体"/>
          <w:b/>
          <w:bCs/>
          <w:sz w:val="24"/>
        </w:rPr>
      </w:pPr>
      <w:bookmarkStart w:id="49" w:name="_Toc4687"/>
      <w:r>
        <w:rPr>
          <w:rFonts w:hint="eastAsia" w:ascii="宋体" w:hAnsi="宋体" w:cs="宋体"/>
          <w:b/>
          <w:bCs/>
          <w:color w:val="auto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</w:rPr>
        <w:t>、</w:t>
      </w:r>
      <w:bookmarkEnd w:id="41"/>
      <w:bookmarkEnd w:id="42"/>
      <w:bookmarkEnd w:id="43"/>
      <w:bookmarkEnd w:id="44"/>
      <w:bookmarkStart w:id="50" w:name="_Toc131969322"/>
      <w:bookmarkStart w:id="51" w:name="_Toc131793875"/>
      <w:r>
        <w:rPr>
          <w:rFonts w:hint="eastAsia" w:ascii="宋体" w:hAnsi="宋体" w:cs="宋体"/>
          <w:b/>
          <w:bCs/>
          <w:color w:val="auto"/>
          <w:sz w:val="24"/>
        </w:rPr>
        <w:t>质量标准</w:t>
      </w:r>
      <w:bookmarkEnd w:id="45"/>
      <w:bookmarkEnd w:id="46"/>
      <w:bookmarkEnd w:id="47"/>
      <w:bookmarkEnd w:id="48"/>
      <w:bookmarkEnd w:id="49"/>
      <w:bookmarkEnd w:id="50"/>
      <w:bookmarkEnd w:id="51"/>
    </w:p>
    <w:p>
      <w:pPr>
        <w:spacing w:line="500" w:lineRule="exact"/>
        <w:ind w:firstLine="480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合 格</w:t>
      </w:r>
    </w:p>
    <w:p>
      <w:pPr>
        <w:spacing w:line="500" w:lineRule="exact"/>
        <w:jc w:val="left"/>
        <w:outlineLvl w:val="1"/>
        <w:rPr>
          <w:rFonts w:hint="eastAsia" w:ascii="宋体" w:hAnsi="宋体" w:cs="宋体"/>
          <w:b/>
          <w:bCs/>
          <w:sz w:val="24"/>
        </w:rPr>
      </w:pPr>
      <w:bookmarkStart w:id="52" w:name="_Toc131793876"/>
      <w:bookmarkStart w:id="53" w:name="_Toc30241"/>
      <w:bookmarkStart w:id="54" w:name="_Toc27842"/>
      <w:bookmarkStart w:id="55" w:name="_Toc11569"/>
      <w:bookmarkStart w:id="56" w:name="_Toc131969323"/>
      <w:bookmarkStart w:id="57" w:name="_Toc30668"/>
      <w:bookmarkStart w:id="58" w:name="_Toc25679"/>
      <w:bookmarkStart w:id="59" w:name="_Toc7769"/>
      <w:bookmarkStart w:id="60" w:name="_Toc23888"/>
      <w:bookmarkStart w:id="61" w:name="_Toc22030"/>
      <w:bookmarkStart w:id="62" w:name="_Toc31514"/>
      <w:r>
        <w:rPr>
          <w:rFonts w:hint="eastAsia" w:ascii="宋体" w:hAnsi="宋体" w:cs="宋体"/>
          <w:b/>
          <w:bCs/>
          <w:sz w:val="24"/>
          <w:lang w:eastAsia="zh-CN"/>
        </w:rPr>
        <w:t>六</w:t>
      </w:r>
      <w:r>
        <w:rPr>
          <w:rFonts w:hint="eastAsia" w:ascii="宋体" w:hAnsi="宋体" w:cs="宋体"/>
          <w:b/>
          <w:bCs/>
          <w:sz w:val="24"/>
        </w:rPr>
        <w:t>、工程建设标准</w:t>
      </w:r>
      <w:bookmarkEnd w:id="52"/>
      <w:bookmarkEnd w:id="53"/>
      <w:bookmarkEnd w:id="54"/>
      <w:bookmarkEnd w:id="55"/>
      <w:bookmarkEnd w:id="56"/>
      <w:bookmarkEnd w:id="57"/>
      <w:bookmarkEnd w:id="58"/>
    </w:p>
    <w:p>
      <w:pPr>
        <w:shd w:val="clear" w:color="auto" w:fill="auto"/>
        <w:spacing w:line="500" w:lineRule="exact"/>
        <w:ind w:firstLine="480" w:firstLineChars="200"/>
        <w:rPr>
          <w:rFonts w:hint="eastAsia" w:ascii="宋体" w:hAnsi="宋体" w:cs="宋体"/>
          <w:color w:val="auto"/>
          <w:sz w:val="24"/>
          <w:shd w:val="clear" w:color="auto" w:fill="auto"/>
        </w:rPr>
      </w:pPr>
      <w:r>
        <w:rPr>
          <w:rFonts w:hint="eastAsia" w:ascii="宋体" w:hAnsi="宋体" w:cs="宋体"/>
          <w:color w:val="auto"/>
          <w:sz w:val="24"/>
          <w:shd w:val="clear" w:color="auto" w:fill="auto"/>
        </w:rPr>
        <w:t>依据设计文件的要求，本采购工程须达到与本工程有关的国家、省、市现行相关规范、规程、标准。</w:t>
      </w:r>
    </w:p>
    <w:p>
      <w:pPr>
        <w:spacing w:line="500" w:lineRule="exact"/>
        <w:jc w:val="left"/>
        <w:outlineLvl w:val="1"/>
        <w:rPr>
          <w:rFonts w:hint="eastAsia" w:ascii="宋体" w:hAnsi="宋体" w:cs="宋体"/>
          <w:b/>
          <w:bCs/>
          <w:sz w:val="24"/>
        </w:rPr>
      </w:pPr>
      <w:bookmarkStart w:id="63" w:name="_Toc10226"/>
      <w:bookmarkStart w:id="64" w:name="_Toc131969324"/>
      <w:bookmarkStart w:id="65" w:name="_Toc131793877"/>
      <w:bookmarkStart w:id="66" w:name="_Toc5557"/>
      <w:r>
        <w:rPr>
          <w:rFonts w:hint="eastAsia" w:ascii="宋体" w:hAnsi="宋体" w:cs="宋体"/>
          <w:b/>
          <w:bCs/>
          <w:sz w:val="24"/>
          <w:lang w:eastAsia="zh-CN"/>
        </w:rPr>
        <w:t>七</w:t>
      </w:r>
      <w:r>
        <w:rPr>
          <w:rFonts w:hint="eastAsia" w:ascii="宋体" w:hAnsi="宋体" w:cs="宋体"/>
          <w:b/>
          <w:bCs/>
          <w:sz w:val="24"/>
        </w:rPr>
        <w:t>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采购</w:t>
      </w:r>
      <w:r>
        <w:rPr>
          <w:rFonts w:hint="eastAsia" w:ascii="宋体" w:hAnsi="宋体" w:cs="宋体"/>
          <w:b/>
          <w:bCs/>
          <w:sz w:val="24"/>
        </w:rPr>
        <w:t>清单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>
      <w:pPr>
        <w:widowControl/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详见：后附</w:t>
      </w:r>
      <w:r>
        <w:rPr>
          <w:rFonts w:hint="eastAsia" w:ascii="宋体" w:hAnsi="宋体" w:cs="宋体"/>
          <w:sz w:val="24"/>
          <w:lang w:val="en-US" w:eastAsia="zh-CN"/>
        </w:rPr>
        <w:t>工程量</w:t>
      </w:r>
      <w:r>
        <w:rPr>
          <w:rFonts w:hint="eastAsia" w:ascii="宋体" w:hAnsi="宋体" w:cs="宋体"/>
          <w:sz w:val="24"/>
        </w:rPr>
        <w:t>清单。</w:t>
      </w:r>
    </w:p>
    <w:p>
      <w:bookmarkStart w:id="67" w:name="_GoBack"/>
      <w:bookmarkEnd w:id="6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016D2"/>
    <w:multiLevelType w:val="singleLevel"/>
    <w:tmpl w:val="074016D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MTRlN2Q5YTkzMjQ2NDA5MTc1OTM0YzY0YWEzMmYifQ=="/>
  </w:docVars>
  <w:rsids>
    <w:rsidRoot w:val="00000000"/>
    <w:rsid w:val="400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楷体_GB2312" w:eastAsia="楷体_GB2312"/>
      <w:kern w:val="0"/>
      <w:sz w:val="32"/>
      <w:szCs w:val="32"/>
    </w:rPr>
  </w:style>
  <w:style w:type="paragraph" w:styleId="3">
    <w:name w:val="Body Text"/>
    <w:basedOn w:val="1"/>
    <w:next w:val="1"/>
    <w:qFormat/>
    <w:uiPriority w:val="0"/>
    <w:rPr>
      <w:color w:val="99330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5"/>
    <w:uiPriority w:val="0"/>
    <w:rPr>
      <w:bdr w:val="none" w:color="auto" w:sz="0" w:space="0"/>
    </w:rPr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  <w:shd w:val="clear" w:fill="FFFFFF"/>
    </w:rPr>
  </w:style>
  <w:style w:type="character" w:customStyle="1" w:styleId="18">
    <w:name w:val="mini-outputtext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2024-04-08T04:26:11Z</dcterms:created>
  <dc:creator>Administrator</dc:creator>
  <cp:lastModifiedBy>宋。</cp:lastModifiedBy>
  <dcterms:modified xsi:type="dcterms:W3CDTF">2024-04-08T07:47:17Z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1F479ACE8CF648209E2824728C39C7D2_12</vt:lpwstr>
  </property>
</Properties>
</file>