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center"/>
        <w:rPr>
          <w:b/>
          <w:bCs/>
          <w:color w:val="0A82E5"/>
          <w:sz w:val="36"/>
          <w:szCs w:val="36"/>
        </w:rPr>
      </w:pPr>
      <w:bookmarkStart w:id="0" w:name="_GoBack"/>
      <w:r>
        <w:rPr>
          <w:rFonts w:ascii="宋体" w:hAnsi="宋体" w:eastAsia="宋体" w:cs="宋体"/>
          <w:b/>
          <w:bCs/>
          <w:color w:val="0A82E5"/>
          <w:kern w:val="0"/>
          <w:sz w:val="36"/>
          <w:szCs w:val="36"/>
          <w:bdr w:val="none" w:color="auto" w:sz="0" w:space="0"/>
          <w:lang w:val="en-US" w:eastAsia="zh-CN" w:bidi="ar"/>
        </w:rPr>
        <w:t>凤县凤州镇人民政府凤州镇邓家台村人饮水工程提升改造建设项目竞争性磋商公告</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凤州镇邓家台村人饮水工程提升改造建设项目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全国公共资源交易平台（陕西省·宝鸡市）</w:t>
      </w:r>
      <w:r>
        <w:rPr>
          <w:rFonts w:hint="eastAsia" w:ascii="微软雅黑" w:hAnsi="微软雅黑" w:eastAsia="微软雅黑" w:cs="微软雅黑"/>
          <w:i w:val="0"/>
          <w:iCs w:val="0"/>
          <w:caps w:val="0"/>
          <w:color w:val="333333"/>
          <w:spacing w:val="0"/>
          <w:sz w:val="21"/>
          <w:szCs w:val="21"/>
          <w:bdr w:val="none" w:color="auto" w:sz="0" w:space="0"/>
          <w:shd w:val="clear" w:fill="FFFFFF"/>
        </w:rPr>
        <w:t>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2024年05月11日 14时00分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项目编号：ZBYJ2024-ZB-008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项目名称：凤州镇邓家台村人饮水工程提升改造建设项目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预算金额：669,000.00元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合同包1(凤州镇邓家台村人饮水工程提升改造建设项目):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合同包预算金额：669,000.00元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合同包最高限价：668,629.10元</w:t>
      </w:r>
    </w:p>
    <w:tbl>
      <w:tblPr>
        <w:tblW w:w="85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14"/>
        <w:gridCol w:w="1787"/>
        <w:gridCol w:w="1787"/>
        <w:gridCol w:w="722"/>
        <w:gridCol w:w="1147"/>
        <w:gridCol w:w="1290"/>
        <w:gridCol w:w="1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4" w:hRule="atLeast"/>
          <w:tblHeader/>
        </w:trPr>
        <w:tc>
          <w:tcPr>
            <w:tcW w:w="55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21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21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7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14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83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83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3"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供水管道工程和下水道铺设</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供水管道工程和下水道铺设</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669,000.00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668,629.10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合同包1(凤州镇邓家台村人饮水工程提升改造建设项目)落实政府采购政策需满足的资格要求如下: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管理办法》（财库〔2020〕46号）、关于进一步加大政府采购支持中小企业力度的通知财库〔2022〕19号；（5）《财政部 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陕西省中小企业政府采购信用融资办法》（陕财办采〔2018〕23号）；（9）《陕西省财政厅关于加快推进我省中小企业政府采购信用融资工作的通知》（陕财办采〔2020〕15号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合同包1(凤州镇邓家台村人饮水工程提升改造建设项目)特定资格要求如下: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（1）供应商须具有独立法人资格和独立承担民事责任能力、统一社会信用代码的营业执照;</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（2）供应商须具备水利水电工程施工总承包三级（含三级）及以上企业资质、有效的安全生产许可证；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（3）项目经理须具备水利水电专业二级（含二级）以上注册建造师执业资格，且为本单位在职注册人员并无在建工程；</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（4）相关管理人员（企业负责人、项目经理、专职安全员）需具备有效的水行政主管部门颁发的安全生产考核合格证；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（5）供应商及拟投入管理人员信息须在“陕西省水利建设市场主体信用信息管理平台”建立信用档案，且各管理人员养老保险须在“陕西省水利建设市场主体信用信息管理平台”上可查询；</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供应商应授权合法的人员参加磋商，法定代表人（或单位负责人）直接参加的，须出具法定代表人（或单位负责人）资格证明书和身份证，并与营业执照上信息一致；授权代表参加的，须出具法定代表人（或单位负责人）授权委托书及被授权人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务状况报告：供应商须提供2022或2023年度经会计师事务所或审计机构审计的财务审计报告（包括资产负债表、利润表、现金流量表、报表附注等，成立时间至提交响应文件截止时间不足一年的可提供成立后任意时段的资产负债表）或其基本存款账户开户银行出具的资信证明。其他组织和自然人提供银行出具的资信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社会保障资金缴纳证明：供应商须提供参加本次政府采购活动前近一年内（2023年5月至今）本单位已缴纳的连续6个月的社会保障资金证明，供应商注册时间不满六个月的，应当提供注册时至参加政府采购活动时相应期限内本单位缴纳社会保障资金的清单（依法不需要缴纳社会保障资金的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（9）税收缴纳证明：供应商须提供参加本次政府采购活动前近一年内（2023年5月至今）本单位已缴纳的连续六个月的纳税证明或完税证明（依法免税的单位应提供相关证明材料）；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（10）供应商提供参加本次政府采购活动前3年内，在经营活动中没有重大违法记录的书面声明；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（11）供应商提供具有履行合同所必需的设备和专业技术能力的承诺函；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供应商不得为“信用中国”网站中列入重大税收违法失信主体的供应商；不得为“中国执行信息公开网”网站中列入失信被执行人的供应商；不得为“中国政府采购网”政府采购严重违法失信行为记录名单中被财政部门禁止参加政府采购活动的供应商；供应商、法定代表人、项目经理近三年内有行贿犯罪行为的不得参加本项目磋商（以中国裁判文书网查询结果截图为准）；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（13）单位负责人为同一人或者存在直接控股、管理关系的不同供应商，不得同时参加同一合同项下的政府采购活动；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（14）本项目专门面向中小企业采购，供应商须为中小企业并提供中小企业声明函；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（16）供应商参加本次水利工程招投标活动须信用记录良好，提供《水利工程招投标活动信用承诺书》；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（15）本项目不接受联合体磋商。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2024年04月30日 至 2024年05月09日 ，每天上午 09:00:00 至 12:00:00 ，下午 14:00:00 至 17:00:00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全国公共资源交易平台（陕西省·宝鸡市）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免费获取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2024年05月11日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全国公共资源交易平台（陕西省·宝鸡市）宝鸡市公共资源交易中心线上递交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2024年05月11日 14时00分00秒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全国公共资源交易平台（陕西省·宝鸡市）宝鸡市公共资源交易中心（投标商无需到场）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40"/>
        <w:jc w:val="left"/>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1、本项目有意向投标供应商须登录全国公共资源交易平台（陕西省·宝鸡市）宝鸡市公共资源交易中心（http://ggzy.baoji.gov.cn/，交易平台〖首页〉电子交易平台〉企业端〗后，在〖招标公告/出让公告〗模块中选择有意向的项目点击“我要投标”。即可从〖我的项目〉项目流程〉交易文件下载〗中下载电子招标文件（*.SXSZF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84"/>
        <w:jc w:val="left"/>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2、投标供应商在网上填写单位信息（单位名称、营业执照相关信息）时应与磋商文件要求及后期上传的电子投标文件中相关信息一致，否则造成资格审查不通过的后果自负；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84"/>
        <w:jc w:val="left"/>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3、本项目采用不见面开标方式，各投标供应商可登录（http://ggzy.baoji.gov.cn/fwzn/004003/subPage.html）下载《政府采购电子标书制作工具》、《政府采购投标单位操作手册》,《政府采购电子交易-不见面系统操作手册》，并在投标截止时间前通过全国公共资源交易平台（陕西省·宝鸡市）宝鸡市公共资源交易中心网站递交电子响应文件。磋商时在线解密响应文件、在线询标、在线多轮报价。为了保证远程不见面开标顺利进行，投标人需使用配备相关设备的电脑提前一小时登录网络开标大厅。因供应商自身设施故障或自身原因导致无法完成磋商的，由供应商自行承担后果；（建议使用IE11或者360极速浏览器兼容模式，投标单位电脑需配备耳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4、未完成网上投标或未在规定时间内在平台上下载电子磋商文件的，导致无法完成后续流程的责任自负；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84"/>
        <w:jc w:val="left"/>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5、有意向投标供应商办理CA锁地址及流程，内容如下：CA锁办理地址及流程：宝鸡市金台区行政大道8号海棠风尚宝鸡市公共资源交易中心4楼2号窗口（办理流程：http://ggzy.baoji.gov.cn/fwzn/004002/20220524/05ccf80e-6a61-43e9-90e9-ebdd8da75241.html）；如有技术性问题，请先翻阅操作手册或致电软件开发商，技术支持热线：4009980000；</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84"/>
        <w:jc w:val="left"/>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6、供应商须提前在陕西省政府采购网（http://www.ccgp-shaanxi.gov.cn/），按照“供应商注册注意事项”要求，完成注册审核，以保证后续流程的进行。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384"/>
        <w:jc w:val="left"/>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注意事项：投标供应商应随时留意可能发布的变更公告，当澄清或修改的内容影响投标文件编制时，将在交易平台上同步发布答疑文件，此时投标供应商应从“项目流程”答疑文件下载、下载最新发布的答疑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40"/>
        <w:jc w:val="left"/>
        <w:rPr>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根据陕西省财政厅关于印发《陕西省中小企业政府采购信用融资办法》陕财办采〔2018〕23号相关规定，有融资需求的供应商可根据自身情况，在陕西省政府采购信用融资平台（http://www.ccgp-shaanxi.gov.cn/zcdservice/zcd/shanxi/）自主选择金融机构及其融资产品，凭政府采购中标（成交）通知书或政府采购合同提出融资申请，办理“政采贷”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凤县凤州镇人民政府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陕西省凤县凤州镇学府路中段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18991711621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陕西智博昱京工程管理有限公司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陕西省宝鸡市渭滨区滨河南路容海互联网大厦1号楼703室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0917-3211855</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陕西智博昱京工程管理有限公司经办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0917-3211855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2Y2ZiOTUwMzAwYjRhMjY0NmNhNWRhNzRlOTc0MmEifQ=="/>
  </w:docVars>
  <w:rsids>
    <w:rsidRoot w:val="00000000"/>
    <w:rsid w:val="3CD02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2024-04-29T15:04:30Z</dcterms:created>
  <dc:creator>Administrator</dc:creator>
  <cp:lastModifiedBy>阿啾咪。</cp:lastModifiedBy>
  <dcterms:modified xsi:type="dcterms:W3CDTF">2024-04-29T15:23:21Z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1108B7A9B8D34EAA98328A3E326CC49C_12</vt:lpwstr>
  </property>
</Properties>
</file>