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 xml:space="preserve">                                                                                                                                                                                                    陇县公安局城关派出所“百千工程”基础设施改造采购项目需求</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b/>
          <w:bCs/>
          <w:sz w:val="32"/>
          <w:szCs w:val="32"/>
          <w:lang w:val="en-US" w:eastAsia="zh-CN"/>
        </w:rPr>
      </w:pPr>
      <w:r>
        <w:rPr>
          <w:rFonts w:hint="eastAsia" w:ascii="黑体" w:hAnsi="黑体" w:eastAsia="黑体" w:cs="黑体"/>
          <w:b w:val="0"/>
          <w:bCs w:val="0"/>
          <w:sz w:val="32"/>
          <w:szCs w:val="32"/>
          <w:lang w:val="en-US" w:eastAsia="zh-CN"/>
        </w:rPr>
        <w:t>一、项目概况</w:t>
      </w:r>
    </w:p>
    <w:p>
      <w:pPr>
        <w:pStyle w:val="2"/>
        <w:keepNext w:val="0"/>
        <w:keepLines w:val="0"/>
        <w:pageBreakBefore w:val="0"/>
        <w:kinsoku w:val="0"/>
        <w:wordWrap/>
        <w:overflowPunct/>
        <w:topLinePunct w:val="0"/>
        <w:autoSpaceDE w:val="0"/>
        <w:bidi w:val="0"/>
        <w:snapToGrid w:val="0"/>
        <w:spacing w:line="480" w:lineRule="exact"/>
        <w:ind w:firstLine="640" w:firstLineChars="200"/>
        <w:rPr>
          <w:rFonts w:hint="eastAsia" w:eastAsia="宋体"/>
          <w:lang w:val="en-US" w:eastAsia="zh-CN"/>
        </w:rPr>
      </w:pPr>
      <w:r>
        <w:rPr>
          <w:rFonts w:hint="eastAsia" w:ascii="仿宋" w:hAnsi="仿宋" w:eastAsia="仿宋" w:cs="仿宋"/>
          <w:sz w:val="32"/>
          <w:szCs w:val="32"/>
          <w:lang w:val="en-US" w:eastAsia="zh-CN"/>
        </w:rPr>
        <w:t>本项目为陇县公安局城关派出所“百千工程”基础设施改造采购项目。本工程</w:t>
      </w:r>
      <w:r>
        <w:rPr>
          <w:rFonts w:hint="eastAsia" w:ascii="仿宋_GB2312" w:hAnsi="仿宋_GB2312" w:eastAsia="仿宋_GB2312" w:cs="仿宋_GB2312"/>
          <w:b w:val="0"/>
          <w:bCs w:val="0"/>
          <w:snapToGrid w:val="0"/>
          <w:color w:val="000000"/>
          <w:kern w:val="0"/>
          <w:sz w:val="28"/>
          <w:szCs w:val="28"/>
          <w:lang w:val="en-US" w:eastAsia="zh-CN" w:bidi="ar"/>
        </w:rPr>
        <w:t>建设地点为陇县公安局城关派出所宿办楼提升工程，具体为外墙刷新、楼梯封闭、内墙装饰粉刷、室内吊顶、楼道地面铺设。</w:t>
      </w:r>
      <w:r>
        <w:rPr>
          <w:rFonts w:hint="eastAsia" w:eastAsia="仿宋_GB2312"/>
          <w:sz w:val="28"/>
          <w:lang w:val="en-US" w:eastAsia="zh-CN"/>
        </w:rPr>
        <w:t>基础设施建设，具体为强弱电、照明灯更换、室外、院内地面铺设。</w:t>
      </w:r>
      <w:r>
        <w:rPr>
          <w:rFonts w:hint="eastAsia" w:ascii="仿宋_GB2312" w:hAnsi="仿宋_GB2312" w:eastAsia="仿宋_GB2312" w:cs="仿宋_GB2312"/>
          <w:b w:val="0"/>
          <w:bCs w:val="0"/>
          <w:snapToGrid w:val="0"/>
          <w:color w:val="000000"/>
          <w:kern w:val="0"/>
          <w:sz w:val="28"/>
          <w:szCs w:val="28"/>
          <w:lang w:val="en-US" w:eastAsia="zh-CN" w:bidi="ar"/>
        </w:rPr>
        <w:t>改造工程，具体为办公区卫生间及厨房上下水改造、宿办楼钢窗更换、宿办楼进户门更换。</w:t>
      </w:r>
      <w:r>
        <w:rPr>
          <w:rFonts w:hint="eastAsia" w:ascii="仿宋_GB2312" w:hAnsi="仿宋_GB2312" w:eastAsia="仿宋_GB2312" w:cs="仿宋_GB2312"/>
          <w:sz w:val="28"/>
          <w:szCs w:val="28"/>
          <w:lang w:val="en-US" w:eastAsia="zh-CN"/>
        </w:rPr>
        <w:t>其他项目，办公区附属设施改造。</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textAlignment w:val="auto"/>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二.投标人资格要求</w:t>
      </w:r>
    </w:p>
    <w:p>
      <w:pPr>
        <w:pStyle w:val="2"/>
        <w:keepNext w:val="0"/>
        <w:keepLines w:val="0"/>
        <w:pageBreakBefore w:val="0"/>
        <w:kinsoku w:val="0"/>
        <w:wordWrap/>
        <w:overflowPunct/>
        <w:topLinePunct w:val="0"/>
        <w:autoSpaceDE w:val="0"/>
        <w:bidi w:val="0"/>
        <w:snapToGrid w:val="0"/>
        <w:spacing w:line="480" w:lineRule="exact"/>
        <w:ind w:firstLine="560" w:firstLineChars="200"/>
        <w:rPr>
          <w:rFonts w:hint="eastAsia" w:eastAsia="仿宋_GB2312"/>
          <w:sz w:val="28"/>
          <w:lang w:val="en-US" w:eastAsia="zh-CN"/>
        </w:rPr>
      </w:pPr>
      <w:r>
        <w:rPr>
          <w:rFonts w:hint="eastAsia" w:eastAsia="仿宋_GB2312"/>
          <w:sz w:val="28"/>
          <w:lang w:val="en-US" w:eastAsia="zh-CN"/>
        </w:rPr>
        <w:t>符合《中华人民共和国政府采购法》第二十二条的规定，并提供下列材料：</w:t>
      </w:r>
    </w:p>
    <w:p>
      <w:pPr>
        <w:pStyle w:val="2"/>
        <w:keepNext w:val="0"/>
        <w:keepLines w:val="0"/>
        <w:pageBreakBefore w:val="0"/>
        <w:kinsoku w:val="0"/>
        <w:wordWrap/>
        <w:overflowPunct/>
        <w:topLinePunct w:val="0"/>
        <w:autoSpaceDE w:val="0"/>
        <w:bidi w:val="0"/>
        <w:snapToGrid w:val="0"/>
        <w:spacing w:line="480" w:lineRule="exact"/>
        <w:ind w:firstLine="560" w:firstLineChars="200"/>
        <w:rPr>
          <w:rFonts w:hint="eastAsia" w:eastAsia="仿宋_GB2312"/>
          <w:sz w:val="28"/>
          <w:lang w:val="en-US" w:eastAsia="en-US"/>
        </w:rPr>
      </w:pPr>
      <w:r>
        <w:rPr>
          <w:rFonts w:hint="eastAsia" w:eastAsia="仿宋_GB2312"/>
          <w:sz w:val="28"/>
          <w:lang w:val="en-US" w:eastAsia="en-US"/>
        </w:rPr>
        <w:t> （1）具有独立承担民事责任能力的法人、其他组织或自然人，并出具合法有效的营业执照或事业单位法人证书等国家规定的相关证明，自然人参与的提供其身份证明；</w:t>
      </w:r>
    </w:p>
    <w:p>
      <w:pPr>
        <w:pStyle w:val="2"/>
        <w:keepNext w:val="0"/>
        <w:keepLines w:val="0"/>
        <w:pageBreakBefore w:val="0"/>
        <w:kinsoku w:val="0"/>
        <w:wordWrap/>
        <w:overflowPunct/>
        <w:topLinePunct w:val="0"/>
        <w:autoSpaceDE w:val="0"/>
        <w:bidi w:val="0"/>
        <w:snapToGrid w:val="0"/>
        <w:spacing w:line="480" w:lineRule="exact"/>
        <w:ind w:firstLine="560" w:firstLineChars="200"/>
        <w:rPr>
          <w:rFonts w:hint="eastAsia" w:eastAsia="仿宋_GB2312"/>
          <w:sz w:val="28"/>
          <w:lang w:val="en-US" w:eastAsia="en-US"/>
        </w:rPr>
      </w:pPr>
      <w:r>
        <w:rPr>
          <w:rFonts w:hint="eastAsia" w:eastAsia="仿宋_GB2312"/>
          <w:sz w:val="28"/>
          <w:lang w:val="en-US" w:eastAsia="en-US"/>
        </w:rPr>
        <w:t>（2）法定代表人授权代表参加投标的，须出具法人签署的法定代表人授权书（附法定代表人、被授权委托人身份证复印件加盖公章）、本单位缴纳的202</w:t>
      </w:r>
      <w:r>
        <w:rPr>
          <w:rFonts w:hint="eastAsia" w:eastAsia="仿宋_GB2312"/>
          <w:sz w:val="28"/>
          <w:lang w:val="en-US" w:eastAsia="zh-CN"/>
        </w:rPr>
        <w:t>3</w:t>
      </w:r>
      <w:r>
        <w:rPr>
          <w:rFonts w:hint="eastAsia" w:eastAsia="仿宋_GB2312"/>
          <w:sz w:val="28"/>
          <w:lang w:val="en-US" w:eastAsia="en-US"/>
        </w:rPr>
        <w:t>年</w:t>
      </w:r>
      <w:r>
        <w:rPr>
          <w:rFonts w:hint="eastAsia" w:eastAsia="仿宋_GB2312"/>
          <w:sz w:val="28"/>
          <w:lang w:val="en-US" w:eastAsia="zh-CN"/>
        </w:rPr>
        <w:t>7</w:t>
      </w:r>
      <w:r>
        <w:rPr>
          <w:rFonts w:hint="eastAsia" w:eastAsia="仿宋_GB2312"/>
          <w:sz w:val="28"/>
          <w:lang w:val="en-US" w:eastAsia="en-US"/>
        </w:rPr>
        <w:t>月至今连续12个月的养老保险缴纳证明（法定代表人参加投标只须提供法定代表人身份证复印件）；</w:t>
      </w:r>
    </w:p>
    <w:p>
      <w:pPr>
        <w:pStyle w:val="2"/>
        <w:keepNext w:val="0"/>
        <w:keepLines w:val="0"/>
        <w:pageBreakBefore w:val="0"/>
        <w:kinsoku w:val="0"/>
        <w:wordWrap/>
        <w:overflowPunct/>
        <w:topLinePunct w:val="0"/>
        <w:autoSpaceDE w:val="0"/>
        <w:bidi w:val="0"/>
        <w:snapToGrid w:val="0"/>
        <w:spacing w:line="480" w:lineRule="exact"/>
        <w:ind w:firstLine="560" w:firstLineChars="200"/>
        <w:rPr>
          <w:rFonts w:hint="eastAsia" w:eastAsia="仿宋_GB2312"/>
          <w:sz w:val="28"/>
          <w:lang w:val="en-US" w:eastAsia="en-US"/>
        </w:rPr>
      </w:pPr>
      <w:r>
        <w:rPr>
          <w:rFonts w:hint="eastAsia" w:eastAsia="仿宋_GB2312"/>
          <w:sz w:val="28"/>
          <w:lang w:val="en-US" w:eastAsia="en-US"/>
        </w:rPr>
        <w:t>（3）具有建设行政主管部门核发的建筑工程专业承包二级及以上资质，且具有有效的安全生产许可证；</w:t>
      </w:r>
    </w:p>
    <w:p>
      <w:pPr>
        <w:pStyle w:val="2"/>
        <w:keepNext w:val="0"/>
        <w:keepLines w:val="0"/>
        <w:pageBreakBefore w:val="0"/>
        <w:kinsoku w:val="0"/>
        <w:wordWrap/>
        <w:overflowPunct/>
        <w:topLinePunct w:val="0"/>
        <w:autoSpaceDE w:val="0"/>
        <w:bidi w:val="0"/>
        <w:snapToGrid w:val="0"/>
        <w:spacing w:line="480" w:lineRule="exact"/>
        <w:ind w:firstLine="560" w:firstLineChars="200"/>
        <w:rPr>
          <w:rFonts w:hint="eastAsia" w:eastAsia="仿宋_GB2312"/>
          <w:sz w:val="28"/>
          <w:lang w:val="en-US" w:eastAsia="en-US"/>
        </w:rPr>
      </w:pPr>
      <w:r>
        <w:rPr>
          <w:rFonts w:hint="eastAsia" w:eastAsia="仿宋_GB2312"/>
          <w:sz w:val="28"/>
          <w:lang w:val="en-US" w:eastAsia="en-US"/>
        </w:rPr>
        <w:t>（4）拟派项目经理须具备建筑工程专业二级及以上注册建造师资格，具有有效的建设行政主管部门颁发的安全生产考核合格证，为本单位在职人员且无在建项目(提供加盖公章的无在建承诺书及在本单位缴纳的2023年</w:t>
      </w:r>
      <w:r>
        <w:rPr>
          <w:rFonts w:hint="eastAsia" w:eastAsia="仿宋_GB2312"/>
          <w:sz w:val="28"/>
          <w:lang w:val="en-US" w:eastAsia="zh-CN"/>
        </w:rPr>
        <w:t>7</w:t>
      </w:r>
      <w:r>
        <w:rPr>
          <w:rFonts w:hint="eastAsia" w:eastAsia="仿宋_GB2312"/>
          <w:sz w:val="28"/>
          <w:lang w:val="en-US" w:eastAsia="en-US"/>
        </w:rPr>
        <w:t>月至今连续12个月的养老保险缴纳证明)；</w:t>
      </w:r>
    </w:p>
    <w:p>
      <w:pPr>
        <w:pStyle w:val="2"/>
        <w:keepNext w:val="0"/>
        <w:keepLines w:val="0"/>
        <w:pageBreakBefore w:val="0"/>
        <w:kinsoku w:val="0"/>
        <w:wordWrap/>
        <w:overflowPunct/>
        <w:topLinePunct w:val="0"/>
        <w:autoSpaceDE w:val="0"/>
        <w:bidi w:val="0"/>
        <w:snapToGrid w:val="0"/>
        <w:spacing w:line="480" w:lineRule="exact"/>
        <w:ind w:firstLine="560" w:firstLineChars="200"/>
        <w:rPr>
          <w:rFonts w:hint="eastAsia" w:eastAsia="仿宋_GB2312"/>
          <w:sz w:val="28"/>
          <w:lang w:val="en-US" w:eastAsia="en-US"/>
        </w:rPr>
      </w:pPr>
      <w:r>
        <w:rPr>
          <w:rFonts w:hint="eastAsia" w:eastAsia="仿宋_GB2312"/>
          <w:sz w:val="28"/>
          <w:lang w:val="en-US" w:eastAsia="en-US"/>
        </w:rPr>
        <w:t>（5）财务状况报告：提供202</w:t>
      </w:r>
      <w:r>
        <w:rPr>
          <w:rFonts w:hint="eastAsia" w:eastAsia="仿宋_GB2312"/>
          <w:sz w:val="28"/>
          <w:lang w:val="en-US" w:eastAsia="zh-CN"/>
        </w:rPr>
        <w:t>3</w:t>
      </w:r>
      <w:r>
        <w:rPr>
          <w:rFonts w:hint="eastAsia" w:eastAsia="仿宋_GB2312"/>
          <w:sz w:val="28"/>
          <w:lang w:val="en-US" w:eastAsia="en-US"/>
        </w:rPr>
        <w:t>年度经会计师事务所或审计机构审计的财务审计报告（成立时间至提交磋商响应文件截止时间不足一年的可提供成立后任意时段的资产负债表、现金流量表、利润表，或提供投标截止时间前半年内由其基本户开户行出具的银行资信证明）附开户许可证或基本账户证明；</w:t>
      </w:r>
    </w:p>
    <w:p>
      <w:pPr>
        <w:pStyle w:val="2"/>
        <w:keepNext w:val="0"/>
        <w:keepLines w:val="0"/>
        <w:pageBreakBefore w:val="0"/>
        <w:kinsoku w:val="0"/>
        <w:wordWrap/>
        <w:overflowPunct/>
        <w:topLinePunct w:val="0"/>
        <w:autoSpaceDE w:val="0"/>
        <w:bidi w:val="0"/>
        <w:snapToGrid w:val="0"/>
        <w:spacing w:line="480" w:lineRule="exact"/>
        <w:ind w:firstLine="560" w:firstLineChars="200"/>
        <w:rPr>
          <w:rFonts w:hint="eastAsia" w:eastAsia="仿宋_GB2312"/>
          <w:sz w:val="28"/>
          <w:lang w:val="en-US" w:eastAsia="zh-CN"/>
        </w:rPr>
      </w:pPr>
      <w:r>
        <w:rPr>
          <w:rFonts w:hint="eastAsia" w:eastAsia="仿宋_GB2312"/>
          <w:sz w:val="28"/>
          <w:lang w:val="en-US" w:eastAsia="en-US"/>
        </w:rPr>
        <w:t>（6）社会保障资金缴纳证明：供应商须提供参加本次政府采购活动前近一年内(2023年</w:t>
      </w:r>
      <w:r>
        <w:rPr>
          <w:rFonts w:hint="eastAsia" w:eastAsia="仿宋_GB2312"/>
          <w:sz w:val="28"/>
          <w:lang w:val="en-US" w:eastAsia="zh-CN"/>
        </w:rPr>
        <w:t>7</w:t>
      </w:r>
      <w:r>
        <w:rPr>
          <w:rFonts w:hint="eastAsia" w:eastAsia="仿宋_GB2312"/>
          <w:sz w:val="28"/>
          <w:lang w:val="en-US" w:eastAsia="en-US"/>
        </w:rPr>
        <w:t>月至今)本单位已缴纳的至少六个月的社会保障资金缴纳证明</w:t>
      </w:r>
      <w:r>
        <w:rPr>
          <w:rFonts w:hint="eastAsia" w:eastAsia="仿宋_GB2312"/>
          <w:sz w:val="28"/>
          <w:lang w:val="en-US" w:eastAsia="zh-CN"/>
        </w:rPr>
        <w:t>；</w:t>
      </w:r>
    </w:p>
    <w:p>
      <w:pPr>
        <w:pStyle w:val="2"/>
        <w:keepNext w:val="0"/>
        <w:keepLines w:val="0"/>
        <w:pageBreakBefore w:val="0"/>
        <w:kinsoku w:val="0"/>
        <w:wordWrap/>
        <w:overflowPunct/>
        <w:topLinePunct w:val="0"/>
        <w:autoSpaceDE w:val="0"/>
        <w:bidi w:val="0"/>
        <w:snapToGrid w:val="0"/>
        <w:spacing w:line="480" w:lineRule="exact"/>
        <w:ind w:firstLine="560" w:firstLineChars="200"/>
        <w:rPr>
          <w:rFonts w:hint="eastAsia" w:eastAsia="仿宋_GB2312"/>
          <w:sz w:val="28"/>
          <w:lang w:val="en-US" w:eastAsia="en-US"/>
        </w:rPr>
      </w:pPr>
      <w:r>
        <w:rPr>
          <w:rFonts w:hint="eastAsia" w:eastAsia="仿宋_GB2312"/>
          <w:sz w:val="28"/>
          <w:lang w:val="en-US" w:eastAsia="en-US"/>
        </w:rPr>
        <w:t>（7）税收缴纳证明：供应商须提供参加本次政府采购活动前近一年内(2023年</w:t>
      </w:r>
      <w:r>
        <w:rPr>
          <w:rFonts w:hint="eastAsia" w:eastAsia="仿宋_GB2312"/>
          <w:sz w:val="28"/>
          <w:lang w:val="en-US" w:eastAsia="zh-CN"/>
        </w:rPr>
        <w:t>7</w:t>
      </w:r>
      <w:r>
        <w:rPr>
          <w:rFonts w:hint="eastAsia" w:eastAsia="仿宋_GB2312"/>
          <w:sz w:val="28"/>
          <w:lang w:val="en-US" w:eastAsia="en-US"/>
        </w:rPr>
        <w:t>月至今)本单位已缴纳的至少六个月的完税凭证或完税证明(完税凭证或完税证明上应有代收机构或税务机关的公章或业务专用章</w:t>
      </w:r>
      <w:r>
        <w:rPr>
          <w:rFonts w:hint="eastAsia" w:eastAsia="仿宋_GB2312"/>
          <w:sz w:val="28"/>
          <w:lang w:val="en-US" w:eastAsia="zh-CN"/>
        </w:rPr>
        <w:t>，</w:t>
      </w:r>
      <w:r>
        <w:rPr>
          <w:rFonts w:hint="eastAsia" w:eastAsia="仿宋_GB2312"/>
          <w:sz w:val="28"/>
          <w:lang w:val="en-US" w:eastAsia="en-US"/>
        </w:rPr>
        <w:t>依法免税的单位应提供相关证明材料)；</w:t>
      </w:r>
    </w:p>
    <w:p>
      <w:pPr>
        <w:pStyle w:val="2"/>
        <w:keepNext w:val="0"/>
        <w:keepLines w:val="0"/>
        <w:pageBreakBefore w:val="0"/>
        <w:kinsoku w:val="0"/>
        <w:wordWrap/>
        <w:overflowPunct/>
        <w:topLinePunct w:val="0"/>
        <w:autoSpaceDE w:val="0"/>
        <w:bidi w:val="0"/>
        <w:snapToGrid w:val="0"/>
        <w:spacing w:line="480" w:lineRule="exact"/>
        <w:ind w:firstLine="560" w:firstLineChars="200"/>
        <w:rPr>
          <w:rFonts w:hint="eastAsia" w:eastAsia="仿宋_GB2312"/>
          <w:sz w:val="28"/>
          <w:lang w:val="en-US" w:eastAsia="en-US"/>
        </w:rPr>
      </w:pPr>
      <w:r>
        <w:rPr>
          <w:rFonts w:hint="eastAsia" w:eastAsia="仿宋_GB2312"/>
          <w:sz w:val="28"/>
          <w:lang w:val="en-US" w:eastAsia="en-US"/>
        </w:rPr>
        <w:t>（8）供应商提供参加本次政府采购活动前3年内，在经营活动中没有重大违法记录的书面声明；</w:t>
      </w:r>
    </w:p>
    <w:p>
      <w:pPr>
        <w:pStyle w:val="2"/>
        <w:keepNext w:val="0"/>
        <w:keepLines w:val="0"/>
        <w:pageBreakBefore w:val="0"/>
        <w:kinsoku w:val="0"/>
        <w:wordWrap/>
        <w:overflowPunct/>
        <w:topLinePunct w:val="0"/>
        <w:autoSpaceDE w:val="0"/>
        <w:bidi w:val="0"/>
        <w:snapToGrid w:val="0"/>
        <w:spacing w:line="480" w:lineRule="exact"/>
        <w:ind w:firstLine="560" w:firstLineChars="200"/>
        <w:rPr>
          <w:rFonts w:hint="eastAsia" w:eastAsia="仿宋_GB2312"/>
          <w:sz w:val="28"/>
          <w:lang w:val="en-US" w:eastAsia="en-US"/>
        </w:rPr>
      </w:pPr>
      <w:r>
        <w:rPr>
          <w:rFonts w:hint="eastAsia" w:eastAsia="仿宋_GB2312"/>
          <w:sz w:val="28"/>
          <w:lang w:val="en-US" w:eastAsia="en-US"/>
        </w:rPr>
        <w:t>（9）提供具有履行本合同所必需的设备和专业技术能力的承诺书；</w:t>
      </w:r>
    </w:p>
    <w:p>
      <w:pPr>
        <w:pStyle w:val="2"/>
        <w:keepNext w:val="0"/>
        <w:keepLines w:val="0"/>
        <w:pageBreakBefore w:val="0"/>
        <w:kinsoku w:val="0"/>
        <w:wordWrap/>
        <w:overflowPunct/>
        <w:topLinePunct w:val="0"/>
        <w:autoSpaceDE w:val="0"/>
        <w:bidi w:val="0"/>
        <w:snapToGrid w:val="0"/>
        <w:spacing w:line="480" w:lineRule="exact"/>
        <w:ind w:firstLine="560" w:firstLineChars="200"/>
        <w:rPr>
          <w:rFonts w:hint="eastAsia" w:eastAsia="仿宋_GB2312"/>
          <w:sz w:val="28"/>
          <w:lang w:val="en-US" w:eastAsia="en-US"/>
        </w:rPr>
      </w:pPr>
      <w:r>
        <w:rPr>
          <w:rFonts w:hint="eastAsia" w:eastAsia="仿宋_GB2312"/>
          <w:sz w:val="28"/>
          <w:lang w:val="en-US" w:eastAsia="en-US"/>
        </w:rPr>
        <w:t>（10）信用记录：供应商不得为“信用中国”网站（www.creditchina.gov.cn）中被列入重大税收违法失信主体的供应商；供应商、法定代表人、拟派建造师不得为“中国执行信息公开网”(http://zxgk.court.gov.cn//)被列入失信被执行人；供应商、法定代表人、拟派建造师近三年不得有行贿犯罪记录（通过中国裁判文书网http//:wenshu.court.gov.cn查询，查询时间在公告发布之日起之后）；供应商不得为“中国政府采购网”（www.ccgp.gov.cn）政府采购严重违法失信行为记录名单中被财政部门禁止参加政府采购活动的供应商。（以上网站查询截图，加盖公章）；</w:t>
      </w:r>
    </w:p>
    <w:p>
      <w:pPr>
        <w:pStyle w:val="2"/>
        <w:keepNext w:val="0"/>
        <w:keepLines w:val="0"/>
        <w:pageBreakBefore w:val="0"/>
        <w:kinsoku w:val="0"/>
        <w:wordWrap/>
        <w:overflowPunct/>
        <w:topLinePunct w:val="0"/>
        <w:autoSpaceDE w:val="0"/>
        <w:bidi w:val="0"/>
        <w:snapToGrid w:val="0"/>
        <w:spacing w:line="480" w:lineRule="exact"/>
        <w:ind w:firstLine="560" w:firstLineChars="200"/>
        <w:rPr>
          <w:rFonts w:hint="eastAsia" w:eastAsia="仿宋_GB2312"/>
          <w:sz w:val="28"/>
          <w:lang w:val="en-US" w:eastAsia="zh-CN"/>
        </w:rPr>
      </w:pPr>
      <w:r>
        <w:rPr>
          <w:rFonts w:hint="eastAsia" w:eastAsia="仿宋_GB2312"/>
          <w:sz w:val="28"/>
          <w:lang w:val="en-US" w:eastAsia="en-US"/>
        </w:rPr>
        <w:t>（11）单位负责人为同一人或者存在直接控股、管理关系的不同</w:t>
      </w:r>
      <w:r>
        <w:rPr>
          <w:rFonts w:hint="eastAsia" w:eastAsia="仿宋_GB2312"/>
          <w:sz w:val="28"/>
          <w:lang w:val="en-US" w:eastAsia="zh-CN"/>
        </w:rPr>
        <w:t>供应商</w:t>
      </w:r>
      <w:r>
        <w:rPr>
          <w:rFonts w:hint="eastAsia" w:eastAsia="仿宋_GB2312"/>
          <w:sz w:val="28"/>
          <w:lang w:val="en-US" w:eastAsia="en-US"/>
        </w:rPr>
        <w:t>，不得参与本次政府采购项目（提供承诺书）</w:t>
      </w:r>
      <w:r>
        <w:rPr>
          <w:rFonts w:hint="eastAsia" w:eastAsia="仿宋_GB2312"/>
          <w:sz w:val="28"/>
          <w:lang w:val="en-US" w:eastAsia="zh-CN"/>
        </w:rPr>
        <w:t>；</w:t>
      </w:r>
    </w:p>
    <w:p>
      <w:pPr>
        <w:pStyle w:val="2"/>
        <w:keepNext w:val="0"/>
        <w:keepLines w:val="0"/>
        <w:pageBreakBefore w:val="0"/>
        <w:kinsoku w:val="0"/>
        <w:wordWrap/>
        <w:overflowPunct/>
        <w:topLinePunct w:val="0"/>
        <w:autoSpaceDE w:val="0"/>
        <w:bidi w:val="0"/>
        <w:snapToGrid w:val="0"/>
        <w:spacing w:line="480" w:lineRule="exact"/>
        <w:ind w:firstLine="560" w:firstLineChars="200"/>
        <w:rPr>
          <w:rFonts w:hint="eastAsia" w:eastAsia="仿宋_GB2312"/>
          <w:sz w:val="28"/>
          <w:lang w:val="en-US" w:eastAsia="en-US"/>
        </w:rPr>
      </w:pPr>
      <w:r>
        <w:rPr>
          <w:rFonts w:hint="eastAsia" w:eastAsia="仿宋_GB2312"/>
          <w:sz w:val="28"/>
          <w:lang w:val="en-US" w:eastAsia="en-US"/>
        </w:rPr>
        <w:t>（12）本项目专门面向中小企业采购，供应商须提供中小企业声明函（如有虚假，将依法承担相应责任）；</w:t>
      </w:r>
    </w:p>
    <w:p>
      <w:pPr>
        <w:pStyle w:val="2"/>
        <w:keepNext w:val="0"/>
        <w:keepLines w:val="0"/>
        <w:pageBreakBefore w:val="0"/>
        <w:kinsoku w:val="0"/>
        <w:wordWrap/>
        <w:overflowPunct/>
        <w:topLinePunct w:val="0"/>
        <w:autoSpaceDE w:val="0"/>
        <w:bidi w:val="0"/>
        <w:snapToGrid w:val="0"/>
        <w:spacing w:line="480" w:lineRule="exact"/>
        <w:ind w:firstLine="560" w:firstLineChars="200"/>
        <w:rPr>
          <w:rFonts w:hint="eastAsia" w:eastAsia="仿宋_GB2312"/>
          <w:sz w:val="28"/>
          <w:lang w:val="en-US" w:eastAsia="en-US"/>
        </w:rPr>
      </w:pPr>
      <w:r>
        <w:rPr>
          <w:rFonts w:hint="eastAsia" w:eastAsia="仿宋_GB2312"/>
          <w:sz w:val="28"/>
          <w:lang w:val="en-US" w:eastAsia="en-US"/>
        </w:rPr>
        <w:t>（13）本项目不接受联合体磋商（提供承诺书）。                 </w:t>
      </w:r>
    </w:p>
    <w:p>
      <w:pPr>
        <w:pStyle w:val="2"/>
        <w:keepNext w:val="0"/>
        <w:keepLines w:val="0"/>
        <w:pageBreakBefore w:val="0"/>
        <w:kinsoku w:val="0"/>
        <w:wordWrap/>
        <w:overflowPunct/>
        <w:topLinePunct w:val="0"/>
        <w:autoSpaceDE w:val="0"/>
        <w:bidi w:val="0"/>
        <w:snapToGrid w:val="0"/>
        <w:spacing w:line="480" w:lineRule="exact"/>
        <w:ind w:firstLine="560" w:firstLineChars="200"/>
        <w:rPr>
          <w:rFonts w:hint="eastAsia" w:eastAsia="仿宋_GB2312"/>
          <w:sz w:val="28"/>
          <w:lang w:val="en-US" w:eastAsia="zh-CN"/>
        </w:rPr>
      </w:pPr>
      <w:r>
        <w:rPr>
          <w:rFonts w:hint="eastAsia" w:eastAsia="仿宋_GB2312"/>
          <w:sz w:val="28"/>
          <w:lang w:val="en-US" w:eastAsia="zh-CN"/>
        </w:rPr>
        <w:t>备注：</w:t>
      </w:r>
    </w:p>
    <w:p>
      <w:pPr>
        <w:pStyle w:val="2"/>
        <w:keepNext w:val="0"/>
        <w:keepLines w:val="0"/>
        <w:pageBreakBefore w:val="0"/>
        <w:kinsoku w:val="0"/>
        <w:wordWrap/>
        <w:overflowPunct/>
        <w:topLinePunct w:val="0"/>
        <w:autoSpaceDE w:val="0"/>
        <w:bidi w:val="0"/>
        <w:snapToGrid w:val="0"/>
        <w:spacing w:line="480" w:lineRule="exact"/>
        <w:ind w:firstLine="560" w:firstLineChars="200"/>
        <w:rPr>
          <w:rFonts w:hint="eastAsia" w:eastAsia="仿宋_GB2312"/>
          <w:sz w:val="28"/>
          <w:lang w:val="en-US" w:eastAsia="zh-CN"/>
        </w:rPr>
      </w:pPr>
      <w:r>
        <w:rPr>
          <w:rFonts w:hint="eastAsia" w:eastAsia="仿宋_GB2312"/>
          <w:sz w:val="28"/>
          <w:lang w:val="en-US" w:eastAsia="zh-CN"/>
        </w:rPr>
        <w:t>1、以上资格要求均为必备资格，需提供相关证明文件并加盖供应商公章（如相关证明材料由第三方出具，应有第三方公章） ，缺少其中任何一项，其响应文件视为无效文件。</w:t>
      </w:r>
    </w:p>
    <w:p>
      <w:pPr>
        <w:pStyle w:val="2"/>
        <w:keepNext w:val="0"/>
        <w:keepLines w:val="0"/>
        <w:pageBreakBefore w:val="0"/>
        <w:kinsoku w:val="0"/>
        <w:wordWrap/>
        <w:overflowPunct/>
        <w:topLinePunct w:val="0"/>
        <w:autoSpaceDE w:val="0"/>
        <w:bidi w:val="0"/>
        <w:snapToGrid w:val="0"/>
        <w:spacing w:line="480" w:lineRule="exact"/>
        <w:ind w:firstLine="560" w:firstLineChars="200"/>
        <w:rPr>
          <w:rFonts w:hint="eastAsia" w:eastAsia="仿宋_GB2312"/>
          <w:sz w:val="28"/>
          <w:lang w:val="en-US" w:eastAsia="zh-CN"/>
        </w:rPr>
      </w:pPr>
      <w:r>
        <w:rPr>
          <w:rFonts w:hint="eastAsia" w:eastAsia="仿宋_GB2312"/>
          <w:sz w:val="28"/>
          <w:lang w:val="en-US" w:eastAsia="zh-CN"/>
        </w:rPr>
        <w:t>2、《供应商信用记录书面声明函》 、《法定代表人授权委托书》 、《书面声明》、《非联合体不分包投标声明》应按磋商文件第五章第一部分给定的格式填写。</w:t>
      </w:r>
    </w:p>
    <w:p>
      <w:pPr>
        <w:pStyle w:val="2"/>
        <w:keepNext w:val="0"/>
        <w:keepLines w:val="0"/>
        <w:pageBreakBefore w:val="0"/>
        <w:kinsoku w:val="0"/>
        <w:wordWrap/>
        <w:overflowPunct/>
        <w:topLinePunct w:val="0"/>
        <w:autoSpaceDE w:val="0"/>
        <w:bidi w:val="0"/>
        <w:snapToGrid w:val="0"/>
        <w:spacing w:line="480" w:lineRule="exact"/>
        <w:ind w:firstLine="560" w:firstLineChars="200"/>
        <w:rPr>
          <w:rFonts w:hint="eastAsia" w:eastAsia="仿宋_GB2312"/>
          <w:sz w:val="28"/>
          <w:lang w:val="en-US" w:eastAsia="zh-CN"/>
        </w:rPr>
      </w:pPr>
      <w:r>
        <w:rPr>
          <w:rFonts w:hint="eastAsia" w:eastAsia="仿宋_GB2312"/>
          <w:sz w:val="28"/>
          <w:lang w:val="en-US" w:eastAsia="zh-CN"/>
        </w:rPr>
        <w:t>3、法人的分支机构参与投标时，响应文件中应附法人给分支机构出具的授权书。授权书附在《法定代表人授权委托书》后，如无授权，将被视</w:t>
      </w:r>
    </w:p>
    <w:p>
      <w:pPr>
        <w:pStyle w:val="2"/>
        <w:keepNext w:val="0"/>
        <w:keepLines w:val="0"/>
        <w:pageBreakBefore w:val="0"/>
        <w:kinsoku w:val="0"/>
        <w:wordWrap/>
        <w:overflowPunct/>
        <w:topLinePunct w:val="0"/>
        <w:autoSpaceDE w:val="0"/>
        <w:bidi w:val="0"/>
        <w:snapToGrid w:val="0"/>
        <w:spacing w:line="480" w:lineRule="exact"/>
        <w:ind w:firstLine="560" w:firstLineChars="200"/>
        <w:rPr>
          <w:rFonts w:hint="eastAsia" w:eastAsia="仿宋_GB2312"/>
          <w:sz w:val="28"/>
          <w:lang w:val="en-US" w:eastAsia="zh-CN"/>
        </w:rPr>
      </w:pPr>
      <w:r>
        <w:rPr>
          <w:rFonts w:hint="eastAsia" w:eastAsia="仿宋_GB2312"/>
          <w:sz w:val="28"/>
          <w:lang w:val="en-US" w:eastAsia="zh-CN"/>
        </w:rPr>
        <w:t>为无效文件。法人只能授权一家分支机构参与投标，且不能与分支机构同时参与投标。</w:t>
      </w:r>
    </w:p>
    <w:p>
      <w:pPr>
        <w:pStyle w:val="2"/>
        <w:keepNext w:val="0"/>
        <w:keepLines w:val="0"/>
        <w:pageBreakBefore w:val="0"/>
        <w:kinsoku w:val="0"/>
        <w:wordWrap/>
        <w:overflowPunct/>
        <w:topLinePunct w:val="0"/>
        <w:autoSpaceDE w:val="0"/>
        <w:bidi w:val="0"/>
        <w:snapToGrid w:val="0"/>
        <w:spacing w:line="480" w:lineRule="exact"/>
        <w:ind w:firstLine="560" w:firstLineChars="200"/>
        <w:rPr>
          <w:rFonts w:hint="eastAsia" w:eastAsia="仿宋_GB2312"/>
          <w:sz w:val="28"/>
          <w:lang w:val="en-US" w:eastAsia="zh-CN"/>
        </w:rPr>
      </w:pPr>
      <w:r>
        <w:rPr>
          <w:rFonts w:hint="eastAsia" w:eastAsia="仿宋_GB2312"/>
          <w:sz w:val="28"/>
          <w:lang w:val="en-US" w:eastAsia="zh-CN"/>
        </w:rPr>
        <w:t>4、事业单位法人参与磋商可不提供财务状况报告、社会保障资金缴纳证明及税收缴纳证明。</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40" w:lineRule="exact"/>
        <w:ind w:leftChars="0" w:right="0" w:rightChars="0"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lang w:val="en-US" w:eastAsia="zh-CN"/>
        </w:rPr>
        <w:t>三、</w:t>
      </w:r>
      <w:r>
        <w:rPr>
          <w:rFonts w:hint="eastAsia" w:ascii="仿宋" w:hAnsi="仿宋" w:eastAsia="仿宋" w:cs="仿宋"/>
          <w:b/>
          <w:bCs/>
          <w:sz w:val="32"/>
          <w:szCs w:val="32"/>
        </w:rPr>
        <w:t>评标办法</w:t>
      </w:r>
    </w:p>
    <w:p>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32" w:firstLine="564" w:firstLineChars="200"/>
        <w:textAlignment w:val="baseline"/>
        <w:rPr>
          <w:color w:val="auto"/>
          <w:spacing w:val="2"/>
          <w:sz w:val="21"/>
          <w:szCs w:val="21"/>
          <w14:textOutline w14:w="5103" w14:cap="sq" w14:cmpd="sng">
            <w14:solidFill>
              <w14:srgbClr w14:val="000000"/>
            </w14:solidFill>
            <w14:prstDash w14:val="solid"/>
            <w14:bevel/>
          </w14:textOutline>
        </w:rPr>
      </w:pPr>
      <w:r>
        <w:rPr>
          <w:rFonts w:hint="eastAsia"/>
          <w:b w:val="0"/>
          <w:bCs w:val="0"/>
          <w:color w:val="auto"/>
          <w:spacing w:val="1"/>
          <w:sz w:val="28"/>
          <w:szCs w:val="28"/>
        </w:rPr>
        <w:t>在最大限度地满足竞争性磋商文件实质性要求前提下，按照竞争性磋商文件中规定的各项因素和相应的权重分值进行综合评审后，以总得分最高的供应商作为成交候选人并依次排序。评审委员会将综合分析供应商的各项评审因素，而不以单项评审因素的优劣评选出成交人。对所有供应商的磋商评估，都采用相同的程序和标准，严格按照竞争性磋商文件的要求和条件进行。</w:t>
      </w:r>
    </w:p>
    <w:p>
      <w:pPr>
        <w:spacing w:line="460" w:lineRule="exact"/>
        <w:jc w:val="center"/>
        <w:outlineLvl w:val="1"/>
        <w:rPr>
          <w:rFonts w:hint="eastAsia" w:ascii="仿宋" w:hAnsi="仿宋" w:eastAsia="仿宋" w:cs="仿宋"/>
          <w:b/>
          <w:color w:val="auto"/>
          <w:szCs w:val="21"/>
          <w:highlight w:val="none"/>
        </w:rPr>
      </w:pPr>
      <w:r>
        <w:rPr>
          <w:rFonts w:hint="eastAsia" w:ascii="仿宋" w:hAnsi="仿宋" w:eastAsia="仿宋" w:cs="仿宋"/>
          <w:color w:val="EF949E" w:themeColor="accent6" w:themeTint="99"/>
          <w:spacing w:val="2"/>
          <w:sz w:val="30"/>
          <w:szCs w:val="30"/>
          <w14:textOutline w14:w="5103" w14:cap="sq" w14:cmpd="sng">
            <w14:solidFill>
              <w14:srgbClr w14:val="000000"/>
            </w14:solidFill>
            <w14:prstDash w14:val="solid"/>
            <w14:bevel/>
          </w14:textOutline>
          <w14:textFill>
            <w14:solidFill>
              <w14:schemeClr w14:val="accent6">
                <w14:lumMod w14:val="60000"/>
                <w14:lumOff w14:val="40000"/>
              </w14:schemeClr>
            </w14:solidFill>
          </w14:textFill>
        </w:rPr>
        <w:t>评审要素及分值一览表</w:t>
      </w:r>
    </w:p>
    <w:tbl>
      <w:tblPr>
        <w:tblStyle w:val="12"/>
        <w:tblW w:w="9032"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1186"/>
        <w:gridCol w:w="849"/>
        <w:gridCol w:w="699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90" w:hRule="atLeast"/>
          <w:jc w:val="center"/>
        </w:trPr>
        <w:tc>
          <w:tcPr>
            <w:tcW w:w="1186" w:type="dxa"/>
            <w:tcBorders>
              <w:tl2br w:val="nil"/>
              <w:tr2bl w:val="nil"/>
            </w:tcBorders>
            <w:noWrap w:val="0"/>
            <w:tcMar>
              <w:top w:w="0" w:type="dxa"/>
              <w:left w:w="108" w:type="dxa"/>
              <w:bottom w:w="0" w:type="dxa"/>
              <w:right w:w="108" w:type="dxa"/>
            </w:tcMar>
            <w:vAlign w:val="center"/>
          </w:tcPr>
          <w:p>
            <w:pPr>
              <w:keepNext w:val="0"/>
              <w:keepLines w:val="0"/>
              <w:widowControl/>
              <w:suppressLineNumbers w:val="0"/>
              <w:spacing w:before="100" w:beforeAutospacing="1" w:after="100" w:afterAutospacing="1" w:line="360" w:lineRule="auto"/>
              <w:ind w:left="0"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评标因素</w:t>
            </w:r>
          </w:p>
        </w:tc>
        <w:tc>
          <w:tcPr>
            <w:tcW w:w="849" w:type="dxa"/>
            <w:tcBorders>
              <w:tl2br w:val="nil"/>
              <w:tr2bl w:val="nil"/>
            </w:tcBorders>
            <w:noWrap w:val="0"/>
            <w:tcMar>
              <w:top w:w="0" w:type="dxa"/>
              <w:left w:w="108" w:type="dxa"/>
              <w:bottom w:w="0" w:type="dxa"/>
              <w:right w:w="108" w:type="dxa"/>
            </w:tcMar>
            <w:vAlign w:val="center"/>
          </w:tcPr>
          <w:p>
            <w:pPr>
              <w:keepNext w:val="0"/>
              <w:keepLines w:val="0"/>
              <w:widowControl/>
              <w:suppressLineNumbers w:val="0"/>
              <w:spacing w:before="100" w:beforeAutospacing="1" w:after="100" w:afterAutospacing="1" w:line="360" w:lineRule="auto"/>
              <w:ind w:left="0"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权值</w:t>
            </w:r>
          </w:p>
        </w:tc>
        <w:tc>
          <w:tcPr>
            <w:tcW w:w="6997" w:type="dxa"/>
            <w:tcBorders>
              <w:tl2br w:val="nil"/>
              <w:tr2bl w:val="nil"/>
            </w:tcBorders>
            <w:noWrap w:val="0"/>
            <w:tcMar>
              <w:top w:w="0" w:type="dxa"/>
              <w:left w:w="108" w:type="dxa"/>
              <w:bottom w:w="0" w:type="dxa"/>
              <w:right w:w="108" w:type="dxa"/>
            </w:tcMar>
            <w:vAlign w:val="center"/>
          </w:tcPr>
          <w:p>
            <w:pPr>
              <w:keepNext w:val="0"/>
              <w:keepLines w:val="0"/>
              <w:widowControl/>
              <w:suppressLineNumbers w:val="0"/>
              <w:spacing w:before="100" w:beforeAutospacing="1" w:after="100" w:afterAutospacing="1" w:line="360" w:lineRule="auto"/>
              <w:ind w:left="0"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评价要素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661" w:hRule="atLeast"/>
          <w:jc w:val="center"/>
        </w:trPr>
        <w:tc>
          <w:tcPr>
            <w:tcW w:w="1186" w:type="dxa"/>
            <w:tcBorders>
              <w:tl2br w:val="nil"/>
              <w:tr2bl w:val="nil"/>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240" w:lineRule="auto"/>
              <w:ind w:left="0" w:right="0"/>
              <w:jc w:val="center"/>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磋商</w:t>
            </w:r>
            <w:r>
              <w:rPr>
                <w:rFonts w:hint="eastAsia" w:ascii="仿宋" w:hAnsi="仿宋" w:eastAsia="仿宋" w:cs="仿宋"/>
                <w:color w:val="auto"/>
                <w:sz w:val="21"/>
                <w:szCs w:val="21"/>
                <w:highlight w:val="none"/>
              </w:rPr>
              <w:t>报价</w:t>
            </w:r>
          </w:p>
        </w:tc>
        <w:tc>
          <w:tcPr>
            <w:tcW w:w="849" w:type="dxa"/>
            <w:tcBorders>
              <w:tl2br w:val="nil"/>
              <w:tr2bl w:val="nil"/>
            </w:tcBorders>
            <w:noWrap w:val="0"/>
            <w:tcMar>
              <w:top w:w="0" w:type="dxa"/>
              <w:left w:w="108" w:type="dxa"/>
              <w:bottom w:w="0" w:type="dxa"/>
              <w:right w:w="108" w:type="dxa"/>
            </w:tcMar>
            <w:vAlign w:val="center"/>
          </w:tcPr>
          <w:p>
            <w:pPr>
              <w:keepNext w:val="0"/>
              <w:keepLines w:val="0"/>
              <w:widowControl/>
              <w:suppressLineNumbers w:val="0"/>
              <w:spacing w:before="100" w:beforeAutospacing="1" w:after="100" w:afterAutospacing="1" w:line="360" w:lineRule="auto"/>
              <w:ind w:left="0"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40分</w:t>
            </w:r>
          </w:p>
        </w:tc>
        <w:tc>
          <w:tcPr>
            <w:tcW w:w="6997" w:type="dxa"/>
            <w:tcBorders>
              <w:tl2br w:val="nil"/>
              <w:tr2bl w:val="nil"/>
            </w:tcBorders>
            <w:noWrap w:val="0"/>
            <w:tcMar>
              <w:top w:w="0" w:type="dxa"/>
              <w:left w:w="108" w:type="dxa"/>
              <w:bottom w:w="0" w:type="dxa"/>
              <w:right w:w="108" w:type="dxa"/>
            </w:tcMar>
            <w:vAlign w:val="center"/>
          </w:tcPr>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按照《政府采购竞争性磋商采购方式管理暂行办法》（财库〔2014〕214号）的有关规定：价格分采用低价优先法计算，价格即满足磋商文件要求且</w:t>
            </w:r>
            <w:r>
              <w:rPr>
                <w:rFonts w:hint="eastAsia" w:ascii="仿宋_GB2312" w:hAnsi="仿宋_GB2312" w:eastAsia="仿宋_GB2312" w:cs="仿宋_GB2312"/>
                <w:color w:val="auto"/>
                <w:sz w:val="21"/>
                <w:szCs w:val="21"/>
                <w:highlight w:val="none"/>
                <w:lang w:val="en-US" w:eastAsia="zh-CN"/>
              </w:rPr>
              <w:t>最后</w:t>
            </w:r>
            <w:r>
              <w:rPr>
                <w:rFonts w:hint="eastAsia" w:ascii="仿宋_GB2312" w:hAnsi="仿宋_GB2312" w:eastAsia="仿宋_GB2312" w:cs="仿宋_GB2312"/>
                <w:color w:val="auto"/>
                <w:sz w:val="21"/>
                <w:szCs w:val="21"/>
                <w:highlight w:val="none"/>
              </w:rPr>
              <w:t>磋商价格最低的磋商报价为评审基准价，其价格分为满分。其他供应商的价格分统一按照下列公式计算：</w:t>
            </w:r>
          </w:p>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 w:hAnsi="仿宋" w:eastAsia="仿宋" w:cs="仿宋"/>
                <w:color w:val="auto"/>
                <w:sz w:val="21"/>
                <w:szCs w:val="21"/>
                <w:highlight w:val="none"/>
              </w:rPr>
            </w:pPr>
            <w:r>
              <w:rPr>
                <w:rFonts w:hint="eastAsia" w:ascii="仿宋_GB2312" w:hAnsi="仿宋_GB2312" w:eastAsia="仿宋_GB2312" w:cs="仿宋_GB2312"/>
                <w:color w:val="auto"/>
                <w:sz w:val="21"/>
                <w:szCs w:val="21"/>
                <w:highlight w:val="none"/>
              </w:rPr>
              <w:t>磋商报价得分=（评审基准价/</w:t>
            </w:r>
            <w:r>
              <w:rPr>
                <w:rFonts w:hint="eastAsia" w:ascii="仿宋_GB2312" w:hAnsi="仿宋_GB2312" w:eastAsia="仿宋_GB2312" w:cs="仿宋_GB2312"/>
                <w:color w:val="auto"/>
                <w:sz w:val="21"/>
                <w:szCs w:val="21"/>
                <w:highlight w:val="none"/>
                <w:lang w:val="en-US" w:eastAsia="zh-CN"/>
              </w:rPr>
              <w:t>最后</w:t>
            </w:r>
            <w:r>
              <w:rPr>
                <w:rFonts w:hint="eastAsia" w:ascii="仿宋_GB2312" w:hAnsi="仿宋_GB2312" w:eastAsia="仿宋_GB2312" w:cs="仿宋_GB2312"/>
                <w:color w:val="auto"/>
                <w:sz w:val="21"/>
                <w:szCs w:val="21"/>
                <w:highlight w:val="none"/>
              </w:rPr>
              <w:t>磋商报价）×价格权值×100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529" w:hRule="atLeast"/>
          <w:jc w:val="center"/>
        </w:trPr>
        <w:tc>
          <w:tcPr>
            <w:tcW w:w="1186" w:type="dxa"/>
            <w:vMerge w:val="restart"/>
            <w:tcBorders>
              <w:tl2br w:val="nil"/>
              <w:tr2bl w:val="nil"/>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施工组织设计</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1"/>
                <w:szCs w:val="21"/>
                <w:highlight w:val="none"/>
                <w:lang w:val="en-US" w:eastAsia="zh-CN"/>
              </w:rPr>
            </w:pPr>
          </w:p>
        </w:tc>
        <w:tc>
          <w:tcPr>
            <w:tcW w:w="849" w:type="dxa"/>
            <w:vMerge w:val="restart"/>
            <w:tcBorders>
              <w:tl2br w:val="nil"/>
              <w:tr2bl w:val="nil"/>
            </w:tcBorders>
            <w:noWrap w:val="0"/>
            <w:tcMar>
              <w:top w:w="0" w:type="dxa"/>
              <w:left w:w="108" w:type="dxa"/>
              <w:bottom w:w="0" w:type="dxa"/>
              <w:right w:w="108" w:type="dxa"/>
            </w:tcMar>
            <w:vAlign w:val="center"/>
          </w:tcPr>
          <w:p>
            <w:pPr>
              <w:keepNext w:val="0"/>
              <w:keepLines w:val="0"/>
              <w:widowControl/>
              <w:suppressLineNumbers w:val="0"/>
              <w:spacing w:before="0" w:beforeAutospacing="0" w:after="0" w:afterAutospacing="0" w:line="320" w:lineRule="exact"/>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50分</w:t>
            </w:r>
          </w:p>
        </w:tc>
        <w:tc>
          <w:tcPr>
            <w:tcW w:w="6997" w:type="dxa"/>
            <w:tcBorders>
              <w:tl2br w:val="nil"/>
              <w:tr2bl w:val="nil"/>
            </w:tcBorders>
            <w:noWrap w:val="0"/>
            <w:tcMar>
              <w:top w:w="0" w:type="dxa"/>
              <w:left w:w="108" w:type="dxa"/>
              <w:bottom w:w="0" w:type="dxa"/>
              <w:right w:w="108" w:type="dxa"/>
            </w:tcMar>
            <w:vAlign w:val="center"/>
          </w:tcPr>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left"/>
              <w:textAlignment w:val="auto"/>
              <w:rPr>
                <w:rFonts w:hint="eastAsia" w:ascii="仿宋" w:hAnsi="仿宋" w:eastAsia="仿宋" w:cs="仿宋"/>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1、项目经理、主要技术人员、管理人员配备齐全的每项得2分，最高6分。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57" w:hRule="atLeast"/>
          <w:jc w:val="center"/>
        </w:trPr>
        <w:tc>
          <w:tcPr>
            <w:tcW w:w="1186" w:type="dxa"/>
            <w:vMerge w:val="continue"/>
            <w:tcBorders>
              <w:tl2br w:val="nil"/>
              <w:tr2bl w:val="nil"/>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1"/>
                <w:szCs w:val="21"/>
                <w:highlight w:val="none"/>
                <w:lang w:val="en-US" w:eastAsia="zh-CN"/>
              </w:rPr>
            </w:pPr>
          </w:p>
        </w:tc>
        <w:tc>
          <w:tcPr>
            <w:tcW w:w="849" w:type="dxa"/>
            <w:vMerge w:val="continue"/>
            <w:tcBorders>
              <w:tl2br w:val="nil"/>
              <w:tr2bl w:val="nil"/>
            </w:tcBorders>
            <w:noWrap w:val="0"/>
            <w:tcMar>
              <w:top w:w="0" w:type="dxa"/>
              <w:left w:w="108" w:type="dxa"/>
              <w:bottom w:w="0" w:type="dxa"/>
              <w:right w:w="108" w:type="dxa"/>
            </w:tcMar>
            <w:vAlign w:val="center"/>
          </w:tcPr>
          <w:p>
            <w:pPr>
              <w:keepNext w:val="0"/>
              <w:keepLines w:val="0"/>
              <w:widowControl/>
              <w:suppressLineNumbers w:val="0"/>
              <w:spacing w:before="0" w:beforeAutospacing="0" w:after="0" w:afterAutospacing="0" w:line="320" w:lineRule="exact"/>
              <w:ind w:left="0" w:right="0"/>
              <w:jc w:val="center"/>
              <w:rPr>
                <w:rFonts w:hint="eastAsia" w:ascii="仿宋" w:hAnsi="仿宋" w:eastAsia="仿宋" w:cs="仿宋"/>
                <w:color w:val="auto"/>
                <w:sz w:val="21"/>
                <w:szCs w:val="21"/>
                <w:highlight w:val="none"/>
                <w:lang w:val="en-US" w:eastAsia="zh-CN"/>
              </w:rPr>
            </w:pPr>
          </w:p>
        </w:tc>
        <w:tc>
          <w:tcPr>
            <w:tcW w:w="6997" w:type="dxa"/>
            <w:tcBorders>
              <w:tl2br w:val="nil"/>
              <w:tr2bl w:val="nil"/>
            </w:tcBorders>
            <w:noWrap w:val="0"/>
            <w:tcMar>
              <w:top w:w="0" w:type="dxa"/>
              <w:left w:w="108" w:type="dxa"/>
              <w:bottom w:w="0" w:type="dxa"/>
              <w:right w:w="108" w:type="dxa"/>
            </w:tcMar>
            <w:vAlign w:val="center"/>
          </w:tcPr>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left"/>
              <w:textAlignment w:val="auto"/>
              <w:rPr>
                <w:rFonts w:hint="eastAsia" w:ascii="仿宋" w:hAnsi="仿宋" w:eastAsia="仿宋" w:cs="仿宋"/>
                <w:color w:val="auto"/>
                <w:sz w:val="21"/>
                <w:szCs w:val="21"/>
                <w:highlight w:val="none"/>
                <w:lang w:val="en-US" w:eastAsia="zh-CN"/>
              </w:rPr>
            </w:pP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rPr>
              <w:t>施工技术方案内容全面、合理、可行，对重点部位、关键节点有针对性的制定合理的施工方案，符合行业标准。</w:t>
            </w:r>
            <w:r>
              <w:rPr>
                <w:rFonts w:hint="eastAsia" w:ascii="仿宋_GB2312" w:hAnsi="仿宋_GB2312" w:eastAsia="仿宋_GB2312" w:cs="仿宋_GB2312"/>
                <w:sz w:val="21"/>
                <w:szCs w:val="21"/>
                <w:lang w:eastAsia="zh-CN"/>
              </w:rPr>
              <w:t>有明确方案得</w:t>
            </w:r>
            <w:r>
              <w:rPr>
                <w:rFonts w:hint="eastAsia" w:ascii="仿宋_GB2312" w:hAnsi="仿宋_GB2312" w:eastAsia="仿宋_GB2312" w:cs="仿宋_GB2312"/>
                <w:sz w:val="21"/>
                <w:szCs w:val="21"/>
                <w:lang w:val="en-US" w:eastAsia="zh-CN"/>
              </w:rPr>
              <w:t>1分，</w:t>
            </w:r>
            <w:r>
              <w:rPr>
                <w:rFonts w:hint="eastAsia" w:ascii="仿宋_GB2312" w:hAnsi="仿宋_GB2312" w:eastAsia="仿宋_GB2312" w:cs="仿宋_GB2312"/>
                <w:sz w:val="21"/>
                <w:szCs w:val="21"/>
              </w:rPr>
              <w:t>方案合理得</w:t>
            </w:r>
            <w:r>
              <w:rPr>
                <w:rFonts w:hint="eastAsia" w:ascii="仿宋_GB2312" w:hAnsi="仿宋_GB2312" w:eastAsia="仿宋_GB2312" w:cs="仿宋_GB2312"/>
                <w:sz w:val="21"/>
                <w:szCs w:val="21"/>
                <w:lang w:val="en-US" w:eastAsia="zh-CN"/>
              </w:rPr>
              <w:t>3</w:t>
            </w:r>
            <w:r>
              <w:rPr>
                <w:rFonts w:hint="eastAsia" w:ascii="仿宋_GB2312" w:hAnsi="仿宋_GB2312" w:eastAsia="仿宋_GB2312" w:cs="仿宋_GB2312"/>
                <w:sz w:val="21"/>
                <w:szCs w:val="21"/>
              </w:rPr>
              <w:t>分；</w:t>
            </w:r>
            <w:r>
              <w:rPr>
                <w:rFonts w:hint="eastAsia" w:ascii="仿宋_GB2312" w:hAnsi="仿宋_GB2312" w:eastAsia="仿宋_GB2312" w:cs="仿宋_GB2312"/>
                <w:sz w:val="21"/>
                <w:szCs w:val="21"/>
                <w:lang w:eastAsia="zh-CN"/>
              </w:rPr>
              <w:t>方案合理、全面、可行性高、对重点部位关键节点有详细的施工方案得</w:t>
            </w:r>
            <w:r>
              <w:rPr>
                <w:rFonts w:hint="eastAsia" w:ascii="仿宋_GB2312" w:hAnsi="仿宋_GB2312" w:eastAsia="仿宋_GB2312" w:cs="仿宋_GB2312"/>
                <w:sz w:val="21"/>
                <w:szCs w:val="21"/>
                <w:lang w:val="en-US" w:eastAsia="zh-CN"/>
              </w:rPr>
              <w:t>6分。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02" w:hRule="atLeast"/>
          <w:jc w:val="center"/>
        </w:trPr>
        <w:tc>
          <w:tcPr>
            <w:tcW w:w="1186" w:type="dxa"/>
            <w:vMerge w:val="continue"/>
            <w:tcBorders>
              <w:tl2br w:val="nil"/>
              <w:tr2bl w:val="nil"/>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1"/>
                <w:szCs w:val="21"/>
                <w:highlight w:val="none"/>
                <w:lang w:val="en-US" w:eastAsia="zh-CN"/>
              </w:rPr>
            </w:pPr>
          </w:p>
        </w:tc>
        <w:tc>
          <w:tcPr>
            <w:tcW w:w="849" w:type="dxa"/>
            <w:vMerge w:val="continue"/>
            <w:tcBorders>
              <w:tl2br w:val="nil"/>
              <w:tr2bl w:val="nil"/>
            </w:tcBorders>
            <w:noWrap w:val="0"/>
            <w:tcMar>
              <w:top w:w="0" w:type="dxa"/>
              <w:left w:w="108" w:type="dxa"/>
              <w:bottom w:w="0" w:type="dxa"/>
              <w:right w:w="108" w:type="dxa"/>
            </w:tcMar>
            <w:vAlign w:val="center"/>
          </w:tcPr>
          <w:p>
            <w:pPr>
              <w:keepNext w:val="0"/>
              <w:keepLines w:val="0"/>
              <w:widowControl/>
              <w:suppressLineNumbers w:val="0"/>
              <w:spacing w:before="0" w:beforeAutospacing="0" w:after="0" w:afterAutospacing="0" w:line="320" w:lineRule="exact"/>
              <w:ind w:left="0" w:right="0"/>
              <w:jc w:val="center"/>
              <w:rPr>
                <w:rFonts w:hint="eastAsia" w:ascii="仿宋" w:hAnsi="仿宋" w:eastAsia="仿宋" w:cs="仿宋"/>
                <w:color w:val="auto"/>
                <w:sz w:val="21"/>
                <w:szCs w:val="21"/>
                <w:highlight w:val="none"/>
                <w:lang w:val="en-US" w:eastAsia="zh-CN"/>
              </w:rPr>
            </w:pPr>
          </w:p>
        </w:tc>
        <w:tc>
          <w:tcPr>
            <w:tcW w:w="6997" w:type="dxa"/>
            <w:tcBorders>
              <w:tl2br w:val="nil"/>
              <w:tr2bl w:val="nil"/>
            </w:tcBorders>
            <w:noWrap w:val="0"/>
            <w:tcMar>
              <w:top w:w="0" w:type="dxa"/>
              <w:left w:w="108" w:type="dxa"/>
              <w:bottom w:w="0" w:type="dxa"/>
              <w:right w:w="108" w:type="dxa"/>
            </w:tcMar>
            <w:vAlign w:val="center"/>
          </w:tcPr>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left"/>
              <w:textAlignment w:val="auto"/>
              <w:rPr>
                <w:rFonts w:hint="eastAsia" w:ascii="仿宋" w:hAnsi="仿宋" w:eastAsia="仿宋" w:cs="仿宋"/>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3、工期和进度计划。</w:t>
            </w:r>
            <w:r>
              <w:rPr>
                <w:rFonts w:hint="eastAsia" w:ascii="仿宋_GB2312" w:hAnsi="仿宋_GB2312" w:eastAsia="仿宋_GB2312" w:cs="仿宋_GB2312"/>
                <w:sz w:val="21"/>
                <w:szCs w:val="21"/>
                <w:lang w:eastAsia="zh-CN"/>
              </w:rPr>
              <w:t>总工期满足磋商文件要求得</w:t>
            </w:r>
            <w:r>
              <w:rPr>
                <w:rFonts w:hint="eastAsia" w:ascii="仿宋_GB2312" w:hAnsi="仿宋_GB2312" w:eastAsia="仿宋_GB2312" w:cs="仿宋_GB2312"/>
                <w:sz w:val="21"/>
                <w:szCs w:val="21"/>
                <w:lang w:val="en-US" w:eastAsia="zh-CN"/>
              </w:rPr>
              <w:t>1分，有合理工期节点安排的得3</w:t>
            </w:r>
            <w:r>
              <w:rPr>
                <w:rFonts w:hint="eastAsia" w:ascii="仿宋_GB2312" w:hAnsi="仿宋_GB2312" w:eastAsia="仿宋_GB2312" w:cs="仿宋_GB2312"/>
                <w:sz w:val="21"/>
                <w:szCs w:val="21"/>
              </w:rPr>
              <w:t>分；</w:t>
            </w:r>
            <w:r>
              <w:rPr>
                <w:rFonts w:hint="eastAsia" w:ascii="仿宋_GB2312" w:hAnsi="仿宋_GB2312" w:eastAsia="仿宋_GB2312" w:cs="仿宋_GB2312"/>
                <w:sz w:val="21"/>
                <w:szCs w:val="21"/>
                <w:lang w:eastAsia="zh-CN"/>
              </w:rPr>
              <w:t>工期节点安排</w:t>
            </w:r>
            <w:r>
              <w:rPr>
                <w:rFonts w:hint="eastAsia" w:ascii="仿宋_GB2312" w:hAnsi="仿宋_GB2312" w:eastAsia="仿宋_GB2312" w:cs="仿宋_GB2312"/>
                <w:sz w:val="21"/>
                <w:szCs w:val="21"/>
              </w:rPr>
              <w:t>较为完善</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有合理压缩节点工期分析</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有补救延误工期措施的</w:t>
            </w:r>
            <w:r>
              <w:rPr>
                <w:rFonts w:hint="eastAsia" w:ascii="仿宋_GB2312" w:hAnsi="仿宋_GB2312" w:eastAsia="仿宋_GB2312" w:cs="仿宋_GB2312"/>
                <w:sz w:val="21"/>
                <w:szCs w:val="21"/>
                <w:lang w:val="en-US" w:eastAsia="zh-CN"/>
              </w:rPr>
              <w:t>6</w:t>
            </w:r>
            <w:r>
              <w:rPr>
                <w:rFonts w:hint="eastAsia" w:ascii="仿宋_GB2312" w:hAnsi="仿宋_GB2312" w:eastAsia="仿宋_GB2312" w:cs="仿宋_GB2312"/>
                <w:sz w:val="21"/>
                <w:szCs w:val="21"/>
              </w:rPr>
              <w:t>分</w:t>
            </w:r>
            <w:r>
              <w:rPr>
                <w:rFonts w:hint="eastAsia" w:ascii="仿宋_GB2312" w:hAnsi="仿宋_GB2312" w:eastAsia="仿宋_GB2312" w:cs="仿宋_GB2312"/>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45" w:hRule="atLeast"/>
          <w:jc w:val="center"/>
        </w:trPr>
        <w:tc>
          <w:tcPr>
            <w:tcW w:w="1186" w:type="dxa"/>
            <w:vMerge w:val="continue"/>
            <w:tcBorders>
              <w:tl2br w:val="nil"/>
              <w:tr2bl w:val="nil"/>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1"/>
                <w:szCs w:val="21"/>
                <w:highlight w:val="none"/>
                <w:lang w:val="en-US" w:eastAsia="zh-CN"/>
              </w:rPr>
            </w:pPr>
          </w:p>
        </w:tc>
        <w:tc>
          <w:tcPr>
            <w:tcW w:w="849" w:type="dxa"/>
            <w:vMerge w:val="continue"/>
            <w:tcBorders>
              <w:tl2br w:val="nil"/>
              <w:tr2bl w:val="nil"/>
            </w:tcBorders>
            <w:noWrap w:val="0"/>
            <w:tcMar>
              <w:top w:w="0" w:type="dxa"/>
              <w:left w:w="108" w:type="dxa"/>
              <w:bottom w:w="0" w:type="dxa"/>
              <w:right w:w="108" w:type="dxa"/>
            </w:tcMar>
            <w:vAlign w:val="center"/>
          </w:tcPr>
          <w:p>
            <w:pPr>
              <w:keepNext w:val="0"/>
              <w:keepLines w:val="0"/>
              <w:widowControl/>
              <w:suppressLineNumbers w:val="0"/>
              <w:spacing w:before="0" w:beforeAutospacing="0" w:after="0" w:afterAutospacing="0" w:line="320" w:lineRule="exact"/>
              <w:ind w:left="0" w:right="0"/>
              <w:jc w:val="center"/>
              <w:rPr>
                <w:rFonts w:hint="eastAsia" w:ascii="仿宋" w:hAnsi="仿宋" w:eastAsia="仿宋" w:cs="仿宋"/>
                <w:color w:val="auto"/>
                <w:sz w:val="21"/>
                <w:szCs w:val="21"/>
                <w:highlight w:val="none"/>
                <w:lang w:val="en-US" w:eastAsia="zh-CN"/>
              </w:rPr>
            </w:pPr>
          </w:p>
        </w:tc>
        <w:tc>
          <w:tcPr>
            <w:tcW w:w="6997" w:type="dxa"/>
            <w:tcBorders>
              <w:tl2br w:val="nil"/>
              <w:tr2bl w:val="nil"/>
            </w:tcBorders>
            <w:noWrap w:val="0"/>
            <w:tcMar>
              <w:top w:w="0" w:type="dxa"/>
              <w:left w:w="108" w:type="dxa"/>
              <w:bottom w:w="0" w:type="dxa"/>
              <w:right w:w="108" w:type="dxa"/>
            </w:tcMar>
            <w:vAlign w:val="center"/>
          </w:tcPr>
          <w:p>
            <w:pPr>
              <w:keepNext w:val="0"/>
              <w:keepLines w:val="0"/>
              <w:pageBreakBefore w:val="0"/>
              <w:widowControl/>
              <w:suppressLineNumbers w:val="0"/>
              <w:kinsoku/>
              <w:overflowPunct/>
              <w:topLinePunct w:val="0"/>
              <w:autoSpaceDE/>
              <w:autoSpaceDN/>
              <w:bidi w:val="0"/>
              <w:spacing w:before="0" w:beforeAutospacing="0" w:after="0" w:afterAutospacing="0" w:line="38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color w:val="auto"/>
                <w:sz w:val="21"/>
                <w:szCs w:val="21"/>
                <w:highlight w:val="none"/>
                <w:lang w:val="en-US" w:eastAsia="zh-CN"/>
              </w:rPr>
              <w:t>4、质量保证体系与措施。</w:t>
            </w:r>
            <w:r>
              <w:rPr>
                <w:rFonts w:hint="eastAsia" w:ascii="仿宋_GB2312" w:hAnsi="仿宋_GB2312" w:eastAsia="仿宋_GB2312" w:cs="仿宋_GB2312"/>
                <w:sz w:val="21"/>
                <w:szCs w:val="21"/>
              </w:rPr>
              <w:t>质量管理组织体系、措施完善</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管理措施科学合理。</w:t>
            </w:r>
            <w:r>
              <w:rPr>
                <w:rFonts w:hint="eastAsia" w:ascii="仿宋_GB2312" w:hAnsi="仿宋_GB2312" w:eastAsia="仿宋_GB2312" w:cs="仿宋_GB2312"/>
                <w:sz w:val="21"/>
                <w:szCs w:val="21"/>
                <w:lang w:eastAsia="zh-CN"/>
              </w:rPr>
              <w:t>有明确措施得</w:t>
            </w:r>
            <w:r>
              <w:rPr>
                <w:rFonts w:hint="eastAsia" w:ascii="仿宋_GB2312" w:hAnsi="仿宋_GB2312" w:eastAsia="仿宋_GB2312" w:cs="仿宋_GB2312"/>
                <w:sz w:val="21"/>
                <w:szCs w:val="21"/>
                <w:lang w:val="en-US" w:eastAsia="zh-CN"/>
              </w:rPr>
              <w:t>1分，</w:t>
            </w:r>
            <w:r>
              <w:rPr>
                <w:rFonts w:hint="eastAsia" w:ascii="仿宋_GB2312" w:hAnsi="仿宋_GB2312" w:eastAsia="仿宋_GB2312" w:cs="仿宋_GB2312"/>
                <w:sz w:val="21"/>
                <w:szCs w:val="21"/>
              </w:rPr>
              <w:t>措施合理得3分；质量目标明确，管理体系健全，质量管理措施完善，质量管理措施科学、合理</w:t>
            </w:r>
            <w:r>
              <w:rPr>
                <w:rFonts w:hint="eastAsia" w:ascii="仿宋_GB2312" w:hAnsi="仿宋_GB2312" w:eastAsia="仿宋_GB2312" w:cs="仿宋_GB2312"/>
                <w:sz w:val="21"/>
                <w:szCs w:val="21"/>
                <w:lang w:eastAsia="zh-CN"/>
              </w:rPr>
              <w:t>得</w:t>
            </w:r>
            <w:r>
              <w:rPr>
                <w:rFonts w:hint="eastAsia" w:ascii="仿宋_GB2312" w:hAnsi="仿宋_GB2312" w:eastAsia="仿宋_GB2312" w:cs="仿宋_GB2312"/>
                <w:sz w:val="21"/>
                <w:szCs w:val="21"/>
                <w:lang w:val="en-US" w:eastAsia="zh-CN"/>
              </w:rPr>
              <w:t>6分。</w:t>
            </w:r>
          </w:p>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left"/>
              <w:textAlignment w:val="auto"/>
              <w:rPr>
                <w:rFonts w:hint="eastAsia" w:ascii="仿宋" w:hAnsi="仿宋" w:eastAsia="仿宋" w:cs="仿宋"/>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47" w:hRule="atLeast"/>
          <w:jc w:val="center"/>
        </w:trPr>
        <w:tc>
          <w:tcPr>
            <w:tcW w:w="1186" w:type="dxa"/>
            <w:vMerge w:val="continue"/>
            <w:tcBorders>
              <w:tl2br w:val="nil"/>
              <w:tr2bl w:val="nil"/>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1"/>
                <w:szCs w:val="21"/>
                <w:highlight w:val="none"/>
                <w:lang w:val="en-US" w:eastAsia="zh-CN"/>
              </w:rPr>
            </w:pPr>
          </w:p>
        </w:tc>
        <w:tc>
          <w:tcPr>
            <w:tcW w:w="849" w:type="dxa"/>
            <w:vMerge w:val="continue"/>
            <w:tcBorders>
              <w:tl2br w:val="nil"/>
              <w:tr2bl w:val="nil"/>
            </w:tcBorders>
            <w:noWrap w:val="0"/>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sz w:val="21"/>
                <w:szCs w:val="21"/>
                <w:highlight w:val="none"/>
                <w:lang w:val="en-US" w:eastAsia="zh-CN"/>
              </w:rPr>
            </w:pPr>
          </w:p>
        </w:tc>
        <w:tc>
          <w:tcPr>
            <w:tcW w:w="6997" w:type="dxa"/>
            <w:tcBorders>
              <w:tl2br w:val="nil"/>
              <w:tr2bl w:val="nil"/>
            </w:tcBorders>
            <w:noWrap w:val="0"/>
            <w:tcMar>
              <w:top w:w="0" w:type="dxa"/>
              <w:left w:w="108" w:type="dxa"/>
              <w:bottom w:w="0" w:type="dxa"/>
              <w:right w:w="108" w:type="dxa"/>
            </w:tcMar>
            <w:vAlign w:val="center"/>
          </w:tcPr>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left"/>
              <w:textAlignment w:val="auto"/>
              <w:rPr>
                <w:rFonts w:hint="eastAsia" w:ascii="仿宋" w:hAnsi="仿宋" w:eastAsia="仿宋" w:cs="仿宋"/>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5、主要机具、设备和劳动力的配置，</w:t>
            </w:r>
            <w:r>
              <w:rPr>
                <w:rFonts w:hint="eastAsia" w:ascii="仿宋_GB2312" w:hAnsi="仿宋_GB2312" w:eastAsia="仿宋_GB2312" w:cs="仿宋_GB2312"/>
                <w:sz w:val="21"/>
                <w:szCs w:val="21"/>
              </w:rPr>
              <w:t>对拟投入本项目的设备和材料进行描述</w:t>
            </w:r>
            <w:r>
              <w:rPr>
                <w:rFonts w:hint="eastAsia" w:ascii="仿宋_GB2312" w:hAnsi="仿宋_GB2312" w:eastAsia="仿宋_GB2312" w:cs="仿宋_GB2312"/>
                <w:sz w:val="21"/>
                <w:szCs w:val="21"/>
                <w:lang w:eastAsia="zh-CN"/>
              </w:rPr>
              <w:t>。明确机械设备投入数量种类的得</w:t>
            </w:r>
            <w:r>
              <w:rPr>
                <w:rFonts w:hint="eastAsia" w:ascii="仿宋_GB2312" w:hAnsi="仿宋_GB2312" w:eastAsia="仿宋_GB2312" w:cs="仿宋_GB2312"/>
                <w:sz w:val="21"/>
                <w:szCs w:val="21"/>
                <w:lang w:val="en-US" w:eastAsia="zh-CN"/>
              </w:rPr>
              <w:t>1分，</w:t>
            </w:r>
            <w:r>
              <w:rPr>
                <w:rFonts w:hint="eastAsia" w:ascii="仿宋_GB2312" w:hAnsi="仿宋_GB2312" w:eastAsia="仿宋_GB2312" w:cs="仿宋_GB2312"/>
                <w:sz w:val="21"/>
                <w:szCs w:val="21"/>
              </w:rPr>
              <w:t>机械配备与材料投入完善得</w:t>
            </w:r>
            <w:r>
              <w:rPr>
                <w:rFonts w:hint="eastAsia" w:ascii="仿宋_GB2312" w:hAnsi="仿宋_GB2312" w:eastAsia="仿宋_GB2312" w:cs="仿宋_GB2312"/>
                <w:sz w:val="21"/>
                <w:szCs w:val="21"/>
                <w:lang w:val="en-US" w:eastAsia="zh-CN"/>
              </w:rPr>
              <w:t>，</w:t>
            </w:r>
            <w:r>
              <w:rPr>
                <w:rFonts w:hint="eastAsia" w:ascii="仿宋_GB2312" w:hAnsi="仿宋_GB2312" w:eastAsia="仿宋_GB2312" w:cs="仿宋_GB2312"/>
                <w:sz w:val="21"/>
                <w:szCs w:val="21"/>
              </w:rPr>
              <w:t>投入较为合理、完善得</w:t>
            </w:r>
            <w:r>
              <w:rPr>
                <w:rFonts w:hint="eastAsia" w:ascii="仿宋_GB2312" w:hAnsi="仿宋_GB2312" w:eastAsia="仿宋_GB2312" w:cs="仿宋_GB2312"/>
                <w:sz w:val="21"/>
                <w:szCs w:val="21"/>
                <w:lang w:val="en-US" w:eastAsia="zh-CN"/>
              </w:rPr>
              <w:t>3</w:t>
            </w:r>
            <w:r>
              <w:rPr>
                <w:rFonts w:hint="eastAsia" w:ascii="仿宋_GB2312" w:hAnsi="仿宋_GB2312" w:eastAsia="仿宋_GB2312" w:cs="仿宋_GB2312"/>
                <w:sz w:val="21"/>
                <w:szCs w:val="21"/>
              </w:rPr>
              <w:t>分；机械与材料投入合理、配备完善有详尽的计划与措施得</w:t>
            </w:r>
            <w:r>
              <w:rPr>
                <w:rFonts w:hint="eastAsia" w:ascii="仿宋_GB2312" w:hAnsi="仿宋_GB2312" w:eastAsia="仿宋_GB2312" w:cs="仿宋_GB2312"/>
                <w:sz w:val="21"/>
                <w:szCs w:val="21"/>
                <w:lang w:val="en-US" w:eastAsia="zh-CN"/>
              </w:rPr>
              <w:t>6</w:t>
            </w:r>
            <w:r>
              <w:rPr>
                <w:rFonts w:hint="eastAsia" w:ascii="仿宋_GB2312" w:hAnsi="仿宋_GB2312" w:eastAsia="仿宋_GB2312" w:cs="仿宋_GB2312"/>
                <w:sz w:val="21"/>
                <w:szCs w:val="21"/>
              </w:rPr>
              <w:t>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47" w:hRule="atLeast"/>
          <w:jc w:val="center"/>
        </w:trPr>
        <w:tc>
          <w:tcPr>
            <w:tcW w:w="1186" w:type="dxa"/>
            <w:vMerge w:val="continue"/>
            <w:tcBorders>
              <w:tl2br w:val="nil"/>
              <w:tr2bl w:val="nil"/>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1"/>
                <w:szCs w:val="21"/>
                <w:highlight w:val="none"/>
                <w:lang w:val="en-US" w:eastAsia="zh-CN"/>
              </w:rPr>
            </w:pPr>
          </w:p>
        </w:tc>
        <w:tc>
          <w:tcPr>
            <w:tcW w:w="849" w:type="dxa"/>
            <w:vMerge w:val="continue"/>
            <w:tcBorders>
              <w:tl2br w:val="nil"/>
              <w:tr2bl w:val="nil"/>
            </w:tcBorders>
            <w:noWrap w:val="0"/>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sz w:val="21"/>
                <w:szCs w:val="21"/>
                <w:highlight w:val="none"/>
                <w:lang w:val="en-US" w:eastAsia="zh-CN"/>
              </w:rPr>
            </w:pPr>
          </w:p>
        </w:tc>
        <w:tc>
          <w:tcPr>
            <w:tcW w:w="6997" w:type="dxa"/>
            <w:tcBorders>
              <w:tl2br w:val="nil"/>
              <w:tr2bl w:val="nil"/>
            </w:tcBorders>
            <w:noWrap w:val="0"/>
            <w:tcMar>
              <w:top w:w="0" w:type="dxa"/>
              <w:left w:w="108" w:type="dxa"/>
              <w:bottom w:w="0" w:type="dxa"/>
              <w:right w:w="108" w:type="dxa"/>
            </w:tcMar>
            <w:vAlign w:val="center"/>
          </w:tcPr>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left"/>
              <w:textAlignment w:val="auto"/>
              <w:rPr>
                <w:rFonts w:hint="eastAsia" w:ascii="仿宋" w:hAnsi="仿宋" w:eastAsia="仿宋" w:cs="仿宋"/>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6、采用新技术、新工艺对提高质量、缩短工期、降低造价等</w:t>
            </w:r>
            <w:r>
              <w:rPr>
                <w:rFonts w:hint="eastAsia" w:ascii="仿宋_GB2312" w:hAnsi="仿宋_GB2312" w:eastAsia="仿宋_GB2312" w:cs="仿宋_GB2312"/>
                <w:sz w:val="21"/>
                <w:szCs w:val="21"/>
              </w:rPr>
              <w:t>可行性方案</w:t>
            </w:r>
            <w:r>
              <w:rPr>
                <w:rFonts w:hint="eastAsia" w:ascii="仿宋_GB2312" w:hAnsi="仿宋_GB2312" w:eastAsia="仿宋_GB2312" w:cs="仿宋_GB2312"/>
                <w:sz w:val="21"/>
                <w:szCs w:val="21"/>
                <w:lang w:eastAsia="zh-CN"/>
              </w:rPr>
              <w:t>。提供方案得</w:t>
            </w:r>
            <w:r>
              <w:rPr>
                <w:rFonts w:hint="eastAsia" w:ascii="仿宋_GB2312" w:hAnsi="仿宋_GB2312" w:eastAsia="仿宋_GB2312" w:cs="仿宋_GB2312"/>
                <w:sz w:val="21"/>
                <w:szCs w:val="21"/>
                <w:lang w:val="en-US" w:eastAsia="zh-CN"/>
              </w:rPr>
              <w:t>1分；</w:t>
            </w:r>
            <w:r>
              <w:rPr>
                <w:rFonts w:hint="eastAsia" w:ascii="仿宋_GB2312" w:hAnsi="仿宋_GB2312" w:eastAsia="仿宋_GB2312" w:cs="仿宋_GB2312"/>
                <w:sz w:val="21"/>
                <w:szCs w:val="21"/>
                <w:lang w:eastAsia="zh-CN"/>
              </w:rPr>
              <w:t>提供方案全面、</w:t>
            </w:r>
            <w:r>
              <w:rPr>
                <w:rFonts w:hint="eastAsia" w:ascii="仿宋_GB2312" w:hAnsi="仿宋_GB2312" w:eastAsia="仿宋_GB2312" w:cs="仿宋_GB2312"/>
                <w:sz w:val="21"/>
                <w:szCs w:val="21"/>
              </w:rPr>
              <w:t>措施合理有针对性</w:t>
            </w:r>
            <w:r>
              <w:rPr>
                <w:rFonts w:hint="eastAsia" w:ascii="仿宋_GB2312" w:hAnsi="仿宋_GB2312" w:eastAsia="仿宋_GB2312" w:cs="仿宋_GB2312"/>
                <w:sz w:val="21"/>
                <w:szCs w:val="21"/>
                <w:lang w:eastAsia="zh-CN"/>
              </w:rPr>
              <w:t>得</w:t>
            </w:r>
            <w:r>
              <w:rPr>
                <w:rFonts w:hint="eastAsia" w:ascii="仿宋_GB2312" w:hAnsi="仿宋_GB2312" w:eastAsia="仿宋_GB2312" w:cs="仿宋_GB2312"/>
                <w:sz w:val="21"/>
                <w:szCs w:val="21"/>
                <w:lang w:val="en-US" w:eastAsia="zh-CN"/>
              </w:rPr>
              <w:t>3</w:t>
            </w:r>
            <w:r>
              <w:rPr>
                <w:rFonts w:hint="eastAsia" w:ascii="仿宋_GB2312" w:hAnsi="仿宋_GB2312" w:eastAsia="仿宋_GB2312" w:cs="仿宋_GB2312"/>
                <w:sz w:val="21"/>
                <w:szCs w:val="21"/>
              </w:rPr>
              <w:t>分；不提供不得分。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27" w:hRule="atLeast"/>
          <w:jc w:val="center"/>
        </w:trPr>
        <w:tc>
          <w:tcPr>
            <w:tcW w:w="1186" w:type="dxa"/>
            <w:vMerge w:val="continue"/>
            <w:tcBorders>
              <w:tl2br w:val="nil"/>
              <w:tr2bl w:val="nil"/>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1"/>
                <w:szCs w:val="21"/>
                <w:highlight w:val="none"/>
                <w:lang w:val="en-US" w:eastAsia="zh-CN"/>
              </w:rPr>
            </w:pPr>
          </w:p>
        </w:tc>
        <w:tc>
          <w:tcPr>
            <w:tcW w:w="849" w:type="dxa"/>
            <w:vMerge w:val="continue"/>
            <w:tcBorders>
              <w:tl2br w:val="nil"/>
              <w:tr2bl w:val="nil"/>
            </w:tcBorders>
            <w:noWrap w:val="0"/>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sz w:val="21"/>
                <w:szCs w:val="21"/>
                <w:highlight w:val="none"/>
                <w:lang w:val="en-US" w:eastAsia="zh-CN"/>
              </w:rPr>
            </w:pPr>
          </w:p>
        </w:tc>
        <w:tc>
          <w:tcPr>
            <w:tcW w:w="6997" w:type="dxa"/>
            <w:tcBorders>
              <w:tl2br w:val="nil"/>
              <w:tr2bl w:val="nil"/>
            </w:tcBorders>
            <w:noWrap w:val="0"/>
            <w:tcMar>
              <w:top w:w="0" w:type="dxa"/>
              <w:left w:w="108" w:type="dxa"/>
              <w:bottom w:w="0" w:type="dxa"/>
              <w:right w:w="108" w:type="dxa"/>
            </w:tcMar>
            <w:vAlign w:val="center"/>
          </w:tcPr>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left"/>
              <w:textAlignment w:val="auto"/>
              <w:rPr>
                <w:rFonts w:hint="eastAsia" w:ascii="仿宋" w:hAnsi="仿宋" w:eastAsia="仿宋" w:cs="仿宋"/>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7、安全文明施工措施合理、科学</w:t>
            </w:r>
            <w:r>
              <w:rPr>
                <w:rFonts w:hint="eastAsia" w:ascii="仿宋_GB2312" w:hAnsi="仿宋_GB2312" w:eastAsia="仿宋_GB2312" w:cs="仿宋_GB2312"/>
                <w:sz w:val="21"/>
                <w:szCs w:val="21"/>
              </w:rPr>
              <w:t>目标明确，安全体系健全，应急预案合理可行，文明施工措施具体</w:t>
            </w:r>
            <w:r>
              <w:rPr>
                <w:rFonts w:hint="eastAsia" w:ascii="仿宋_GB2312" w:hAnsi="仿宋_GB2312" w:eastAsia="仿宋_GB2312" w:cs="仿宋_GB2312"/>
                <w:sz w:val="21"/>
                <w:szCs w:val="21"/>
                <w:lang w:eastAsia="zh-CN"/>
              </w:rPr>
              <w:t>。安全目标明确，体系健全的得</w:t>
            </w:r>
            <w:r>
              <w:rPr>
                <w:rFonts w:hint="eastAsia" w:ascii="仿宋_GB2312" w:hAnsi="仿宋_GB2312" w:eastAsia="仿宋_GB2312" w:cs="仿宋_GB2312"/>
                <w:sz w:val="21"/>
                <w:szCs w:val="21"/>
                <w:lang w:val="en-US" w:eastAsia="zh-CN"/>
              </w:rPr>
              <w:t>1分，安全</w:t>
            </w:r>
            <w:r>
              <w:rPr>
                <w:rFonts w:hint="eastAsia" w:ascii="仿宋_GB2312" w:hAnsi="仿宋_GB2312" w:eastAsia="仿宋_GB2312" w:cs="仿宋_GB2312"/>
                <w:sz w:val="21"/>
                <w:szCs w:val="21"/>
              </w:rPr>
              <w:t>措施一般得</w:t>
            </w:r>
            <w:r>
              <w:rPr>
                <w:rFonts w:hint="eastAsia" w:ascii="仿宋_GB2312" w:hAnsi="仿宋_GB2312" w:eastAsia="仿宋_GB2312" w:cs="仿宋_GB2312"/>
                <w:sz w:val="21"/>
                <w:szCs w:val="21"/>
                <w:lang w:val="en-US" w:eastAsia="zh-CN"/>
              </w:rPr>
              <w:t>1</w:t>
            </w:r>
            <w:r>
              <w:rPr>
                <w:rFonts w:hint="eastAsia" w:ascii="仿宋_GB2312" w:hAnsi="仿宋_GB2312" w:eastAsia="仿宋_GB2312" w:cs="仿宋_GB2312"/>
                <w:sz w:val="21"/>
                <w:szCs w:val="21"/>
              </w:rPr>
              <w:t>分；</w:t>
            </w:r>
            <w:r>
              <w:rPr>
                <w:rFonts w:hint="eastAsia" w:ascii="仿宋_GB2312" w:hAnsi="仿宋_GB2312" w:eastAsia="仿宋_GB2312" w:cs="仿宋_GB2312"/>
                <w:sz w:val="21"/>
                <w:szCs w:val="21"/>
                <w:lang w:eastAsia="zh-CN"/>
              </w:rPr>
              <w:t>安全</w:t>
            </w:r>
            <w:r>
              <w:rPr>
                <w:rFonts w:hint="eastAsia" w:ascii="仿宋_GB2312" w:hAnsi="仿宋_GB2312" w:eastAsia="仿宋_GB2312" w:cs="仿宋_GB2312"/>
                <w:sz w:val="21"/>
                <w:szCs w:val="21"/>
              </w:rPr>
              <w:t>措施较为合理得</w:t>
            </w: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rPr>
              <w:t>分；安全目标明确，安全体系健全，</w:t>
            </w:r>
            <w:r>
              <w:rPr>
                <w:rFonts w:hint="eastAsia" w:ascii="仿宋_GB2312" w:hAnsi="仿宋_GB2312" w:eastAsia="仿宋_GB2312" w:cs="仿宋_GB2312"/>
                <w:color w:val="auto"/>
                <w:sz w:val="21"/>
                <w:szCs w:val="21"/>
                <w:highlight w:val="none"/>
                <w:lang w:val="en-US" w:eastAsia="zh-CN"/>
              </w:rPr>
              <w:t>项目风险预测与防范、事故应急预案</w:t>
            </w:r>
            <w:r>
              <w:rPr>
                <w:rFonts w:hint="eastAsia" w:ascii="仿宋_GB2312" w:hAnsi="仿宋_GB2312" w:eastAsia="仿宋_GB2312" w:cs="仿宋_GB2312"/>
                <w:sz w:val="21"/>
                <w:szCs w:val="21"/>
              </w:rPr>
              <w:t>合理可行，文明施工措施具体</w:t>
            </w:r>
            <w:r>
              <w:rPr>
                <w:rFonts w:hint="eastAsia" w:ascii="仿宋_GB2312" w:hAnsi="仿宋_GB2312" w:eastAsia="仿宋_GB2312" w:cs="仿宋_GB2312"/>
                <w:sz w:val="21"/>
                <w:szCs w:val="21"/>
                <w:lang w:eastAsia="zh-CN"/>
              </w:rPr>
              <w:t>的得</w:t>
            </w:r>
            <w:r>
              <w:rPr>
                <w:rFonts w:hint="eastAsia" w:ascii="仿宋_GB2312" w:hAnsi="仿宋_GB2312" w:eastAsia="仿宋_GB2312" w:cs="仿宋_GB2312"/>
                <w:sz w:val="21"/>
                <w:szCs w:val="21"/>
                <w:lang w:val="en-US" w:eastAsia="zh-CN"/>
              </w:rPr>
              <w:t>3分。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68" w:hRule="atLeast"/>
          <w:jc w:val="center"/>
        </w:trPr>
        <w:tc>
          <w:tcPr>
            <w:tcW w:w="1186" w:type="dxa"/>
            <w:vMerge w:val="continue"/>
            <w:tcBorders>
              <w:tl2br w:val="nil"/>
              <w:tr2bl w:val="nil"/>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1"/>
                <w:szCs w:val="21"/>
                <w:highlight w:val="none"/>
                <w:lang w:val="en-US" w:eastAsia="zh-CN"/>
              </w:rPr>
            </w:pPr>
          </w:p>
        </w:tc>
        <w:tc>
          <w:tcPr>
            <w:tcW w:w="849" w:type="dxa"/>
            <w:vMerge w:val="continue"/>
            <w:tcBorders>
              <w:tl2br w:val="nil"/>
              <w:tr2bl w:val="nil"/>
            </w:tcBorders>
            <w:noWrap w:val="0"/>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sz w:val="21"/>
                <w:szCs w:val="21"/>
                <w:highlight w:val="none"/>
                <w:lang w:val="en-US" w:eastAsia="zh-CN"/>
              </w:rPr>
            </w:pPr>
          </w:p>
        </w:tc>
        <w:tc>
          <w:tcPr>
            <w:tcW w:w="6997" w:type="dxa"/>
            <w:tcBorders>
              <w:tl2br w:val="nil"/>
              <w:tr2bl w:val="nil"/>
            </w:tcBorders>
            <w:noWrap w:val="0"/>
            <w:tcMar>
              <w:top w:w="0" w:type="dxa"/>
              <w:left w:w="108" w:type="dxa"/>
              <w:bottom w:w="0" w:type="dxa"/>
              <w:right w:w="108" w:type="dxa"/>
            </w:tcMar>
            <w:vAlign w:val="center"/>
          </w:tcPr>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left"/>
              <w:textAlignment w:val="auto"/>
              <w:rPr>
                <w:rFonts w:hint="eastAsia" w:ascii="仿宋" w:hAnsi="仿宋" w:eastAsia="仿宋" w:cs="仿宋"/>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8、施工部署和现场平面布置，</w:t>
            </w:r>
            <w:r>
              <w:rPr>
                <w:rFonts w:hint="eastAsia" w:ascii="仿宋_GB2312" w:hAnsi="仿宋_GB2312" w:eastAsia="仿宋_GB2312" w:cs="仿宋_GB2312"/>
                <w:sz w:val="21"/>
                <w:szCs w:val="21"/>
                <w:lang w:eastAsia="zh-CN"/>
              </w:rPr>
              <w:t>针对本项目的认识情况，制定管理规划。对本项目</w:t>
            </w:r>
            <w:r>
              <w:rPr>
                <w:rFonts w:hint="eastAsia" w:ascii="仿宋_GB2312" w:hAnsi="仿宋_GB2312" w:eastAsia="仿宋_GB2312" w:cs="仿宋_GB2312"/>
                <w:sz w:val="21"/>
                <w:szCs w:val="21"/>
              </w:rPr>
              <w:t>施工部署和现场平面布置</w:t>
            </w:r>
            <w:r>
              <w:rPr>
                <w:rFonts w:hint="eastAsia" w:ascii="仿宋_GB2312" w:hAnsi="仿宋_GB2312" w:eastAsia="仿宋_GB2312" w:cs="仿宋_GB2312"/>
                <w:sz w:val="21"/>
                <w:szCs w:val="21"/>
                <w:lang w:eastAsia="zh-CN"/>
              </w:rPr>
              <w:t>合理得</w:t>
            </w:r>
            <w:r>
              <w:rPr>
                <w:rFonts w:hint="eastAsia" w:ascii="仿宋_GB2312" w:hAnsi="仿宋_GB2312" w:eastAsia="仿宋_GB2312" w:cs="仿宋_GB2312"/>
                <w:sz w:val="21"/>
                <w:szCs w:val="21"/>
                <w:lang w:val="en-US" w:eastAsia="zh-CN"/>
              </w:rPr>
              <w:t>1分，</w:t>
            </w:r>
            <w:r>
              <w:rPr>
                <w:rFonts w:hint="eastAsia" w:ascii="仿宋_GB2312" w:hAnsi="仿宋_GB2312" w:eastAsia="仿宋_GB2312" w:cs="仿宋_GB2312"/>
                <w:sz w:val="21"/>
                <w:szCs w:val="21"/>
                <w:lang w:eastAsia="zh-CN"/>
              </w:rPr>
              <w:t>管理规划</w:t>
            </w:r>
            <w:r>
              <w:rPr>
                <w:rFonts w:hint="eastAsia" w:ascii="仿宋_GB2312" w:hAnsi="仿宋_GB2312" w:eastAsia="仿宋_GB2312" w:cs="仿宋_GB2312"/>
                <w:sz w:val="21"/>
                <w:szCs w:val="21"/>
                <w:lang w:val="en-US" w:eastAsia="zh-CN"/>
              </w:rPr>
              <w:t>合理、</w:t>
            </w:r>
            <w:r>
              <w:rPr>
                <w:rFonts w:hint="eastAsia" w:ascii="仿宋_GB2312" w:hAnsi="仿宋_GB2312" w:eastAsia="仿宋_GB2312" w:cs="仿宋_GB2312"/>
                <w:sz w:val="21"/>
                <w:szCs w:val="21"/>
              </w:rPr>
              <w:t>施工部署和现场平面布置</w:t>
            </w:r>
            <w:r>
              <w:rPr>
                <w:rFonts w:hint="eastAsia" w:ascii="仿宋_GB2312" w:hAnsi="仿宋_GB2312" w:eastAsia="仿宋_GB2312" w:cs="仿宋_GB2312"/>
                <w:sz w:val="21"/>
                <w:szCs w:val="21"/>
                <w:lang w:eastAsia="zh-CN"/>
              </w:rPr>
              <w:t>合理</w:t>
            </w:r>
            <w:r>
              <w:rPr>
                <w:rFonts w:hint="eastAsia" w:ascii="仿宋_GB2312" w:hAnsi="仿宋_GB2312" w:eastAsia="仿宋_GB2312" w:cs="仿宋_GB2312"/>
                <w:sz w:val="21"/>
                <w:szCs w:val="21"/>
                <w:lang w:val="en-US" w:eastAsia="zh-CN"/>
              </w:rPr>
              <w:t>得3分。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90" w:hRule="atLeast"/>
          <w:jc w:val="center"/>
        </w:trPr>
        <w:tc>
          <w:tcPr>
            <w:tcW w:w="1186" w:type="dxa"/>
            <w:tcBorders>
              <w:tl2br w:val="nil"/>
              <w:tr2bl w:val="nil"/>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业绩</w:t>
            </w:r>
          </w:p>
        </w:tc>
        <w:tc>
          <w:tcPr>
            <w:tcW w:w="849" w:type="dxa"/>
            <w:tcBorders>
              <w:tl2br w:val="nil"/>
              <w:tr2bl w:val="nil"/>
            </w:tcBorders>
            <w:noWrap w:val="0"/>
            <w:tcMar>
              <w:top w:w="0" w:type="dxa"/>
              <w:left w:w="108" w:type="dxa"/>
              <w:bottom w:w="0" w:type="dxa"/>
              <w:right w:w="10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10分</w:t>
            </w:r>
          </w:p>
        </w:tc>
        <w:tc>
          <w:tcPr>
            <w:tcW w:w="6997" w:type="dxa"/>
            <w:tcBorders>
              <w:tl2br w:val="nil"/>
              <w:tr2bl w:val="nil"/>
            </w:tcBorders>
            <w:noWrap w:val="0"/>
            <w:tcMar>
              <w:top w:w="0" w:type="dxa"/>
              <w:left w:w="108" w:type="dxa"/>
              <w:bottom w:w="0" w:type="dxa"/>
              <w:right w:w="108" w:type="dxa"/>
            </w:tcMar>
            <w:vAlign w:val="center"/>
          </w:tcPr>
          <w:p>
            <w:pPr>
              <w:pStyle w:val="6"/>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仿宋_GB2312" w:hAnsi="仿宋_GB2312" w:eastAsia="仿宋_GB2312" w:cs="仿宋_GB2312"/>
                <w:bCs/>
                <w:color w:val="auto"/>
                <w:sz w:val="21"/>
                <w:szCs w:val="21"/>
                <w:highlight w:val="none"/>
                <w:lang w:val="en-US" w:eastAsia="zh-CN"/>
              </w:rPr>
            </w:pPr>
            <w:r>
              <w:rPr>
                <w:rFonts w:hint="eastAsia" w:ascii="仿宋_GB2312" w:hAnsi="仿宋_GB2312" w:eastAsia="仿宋_GB2312" w:cs="仿宋_GB2312"/>
                <w:bCs/>
                <w:color w:val="auto"/>
                <w:sz w:val="21"/>
                <w:szCs w:val="21"/>
                <w:highlight w:val="none"/>
                <w:lang w:val="en-US" w:eastAsia="zh-CN"/>
              </w:rPr>
              <w:t>1、提供供应商自2021年8月1日以来类似施工项目的业绩（以合同签订日期为准），每提供一份业绩得2分，最高得分。</w:t>
            </w:r>
          </w:p>
          <w:p>
            <w:pPr>
              <w:pStyle w:val="6"/>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仿宋_GB2312" w:hAnsi="仿宋_GB2312" w:eastAsia="仿宋_GB2312" w:cs="仿宋_GB2312"/>
                <w:bCs/>
                <w:color w:val="auto"/>
                <w:sz w:val="21"/>
                <w:szCs w:val="21"/>
                <w:highlight w:val="none"/>
                <w:lang w:val="en-US" w:eastAsia="zh-CN"/>
              </w:rPr>
            </w:pPr>
            <w:r>
              <w:rPr>
                <w:rFonts w:hint="eastAsia" w:ascii="仿宋_GB2312" w:hAnsi="仿宋_GB2312" w:eastAsia="仿宋_GB2312" w:cs="仿宋_GB2312"/>
                <w:bCs/>
                <w:color w:val="auto"/>
                <w:sz w:val="21"/>
                <w:szCs w:val="21"/>
                <w:highlight w:val="none"/>
                <w:lang w:val="en-US" w:eastAsia="zh-CN"/>
              </w:rPr>
              <w:t>（须在响应文件中的提供中标（成交）通知书及合同复印件，原件备查，未提供或提供不全不得分）</w:t>
            </w:r>
          </w:p>
          <w:p>
            <w:pPr>
              <w:pStyle w:val="6"/>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ind w:left="0" w:right="0" w:firstLine="420" w:firstLineChars="200"/>
              <w:textAlignment w:val="auto"/>
              <w:rPr>
                <w:rFonts w:hint="eastAsia" w:ascii="仿宋" w:hAnsi="仿宋" w:eastAsia="仿宋" w:cs="仿宋"/>
                <w:highlight w:val="none"/>
                <w:lang w:val="en-US" w:eastAsia="zh-CN"/>
              </w:rPr>
            </w:pPr>
            <w:r>
              <w:rPr>
                <w:rFonts w:hint="eastAsia" w:ascii="仿宋_GB2312" w:hAnsi="仿宋_GB2312" w:eastAsia="仿宋_GB2312" w:cs="仿宋_GB2312"/>
                <w:bCs/>
                <w:color w:val="auto"/>
                <w:sz w:val="21"/>
                <w:szCs w:val="21"/>
                <w:highlight w:val="none"/>
                <w:lang w:val="en-US" w:eastAsia="zh-CN"/>
              </w:rPr>
              <w:t xml:space="preserve">    2、</w:t>
            </w:r>
            <w:r>
              <w:rPr>
                <w:rFonts w:hint="eastAsia" w:ascii="仿宋_GB2312" w:hAnsi="仿宋_GB2312" w:eastAsia="仿宋_GB2312" w:cs="仿宋_GB2312"/>
                <w:snapToGrid w:val="0"/>
                <w:color w:val="auto"/>
                <w:spacing w:val="6"/>
                <w:kern w:val="0"/>
                <w:sz w:val="21"/>
                <w:szCs w:val="21"/>
                <w:lang w:val="en-US" w:eastAsia="en-US" w:bidi="ar-SA"/>
              </w:rPr>
              <w:t>提供</w:t>
            </w:r>
            <w:r>
              <w:rPr>
                <w:rFonts w:hint="eastAsia" w:ascii="仿宋_GB2312" w:hAnsi="仿宋_GB2312" w:eastAsia="仿宋_GB2312" w:cs="仿宋_GB2312"/>
                <w:snapToGrid w:val="0"/>
                <w:color w:val="auto"/>
                <w:spacing w:val="6"/>
                <w:kern w:val="0"/>
                <w:sz w:val="21"/>
                <w:szCs w:val="21"/>
                <w:lang w:val="en-US" w:eastAsia="zh-CN" w:bidi="ar-SA"/>
              </w:rPr>
              <w:t>项目经理</w:t>
            </w:r>
            <w:r>
              <w:rPr>
                <w:rFonts w:hint="eastAsia" w:ascii="仿宋_GB2312" w:hAnsi="仿宋_GB2312" w:eastAsia="仿宋_GB2312" w:cs="仿宋_GB2312"/>
                <w:snapToGrid w:val="0"/>
                <w:color w:val="auto"/>
                <w:spacing w:val="6"/>
                <w:kern w:val="0"/>
                <w:sz w:val="21"/>
                <w:szCs w:val="21"/>
                <w:lang w:val="en-US" w:eastAsia="en-US" w:bidi="ar-SA"/>
              </w:rPr>
              <w:t>近三年（2021年1月-至今）类似项目工程业绩（须提供中标通知书、合同、竣工验收备案表或完工证明（以合同签订时间为准）），有一份业绩得2分，最高得</w:t>
            </w:r>
            <w:r>
              <w:rPr>
                <w:rFonts w:hint="eastAsia" w:ascii="仿宋_GB2312" w:hAnsi="仿宋_GB2312" w:eastAsia="仿宋_GB2312" w:cs="仿宋_GB2312"/>
                <w:snapToGrid w:val="0"/>
                <w:color w:val="auto"/>
                <w:spacing w:val="6"/>
                <w:kern w:val="0"/>
                <w:sz w:val="21"/>
                <w:szCs w:val="21"/>
                <w:lang w:val="en-US" w:eastAsia="zh-CN" w:bidi="ar-SA"/>
              </w:rPr>
              <w:t>4</w:t>
            </w:r>
            <w:r>
              <w:rPr>
                <w:rFonts w:hint="eastAsia" w:ascii="仿宋_GB2312" w:hAnsi="仿宋_GB2312" w:eastAsia="仿宋_GB2312" w:cs="仿宋_GB2312"/>
                <w:snapToGrid w:val="0"/>
                <w:color w:val="auto"/>
                <w:spacing w:val="6"/>
                <w:kern w:val="0"/>
                <w:sz w:val="21"/>
                <w:szCs w:val="21"/>
                <w:lang w:val="en-US" w:eastAsia="en-US" w:bidi="ar-SA"/>
              </w:rPr>
              <w:t>分，未提供不得分。</w:t>
            </w:r>
          </w:p>
        </w:tc>
      </w:tr>
    </w:tbl>
    <w:p>
      <w:pPr>
        <w:keepNext w:val="0"/>
        <w:keepLines w:val="0"/>
        <w:pageBreakBefore w:val="0"/>
        <w:widowControl/>
        <w:kinsoku w:val="0"/>
        <w:wordWrap/>
        <w:overflowPunct/>
        <w:topLinePunct w:val="0"/>
        <w:autoSpaceDE w:val="0"/>
        <w:autoSpaceDN w:val="0"/>
        <w:bidi w:val="0"/>
        <w:adjustRightInd w:val="0"/>
        <w:snapToGrid w:val="0"/>
        <w:spacing w:line="480" w:lineRule="exact"/>
        <w:textAlignment w:val="baseline"/>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注：1）评委打分超过得分界限或未按本方法赋分时，该评委的打分按无效处理。</w:t>
      </w:r>
    </w:p>
    <w:p>
      <w:pPr>
        <w:keepNext w:val="0"/>
        <w:keepLines w:val="0"/>
        <w:pageBreakBefore w:val="0"/>
        <w:widowControl/>
        <w:numPr>
          <w:ilvl w:val="0"/>
          <w:numId w:val="1"/>
        </w:numPr>
        <w:kinsoku w:val="0"/>
        <w:wordWrap/>
        <w:overflowPunct/>
        <w:topLinePunct w:val="0"/>
        <w:autoSpaceDE w:val="0"/>
        <w:autoSpaceDN w:val="0"/>
        <w:bidi w:val="0"/>
        <w:adjustRightInd w:val="0"/>
        <w:snapToGrid w:val="0"/>
        <w:spacing w:line="480" w:lineRule="exact"/>
        <w:ind w:firstLine="560" w:firstLineChars="200"/>
        <w:textAlignment w:val="baseline"/>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各种计算数字均保留两位小数，第三位“四舍五入”。 </w:t>
      </w:r>
    </w:p>
    <w:p>
      <w:pPr>
        <w:keepNext w:val="0"/>
        <w:keepLines w:val="0"/>
        <w:pageBreakBefore w:val="0"/>
        <w:widowControl/>
        <w:kinsoku w:val="0"/>
        <w:wordWrap/>
        <w:overflowPunct/>
        <w:topLinePunct w:val="0"/>
        <w:autoSpaceDE w:val="0"/>
        <w:autoSpaceDN w:val="0"/>
        <w:bidi w:val="0"/>
        <w:adjustRightInd w:val="0"/>
        <w:snapToGrid w:val="0"/>
        <w:spacing w:line="480" w:lineRule="exact"/>
        <w:ind w:firstLine="560" w:firstLineChars="200"/>
        <w:textAlignment w:val="baseline"/>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rPr>
        <w:t>）特殊情况处理</w:t>
      </w:r>
      <w:r>
        <w:rPr>
          <w:rFonts w:hint="eastAsia" w:ascii="仿宋" w:hAnsi="仿宋" w:eastAsia="仿宋" w:cs="仿宋"/>
          <w:color w:val="auto"/>
          <w:sz w:val="28"/>
          <w:szCs w:val="28"/>
          <w:highlight w:val="none"/>
        </w:rPr>
        <w:t>：</w:t>
      </w:r>
    </w:p>
    <w:p>
      <w:pPr>
        <w:keepNext w:val="0"/>
        <w:keepLines w:val="0"/>
        <w:pageBreakBefore w:val="0"/>
        <w:widowControl/>
        <w:kinsoku w:val="0"/>
        <w:wordWrap/>
        <w:overflowPunct/>
        <w:topLinePunct w:val="0"/>
        <w:autoSpaceDE w:val="0"/>
        <w:autoSpaceDN w:val="0"/>
        <w:bidi w:val="0"/>
        <w:adjustRightInd w:val="0"/>
        <w:snapToGrid w:val="0"/>
        <w:spacing w:line="480" w:lineRule="exact"/>
        <w:ind w:firstLine="560" w:firstLineChars="200"/>
        <w:textAlignment w:val="baseline"/>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a、当供应商报价为零报价时，该分项得零分，并不参与磋商报价分的计算；评分项若出现漏</w:t>
      </w:r>
    </w:p>
    <w:p>
      <w:pPr>
        <w:keepNext w:val="0"/>
        <w:keepLines w:val="0"/>
        <w:pageBreakBefore w:val="0"/>
        <w:widowControl/>
        <w:kinsoku w:val="0"/>
        <w:wordWrap/>
        <w:overflowPunct/>
        <w:topLinePunct w:val="0"/>
        <w:autoSpaceDE w:val="0"/>
        <w:autoSpaceDN w:val="0"/>
        <w:bidi w:val="0"/>
        <w:adjustRightInd w:val="0"/>
        <w:snapToGrid w:val="0"/>
        <w:spacing w:line="480" w:lineRule="exact"/>
        <w:textAlignment w:val="baseline"/>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项、缺项，则该分项得零分。</w:t>
      </w:r>
    </w:p>
    <w:p>
      <w:pPr>
        <w:keepNext w:val="0"/>
        <w:keepLines w:val="0"/>
        <w:pageBreakBefore w:val="0"/>
        <w:widowControl/>
        <w:kinsoku w:val="0"/>
        <w:wordWrap/>
        <w:overflowPunct/>
        <w:topLinePunct w:val="0"/>
        <w:autoSpaceDE w:val="0"/>
        <w:autoSpaceDN w:val="0"/>
        <w:bidi w:val="0"/>
        <w:adjustRightInd w:val="0"/>
        <w:snapToGrid w:val="0"/>
        <w:spacing w:line="480" w:lineRule="exact"/>
        <w:ind w:firstLine="560" w:firstLineChars="200"/>
        <w:textAlignment w:val="baseline"/>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b、若出现综合得分相同时，磋商报价得分高者为第一成交候选人</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若磋商报价得分相同，技术得分高者为第一成交候选人</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若上述两项得分相同，则由全体磋商小组成员无记名投票，得票高者为第一成交候选人。</w:t>
      </w:r>
    </w:p>
    <w:p>
      <w:pPr>
        <w:keepNext w:val="0"/>
        <w:keepLines w:val="0"/>
        <w:pageBreakBefore w:val="0"/>
        <w:widowControl/>
        <w:kinsoku w:val="0"/>
        <w:wordWrap/>
        <w:overflowPunct/>
        <w:topLinePunct w:val="0"/>
        <w:autoSpaceDE w:val="0"/>
        <w:autoSpaceDN w:val="0"/>
        <w:bidi w:val="0"/>
        <w:adjustRightInd w:val="0"/>
        <w:snapToGrid w:val="0"/>
        <w:spacing w:line="480" w:lineRule="exact"/>
        <w:ind w:firstLine="560" w:firstLineChars="200"/>
        <w:textAlignment w:val="baseline"/>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c</w:t>
      </w:r>
      <w:r>
        <w:rPr>
          <w:rFonts w:hint="eastAsia" w:ascii="仿宋" w:hAnsi="仿宋" w:eastAsia="仿宋" w:cs="仿宋"/>
          <w:color w:val="auto"/>
          <w:sz w:val="28"/>
          <w:szCs w:val="28"/>
          <w:highlight w:val="none"/>
        </w:rPr>
        <w:t>、评审过程中，若出现本评审方法以外的特殊情况时，将暂停评审，待</w:t>
      </w:r>
      <w:r>
        <w:rPr>
          <w:rFonts w:hint="eastAsia" w:ascii="仿宋" w:hAnsi="仿宋" w:eastAsia="仿宋" w:cs="仿宋"/>
          <w:bCs/>
          <w:color w:val="auto"/>
          <w:sz w:val="28"/>
          <w:szCs w:val="28"/>
          <w:highlight w:val="none"/>
        </w:rPr>
        <w:t>评审小组</w:t>
      </w:r>
      <w:r>
        <w:rPr>
          <w:rFonts w:hint="eastAsia" w:ascii="仿宋" w:hAnsi="仿宋" w:eastAsia="仿宋" w:cs="仿宋"/>
          <w:color w:val="auto"/>
          <w:sz w:val="28"/>
          <w:szCs w:val="28"/>
          <w:highlight w:val="none"/>
        </w:rPr>
        <w:t>商榷后再进行复会。</w:t>
      </w:r>
    </w:p>
    <w:p>
      <w:pPr>
        <w:kinsoku/>
        <w:autoSpaceDE/>
        <w:autoSpaceDN/>
        <w:adjustRightInd/>
        <w:snapToGrid/>
        <w:spacing w:line="480" w:lineRule="exact"/>
        <w:ind w:firstLine="464" w:firstLineChars="200"/>
        <w:jc w:val="both"/>
        <w:textAlignment w:val="auto"/>
        <w:rPr>
          <w:rFonts w:ascii="仿宋_GB2312" w:hAnsi="仿宋_GB2312" w:eastAsia="仿宋_GB2312" w:cs="仿宋_GB2312"/>
          <w:spacing w:val="-4"/>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四、采购内容及要求</w:t>
      </w:r>
    </w:p>
    <w:p>
      <w:pPr>
        <w:keepNext w:val="0"/>
        <w:keepLines w:val="0"/>
        <w:pageBreakBefore w:val="0"/>
        <w:widowControl w:val="0"/>
        <w:numPr>
          <w:ilvl w:val="0"/>
          <w:numId w:val="0"/>
        </w:numPr>
        <w:suppressLineNumbers w:val="0"/>
        <w:kinsoku w:val="0"/>
        <w:wordWrap/>
        <w:overflowPunct/>
        <w:topLinePunct w:val="0"/>
        <w:autoSpaceDE w:val="0"/>
        <w:autoSpaceDN/>
        <w:bidi w:val="0"/>
        <w:adjustRightInd w:val="0"/>
        <w:snapToGrid w:val="0"/>
        <w:spacing w:before="0" w:beforeAutospacing="0" w:after="0" w:afterAutospacing="0" w:line="480" w:lineRule="exact"/>
        <w:ind w:leftChars="0" w:right="0" w:rightChars="0" w:firstLine="562" w:firstLineChars="200"/>
        <w:jc w:val="left"/>
        <w:textAlignment w:val="baseline"/>
        <w:rPr>
          <w:rFonts w:hint="eastAsia" w:ascii="仿宋_GB2312" w:hAnsi="仿宋_GB2312" w:eastAsia="仿宋_GB2312" w:cs="仿宋_GB2312"/>
          <w:b/>
          <w:bCs/>
          <w:kern w:val="0"/>
          <w:sz w:val="28"/>
          <w:szCs w:val="28"/>
        </w:rPr>
      </w:pPr>
      <w:r>
        <w:rPr>
          <w:rFonts w:hint="eastAsia" w:ascii="仿宋_GB2312" w:hAnsi="仿宋_GB2312" w:eastAsia="仿宋_GB2312" w:cs="仿宋_GB2312"/>
          <w:b/>
          <w:bCs/>
          <w:snapToGrid w:val="0"/>
          <w:color w:val="000000"/>
          <w:kern w:val="0"/>
          <w:sz w:val="28"/>
          <w:szCs w:val="28"/>
          <w:lang w:val="en-US" w:eastAsia="zh-CN" w:bidi="ar"/>
        </w:rPr>
        <w:t>一、 工程概况：</w:t>
      </w:r>
    </w:p>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480" w:lineRule="exact"/>
        <w:ind w:left="0" w:right="0" w:firstLine="560" w:firstLineChars="200"/>
        <w:jc w:val="left"/>
        <w:textAlignment w:val="baseline"/>
        <w:rPr>
          <w:rFonts w:hint="eastAsia" w:ascii="仿宋_GB2312" w:hAnsi="仿宋_GB2312" w:eastAsia="仿宋_GB2312" w:cs="仿宋_GB2312"/>
          <w:b w:val="0"/>
          <w:bCs w:val="0"/>
          <w:snapToGrid w:val="0"/>
          <w:color w:val="000000"/>
          <w:kern w:val="0"/>
          <w:sz w:val="28"/>
          <w:szCs w:val="28"/>
          <w:lang w:val="en-US" w:eastAsia="zh-CN" w:bidi="ar"/>
        </w:rPr>
      </w:pPr>
      <w:r>
        <w:rPr>
          <w:rFonts w:hint="eastAsia" w:ascii="仿宋_GB2312" w:hAnsi="仿宋_GB2312" w:eastAsia="仿宋_GB2312" w:cs="仿宋_GB2312"/>
          <w:b w:val="0"/>
          <w:bCs w:val="0"/>
          <w:snapToGrid w:val="0"/>
          <w:color w:val="000000"/>
          <w:kern w:val="0"/>
          <w:sz w:val="28"/>
          <w:szCs w:val="28"/>
          <w:lang w:val="en-US" w:eastAsia="zh-CN" w:bidi="ar"/>
        </w:rPr>
        <w:t>1、工程名称：陇县公安局城关派出所“百日工程”基础设施提改造</w:t>
      </w:r>
    </w:p>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480" w:lineRule="exact"/>
        <w:ind w:left="0" w:right="0" w:firstLine="560" w:firstLineChars="200"/>
        <w:jc w:val="left"/>
        <w:textAlignment w:val="baseline"/>
        <w:rPr>
          <w:rFonts w:ascii="Arial" w:hAnsi="Arial" w:eastAsia="Arial" w:cs="Arial"/>
          <w:snapToGrid w:val="0"/>
          <w:color w:val="000000"/>
          <w:kern w:val="0"/>
          <w:sz w:val="21"/>
          <w:szCs w:val="21"/>
          <w:lang w:val="en-US" w:eastAsia="en-US" w:bidi="ar-SA"/>
        </w:rPr>
      </w:pPr>
      <w:r>
        <w:rPr>
          <w:rFonts w:hint="eastAsia" w:ascii="仿宋_GB2312" w:hAnsi="仿宋_GB2312" w:eastAsia="仿宋_GB2312" w:cs="仿宋_GB2312"/>
          <w:b w:val="0"/>
          <w:bCs w:val="0"/>
          <w:snapToGrid w:val="0"/>
          <w:color w:val="000000"/>
          <w:kern w:val="0"/>
          <w:sz w:val="28"/>
          <w:szCs w:val="28"/>
          <w:lang w:val="en-US" w:eastAsia="zh-CN" w:bidi="ar"/>
        </w:rPr>
        <w:t>2、建设地点：陇县公安局城关派出所</w:t>
      </w:r>
    </w:p>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480" w:lineRule="exact"/>
        <w:ind w:right="0" w:firstLine="560" w:firstLineChars="200"/>
        <w:jc w:val="left"/>
        <w:textAlignment w:val="baseline"/>
        <w:rPr>
          <w:rFonts w:hint="eastAsia" w:ascii="仿宋_GB2312" w:hAnsi="仿宋_GB2312" w:eastAsia="仿宋_GB2312" w:cs="仿宋_GB2312"/>
          <w:b w:val="0"/>
          <w:bCs w:val="0"/>
          <w:snapToGrid w:val="0"/>
          <w:color w:val="000000"/>
          <w:kern w:val="0"/>
          <w:sz w:val="28"/>
          <w:szCs w:val="28"/>
          <w:lang w:val="en-US" w:eastAsia="zh-CN" w:bidi="ar"/>
        </w:rPr>
      </w:pPr>
      <w:r>
        <w:rPr>
          <w:rFonts w:hint="eastAsia" w:ascii="仿宋_GB2312" w:hAnsi="仿宋_GB2312" w:eastAsia="仿宋_GB2312" w:cs="仿宋_GB2312"/>
          <w:b w:val="0"/>
          <w:bCs w:val="0"/>
          <w:snapToGrid w:val="0"/>
          <w:color w:val="000000"/>
          <w:kern w:val="0"/>
          <w:sz w:val="28"/>
          <w:szCs w:val="28"/>
          <w:lang w:val="en-US" w:eastAsia="zh-CN" w:bidi="ar"/>
        </w:rPr>
        <w:t>3、建设内容：</w:t>
      </w:r>
    </w:p>
    <w:p>
      <w:pPr>
        <w:pStyle w:val="2"/>
        <w:keepNext w:val="0"/>
        <w:keepLines w:val="0"/>
        <w:pageBreakBefore w:val="0"/>
        <w:kinsoku w:val="0"/>
        <w:wordWrap/>
        <w:overflowPunct/>
        <w:topLinePunct w:val="0"/>
        <w:autoSpaceDE w:val="0"/>
        <w:bidi w:val="0"/>
        <w:snapToGrid w:val="0"/>
        <w:spacing w:line="480" w:lineRule="exact"/>
        <w:ind w:firstLine="560" w:firstLineChars="200"/>
        <w:rPr>
          <w:rFonts w:hint="eastAsia" w:ascii="仿宋_GB2312" w:hAnsi="仿宋_GB2312" w:eastAsia="仿宋_GB2312" w:cs="仿宋_GB2312"/>
          <w:b w:val="0"/>
          <w:bCs w:val="0"/>
          <w:snapToGrid w:val="0"/>
          <w:color w:val="000000"/>
          <w:kern w:val="0"/>
          <w:sz w:val="28"/>
          <w:szCs w:val="28"/>
          <w:lang w:val="en-US" w:eastAsia="zh-CN" w:bidi="ar"/>
        </w:rPr>
      </w:pPr>
      <w:r>
        <w:rPr>
          <w:rFonts w:hint="eastAsia" w:ascii="仿宋_GB2312" w:hAnsi="仿宋_GB2312" w:eastAsia="仿宋_GB2312" w:cs="仿宋_GB2312"/>
          <w:b w:val="0"/>
          <w:bCs w:val="0"/>
          <w:snapToGrid w:val="0"/>
          <w:color w:val="000000"/>
          <w:kern w:val="0"/>
          <w:sz w:val="28"/>
          <w:szCs w:val="28"/>
          <w:lang w:val="en-US" w:eastAsia="zh-CN" w:bidi="ar"/>
        </w:rPr>
        <w:t>（1）宿办楼提升工程：具体为外墙刷新、楼梯封闭、内墙装饰粉刷、室内吊顶、楼道地面铺设。</w:t>
      </w:r>
    </w:p>
    <w:p>
      <w:pPr>
        <w:pStyle w:val="3"/>
        <w:keepNext w:val="0"/>
        <w:keepLines w:val="0"/>
        <w:pageBreakBefore w:val="0"/>
        <w:kinsoku w:val="0"/>
        <w:wordWrap/>
        <w:overflowPunct/>
        <w:topLinePunct w:val="0"/>
        <w:autoSpaceDE w:val="0"/>
        <w:bidi w:val="0"/>
        <w:snapToGrid w:val="0"/>
        <w:spacing w:line="480" w:lineRule="exact"/>
        <w:rPr>
          <w:rFonts w:hint="eastAsia" w:eastAsia="宋体"/>
          <w:lang w:val="en-US" w:eastAsia="zh-CN"/>
        </w:rPr>
      </w:pPr>
      <w:r>
        <w:rPr>
          <w:rFonts w:hint="eastAsia" w:eastAsia="宋体"/>
          <w:lang w:val="en-US" w:eastAsia="zh-CN"/>
        </w:rPr>
        <w:t>（2）</w:t>
      </w:r>
      <w:r>
        <w:rPr>
          <w:rFonts w:hint="eastAsia" w:eastAsia="仿宋_GB2312"/>
          <w:sz w:val="28"/>
          <w:lang w:val="en-US" w:eastAsia="zh-CN"/>
        </w:rPr>
        <w:t>基础设施：具体为强弱电、照明灯更换、室外、院内地面铺设。</w:t>
      </w:r>
    </w:p>
    <w:p>
      <w:pPr>
        <w:pStyle w:val="4"/>
        <w:keepNext w:val="0"/>
        <w:keepLines w:val="0"/>
        <w:pageBreakBefore w:val="0"/>
        <w:kinsoku w:val="0"/>
        <w:wordWrap/>
        <w:overflowPunct/>
        <w:topLinePunct w:val="0"/>
        <w:autoSpaceDE w:val="0"/>
        <w:bidi w:val="0"/>
        <w:snapToGrid w:val="0"/>
        <w:spacing w:line="480" w:lineRule="exact"/>
        <w:rPr>
          <w:rFonts w:hint="eastAsia" w:ascii="仿宋_GB2312" w:hAnsi="仿宋_GB2312" w:eastAsia="仿宋_GB2312" w:cs="仿宋_GB2312"/>
          <w:sz w:val="30"/>
          <w:szCs w:val="30"/>
          <w:lang w:val="en-US" w:eastAsia="zh-CN"/>
        </w:rPr>
      </w:pPr>
      <w:r>
        <w:rPr>
          <w:rFonts w:hint="eastAsia" w:eastAsia="宋体"/>
          <w:lang w:val="en-US" w:eastAsia="zh-CN"/>
        </w:rPr>
        <w:t xml:space="preserve">      </w:t>
      </w:r>
      <w:r>
        <w:rPr>
          <w:rFonts w:hint="eastAsia" w:ascii="仿宋_GB2312" w:hAnsi="仿宋_GB2312" w:eastAsia="仿宋_GB2312" w:cs="仿宋_GB2312"/>
          <w:b w:val="0"/>
          <w:bCs w:val="0"/>
          <w:snapToGrid w:val="0"/>
          <w:color w:val="000000"/>
          <w:kern w:val="0"/>
          <w:sz w:val="28"/>
          <w:szCs w:val="28"/>
          <w:lang w:val="en-US" w:eastAsia="zh-CN" w:bidi="ar"/>
        </w:rPr>
        <w:t>（3）改造工程：具体为办公区卫生间及厨房上下水改造、宿办楼钢窗更换、宿办楼进户门更换。</w:t>
      </w:r>
    </w:p>
    <w:p>
      <w:pPr>
        <w:pStyle w:val="5"/>
        <w:keepNext w:val="0"/>
        <w:keepLines w:val="0"/>
        <w:pageBreakBefore w:val="0"/>
        <w:kinsoku w:val="0"/>
        <w:wordWrap/>
        <w:overflowPunct/>
        <w:topLinePunct w:val="0"/>
        <w:autoSpaceDE w:val="0"/>
        <w:bidi w:val="0"/>
        <w:snapToGrid w:val="0"/>
        <w:spacing w:line="480" w:lineRule="exact"/>
        <w:ind w:firstLine="500" w:firstLineChars="500"/>
        <w:rPr>
          <w:lang w:val="en-US" w:eastAsia="en-US"/>
        </w:rPr>
      </w:pPr>
      <w:r>
        <w:rPr>
          <w:rFonts w:hint="eastAsia" w:ascii="仿宋_GB2312" w:hAnsi="仿宋_GB2312" w:eastAsia="仿宋_GB2312" w:cs="仿宋_GB2312"/>
          <w:color w:val="FFFFFF" w:themeColor="background1"/>
          <w:sz w:val="10"/>
          <w:szCs w:val="10"/>
          <w:lang w:val="en-US" w:eastAsia="zh-CN"/>
          <w14:textFill>
            <w14:solidFill>
              <w14:schemeClr w14:val="bg1"/>
            </w14:solidFill>
          </w14:textFill>
        </w:rPr>
        <w:t xml:space="preserve">. </w:t>
      </w:r>
      <w:r>
        <w:rPr>
          <w:rFonts w:hint="eastAsia" w:ascii="仿宋_GB2312" w:hAnsi="仿宋_GB2312" w:eastAsia="仿宋_GB2312" w:cs="仿宋_GB2312"/>
          <w:sz w:val="28"/>
          <w:szCs w:val="28"/>
          <w:lang w:val="en-US" w:eastAsia="zh-CN"/>
        </w:rPr>
        <w:t>（4）其他项目：办公区附属设施改造。</w:t>
      </w:r>
    </w:p>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480" w:lineRule="exact"/>
        <w:ind w:right="0" w:firstLine="562" w:firstLineChars="200"/>
        <w:jc w:val="left"/>
        <w:textAlignment w:val="baseline"/>
        <w:rPr>
          <w:rFonts w:hint="eastAsia" w:ascii="仿宋_GB2312" w:hAnsi="仿宋_GB2312" w:eastAsia="仿宋_GB2312" w:cs="仿宋_GB2312"/>
          <w:kern w:val="0"/>
          <w:sz w:val="28"/>
          <w:szCs w:val="28"/>
        </w:rPr>
      </w:pPr>
      <w:r>
        <w:rPr>
          <w:rFonts w:hint="eastAsia" w:ascii="仿宋_GB2312" w:hAnsi="仿宋_GB2312" w:eastAsia="仿宋_GB2312" w:cs="仿宋_GB2312"/>
          <w:b/>
          <w:bCs w:val="0"/>
          <w:snapToGrid w:val="0"/>
          <w:color w:val="000000"/>
          <w:kern w:val="0"/>
          <w:sz w:val="28"/>
          <w:szCs w:val="28"/>
          <w:lang w:val="en-US" w:eastAsia="zh-CN" w:bidi="ar"/>
        </w:rPr>
        <w:t xml:space="preserve">二、工程量清单编制依据：                     </w:t>
      </w:r>
    </w:p>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480" w:lineRule="exact"/>
        <w:ind w:left="0" w:right="0" w:firstLine="560" w:firstLineChars="200"/>
        <w:jc w:val="left"/>
        <w:textAlignment w:val="baseline"/>
        <w:rPr>
          <w:rFonts w:hint="eastAsia" w:ascii="仿宋_GB2312" w:hAnsi="仿宋_GB2312" w:eastAsia="仿宋_GB2312" w:cs="仿宋_GB2312"/>
          <w:b w:val="0"/>
          <w:bCs/>
          <w:kern w:val="0"/>
          <w:sz w:val="28"/>
          <w:szCs w:val="28"/>
        </w:rPr>
      </w:pPr>
      <w:r>
        <w:rPr>
          <w:rFonts w:hint="eastAsia" w:ascii="仿宋_GB2312" w:hAnsi="仿宋_GB2312" w:eastAsia="仿宋_GB2312" w:cs="仿宋_GB2312"/>
          <w:b w:val="0"/>
          <w:bCs/>
          <w:snapToGrid w:val="0"/>
          <w:color w:val="000000"/>
          <w:kern w:val="0"/>
          <w:sz w:val="28"/>
          <w:szCs w:val="28"/>
          <w:lang w:val="en-US" w:eastAsia="zh-CN" w:bidi="ar"/>
        </w:rPr>
        <w:t>1、依据2009年《陕西省建设工程工程量清单计价规则》、2009年《陕西省建设工程工程量清单计价费率》、2009 年《陕西省建筑、装饰、安装、市政、园林绿化工程价目表》、2009年《陕西省建筑工程施工机械台班价目表》、2009年《陕西省建设工程消耗量定额勘误及补充定额》、2004 年《陕西省建筑、装饰工程消耗量定额》、2004年《陕西省安装工程消耗量定额》、2004 年《陕西省市政、园林绿化工程消耗量定额》、陕建发[2017]270号、陕建发[2019]45号、陕建发【2019】1246号、陕建发【2020】1097号 陕建发[2021]1097号文件及其相关配套文件编制。</w:t>
      </w:r>
    </w:p>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480" w:lineRule="exact"/>
        <w:ind w:left="0" w:right="0" w:firstLine="560" w:firstLineChars="200"/>
        <w:jc w:val="left"/>
        <w:textAlignment w:val="baseline"/>
        <w:rPr>
          <w:rFonts w:hint="eastAsia" w:ascii="仿宋_GB2312" w:hAnsi="仿宋_GB2312" w:eastAsia="仿宋_GB2312" w:cs="仿宋_GB2312"/>
          <w:b w:val="0"/>
          <w:bCs/>
          <w:kern w:val="0"/>
          <w:sz w:val="28"/>
          <w:szCs w:val="28"/>
        </w:rPr>
      </w:pPr>
      <w:r>
        <w:rPr>
          <w:rFonts w:hint="eastAsia" w:ascii="仿宋_GB2312" w:hAnsi="仿宋_GB2312" w:eastAsia="仿宋_GB2312" w:cs="仿宋_GB2312"/>
          <w:b w:val="0"/>
          <w:bCs/>
          <w:snapToGrid w:val="0"/>
          <w:color w:val="000000"/>
          <w:kern w:val="0"/>
          <w:sz w:val="28"/>
          <w:szCs w:val="28"/>
          <w:lang w:val="en-US" w:eastAsia="zh-CN" w:bidi="ar"/>
        </w:rPr>
        <w:t>2、规费执行《陕西省住房和城乡建设厅关于建筑施工安全生产责任保险费用计价的通知》陕建发【2020】1097号文件。</w:t>
      </w:r>
    </w:p>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480" w:lineRule="exact"/>
        <w:ind w:left="0" w:right="0" w:firstLine="560" w:firstLineChars="200"/>
        <w:jc w:val="left"/>
        <w:textAlignment w:val="baseline"/>
        <w:rPr>
          <w:rFonts w:hint="eastAsia" w:ascii="仿宋_GB2312" w:hAnsi="仿宋_GB2312" w:eastAsia="仿宋_GB2312" w:cs="仿宋_GB2312"/>
          <w:b w:val="0"/>
          <w:bCs/>
          <w:kern w:val="0"/>
          <w:sz w:val="28"/>
          <w:szCs w:val="28"/>
        </w:rPr>
      </w:pPr>
      <w:r>
        <w:rPr>
          <w:rFonts w:hint="eastAsia" w:ascii="仿宋_GB2312" w:hAnsi="仿宋_GB2312" w:eastAsia="仿宋_GB2312" w:cs="仿宋_GB2312"/>
          <w:b w:val="0"/>
          <w:bCs/>
          <w:snapToGrid w:val="0"/>
          <w:color w:val="000000"/>
          <w:kern w:val="0"/>
          <w:sz w:val="28"/>
          <w:szCs w:val="28"/>
          <w:lang w:val="en-US" w:eastAsia="zh-CN" w:bidi="ar"/>
        </w:rPr>
        <w:t>3、人工费执行《关于调整房屋建筑和市政基础设施工程工程量清单计价综合人工单价的通知》陕建发【2021】1097号文件中规定的综合人工单价136元/工日，装饰人工单价146元/工日。</w:t>
      </w:r>
    </w:p>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480" w:lineRule="exact"/>
        <w:ind w:left="0" w:right="0" w:firstLine="560" w:firstLineChars="200"/>
        <w:jc w:val="left"/>
        <w:textAlignment w:val="baseline"/>
        <w:rPr>
          <w:rFonts w:hint="eastAsia" w:ascii="仿宋_GB2312" w:hAnsi="仿宋_GB2312" w:eastAsia="仿宋_GB2312" w:cs="仿宋_GB2312"/>
          <w:b w:val="0"/>
          <w:bCs/>
          <w:kern w:val="0"/>
          <w:sz w:val="28"/>
          <w:szCs w:val="28"/>
        </w:rPr>
      </w:pPr>
      <w:r>
        <w:rPr>
          <w:rFonts w:hint="eastAsia" w:ascii="仿宋_GB2312" w:hAnsi="仿宋_GB2312" w:eastAsia="仿宋_GB2312" w:cs="仿宋_GB2312"/>
          <w:b w:val="0"/>
          <w:bCs/>
          <w:snapToGrid w:val="0"/>
          <w:color w:val="000000"/>
          <w:kern w:val="0"/>
          <w:sz w:val="28"/>
          <w:szCs w:val="28"/>
          <w:lang w:val="en-US" w:eastAsia="zh-CN" w:bidi="ar"/>
        </w:rPr>
        <w:t>4、主要材料价格依据《宝鸡市建筑动态与材料信息》（2024年第1期）及部分市场价。</w:t>
      </w:r>
    </w:p>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480" w:lineRule="exact"/>
        <w:ind w:left="0" w:right="0" w:firstLine="562" w:firstLineChars="200"/>
        <w:jc w:val="left"/>
        <w:textAlignment w:val="baseline"/>
        <w:rPr>
          <w:rFonts w:hint="eastAsia" w:ascii="仿宋_GB2312" w:hAnsi="仿宋_GB2312" w:eastAsia="仿宋_GB2312" w:cs="仿宋_GB2312"/>
          <w:b/>
          <w:bCs/>
          <w:kern w:val="0"/>
          <w:sz w:val="28"/>
          <w:szCs w:val="28"/>
        </w:rPr>
      </w:pPr>
      <w:r>
        <w:rPr>
          <w:rFonts w:hint="eastAsia" w:ascii="仿宋_GB2312" w:hAnsi="仿宋_GB2312" w:eastAsia="仿宋_GB2312" w:cs="仿宋_GB2312"/>
          <w:b/>
          <w:bCs/>
          <w:snapToGrid w:val="0"/>
          <w:color w:val="000000"/>
          <w:kern w:val="0"/>
          <w:sz w:val="28"/>
          <w:szCs w:val="28"/>
          <w:lang w:val="en-US" w:eastAsia="zh-CN" w:bidi="ar"/>
        </w:rPr>
        <w:t>三、计价软件：</w:t>
      </w:r>
    </w:p>
    <w:p>
      <w:pPr>
        <w:pStyle w:val="10"/>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480" w:lineRule="exact"/>
        <w:ind w:left="0" w:leftChars="0" w:right="0" w:firstLine="560" w:firstLineChars="200"/>
        <w:jc w:val="left"/>
        <w:textAlignment w:val="baseline"/>
        <w:rPr>
          <w:rFonts w:hint="eastAsia" w:ascii="仿宋_GB2312" w:hAnsi="仿宋_GB2312" w:eastAsia="仿宋_GB2312" w:cs="仿宋_GB2312"/>
          <w:b w:val="0"/>
          <w:bCs/>
          <w:snapToGrid w:val="0"/>
          <w:color w:val="000000"/>
          <w:kern w:val="0"/>
          <w:sz w:val="28"/>
          <w:szCs w:val="28"/>
          <w:lang w:val="en-US" w:eastAsia="zh-CN" w:bidi="ar"/>
        </w:rPr>
      </w:pPr>
      <w:r>
        <w:rPr>
          <w:rFonts w:hint="eastAsia" w:ascii="仿宋_GB2312" w:hAnsi="仿宋_GB2312" w:eastAsia="仿宋_GB2312" w:cs="仿宋_GB2312"/>
          <w:b w:val="0"/>
          <w:bCs/>
          <w:snapToGrid w:val="0"/>
          <w:color w:val="000000"/>
          <w:kern w:val="0"/>
          <w:sz w:val="28"/>
          <w:szCs w:val="28"/>
          <w:lang w:val="en-US" w:eastAsia="zh-CN" w:bidi="ar"/>
        </w:rPr>
        <w:t>本项目为固定单价合同，请投标单位在综合单价中考虑措施项目费、规费、税金等其他所有费用。</w:t>
      </w:r>
    </w:p>
    <w:p>
      <w:pPr>
        <w:pStyle w:val="10"/>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480" w:lineRule="exact"/>
        <w:ind w:left="0" w:leftChars="0" w:right="0" w:firstLine="562" w:firstLineChars="200"/>
        <w:jc w:val="left"/>
        <w:textAlignment w:val="baseline"/>
        <w:rPr>
          <w:rFonts w:hint="eastAsia" w:ascii="仿宋_GB2312" w:hAnsi="仿宋_GB2312" w:eastAsia="仿宋_GB2312" w:cs="仿宋_GB2312"/>
          <w:b/>
          <w:bCs w:val="0"/>
          <w:snapToGrid w:val="0"/>
          <w:color w:val="000000"/>
          <w:kern w:val="0"/>
          <w:sz w:val="28"/>
          <w:szCs w:val="28"/>
          <w:lang w:val="en-US" w:eastAsia="zh-CN" w:bidi="ar"/>
        </w:rPr>
      </w:pPr>
      <w:r>
        <w:rPr>
          <w:rFonts w:hint="eastAsia" w:ascii="仿宋_GB2312" w:hAnsi="仿宋_GB2312" w:eastAsia="仿宋_GB2312" w:cs="仿宋_GB2312"/>
          <w:b/>
          <w:bCs w:val="0"/>
          <w:snapToGrid w:val="0"/>
          <w:color w:val="000000"/>
          <w:kern w:val="0"/>
          <w:sz w:val="28"/>
          <w:szCs w:val="28"/>
          <w:lang w:val="en-US" w:eastAsia="zh-CN" w:bidi="ar"/>
        </w:rPr>
        <w:t>四、报价要求</w:t>
      </w:r>
    </w:p>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480" w:lineRule="exact"/>
        <w:ind w:left="0" w:right="0" w:firstLine="560" w:firstLineChars="200"/>
        <w:jc w:val="left"/>
        <w:textAlignment w:val="baseline"/>
        <w:rPr>
          <w:rFonts w:hint="eastAsia" w:ascii="仿宋_GB2312" w:hAnsi="仿宋_GB2312" w:eastAsia="仿宋_GB2312" w:cs="仿宋_GB2312"/>
          <w:b w:val="0"/>
          <w:bCs/>
          <w:snapToGrid w:val="0"/>
          <w:color w:val="000000"/>
          <w:kern w:val="0"/>
          <w:sz w:val="28"/>
          <w:szCs w:val="28"/>
          <w:lang w:val="en-US" w:eastAsia="zh-CN" w:bidi="ar"/>
        </w:rPr>
      </w:pPr>
      <w:r>
        <w:rPr>
          <w:rFonts w:hint="eastAsia" w:ascii="仿宋_GB2312" w:hAnsi="仿宋_GB2312" w:eastAsia="仿宋_GB2312" w:cs="仿宋_GB2312"/>
          <w:b w:val="0"/>
          <w:bCs/>
          <w:snapToGrid w:val="0"/>
          <w:color w:val="000000"/>
          <w:kern w:val="0"/>
          <w:sz w:val="28"/>
          <w:szCs w:val="28"/>
          <w:lang w:val="en-US" w:eastAsia="zh-CN" w:bidi="ar"/>
        </w:rPr>
        <w:t xml:space="preserve">为保证工程质量，确保涉及材料、设备质量达到工程需求，中标单位需按照工程量清单及认质认价材料价格控制表要求内容完成全部建设内容。             </w:t>
      </w:r>
    </w:p>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480" w:lineRule="exact"/>
        <w:ind w:left="0" w:right="0" w:firstLine="560" w:firstLineChars="200"/>
        <w:jc w:val="left"/>
        <w:textAlignment w:val="baseline"/>
        <w:rPr>
          <w:rFonts w:hint="eastAsia" w:ascii="仿宋_GB2312" w:hAnsi="仿宋_GB2312" w:eastAsia="仿宋_GB2312" w:cs="仿宋_GB2312"/>
          <w:b w:val="0"/>
          <w:bCs/>
          <w:snapToGrid w:val="0"/>
          <w:color w:val="000000"/>
          <w:kern w:val="0"/>
          <w:sz w:val="28"/>
          <w:szCs w:val="28"/>
          <w:lang w:val="en-US" w:eastAsia="zh-CN" w:bidi="ar"/>
        </w:rPr>
      </w:pPr>
      <w:r>
        <w:rPr>
          <w:rFonts w:hint="eastAsia" w:ascii="仿宋_GB2312" w:hAnsi="仿宋_GB2312" w:eastAsia="仿宋_GB2312" w:cs="仿宋_GB2312"/>
          <w:b w:val="0"/>
          <w:bCs/>
          <w:snapToGrid w:val="0"/>
          <w:color w:val="000000"/>
          <w:kern w:val="0"/>
          <w:sz w:val="28"/>
          <w:szCs w:val="28"/>
          <w:lang w:val="en-US" w:eastAsia="zh-CN" w:bidi="ar"/>
        </w:rPr>
        <w:t>认质认价材料控制表为此项目原材料的最低控制价格，所使用的原材料不允许底于控制价，如所使用原材价格高于材料控制价，不在报价基础上调整所报的综合单价，请报价过程中综合考虑报价。</w:t>
      </w:r>
    </w:p>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480" w:lineRule="exact"/>
        <w:ind w:right="0" w:firstLine="562" w:firstLineChars="200"/>
        <w:jc w:val="left"/>
        <w:textAlignment w:val="baseline"/>
        <w:rPr>
          <w:rFonts w:hint="eastAsia" w:ascii="仿宋_GB2312" w:hAnsi="仿宋_GB2312" w:eastAsia="仿宋_GB2312" w:cs="仿宋_GB2312"/>
          <w:b/>
          <w:bCs w:val="0"/>
          <w:snapToGrid w:val="0"/>
          <w:color w:val="000000"/>
          <w:kern w:val="0"/>
          <w:sz w:val="28"/>
          <w:szCs w:val="28"/>
          <w:lang w:val="en-US" w:eastAsia="zh-CN" w:bidi="ar"/>
        </w:rPr>
      </w:pPr>
      <w:r>
        <w:rPr>
          <w:rFonts w:hint="eastAsia" w:ascii="仿宋_GB2312" w:hAnsi="仿宋_GB2312" w:eastAsia="仿宋_GB2312" w:cs="仿宋_GB2312"/>
          <w:b/>
          <w:bCs w:val="0"/>
          <w:snapToGrid w:val="0"/>
          <w:color w:val="000000"/>
          <w:kern w:val="0"/>
          <w:sz w:val="28"/>
          <w:szCs w:val="28"/>
          <w:lang w:val="en-US" w:eastAsia="zh-CN" w:bidi="ar"/>
        </w:rPr>
        <w:t>六、最高限价</w:t>
      </w:r>
    </w:p>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480" w:lineRule="exact"/>
        <w:ind w:right="0" w:firstLine="560" w:firstLineChars="200"/>
        <w:jc w:val="left"/>
        <w:textAlignment w:val="baseline"/>
        <w:rPr>
          <w:rFonts w:hint="eastAsia" w:ascii="仿宋_GB2312" w:hAnsi="仿宋_GB2312" w:eastAsia="仿宋_GB2312" w:cs="仿宋_GB2312"/>
          <w:color w:val="555555"/>
          <w:sz w:val="28"/>
          <w:szCs w:val="28"/>
          <w:shd w:val="clear" w:color="auto" w:fill="FFFFFF"/>
          <w:lang w:val="en-US" w:eastAsia="zh-CN"/>
        </w:rPr>
      </w:pPr>
      <w:r>
        <w:rPr>
          <w:rFonts w:hint="eastAsia" w:ascii="仿宋_GB2312" w:hAnsi="仿宋_GB2312" w:eastAsia="仿宋_GB2312" w:cs="仿宋_GB2312"/>
          <w:color w:val="555555"/>
          <w:sz w:val="28"/>
          <w:szCs w:val="28"/>
          <w:shd w:val="clear" w:color="auto" w:fill="FFFFFF"/>
          <w:lang w:val="en-US" w:eastAsia="zh-CN"/>
        </w:rPr>
        <w:t>1.本项目最高限价1279613.60元。</w:t>
      </w:r>
    </w:p>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480" w:lineRule="exact"/>
        <w:ind w:right="0" w:firstLine="562" w:firstLineChars="200"/>
        <w:jc w:val="left"/>
        <w:textAlignment w:val="baseline"/>
        <w:rPr>
          <w:rFonts w:hint="eastAsia" w:ascii="仿宋_GB2312" w:hAnsi="仿宋_GB2312" w:eastAsia="仿宋_GB2312" w:cs="仿宋_GB2312"/>
          <w:b/>
          <w:bCs w:val="0"/>
          <w:snapToGrid w:val="0"/>
          <w:color w:val="000000"/>
          <w:kern w:val="0"/>
          <w:sz w:val="28"/>
          <w:szCs w:val="28"/>
          <w:lang w:val="en-US" w:eastAsia="zh-CN" w:bidi="ar"/>
        </w:rPr>
        <w:sectPr>
          <w:headerReference r:id="rId3" w:type="default"/>
          <w:footerReference r:id="rId4" w:type="default"/>
          <w:pgSz w:w="11906" w:h="16839"/>
          <w:pgMar w:top="1190" w:right="1341" w:bottom="1211" w:left="1417" w:header="886" w:footer="1049" w:gutter="0"/>
          <w:pgNumType w:fmt="decimal"/>
          <w:cols w:space="720" w:num="1"/>
        </w:sectPr>
      </w:pPr>
      <w:r>
        <w:rPr>
          <w:rFonts w:hint="eastAsia" w:ascii="仿宋_GB2312" w:hAnsi="仿宋_GB2312" w:eastAsia="仿宋_GB2312" w:cs="仿宋_GB2312"/>
          <w:b/>
          <w:bCs w:val="0"/>
          <w:snapToGrid w:val="0"/>
          <w:color w:val="000000"/>
          <w:kern w:val="0"/>
          <w:sz w:val="28"/>
          <w:szCs w:val="28"/>
          <w:lang w:val="en-US" w:eastAsia="zh-CN" w:bidi="ar"/>
        </w:rPr>
        <w:t>七、工程量清</w:t>
      </w:r>
      <w:bookmarkStart w:id="0" w:name="_GoBack"/>
      <w:bookmarkEnd w:id="0"/>
    </w:p>
    <w:p>
      <w:pPr>
        <w:keepNext w:val="0"/>
        <w:keepLines w:val="0"/>
        <w:widowControl w:val="0"/>
        <w:suppressLineNumbers w:val="0"/>
        <w:kinsoku w:val="0"/>
        <w:autoSpaceDE w:val="0"/>
        <w:autoSpaceDN/>
        <w:adjustRightInd w:val="0"/>
        <w:snapToGrid w:val="0"/>
        <w:spacing w:before="0" w:beforeAutospacing="0" w:after="0" w:afterAutospacing="0" w:line="240" w:lineRule="auto"/>
        <w:ind w:right="0" w:firstLine="320" w:firstLineChars="100"/>
        <w:jc w:val="left"/>
        <w:textAlignment w:val="baseline"/>
        <w:rPr>
          <w:rFonts w:hint="eastAsia" w:ascii="仿宋" w:hAnsi="仿宋" w:eastAsia="仿宋" w:cs="仿宋"/>
          <w:color w:val="FF0000"/>
          <w:sz w:val="32"/>
          <w:szCs w:val="32"/>
        </w:rPr>
      </w:pPr>
      <w:r>
        <w:rPr>
          <w:rFonts w:hint="eastAsia" w:ascii="仿宋_GB2312" w:hAnsi="仿宋_GB2312" w:eastAsia="仿宋_GB2312" w:cs="仿宋_GB2312"/>
          <w:color w:val="555555"/>
          <w:sz w:val="32"/>
          <w:szCs w:val="32"/>
          <w:shd w:val="clear" w:color="auto" w:fill="FFFFFF"/>
          <w:lang w:val="en-US" w:eastAsia="zh-CN"/>
        </w:rPr>
        <w:drawing>
          <wp:inline distT="0" distB="0" distL="114300" distR="114300">
            <wp:extent cx="5017135" cy="8796655"/>
            <wp:effectExtent l="0" t="0" r="12065" b="4445"/>
            <wp:docPr id="23" name="图片 23" descr="Docume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ocument-2"/>
                    <pic:cNvPicPr>
                      <a:picLocks noChangeAspect="1"/>
                    </pic:cNvPicPr>
                  </pic:nvPicPr>
                  <pic:blipFill>
                    <a:blip r:embed="rId7"/>
                    <a:stretch>
                      <a:fillRect/>
                    </a:stretch>
                  </pic:blipFill>
                  <pic:spPr>
                    <a:xfrm>
                      <a:off x="0" y="0"/>
                      <a:ext cx="5017135" cy="8796655"/>
                    </a:xfrm>
                    <a:prstGeom prst="rect">
                      <a:avLst/>
                    </a:prstGeom>
                  </pic:spPr>
                </pic:pic>
              </a:graphicData>
            </a:graphic>
          </wp:inline>
        </w:drawing>
      </w:r>
      <w:r>
        <w:rPr>
          <w:rFonts w:hint="eastAsia" w:ascii="仿宋_GB2312" w:hAnsi="仿宋_GB2312" w:eastAsia="仿宋_GB2312" w:cs="仿宋_GB2312"/>
          <w:color w:val="555555"/>
          <w:sz w:val="32"/>
          <w:szCs w:val="32"/>
          <w:shd w:val="clear" w:color="auto" w:fill="FFFFFF"/>
          <w:lang w:val="en-US" w:eastAsia="zh-CN"/>
        </w:rPr>
        <w:drawing>
          <wp:inline distT="0" distB="0" distL="114300" distR="114300">
            <wp:extent cx="5757545" cy="9081135"/>
            <wp:effectExtent l="0" t="0" r="14605" b="5715"/>
            <wp:docPr id="22" name="图片 22" descr="Documen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ocument-3"/>
                    <pic:cNvPicPr>
                      <a:picLocks noChangeAspect="1"/>
                    </pic:cNvPicPr>
                  </pic:nvPicPr>
                  <pic:blipFill>
                    <a:blip r:embed="rId8"/>
                    <a:stretch>
                      <a:fillRect/>
                    </a:stretch>
                  </pic:blipFill>
                  <pic:spPr>
                    <a:xfrm>
                      <a:off x="0" y="0"/>
                      <a:ext cx="5757545" cy="9081135"/>
                    </a:xfrm>
                    <a:prstGeom prst="rect">
                      <a:avLst/>
                    </a:prstGeom>
                  </pic:spPr>
                </pic:pic>
              </a:graphicData>
            </a:graphic>
          </wp:inline>
        </w:drawing>
      </w:r>
      <w:r>
        <w:rPr>
          <w:rFonts w:hint="eastAsia" w:ascii="仿宋_GB2312" w:hAnsi="仿宋_GB2312" w:eastAsia="仿宋_GB2312" w:cs="仿宋_GB2312"/>
          <w:color w:val="555555"/>
          <w:sz w:val="32"/>
          <w:szCs w:val="32"/>
          <w:shd w:val="clear" w:color="auto" w:fill="FFFFFF"/>
          <w:lang w:val="en-US" w:eastAsia="zh-CN"/>
        </w:rPr>
        <w:drawing>
          <wp:inline distT="0" distB="0" distL="114300" distR="114300">
            <wp:extent cx="5757545" cy="9062085"/>
            <wp:effectExtent l="0" t="0" r="14605" b="5715"/>
            <wp:docPr id="21" name="图片 21" descr="Documen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ocument-4"/>
                    <pic:cNvPicPr>
                      <a:picLocks noChangeAspect="1"/>
                    </pic:cNvPicPr>
                  </pic:nvPicPr>
                  <pic:blipFill>
                    <a:blip r:embed="rId9"/>
                    <a:stretch>
                      <a:fillRect/>
                    </a:stretch>
                  </pic:blipFill>
                  <pic:spPr>
                    <a:xfrm>
                      <a:off x="0" y="0"/>
                      <a:ext cx="5757545" cy="9062085"/>
                    </a:xfrm>
                    <a:prstGeom prst="rect">
                      <a:avLst/>
                    </a:prstGeom>
                  </pic:spPr>
                </pic:pic>
              </a:graphicData>
            </a:graphic>
          </wp:inline>
        </w:drawing>
      </w:r>
      <w:r>
        <w:rPr>
          <w:rFonts w:hint="eastAsia" w:ascii="仿宋_GB2312" w:hAnsi="仿宋_GB2312" w:eastAsia="仿宋_GB2312" w:cs="仿宋_GB2312"/>
          <w:color w:val="555555"/>
          <w:sz w:val="32"/>
          <w:szCs w:val="32"/>
          <w:shd w:val="clear" w:color="auto" w:fill="FFFFFF"/>
          <w:lang w:val="en-US" w:eastAsia="zh-CN"/>
        </w:rPr>
        <w:drawing>
          <wp:inline distT="0" distB="0" distL="114300" distR="114300">
            <wp:extent cx="5757545" cy="9062085"/>
            <wp:effectExtent l="0" t="0" r="14605" b="5715"/>
            <wp:docPr id="20" name="图片 20" descr="Documen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ocument-5"/>
                    <pic:cNvPicPr>
                      <a:picLocks noChangeAspect="1"/>
                    </pic:cNvPicPr>
                  </pic:nvPicPr>
                  <pic:blipFill>
                    <a:blip r:embed="rId10"/>
                    <a:stretch>
                      <a:fillRect/>
                    </a:stretch>
                  </pic:blipFill>
                  <pic:spPr>
                    <a:xfrm>
                      <a:off x="0" y="0"/>
                      <a:ext cx="5757545" cy="9062085"/>
                    </a:xfrm>
                    <a:prstGeom prst="rect">
                      <a:avLst/>
                    </a:prstGeom>
                  </pic:spPr>
                </pic:pic>
              </a:graphicData>
            </a:graphic>
          </wp:inline>
        </w:drawing>
      </w:r>
      <w:r>
        <w:rPr>
          <w:rFonts w:hint="eastAsia" w:ascii="仿宋_GB2312" w:hAnsi="仿宋_GB2312" w:eastAsia="仿宋_GB2312" w:cs="仿宋_GB2312"/>
          <w:color w:val="555555"/>
          <w:sz w:val="32"/>
          <w:szCs w:val="32"/>
          <w:shd w:val="clear" w:color="auto" w:fill="FFFFFF"/>
          <w:lang w:val="en-US" w:eastAsia="zh-CN"/>
        </w:rPr>
        <w:drawing>
          <wp:inline distT="0" distB="0" distL="114300" distR="114300">
            <wp:extent cx="5757545" cy="9081135"/>
            <wp:effectExtent l="0" t="0" r="14605" b="5715"/>
            <wp:docPr id="19" name="图片 19" descr="Documen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ocument-6"/>
                    <pic:cNvPicPr>
                      <a:picLocks noChangeAspect="1"/>
                    </pic:cNvPicPr>
                  </pic:nvPicPr>
                  <pic:blipFill>
                    <a:blip r:embed="rId11"/>
                    <a:stretch>
                      <a:fillRect/>
                    </a:stretch>
                  </pic:blipFill>
                  <pic:spPr>
                    <a:xfrm>
                      <a:off x="0" y="0"/>
                      <a:ext cx="5757545" cy="9081135"/>
                    </a:xfrm>
                    <a:prstGeom prst="rect">
                      <a:avLst/>
                    </a:prstGeom>
                  </pic:spPr>
                </pic:pic>
              </a:graphicData>
            </a:graphic>
          </wp:inline>
        </w:drawing>
      </w:r>
      <w:r>
        <w:rPr>
          <w:rFonts w:hint="eastAsia" w:ascii="仿宋_GB2312" w:hAnsi="仿宋_GB2312" w:eastAsia="仿宋_GB2312" w:cs="仿宋_GB2312"/>
          <w:color w:val="555555"/>
          <w:sz w:val="32"/>
          <w:szCs w:val="32"/>
          <w:shd w:val="clear" w:color="auto" w:fill="FFFFFF"/>
          <w:lang w:val="en-US" w:eastAsia="zh-CN"/>
        </w:rPr>
        <w:drawing>
          <wp:inline distT="0" distB="0" distL="114300" distR="114300">
            <wp:extent cx="5757545" cy="9043035"/>
            <wp:effectExtent l="0" t="0" r="14605" b="5715"/>
            <wp:docPr id="18" name="图片 18" descr="Documen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ocument-7"/>
                    <pic:cNvPicPr>
                      <a:picLocks noChangeAspect="1"/>
                    </pic:cNvPicPr>
                  </pic:nvPicPr>
                  <pic:blipFill>
                    <a:blip r:embed="rId12"/>
                    <a:stretch>
                      <a:fillRect/>
                    </a:stretch>
                  </pic:blipFill>
                  <pic:spPr>
                    <a:xfrm>
                      <a:off x="0" y="0"/>
                      <a:ext cx="5757545" cy="9043035"/>
                    </a:xfrm>
                    <a:prstGeom prst="rect">
                      <a:avLst/>
                    </a:prstGeom>
                  </pic:spPr>
                </pic:pic>
              </a:graphicData>
            </a:graphic>
          </wp:inline>
        </w:drawing>
      </w:r>
      <w:r>
        <w:rPr>
          <w:rFonts w:hint="eastAsia" w:ascii="仿宋_GB2312" w:hAnsi="仿宋_GB2312" w:eastAsia="仿宋_GB2312" w:cs="仿宋_GB2312"/>
          <w:color w:val="555555"/>
          <w:sz w:val="32"/>
          <w:szCs w:val="32"/>
          <w:shd w:val="clear" w:color="auto" w:fill="FFFFFF"/>
          <w:lang w:val="en-US" w:eastAsia="zh-CN"/>
        </w:rPr>
        <w:drawing>
          <wp:inline distT="0" distB="0" distL="114300" distR="114300">
            <wp:extent cx="5757545" cy="9071610"/>
            <wp:effectExtent l="0" t="0" r="14605" b="15240"/>
            <wp:docPr id="17" name="图片 17" descr="Documen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ocument-8"/>
                    <pic:cNvPicPr>
                      <a:picLocks noChangeAspect="1"/>
                    </pic:cNvPicPr>
                  </pic:nvPicPr>
                  <pic:blipFill>
                    <a:blip r:embed="rId13"/>
                    <a:stretch>
                      <a:fillRect/>
                    </a:stretch>
                  </pic:blipFill>
                  <pic:spPr>
                    <a:xfrm>
                      <a:off x="0" y="0"/>
                      <a:ext cx="5757545" cy="9071610"/>
                    </a:xfrm>
                    <a:prstGeom prst="rect">
                      <a:avLst/>
                    </a:prstGeom>
                  </pic:spPr>
                </pic:pic>
              </a:graphicData>
            </a:graphic>
          </wp:inline>
        </w:drawing>
      </w:r>
      <w:r>
        <w:rPr>
          <w:rFonts w:hint="eastAsia" w:ascii="仿宋_GB2312" w:hAnsi="仿宋_GB2312" w:eastAsia="仿宋_GB2312" w:cs="仿宋_GB2312"/>
          <w:color w:val="555555"/>
          <w:sz w:val="32"/>
          <w:szCs w:val="32"/>
          <w:shd w:val="clear" w:color="auto" w:fill="FFFFFF"/>
          <w:lang w:val="en-US" w:eastAsia="zh-CN"/>
        </w:rPr>
        <w:drawing>
          <wp:inline distT="0" distB="0" distL="114300" distR="114300">
            <wp:extent cx="5757545" cy="9071610"/>
            <wp:effectExtent l="0" t="0" r="14605" b="15240"/>
            <wp:docPr id="16" name="图片 16" descr="Documen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ocument-9"/>
                    <pic:cNvPicPr>
                      <a:picLocks noChangeAspect="1"/>
                    </pic:cNvPicPr>
                  </pic:nvPicPr>
                  <pic:blipFill>
                    <a:blip r:embed="rId14"/>
                    <a:stretch>
                      <a:fillRect/>
                    </a:stretch>
                  </pic:blipFill>
                  <pic:spPr>
                    <a:xfrm>
                      <a:off x="0" y="0"/>
                      <a:ext cx="5757545" cy="9071610"/>
                    </a:xfrm>
                    <a:prstGeom prst="rect">
                      <a:avLst/>
                    </a:prstGeom>
                  </pic:spPr>
                </pic:pic>
              </a:graphicData>
            </a:graphic>
          </wp:inline>
        </w:drawing>
      </w:r>
      <w:r>
        <w:rPr>
          <w:rFonts w:hint="eastAsia" w:ascii="仿宋_GB2312" w:hAnsi="仿宋_GB2312" w:eastAsia="仿宋_GB2312" w:cs="仿宋_GB2312"/>
          <w:color w:val="555555"/>
          <w:sz w:val="32"/>
          <w:szCs w:val="32"/>
          <w:shd w:val="clear" w:color="auto" w:fill="FFFFFF"/>
          <w:lang w:val="en-US" w:eastAsia="zh-CN"/>
        </w:rPr>
        <w:drawing>
          <wp:inline distT="0" distB="0" distL="114300" distR="114300">
            <wp:extent cx="5757545" cy="9090660"/>
            <wp:effectExtent l="0" t="0" r="14605" b="15240"/>
            <wp:docPr id="15" name="图片 15" descr="Docu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ocument-10"/>
                    <pic:cNvPicPr>
                      <a:picLocks noChangeAspect="1"/>
                    </pic:cNvPicPr>
                  </pic:nvPicPr>
                  <pic:blipFill>
                    <a:blip r:embed="rId15"/>
                    <a:stretch>
                      <a:fillRect/>
                    </a:stretch>
                  </pic:blipFill>
                  <pic:spPr>
                    <a:xfrm>
                      <a:off x="0" y="0"/>
                      <a:ext cx="5757545" cy="9090660"/>
                    </a:xfrm>
                    <a:prstGeom prst="rect">
                      <a:avLst/>
                    </a:prstGeom>
                  </pic:spPr>
                </pic:pic>
              </a:graphicData>
            </a:graphic>
          </wp:inline>
        </w:drawing>
      </w:r>
      <w:r>
        <w:rPr>
          <w:rFonts w:hint="eastAsia" w:ascii="仿宋_GB2312" w:hAnsi="仿宋_GB2312" w:eastAsia="仿宋_GB2312" w:cs="仿宋_GB2312"/>
          <w:color w:val="555555"/>
          <w:sz w:val="32"/>
          <w:szCs w:val="32"/>
          <w:shd w:val="clear" w:color="auto" w:fill="FFFFFF"/>
          <w:lang w:val="en-US" w:eastAsia="zh-CN"/>
        </w:rPr>
        <w:drawing>
          <wp:inline distT="0" distB="0" distL="114300" distR="114300">
            <wp:extent cx="5757545" cy="9062085"/>
            <wp:effectExtent l="0" t="0" r="14605" b="5715"/>
            <wp:docPr id="13" name="图片 13" descr="Document-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ocument-12"/>
                    <pic:cNvPicPr>
                      <a:picLocks noChangeAspect="1"/>
                    </pic:cNvPicPr>
                  </pic:nvPicPr>
                  <pic:blipFill>
                    <a:blip r:embed="rId16"/>
                    <a:stretch>
                      <a:fillRect/>
                    </a:stretch>
                  </pic:blipFill>
                  <pic:spPr>
                    <a:xfrm>
                      <a:off x="0" y="0"/>
                      <a:ext cx="5757545" cy="9062085"/>
                    </a:xfrm>
                    <a:prstGeom prst="rect">
                      <a:avLst/>
                    </a:prstGeom>
                  </pic:spPr>
                </pic:pic>
              </a:graphicData>
            </a:graphic>
          </wp:inline>
        </w:drawing>
      </w:r>
      <w:r>
        <w:rPr>
          <w:rFonts w:hint="eastAsia" w:ascii="仿宋_GB2312" w:hAnsi="仿宋_GB2312" w:eastAsia="仿宋_GB2312" w:cs="仿宋_GB2312"/>
          <w:color w:val="555555"/>
          <w:sz w:val="32"/>
          <w:szCs w:val="32"/>
          <w:shd w:val="clear" w:color="auto" w:fill="FFFFFF"/>
          <w:lang w:val="en-US" w:eastAsia="zh-CN"/>
        </w:rPr>
        <w:drawing>
          <wp:inline distT="0" distB="0" distL="114300" distR="114300">
            <wp:extent cx="5757545" cy="9062085"/>
            <wp:effectExtent l="0" t="0" r="14605" b="5715"/>
            <wp:docPr id="12" name="图片 12" descr="Document-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ocument-13"/>
                    <pic:cNvPicPr>
                      <a:picLocks noChangeAspect="1"/>
                    </pic:cNvPicPr>
                  </pic:nvPicPr>
                  <pic:blipFill>
                    <a:blip r:embed="rId17"/>
                    <a:stretch>
                      <a:fillRect/>
                    </a:stretch>
                  </pic:blipFill>
                  <pic:spPr>
                    <a:xfrm>
                      <a:off x="0" y="0"/>
                      <a:ext cx="5757545" cy="9062085"/>
                    </a:xfrm>
                    <a:prstGeom prst="rect">
                      <a:avLst/>
                    </a:prstGeom>
                  </pic:spPr>
                </pic:pic>
              </a:graphicData>
            </a:graphic>
          </wp:inline>
        </w:drawing>
      </w:r>
      <w:r>
        <w:rPr>
          <w:rFonts w:hint="eastAsia" w:ascii="仿宋_GB2312" w:hAnsi="仿宋_GB2312" w:eastAsia="仿宋_GB2312" w:cs="仿宋_GB2312"/>
          <w:color w:val="555555"/>
          <w:sz w:val="32"/>
          <w:szCs w:val="32"/>
          <w:shd w:val="clear" w:color="auto" w:fill="FFFFFF"/>
          <w:lang w:val="en-US" w:eastAsia="zh-CN"/>
        </w:rPr>
        <w:drawing>
          <wp:inline distT="0" distB="0" distL="114300" distR="114300">
            <wp:extent cx="5757545" cy="9109710"/>
            <wp:effectExtent l="0" t="0" r="14605" b="15240"/>
            <wp:docPr id="11" name="图片 11" descr="Document-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ocument-14"/>
                    <pic:cNvPicPr>
                      <a:picLocks noChangeAspect="1"/>
                    </pic:cNvPicPr>
                  </pic:nvPicPr>
                  <pic:blipFill>
                    <a:blip r:embed="rId18"/>
                    <a:stretch>
                      <a:fillRect/>
                    </a:stretch>
                  </pic:blipFill>
                  <pic:spPr>
                    <a:xfrm>
                      <a:off x="0" y="0"/>
                      <a:ext cx="5757545" cy="9109710"/>
                    </a:xfrm>
                    <a:prstGeom prst="rect">
                      <a:avLst/>
                    </a:prstGeom>
                  </pic:spPr>
                </pic:pic>
              </a:graphicData>
            </a:graphic>
          </wp:inline>
        </w:drawing>
      </w:r>
      <w:r>
        <w:rPr>
          <w:rFonts w:hint="eastAsia" w:ascii="仿宋_GB2312" w:hAnsi="仿宋_GB2312" w:eastAsia="仿宋_GB2312" w:cs="仿宋_GB2312"/>
          <w:color w:val="555555"/>
          <w:sz w:val="32"/>
          <w:szCs w:val="32"/>
          <w:shd w:val="clear" w:color="auto" w:fill="FFFFFF"/>
          <w:lang w:val="en-US" w:eastAsia="zh-CN"/>
        </w:rPr>
        <w:drawing>
          <wp:inline distT="0" distB="0" distL="114300" distR="114300">
            <wp:extent cx="5757545" cy="9090660"/>
            <wp:effectExtent l="0" t="0" r="14605" b="15240"/>
            <wp:docPr id="10" name="图片 10" descr="Document-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ocument-15"/>
                    <pic:cNvPicPr>
                      <a:picLocks noChangeAspect="1"/>
                    </pic:cNvPicPr>
                  </pic:nvPicPr>
                  <pic:blipFill>
                    <a:blip r:embed="rId19"/>
                    <a:stretch>
                      <a:fillRect/>
                    </a:stretch>
                  </pic:blipFill>
                  <pic:spPr>
                    <a:xfrm>
                      <a:off x="0" y="0"/>
                      <a:ext cx="5757545" cy="9090660"/>
                    </a:xfrm>
                    <a:prstGeom prst="rect">
                      <a:avLst/>
                    </a:prstGeom>
                  </pic:spPr>
                </pic:pic>
              </a:graphicData>
            </a:graphic>
          </wp:inline>
        </w:drawing>
      </w:r>
      <w:r>
        <w:rPr>
          <w:rFonts w:hint="eastAsia" w:ascii="仿宋_GB2312" w:hAnsi="仿宋_GB2312" w:eastAsia="仿宋_GB2312" w:cs="仿宋_GB2312"/>
          <w:color w:val="555555"/>
          <w:sz w:val="32"/>
          <w:szCs w:val="32"/>
          <w:shd w:val="clear" w:color="auto" w:fill="FFFFFF"/>
          <w:lang w:val="en-US" w:eastAsia="zh-CN"/>
        </w:rPr>
        <w:drawing>
          <wp:inline distT="0" distB="0" distL="114300" distR="114300">
            <wp:extent cx="5757545" cy="9090660"/>
            <wp:effectExtent l="0" t="0" r="14605" b="15240"/>
            <wp:docPr id="8" name="图片 8" descr="Document-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ocument-17"/>
                    <pic:cNvPicPr>
                      <a:picLocks noChangeAspect="1"/>
                    </pic:cNvPicPr>
                  </pic:nvPicPr>
                  <pic:blipFill>
                    <a:blip r:embed="rId20"/>
                    <a:stretch>
                      <a:fillRect/>
                    </a:stretch>
                  </pic:blipFill>
                  <pic:spPr>
                    <a:xfrm>
                      <a:off x="0" y="0"/>
                      <a:ext cx="5757545" cy="9090660"/>
                    </a:xfrm>
                    <a:prstGeom prst="rect">
                      <a:avLst/>
                    </a:prstGeom>
                  </pic:spPr>
                </pic:pic>
              </a:graphicData>
            </a:graphic>
          </wp:inline>
        </w:drawing>
      </w:r>
      <w:r>
        <w:rPr>
          <w:rFonts w:hint="eastAsia" w:ascii="仿宋_GB2312" w:hAnsi="仿宋_GB2312" w:eastAsia="仿宋_GB2312" w:cs="仿宋_GB2312"/>
          <w:color w:val="555555"/>
          <w:sz w:val="32"/>
          <w:szCs w:val="32"/>
          <w:shd w:val="clear" w:color="auto" w:fill="FFFFFF"/>
          <w:lang w:val="en-US" w:eastAsia="zh-CN"/>
        </w:rPr>
        <w:drawing>
          <wp:inline distT="0" distB="0" distL="114300" distR="114300">
            <wp:extent cx="5757545" cy="9109710"/>
            <wp:effectExtent l="0" t="0" r="14605" b="15240"/>
            <wp:docPr id="7" name="图片 7" descr="Document-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ocument-18"/>
                    <pic:cNvPicPr>
                      <a:picLocks noChangeAspect="1"/>
                    </pic:cNvPicPr>
                  </pic:nvPicPr>
                  <pic:blipFill>
                    <a:blip r:embed="rId21"/>
                    <a:stretch>
                      <a:fillRect/>
                    </a:stretch>
                  </pic:blipFill>
                  <pic:spPr>
                    <a:xfrm>
                      <a:off x="0" y="0"/>
                      <a:ext cx="5757545" cy="9109710"/>
                    </a:xfrm>
                    <a:prstGeom prst="rect">
                      <a:avLst/>
                    </a:prstGeom>
                  </pic:spPr>
                </pic:pic>
              </a:graphicData>
            </a:graphic>
          </wp:inline>
        </w:drawing>
      </w:r>
      <w:r>
        <w:rPr>
          <w:rFonts w:hint="eastAsia" w:ascii="仿宋_GB2312" w:hAnsi="仿宋_GB2312" w:eastAsia="仿宋_GB2312" w:cs="仿宋_GB2312"/>
          <w:color w:val="555555"/>
          <w:sz w:val="32"/>
          <w:szCs w:val="32"/>
          <w:shd w:val="clear" w:color="auto" w:fill="FFFFFF"/>
          <w:lang w:val="en-US" w:eastAsia="zh-CN"/>
        </w:rPr>
        <w:drawing>
          <wp:inline distT="0" distB="0" distL="114300" distR="114300">
            <wp:extent cx="5757545" cy="9090660"/>
            <wp:effectExtent l="0" t="0" r="14605" b="15240"/>
            <wp:docPr id="6" name="图片 6" descr="Document-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ocument-19"/>
                    <pic:cNvPicPr>
                      <a:picLocks noChangeAspect="1"/>
                    </pic:cNvPicPr>
                  </pic:nvPicPr>
                  <pic:blipFill>
                    <a:blip r:embed="rId22"/>
                    <a:stretch>
                      <a:fillRect/>
                    </a:stretch>
                  </pic:blipFill>
                  <pic:spPr>
                    <a:xfrm>
                      <a:off x="0" y="0"/>
                      <a:ext cx="5757545" cy="9090660"/>
                    </a:xfrm>
                    <a:prstGeom prst="rect">
                      <a:avLst/>
                    </a:prstGeom>
                  </pic:spPr>
                </pic:pic>
              </a:graphicData>
            </a:graphic>
          </wp:inline>
        </w:drawing>
      </w:r>
      <w:r>
        <w:rPr>
          <w:rFonts w:hint="eastAsia" w:ascii="仿宋_GB2312" w:hAnsi="仿宋_GB2312" w:eastAsia="仿宋_GB2312" w:cs="仿宋_GB2312"/>
          <w:color w:val="555555"/>
          <w:sz w:val="32"/>
          <w:szCs w:val="32"/>
          <w:shd w:val="clear" w:color="auto" w:fill="FFFFFF"/>
          <w:lang w:val="en-US" w:eastAsia="zh-CN"/>
        </w:rPr>
        <w:drawing>
          <wp:inline distT="0" distB="0" distL="114300" distR="114300">
            <wp:extent cx="5757545" cy="9062085"/>
            <wp:effectExtent l="0" t="0" r="14605" b="5715"/>
            <wp:docPr id="5" name="图片 5" descr="Document-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ocument-20"/>
                    <pic:cNvPicPr>
                      <a:picLocks noChangeAspect="1"/>
                    </pic:cNvPicPr>
                  </pic:nvPicPr>
                  <pic:blipFill>
                    <a:blip r:embed="rId23"/>
                    <a:stretch>
                      <a:fillRect/>
                    </a:stretch>
                  </pic:blipFill>
                  <pic:spPr>
                    <a:xfrm>
                      <a:off x="0" y="0"/>
                      <a:ext cx="5757545" cy="9062085"/>
                    </a:xfrm>
                    <a:prstGeom prst="rect">
                      <a:avLst/>
                    </a:prstGeom>
                  </pic:spPr>
                </pic:pic>
              </a:graphicData>
            </a:graphic>
          </wp:inline>
        </w:drawing>
      </w:r>
    </w:p>
    <w:sectPr>
      <w:footerReference r:id="rId5" w:type="default"/>
      <w:pgSz w:w="11906" w:h="16838"/>
      <w:pgMar w:top="2098" w:right="1474" w:bottom="1984" w:left="1587" w:header="851" w:footer="1587" w:gutter="0"/>
      <w:pgNumType w:fmt="numberInDash"/>
      <w:cols w:space="0" w:num="1"/>
      <w:rtlGutter w:val="0"/>
      <w:docGrid w:type="lines" w:linePitch="32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黑体"/>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auto"/>
    <w:pitch w:val="default"/>
    <w:sig w:usb0="00000000" w:usb1="00000000" w:usb2="0000000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 w:name="方正舒体">
    <w:altName w:val="宋体"/>
    <w:panose1 w:val="02010601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y5QQ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TO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M/y5QQVAgAAFQQAAA4AAAAAAAAA&#10;AQAgAAAAHwEAAGRycy9lMm9Eb2MueG1sUEsFBgAAAAAGAAYAWQEAAKY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8"/>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Fonts w:hint="eastAsia"/>
      </w:rPr>
    </w:pPr>
    <w:r>
      <w:rPr>
        <w:rFonts w:hint="eastAsia" w:ascii="方正舒体" w:hAnsi="方正舒体" w:eastAsia="方正舒体" w:cs="方正舒体"/>
      </w:rPr>
      <w:t>陇县</w:t>
    </w:r>
    <w:r>
      <w:rPr>
        <w:rFonts w:hint="eastAsia" w:ascii="方正舒体" w:hAnsi="方正舒体" w:eastAsia="方正舒体" w:cs="方正舒体"/>
        <w:lang w:eastAsia="zh-CN"/>
      </w:rPr>
      <w:t>公安局城关派出所“百千工程”基础设施提升改造采购项目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E"/>
    <w:multiLevelType w:val="singleLevel"/>
    <w:tmpl w:val="0000000E"/>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64"/>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ZmMzhmMzk2ZDI1NDAwM2VhYWMwMjJjNDQ1MDQ5MWMifQ=="/>
  </w:docVars>
  <w:rsids>
    <w:rsidRoot w:val="5FD55ED6"/>
    <w:rsid w:val="008D5A54"/>
    <w:rsid w:val="024715DF"/>
    <w:rsid w:val="07E712B9"/>
    <w:rsid w:val="0A420E98"/>
    <w:rsid w:val="0BD15D26"/>
    <w:rsid w:val="17BF25E3"/>
    <w:rsid w:val="2131316D"/>
    <w:rsid w:val="231C4C8A"/>
    <w:rsid w:val="2CFF241A"/>
    <w:rsid w:val="33EB5386"/>
    <w:rsid w:val="381539BC"/>
    <w:rsid w:val="45B643FA"/>
    <w:rsid w:val="468A57D8"/>
    <w:rsid w:val="4A351A7E"/>
    <w:rsid w:val="4D7375D5"/>
    <w:rsid w:val="54F67E5D"/>
    <w:rsid w:val="5FD55ED6"/>
    <w:rsid w:val="61E5411A"/>
    <w:rsid w:val="6B760662"/>
    <w:rsid w:val="72AB2ECA"/>
    <w:rsid w:val="76A660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4"/>
      <w:szCs w:val="22"/>
      <w:lang w:val="en-US" w:eastAsia="zh-CN" w:bidi="ar-SA"/>
    </w:rPr>
  </w:style>
  <w:style w:type="character" w:default="1" w:styleId="14">
    <w:name w:val="Default Paragraph Font"/>
    <w:semiHidden/>
    <w:qFormat/>
    <w:uiPriority w:val="0"/>
  </w:style>
  <w:style w:type="table" w:default="1" w:styleId="12">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styleId="3">
    <w:name w:val="Body Text Indent"/>
    <w:basedOn w:val="1"/>
    <w:next w:val="4"/>
    <w:qFormat/>
    <w:uiPriority w:val="0"/>
    <w:pPr>
      <w:ind w:firstLine="552"/>
    </w:pPr>
    <w:rPr>
      <w:rFonts w:ascii="宋体"/>
      <w:sz w:val="28"/>
    </w:rPr>
  </w:style>
  <w:style w:type="paragraph" w:styleId="4">
    <w:name w:val="annotation subject"/>
    <w:basedOn w:val="5"/>
    <w:next w:val="5"/>
    <w:qFormat/>
    <w:uiPriority w:val="0"/>
    <w:pPr>
      <w:adjustRightInd/>
      <w:spacing w:line="240" w:lineRule="auto"/>
      <w:textAlignment w:val="auto"/>
    </w:pPr>
    <w:rPr>
      <w:b/>
      <w:bCs/>
      <w:szCs w:val="24"/>
    </w:rPr>
  </w:style>
  <w:style w:type="paragraph" w:styleId="5">
    <w:name w:val="annotation text"/>
    <w:basedOn w:val="1"/>
    <w:qFormat/>
    <w:uiPriority w:val="0"/>
    <w:pPr>
      <w:adjustRightInd w:val="0"/>
      <w:spacing w:line="360" w:lineRule="atLeast"/>
      <w:jc w:val="left"/>
      <w:textAlignment w:val="baseline"/>
    </w:pPr>
    <w:rPr>
      <w:rFonts w:ascii="Times New Roman" w:hAnsi="Times New Roman"/>
      <w:kern w:val="0"/>
    </w:rPr>
  </w:style>
  <w:style w:type="paragraph" w:styleId="6">
    <w:name w:val="Normal Indent"/>
    <w:basedOn w:val="1"/>
    <w:next w:val="7"/>
    <w:qFormat/>
    <w:uiPriority w:val="0"/>
    <w:pPr>
      <w:ind w:firstLine="420"/>
    </w:pPr>
  </w:style>
  <w:style w:type="paragraph" w:styleId="7">
    <w:name w:val="toc 4"/>
    <w:basedOn w:val="1"/>
    <w:next w:val="1"/>
    <w:qFormat/>
    <w:uiPriority w:val="0"/>
    <w:pPr>
      <w:ind w:left="1260" w:leftChars="600"/>
    </w:pPr>
  </w:style>
  <w:style w:type="paragraph" w:styleId="8">
    <w:name w:val="footer"/>
    <w:basedOn w:val="1"/>
    <w:qFormat/>
    <w:uiPriority w:val="0"/>
    <w:pPr>
      <w:tabs>
        <w:tab w:val="center" w:pos="4153"/>
        <w:tab w:val="right" w:pos="8306"/>
      </w:tabs>
      <w:snapToGrid w:val="0"/>
      <w:jc w:val="left"/>
    </w:pPr>
    <w:rPr>
      <w:rFonts w:eastAsia="宋体"/>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table of figures"/>
    <w:basedOn w:val="1"/>
    <w:next w:val="1"/>
    <w:qFormat/>
    <w:uiPriority w:val="0"/>
    <w:pPr>
      <w:kinsoku w:val="0"/>
      <w:autoSpaceDE w:val="0"/>
      <w:autoSpaceDN w:val="0"/>
      <w:adjustRightInd w:val="0"/>
      <w:snapToGrid w:val="0"/>
      <w:ind w:left="200" w:leftChars="200" w:hanging="200" w:hangingChars="200"/>
      <w:jc w:val="left"/>
      <w:textAlignment w:val="baseline"/>
    </w:pPr>
    <w:rPr>
      <w:rFonts w:hint="default" w:ascii="Arial" w:hAnsi="Arial" w:cs="Arial"/>
      <w:snapToGrid/>
      <w:color w:val="000000"/>
      <w:kern w:val="0"/>
      <w:sz w:val="21"/>
      <w:szCs w:val="21"/>
      <w:lang w:val="en-US" w:eastAsia="zh-CN" w:bidi="ar"/>
    </w:rPr>
  </w:style>
  <w:style w:type="paragraph" w:styleId="11">
    <w:name w:val="Normal (Web)"/>
    <w:basedOn w:val="1"/>
    <w:qFormat/>
    <w:uiPriority w:val="0"/>
    <w:pPr>
      <w:jc w:val="left"/>
    </w:pPr>
    <w:rPr>
      <w:rFonts w:cs="Times New Roman"/>
      <w:kern w:val="0"/>
    </w:rPr>
  </w:style>
  <w:style w:type="table" w:styleId="13">
    <w:name w:val="Table Grid"/>
    <w:basedOn w:val="1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5">
    <w:name w:val="正文（缩进 2 字符）"/>
    <w:basedOn w:val="1"/>
    <w:qFormat/>
    <w:uiPriority w:val="0"/>
    <w:pPr>
      <w:ind w:firstLine="200" w:firstLineChars="200"/>
    </w:pPr>
  </w:style>
  <w:style w:type="paragraph" w:customStyle="1" w:styleId="16">
    <w:name w:val="09正文_wh"/>
    <w:qFormat/>
    <w:uiPriority w:val="0"/>
    <w:pPr>
      <w:spacing w:line="300" w:lineRule="auto"/>
      <w:ind w:firstLine="200" w:firstLineChars="200"/>
      <w:jc w:val="both"/>
    </w:pPr>
    <w:rPr>
      <w:rFonts w:asciiTheme="minorHAnsi" w:hAnsiTheme="minorHAnsi" w:eastAsiaTheme="minorEastAsia" w:cstheme="minorBidi"/>
      <w:sz w:val="28"/>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2024-01-22T02:40:00Z</dcterms:created>
  <dc:creator>雪在雨中漫步</dc:creator>
  <cp:lastModifiedBy>Administrator</cp:lastModifiedBy>
  <cp:lastPrinted>2024-03-07T01:17:00Z</cp:lastPrinted>
  <dcterms:modified xsi:type="dcterms:W3CDTF">2024-08-15T08:20:27Z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7921AA4256174291897F2B00807E45F6_13</vt:lpwstr>
  </property>
</Properties>
</file>