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采购需求情况确认表</w:t>
      </w:r>
    </w:p>
    <w:tbl>
      <w:tblPr>
        <w:tblStyle w:val="13"/>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4394"/>
        <w:gridCol w:w="1560"/>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1273" w:type="dxa"/>
            <w:vAlign w:val="center"/>
          </w:tcPr>
          <w:p>
            <w:pPr>
              <w:widowControl w:val="0"/>
              <w:spacing w:line="360" w:lineRule="auto"/>
              <w:jc w:val="both"/>
              <w:rPr>
                <w:rFonts w:hint="eastAsia" w:ascii="宋体" w:hAnsi="宋体" w:eastAsia="宋体" w:cs="宋体"/>
                <w:sz w:val="24"/>
                <w:szCs w:val="24"/>
              </w:rPr>
            </w:pPr>
            <w:r>
              <w:rPr>
                <w:rFonts w:hint="eastAsia" w:ascii="宋体" w:hAnsi="宋体" w:eastAsia="宋体" w:cs="宋体"/>
                <w:sz w:val="24"/>
                <w:szCs w:val="24"/>
              </w:rPr>
              <w:t>单位名称</w:t>
            </w:r>
          </w:p>
        </w:tc>
        <w:tc>
          <w:tcPr>
            <w:tcW w:w="4394" w:type="dxa"/>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宝鸡市渭滨区城市管理执法局</w:t>
            </w:r>
          </w:p>
        </w:tc>
        <w:tc>
          <w:tcPr>
            <w:tcW w:w="1560" w:type="dxa"/>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2275" w:type="dxa"/>
            <w:vAlign w:val="center"/>
          </w:tcPr>
          <w:p>
            <w:pPr>
              <w:widowControl w:val="0"/>
              <w:spacing w:line="36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渭滨区城市管理执法局辖区垃圾分类三类示范单位建设项目（二期）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273" w:type="dxa"/>
            <w:vAlign w:val="center"/>
          </w:tcPr>
          <w:p>
            <w:pPr>
              <w:widowControl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p>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highlight w:val="none"/>
              </w:rPr>
              <w:t>内容</w:t>
            </w:r>
          </w:p>
        </w:tc>
        <w:tc>
          <w:tcPr>
            <w:tcW w:w="4394" w:type="dxa"/>
            <w:vAlign w:val="center"/>
          </w:tcPr>
          <w:p>
            <w:pPr>
              <w:pStyle w:val="4"/>
              <w:widowControl w:val="0"/>
              <w:spacing w:line="360" w:lineRule="auto"/>
              <w:jc w:val="both"/>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rPr>
              <w:t>计划打造全区垃圾分类三类示范单位12个，其中普分点位、智能分类点位、建设投放屋、投放亭、大件垃圾暂存点、六口智能设备，四口智能设备、智能积分兑换机、建设资源回收屋等若干个和垃圾分类服务等；主要功能或目标:按照垃圾分类的原则，达到公共基础没施建全、社会公益服务提升、生态环境保护、社会管理等目标；需满足的要求:解决群众日常生活垃圾收集，转运、清运、改善人民群众生活环境。</w:t>
            </w:r>
          </w:p>
        </w:tc>
        <w:tc>
          <w:tcPr>
            <w:tcW w:w="1560" w:type="dxa"/>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采购预算</w:t>
            </w:r>
          </w:p>
        </w:tc>
        <w:tc>
          <w:tcPr>
            <w:tcW w:w="2275" w:type="dxa"/>
            <w:vAlign w:val="center"/>
          </w:tcPr>
          <w:p>
            <w:pPr>
              <w:widowControl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w:t>
            </w:r>
            <w:bookmarkStart w:id="0" w:name="_GoBack"/>
            <w:bookmarkEnd w:id="0"/>
            <w:r>
              <w:rPr>
                <w:rFonts w:hint="eastAsia" w:ascii="宋体" w:hAnsi="宋体" w:eastAsia="宋体" w:cs="宋体"/>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73" w:type="dxa"/>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投标人资格条件要求</w:t>
            </w:r>
          </w:p>
        </w:tc>
        <w:tc>
          <w:tcPr>
            <w:tcW w:w="8229" w:type="dxa"/>
            <w:gridSpan w:val="3"/>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《政府采购法》第二十二条所规定的条件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1273" w:type="dxa"/>
            <w:vAlign w:val="center"/>
          </w:tcPr>
          <w:p>
            <w:pPr>
              <w:widowControl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资格证明文件要求</w:t>
            </w:r>
          </w:p>
        </w:tc>
        <w:tc>
          <w:tcPr>
            <w:tcW w:w="8229" w:type="dxa"/>
            <w:gridSpan w:val="3"/>
            <w:vAlign w:val="center"/>
          </w:tcPr>
          <w:p>
            <w:pPr>
              <w:widowControl w:val="0"/>
              <w:spacing w:line="360" w:lineRule="auto"/>
              <w:jc w:val="both"/>
              <w:rPr>
                <w:rFonts w:hint="eastAsia"/>
                <w:sz w:val="24"/>
                <w:szCs w:val="24"/>
              </w:rPr>
            </w:pPr>
            <w:r>
              <w:rPr>
                <w:rFonts w:hint="eastAsia"/>
                <w:sz w:val="24"/>
                <w:szCs w:val="24"/>
              </w:rPr>
              <w:t>特定资格条件：</w:t>
            </w:r>
          </w:p>
          <w:p>
            <w:pPr>
              <w:widowControl w:val="0"/>
              <w:spacing w:line="360" w:lineRule="auto"/>
              <w:jc w:val="both"/>
              <w:rPr>
                <w:rFonts w:hint="eastAsia"/>
                <w:sz w:val="24"/>
                <w:szCs w:val="24"/>
              </w:rPr>
            </w:pPr>
            <w:r>
              <w:rPr>
                <w:rFonts w:hint="eastAsia"/>
                <w:sz w:val="24"/>
                <w:szCs w:val="24"/>
              </w:rPr>
              <w:t>1、一般资格要求：供应商需具备《政府采购法》第二十二条规定之资格条件；</w:t>
            </w:r>
          </w:p>
          <w:p>
            <w:pPr>
              <w:widowControl w:val="0"/>
              <w:spacing w:line="360" w:lineRule="auto"/>
              <w:jc w:val="both"/>
              <w:rPr>
                <w:rFonts w:hint="eastAsia"/>
                <w:sz w:val="24"/>
                <w:szCs w:val="24"/>
              </w:rPr>
            </w:pPr>
            <w:r>
              <w:rPr>
                <w:rFonts w:hint="eastAsia"/>
                <w:sz w:val="24"/>
                <w:szCs w:val="24"/>
              </w:rPr>
              <w:t xml:space="preserve"> 2、特</w:t>
            </w:r>
            <w:r>
              <w:rPr>
                <w:rFonts w:hint="eastAsia"/>
                <w:sz w:val="24"/>
                <w:szCs w:val="24"/>
                <w:lang w:val="en-US" w:eastAsia="zh-CN"/>
              </w:rPr>
              <w:t>定</w:t>
            </w:r>
            <w:r>
              <w:rPr>
                <w:rFonts w:hint="eastAsia"/>
                <w:sz w:val="24"/>
                <w:szCs w:val="24"/>
              </w:rPr>
              <w:t>资格要求：</w:t>
            </w:r>
          </w:p>
          <w:p>
            <w:pPr>
              <w:widowControl w:val="0"/>
              <w:spacing w:line="360" w:lineRule="auto"/>
              <w:jc w:val="both"/>
              <w:rPr>
                <w:rFonts w:hint="eastAsia"/>
                <w:sz w:val="24"/>
                <w:szCs w:val="24"/>
              </w:rPr>
            </w:pPr>
            <w:r>
              <w:rPr>
                <w:rFonts w:hint="eastAsia"/>
                <w:sz w:val="24"/>
                <w:szCs w:val="24"/>
              </w:rPr>
              <w:t>2.1</w:t>
            </w:r>
            <w:r>
              <w:rPr>
                <w:rFonts w:hint="eastAsia"/>
                <w:sz w:val="24"/>
                <w:szCs w:val="24"/>
                <w:lang w:eastAsia="zh-CN"/>
              </w:rPr>
              <w:t>、</w:t>
            </w:r>
            <w:r>
              <w:rPr>
                <w:rFonts w:hint="eastAsia"/>
                <w:sz w:val="24"/>
                <w:szCs w:val="24"/>
              </w:rPr>
              <w:t>中华人民共和国境内依法注册的独立法人或者其他组织，具有合法有效的营业执照及含有企业基本存款账户编号的《基本存款账户信息》且须具备</w:t>
            </w:r>
            <w:r>
              <w:rPr>
                <w:rFonts w:hint="eastAsia"/>
                <w:sz w:val="24"/>
                <w:szCs w:val="24"/>
                <w:lang w:val="en-US" w:eastAsia="zh-CN"/>
              </w:rPr>
              <w:t>市政公共</w:t>
            </w:r>
            <w:r>
              <w:rPr>
                <w:rFonts w:hint="eastAsia"/>
                <w:sz w:val="24"/>
                <w:szCs w:val="24"/>
              </w:rPr>
              <w:t>工程施工总承包</w:t>
            </w:r>
            <w:r>
              <w:rPr>
                <w:rFonts w:hint="eastAsia"/>
                <w:sz w:val="24"/>
                <w:szCs w:val="24"/>
                <w:lang w:val="en-US" w:eastAsia="zh-CN"/>
              </w:rPr>
              <w:t>三</w:t>
            </w:r>
            <w:r>
              <w:rPr>
                <w:rFonts w:hint="eastAsia"/>
                <w:sz w:val="24"/>
                <w:szCs w:val="24"/>
              </w:rPr>
              <w:t>级（或以上）资质；具有有效的安全生产许可证；。</w:t>
            </w:r>
          </w:p>
          <w:p>
            <w:pPr>
              <w:widowControl w:val="0"/>
              <w:spacing w:line="360" w:lineRule="auto"/>
              <w:jc w:val="both"/>
              <w:rPr>
                <w:rFonts w:hint="eastAsia"/>
                <w:sz w:val="24"/>
                <w:szCs w:val="24"/>
              </w:rPr>
            </w:pPr>
            <w:r>
              <w:rPr>
                <w:rFonts w:hint="eastAsia"/>
                <w:sz w:val="24"/>
                <w:szCs w:val="24"/>
              </w:rPr>
              <w:t>2.2</w:t>
            </w:r>
            <w:r>
              <w:rPr>
                <w:rFonts w:hint="eastAsia"/>
                <w:sz w:val="24"/>
                <w:szCs w:val="24"/>
                <w:lang w:eastAsia="zh-CN"/>
              </w:rPr>
              <w:t>、</w:t>
            </w:r>
            <w:r>
              <w:rPr>
                <w:rFonts w:hint="eastAsia"/>
                <w:sz w:val="24"/>
                <w:szCs w:val="24"/>
              </w:rPr>
              <w:t>供应商应授权合法的授权代表参加投标全过程，其中法定代表人直接参加投标的，须出具法人身份证并与营业执照信息一致；法定代表人授权代表参加投标的，须出具法定代表人授权书及授权代表本人身份证；</w:t>
            </w:r>
          </w:p>
          <w:p>
            <w:pPr>
              <w:widowControl w:val="0"/>
              <w:spacing w:line="360" w:lineRule="auto"/>
              <w:jc w:val="both"/>
              <w:rPr>
                <w:rFonts w:hint="eastAsia"/>
                <w:sz w:val="24"/>
                <w:szCs w:val="24"/>
              </w:rPr>
            </w:pPr>
            <w:r>
              <w:rPr>
                <w:rFonts w:hint="eastAsia"/>
                <w:sz w:val="24"/>
                <w:szCs w:val="24"/>
              </w:rPr>
              <w:t>2.3</w:t>
            </w:r>
            <w:r>
              <w:rPr>
                <w:rFonts w:hint="eastAsia"/>
                <w:sz w:val="24"/>
                <w:szCs w:val="24"/>
                <w:lang w:eastAsia="zh-CN"/>
              </w:rPr>
              <w:t>、</w:t>
            </w:r>
            <w:r>
              <w:rPr>
                <w:rFonts w:hint="eastAsia"/>
                <w:sz w:val="24"/>
                <w:szCs w:val="24"/>
              </w:rPr>
              <w:t>供应商须提供2022年度有资质的会计事务所出具的财务审计报告或2022年财务报表（包含资产负债表、利润表及现金流量表），新成立公司可根据成立年份按情况提供财务审计报告；提供竞争性磋商响应文件递交截止日前一年内已缴纳的至少三个月的纳税证明或完税证明，依法免税的单位应提供相关证明材料；提供竞争性磋商响应文件递交截止日前一年内已缴存的至少三个月的社会保障资金缴存单据或社保机构开具的社会保险参保缴费情况证明，依法不需要缴纳社会保障资金的单位应提供相关证明材料；</w:t>
            </w:r>
          </w:p>
          <w:p>
            <w:pPr>
              <w:widowControl w:val="0"/>
              <w:spacing w:line="360" w:lineRule="auto"/>
              <w:jc w:val="both"/>
              <w:rPr>
                <w:rFonts w:hint="eastAsia"/>
                <w:sz w:val="24"/>
                <w:szCs w:val="24"/>
              </w:rPr>
            </w:pPr>
            <w:r>
              <w:rPr>
                <w:rFonts w:hint="eastAsia"/>
                <w:sz w:val="24"/>
                <w:szCs w:val="24"/>
              </w:rPr>
              <w:t>2.4</w:t>
            </w:r>
            <w:r>
              <w:rPr>
                <w:rFonts w:hint="eastAsia"/>
                <w:sz w:val="24"/>
                <w:szCs w:val="24"/>
                <w:lang w:eastAsia="zh-CN"/>
              </w:rPr>
              <w:t>、</w:t>
            </w:r>
            <w:r>
              <w:rPr>
                <w:rFonts w:hint="eastAsia"/>
                <w:sz w:val="24"/>
                <w:szCs w:val="24"/>
              </w:rPr>
              <w:t>参加政府采购活动前3年内，在经营活动中没有重大违法记录的书面声明；</w:t>
            </w:r>
          </w:p>
          <w:p>
            <w:pPr>
              <w:widowControl w:val="0"/>
              <w:spacing w:line="360" w:lineRule="auto"/>
              <w:jc w:val="both"/>
              <w:rPr>
                <w:rFonts w:hint="eastAsia"/>
                <w:sz w:val="24"/>
                <w:szCs w:val="24"/>
              </w:rPr>
            </w:pPr>
            <w:r>
              <w:rPr>
                <w:rFonts w:hint="eastAsia"/>
                <w:sz w:val="24"/>
                <w:szCs w:val="24"/>
              </w:rPr>
              <w:t>2.5</w:t>
            </w:r>
            <w:r>
              <w:rPr>
                <w:rFonts w:hint="eastAsia"/>
                <w:sz w:val="24"/>
                <w:szCs w:val="24"/>
                <w:lang w:eastAsia="zh-CN"/>
              </w:rPr>
              <w:t>、</w:t>
            </w:r>
            <w:r>
              <w:rPr>
                <w:rFonts w:hint="eastAsia"/>
                <w:sz w:val="24"/>
                <w:szCs w:val="24"/>
              </w:rPr>
              <w:t>供应商不得列入国家企业信用信息公示系统严重违法失信企业名单；不得为“信用中国”网站中列入失信被执行人和重大税收违法案件当事人名单的供应商，不得为中国政府采购网（www.ccgp.gov.cn）政府采购严重违法失信行为记录名单中被财政部门禁止参加政府采购活动的供应商；（提供查询结果网页截图并加盖投标人公章）。</w:t>
            </w:r>
          </w:p>
          <w:p>
            <w:pPr>
              <w:widowControl w:val="0"/>
              <w:spacing w:line="360" w:lineRule="auto"/>
              <w:jc w:val="both"/>
              <w:rPr>
                <w:rFonts w:hint="eastAsia"/>
                <w:sz w:val="24"/>
                <w:szCs w:val="24"/>
                <w:lang w:val="en-US" w:eastAsia="zh-CN"/>
              </w:rPr>
            </w:pPr>
            <w:r>
              <w:rPr>
                <w:rFonts w:hint="eastAsia"/>
                <w:sz w:val="24"/>
                <w:szCs w:val="24"/>
                <w:lang w:val="en-US" w:eastAsia="zh-CN"/>
              </w:rPr>
              <w:t>2.6、法定代表人为同一个人的两个及两个以上法人，母公司、全资子公司及其控股公司，都不得在同时参加本项目；</w:t>
            </w:r>
          </w:p>
          <w:p>
            <w:pPr>
              <w:widowControl w:val="0"/>
              <w:spacing w:line="360" w:lineRule="auto"/>
              <w:jc w:val="both"/>
              <w:rPr>
                <w:rFonts w:hint="eastAsia"/>
                <w:sz w:val="24"/>
                <w:szCs w:val="24"/>
              </w:rPr>
            </w:pPr>
            <w:r>
              <w:rPr>
                <w:rFonts w:hint="eastAsia"/>
                <w:sz w:val="24"/>
                <w:szCs w:val="24"/>
                <w:lang w:val="en-US" w:eastAsia="zh-CN"/>
              </w:rPr>
              <w:t>2.7</w:t>
            </w:r>
            <w:r>
              <w:rPr>
                <w:rFonts w:hint="eastAsia"/>
                <w:sz w:val="24"/>
                <w:szCs w:val="24"/>
              </w:rPr>
              <w:t>、本项目专门面向中小企业采购，供应商须提供中小企业声明函。</w:t>
            </w:r>
          </w:p>
          <w:p>
            <w:pPr>
              <w:widowControl w:val="0"/>
              <w:spacing w:line="360" w:lineRule="auto"/>
              <w:jc w:val="both"/>
              <w:rPr>
                <w:rFonts w:hint="eastAsia"/>
                <w:sz w:val="24"/>
                <w:szCs w:val="24"/>
              </w:rPr>
            </w:pPr>
            <w:r>
              <w:rPr>
                <w:rFonts w:hint="eastAsia"/>
                <w:sz w:val="24"/>
                <w:szCs w:val="24"/>
                <w:lang w:val="en-US" w:eastAsia="zh-CN"/>
              </w:rPr>
              <w:t>2.8、</w:t>
            </w:r>
            <w:r>
              <w:rPr>
                <w:rFonts w:hint="eastAsia"/>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3" w:type="dxa"/>
            <w:vAlign w:val="center"/>
          </w:tcPr>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评标办法</w:t>
            </w:r>
          </w:p>
        </w:tc>
        <w:tc>
          <w:tcPr>
            <w:tcW w:w="8229" w:type="dxa"/>
            <w:gridSpan w:val="3"/>
            <w:vAlign w:val="center"/>
          </w:tcPr>
          <w:p>
            <w:pPr>
              <w:widowControl w:val="0"/>
              <w:spacing w:line="360" w:lineRule="auto"/>
              <w:jc w:val="both"/>
              <w:rPr>
                <w:rFonts w:hint="eastAsia"/>
                <w:sz w:val="24"/>
                <w:szCs w:val="24"/>
              </w:rPr>
            </w:pPr>
            <w:r>
              <w:rPr>
                <w:rFonts w:hint="eastAsia"/>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73" w:type="dxa"/>
            <w:vAlign w:val="center"/>
          </w:tcPr>
          <w:p>
            <w:pPr>
              <w:widowControl w:val="0"/>
              <w:spacing w:line="360" w:lineRule="auto"/>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付款方式</w:t>
            </w:r>
          </w:p>
        </w:tc>
        <w:tc>
          <w:tcPr>
            <w:tcW w:w="8229" w:type="dxa"/>
            <w:gridSpan w:val="3"/>
            <w:vAlign w:val="center"/>
          </w:tcPr>
          <w:p>
            <w:pPr>
              <w:widowControl w:val="0"/>
              <w:spacing w:line="360" w:lineRule="auto"/>
              <w:jc w:val="both"/>
              <w:rPr>
                <w:rFonts w:hint="default"/>
                <w:sz w:val="24"/>
                <w:szCs w:val="24"/>
                <w:highlight w:val="none"/>
                <w:lang w:val="en-US" w:eastAsia="zh-CN"/>
              </w:rPr>
            </w:pPr>
            <w:r>
              <w:rPr>
                <w:rFonts w:hint="eastAsia"/>
                <w:sz w:val="24"/>
                <w:szCs w:val="24"/>
                <w:highlight w:val="none"/>
                <w:lang w:val="en-US" w:eastAsia="zh-CN"/>
              </w:rPr>
              <w:t>自签的合同起5个日历天内支付合同价50% 项目完工经验收合格按审计结果支付全部尾款。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73" w:type="dxa"/>
            <w:vAlign w:val="center"/>
          </w:tcPr>
          <w:p>
            <w:pPr>
              <w:widowControl w:val="0"/>
              <w:spacing w:line="360" w:lineRule="auto"/>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服务期限</w:t>
            </w:r>
          </w:p>
        </w:tc>
        <w:tc>
          <w:tcPr>
            <w:tcW w:w="8229" w:type="dxa"/>
            <w:gridSpan w:val="3"/>
            <w:vAlign w:val="center"/>
          </w:tcPr>
          <w:p>
            <w:pPr>
              <w:widowControl w:val="0"/>
              <w:spacing w:line="360" w:lineRule="auto"/>
              <w:jc w:val="both"/>
              <w:rPr>
                <w:rFonts w:hint="eastAsia"/>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合同签订后</w:t>
            </w:r>
            <w:r>
              <w:rPr>
                <w:rFonts w:hint="eastAsia" w:ascii="宋体" w:hAnsi="宋体" w:cs="宋体"/>
                <w:color w:val="auto"/>
                <w:kern w:val="0"/>
                <w:sz w:val="24"/>
                <w:szCs w:val="24"/>
                <w:highlight w:val="none"/>
                <w:lang w:val="en-US" w:eastAsia="zh-CN"/>
              </w:rPr>
              <w:t>45</w:t>
            </w:r>
            <w:r>
              <w:rPr>
                <w:rFonts w:hint="eastAsia" w:ascii="宋体" w:hAnsi="宋体" w:cs="宋体"/>
                <w:color w:val="auto"/>
                <w:kern w:val="0"/>
                <w:sz w:val="24"/>
                <w:szCs w:val="24"/>
                <w:highlight w:val="none"/>
              </w:rPr>
              <w:t>个日历日内</w:t>
            </w:r>
            <w:r>
              <w:rPr>
                <w:rFonts w:hint="eastAsia" w:ascii="宋体" w:hAnsi="宋体" w:cs="宋体"/>
                <w:kern w:val="0"/>
                <w:sz w:val="24"/>
                <w:szCs w:val="24"/>
                <w:highlight w:val="none"/>
              </w:rPr>
              <w:t>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3" w:type="dxa"/>
            <w:vAlign w:val="center"/>
          </w:tcPr>
          <w:p>
            <w:pPr>
              <w:widowControl w:val="0"/>
              <w:spacing w:line="360" w:lineRule="auto"/>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服务地点</w:t>
            </w:r>
          </w:p>
        </w:tc>
        <w:tc>
          <w:tcPr>
            <w:tcW w:w="8229" w:type="dxa"/>
            <w:gridSpan w:val="3"/>
            <w:vAlign w:val="center"/>
          </w:tcPr>
          <w:p>
            <w:pPr>
              <w:widowControl w:val="0"/>
              <w:spacing w:line="360" w:lineRule="auto"/>
              <w:jc w:val="both"/>
              <w:rPr>
                <w:rFonts w:hint="eastAsia"/>
                <w:sz w:val="24"/>
                <w:szCs w:val="24"/>
                <w:highlight w:val="none"/>
              </w:rPr>
            </w:pPr>
            <w:r>
              <w:rPr>
                <w:rFonts w:hint="eastAsia"/>
                <w:sz w:val="24"/>
                <w:szCs w:val="24"/>
                <w:highlight w:val="none"/>
              </w:rPr>
              <w:t>采购方指定地点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73" w:type="dxa"/>
            <w:vAlign w:val="center"/>
          </w:tcPr>
          <w:p>
            <w:pPr>
              <w:widowControl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8229" w:type="dxa"/>
            <w:gridSpan w:val="3"/>
            <w:vAlign w:val="center"/>
          </w:tcPr>
          <w:p>
            <w:pPr>
              <w:widowControl w:val="0"/>
              <w:spacing w:line="360" w:lineRule="auto"/>
              <w:jc w:val="both"/>
              <w:rPr>
                <w:rFonts w:hint="eastAsia"/>
                <w:sz w:val="24"/>
                <w:szCs w:val="24"/>
                <w:highlight w:val="none"/>
              </w:rPr>
            </w:pPr>
            <w:r>
              <w:rPr>
                <w:rFonts w:hint="eastAsia"/>
                <w:sz w:val="24"/>
                <w:szCs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3" w:type="dxa"/>
            <w:vAlign w:val="center"/>
          </w:tcPr>
          <w:p>
            <w:pPr>
              <w:widowControl w:val="0"/>
              <w:spacing w:line="360" w:lineRule="auto"/>
              <w:jc w:val="left"/>
              <w:rPr>
                <w:rFonts w:hint="eastAsia" w:ascii="宋体" w:hAnsi="宋体" w:eastAsia="宋体" w:cs="宋体"/>
                <w:sz w:val="24"/>
                <w:szCs w:val="24"/>
              </w:rPr>
            </w:pPr>
            <w:r>
              <w:rPr>
                <w:rFonts w:hint="eastAsia" w:ascii="宋体" w:hAnsi="宋体" w:eastAsia="宋体" w:cs="宋体"/>
                <w:sz w:val="24"/>
                <w:szCs w:val="24"/>
              </w:rPr>
              <w:t>备注</w:t>
            </w:r>
          </w:p>
        </w:tc>
        <w:tc>
          <w:tcPr>
            <w:tcW w:w="8229" w:type="dxa"/>
            <w:gridSpan w:val="3"/>
            <w:vAlign w:val="center"/>
          </w:tcPr>
          <w:p>
            <w:pPr>
              <w:widowControl w:val="0"/>
              <w:spacing w:line="360" w:lineRule="auto"/>
              <w:jc w:val="both"/>
              <w:rPr>
                <w:rFonts w:hint="eastAsia"/>
                <w:sz w:val="24"/>
                <w:szCs w:val="24"/>
              </w:rPr>
            </w:pPr>
          </w:p>
        </w:tc>
      </w:tr>
    </w:tbl>
    <w:p>
      <w:pPr>
        <w:spacing w:line="360" w:lineRule="auto"/>
        <w:jc w:val="both"/>
        <w:rPr>
          <w:rFonts w:hint="eastAsia" w:ascii="宋体" w:hAnsi="宋体" w:eastAsia="宋体" w:cs="宋体"/>
          <w:sz w:val="24"/>
          <w:szCs w:val="24"/>
        </w:rPr>
      </w:pPr>
    </w:p>
    <w:p>
      <w:pPr>
        <w:spacing w:line="360" w:lineRule="auto"/>
        <w:jc w:val="both"/>
        <w:rPr>
          <w:rFonts w:ascii="宋体" w:hAnsi="宋体"/>
        </w:rPr>
      </w:pPr>
      <w:r>
        <w:rPr>
          <w:rFonts w:hint="eastAsia" w:ascii="宋体" w:hAnsi="宋体" w:eastAsia="宋体" w:cs="宋体"/>
          <w:sz w:val="24"/>
          <w:szCs w:val="24"/>
        </w:rPr>
        <w:t xml:space="preserve">采购单位（盖章）：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22 </w:t>
      </w:r>
      <w:r>
        <w:rPr>
          <w:rFonts w:hint="eastAsia"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UzNmIwMzA1MGJjYzc5ZTlkYjE0NmFiZTY2ODY4ZjMifQ=="/>
  </w:docVars>
  <w:rsids>
    <w:rsidRoot w:val="315338A5"/>
    <w:rsid w:val="00006581"/>
    <w:rsid w:val="000C2BD2"/>
    <w:rsid w:val="002B116B"/>
    <w:rsid w:val="00342CE5"/>
    <w:rsid w:val="0052039A"/>
    <w:rsid w:val="006044E2"/>
    <w:rsid w:val="006B3A50"/>
    <w:rsid w:val="007D095D"/>
    <w:rsid w:val="007E777B"/>
    <w:rsid w:val="00A607DC"/>
    <w:rsid w:val="00AA4C6B"/>
    <w:rsid w:val="00C77FD8"/>
    <w:rsid w:val="00E50627"/>
    <w:rsid w:val="00F16C84"/>
    <w:rsid w:val="00FA59C1"/>
    <w:rsid w:val="01FB7EE7"/>
    <w:rsid w:val="0365605C"/>
    <w:rsid w:val="06F40929"/>
    <w:rsid w:val="06FB5F12"/>
    <w:rsid w:val="074609F2"/>
    <w:rsid w:val="085F2ED5"/>
    <w:rsid w:val="08F93A68"/>
    <w:rsid w:val="093653F6"/>
    <w:rsid w:val="09A96A20"/>
    <w:rsid w:val="0AF66960"/>
    <w:rsid w:val="0B6436DB"/>
    <w:rsid w:val="0B825018"/>
    <w:rsid w:val="0B8C7F9A"/>
    <w:rsid w:val="0BFC5E13"/>
    <w:rsid w:val="0C6445F2"/>
    <w:rsid w:val="0FD65A8B"/>
    <w:rsid w:val="10087378"/>
    <w:rsid w:val="101C4D64"/>
    <w:rsid w:val="10A02ABD"/>
    <w:rsid w:val="114E1B9E"/>
    <w:rsid w:val="11B73871"/>
    <w:rsid w:val="11FA4647"/>
    <w:rsid w:val="12182257"/>
    <w:rsid w:val="12560176"/>
    <w:rsid w:val="12A4421E"/>
    <w:rsid w:val="12D3624D"/>
    <w:rsid w:val="1373351E"/>
    <w:rsid w:val="13A445CA"/>
    <w:rsid w:val="14324CAC"/>
    <w:rsid w:val="153D5DDA"/>
    <w:rsid w:val="176B3009"/>
    <w:rsid w:val="178C622F"/>
    <w:rsid w:val="1B2F6019"/>
    <w:rsid w:val="1B9F5F0E"/>
    <w:rsid w:val="1BD96DDB"/>
    <w:rsid w:val="1F8F6151"/>
    <w:rsid w:val="1F9351FA"/>
    <w:rsid w:val="20036440"/>
    <w:rsid w:val="2016181B"/>
    <w:rsid w:val="20EC7AA3"/>
    <w:rsid w:val="215C0D30"/>
    <w:rsid w:val="222F3BF9"/>
    <w:rsid w:val="22624D76"/>
    <w:rsid w:val="228902DF"/>
    <w:rsid w:val="22AF7647"/>
    <w:rsid w:val="22E20EA8"/>
    <w:rsid w:val="22E5250A"/>
    <w:rsid w:val="24880424"/>
    <w:rsid w:val="24991CEB"/>
    <w:rsid w:val="254B3A90"/>
    <w:rsid w:val="255B4D05"/>
    <w:rsid w:val="26461511"/>
    <w:rsid w:val="266150D2"/>
    <w:rsid w:val="27A42558"/>
    <w:rsid w:val="28D82FD7"/>
    <w:rsid w:val="28DF5B97"/>
    <w:rsid w:val="2A031A0C"/>
    <w:rsid w:val="2A246E32"/>
    <w:rsid w:val="2A3F62EA"/>
    <w:rsid w:val="2B1B4790"/>
    <w:rsid w:val="2B9F7E45"/>
    <w:rsid w:val="2C0D0218"/>
    <w:rsid w:val="2DA979EA"/>
    <w:rsid w:val="2E8B7797"/>
    <w:rsid w:val="2FC85272"/>
    <w:rsid w:val="2FEB5606"/>
    <w:rsid w:val="300E39D2"/>
    <w:rsid w:val="30FF6E8C"/>
    <w:rsid w:val="315338A5"/>
    <w:rsid w:val="3290006B"/>
    <w:rsid w:val="33ED52C7"/>
    <w:rsid w:val="34035D7D"/>
    <w:rsid w:val="35343BEC"/>
    <w:rsid w:val="38975BFC"/>
    <w:rsid w:val="38E138FB"/>
    <w:rsid w:val="39AF1058"/>
    <w:rsid w:val="3D4E6AE1"/>
    <w:rsid w:val="3DBE421C"/>
    <w:rsid w:val="3DD41EE7"/>
    <w:rsid w:val="3DDB5D48"/>
    <w:rsid w:val="3F5D1A0F"/>
    <w:rsid w:val="3FE756BB"/>
    <w:rsid w:val="409D70C2"/>
    <w:rsid w:val="40D13563"/>
    <w:rsid w:val="41E47D5E"/>
    <w:rsid w:val="420E2383"/>
    <w:rsid w:val="428E4CB1"/>
    <w:rsid w:val="42A129DB"/>
    <w:rsid w:val="42E051B6"/>
    <w:rsid w:val="43725E62"/>
    <w:rsid w:val="43CA2D72"/>
    <w:rsid w:val="44063E32"/>
    <w:rsid w:val="44554355"/>
    <w:rsid w:val="45440B2B"/>
    <w:rsid w:val="45581FC9"/>
    <w:rsid w:val="456C71C6"/>
    <w:rsid w:val="47FD2F5B"/>
    <w:rsid w:val="484C5437"/>
    <w:rsid w:val="48BE58EF"/>
    <w:rsid w:val="48D47277"/>
    <w:rsid w:val="49162A48"/>
    <w:rsid w:val="49722502"/>
    <w:rsid w:val="49EE74D8"/>
    <w:rsid w:val="4A672229"/>
    <w:rsid w:val="4AC64822"/>
    <w:rsid w:val="4BA9511C"/>
    <w:rsid w:val="4C906185"/>
    <w:rsid w:val="4E92121D"/>
    <w:rsid w:val="4F7A538D"/>
    <w:rsid w:val="4F9238E4"/>
    <w:rsid w:val="50422865"/>
    <w:rsid w:val="524B1ADA"/>
    <w:rsid w:val="52F52355"/>
    <w:rsid w:val="537112C6"/>
    <w:rsid w:val="54166096"/>
    <w:rsid w:val="558D2753"/>
    <w:rsid w:val="573963A5"/>
    <w:rsid w:val="5742139E"/>
    <w:rsid w:val="5AC16E5C"/>
    <w:rsid w:val="5B524A2D"/>
    <w:rsid w:val="5B646456"/>
    <w:rsid w:val="5C2D2009"/>
    <w:rsid w:val="5C5C45BD"/>
    <w:rsid w:val="5D146DF3"/>
    <w:rsid w:val="5D89322E"/>
    <w:rsid w:val="5D93212A"/>
    <w:rsid w:val="5F235A3A"/>
    <w:rsid w:val="5FD46F24"/>
    <w:rsid w:val="60625042"/>
    <w:rsid w:val="609F6EAB"/>
    <w:rsid w:val="60D30048"/>
    <w:rsid w:val="62802422"/>
    <w:rsid w:val="62F544E6"/>
    <w:rsid w:val="635D5D85"/>
    <w:rsid w:val="64C16E48"/>
    <w:rsid w:val="65CF7A3B"/>
    <w:rsid w:val="676E3E49"/>
    <w:rsid w:val="67740541"/>
    <w:rsid w:val="679058DD"/>
    <w:rsid w:val="68093F51"/>
    <w:rsid w:val="68925138"/>
    <w:rsid w:val="6A5825E5"/>
    <w:rsid w:val="6CB86A0A"/>
    <w:rsid w:val="6D163097"/>
    <w:rsid w:val="6E096679"/>
    <w:rsid w:val="6FD131C7"/>
    <w:rsid w:val="6FFF1160"/>
    <w:rsid w:val="71153587"/>
    <w:rsid w:val="713B48CF"/>
    <w:rsid w:val="71AE7AC7"/>
    <w:rsid w:val="71F36761"/>
    <w:rsid w:val="73F44164"/>
    <w:rsid w:val="7408261E"/>
    <w:rsid w:val="746F28A8"/>
    <w:rsid w:val="75665EAC"/>
    <w:rsid w:val="76146E10"/>
    <w:rsid w:val="76361FD5"/>
    <w:rsid w:val="7F037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sz w:val="24"/>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paragraph" w:styleId="3">
    <w:name w:val="heading 4"/>
    <w:basedOn w:val="1"/>
    <w:next w:val="1"/>
    <w:autoRedefine/>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style>
  <w:style w:type="paragraph" w:styleId="5">
    <w:name w:val="Body Text Indent"/>
    <w:basedOn w:val="1"/>
    <w:autoRedefine/>
    <w:unhideWhenUsed/>
    <w:qFormat/>
    <w:uiPriority w:val="0"/>
    <w:pPr>
      <w:adjustRightInd w:val="0"/>
      <w:spacing w:after="120" w:line="360" w:lineRule="auto"/>
      <w:ind w:left="420" w:leftChars="200"/>
    </w:pPr>
    <w:rPr>
      <w:rFonts w:hint="eastAsia" w:ascii="宋体" w:hAnsi="宋体" w:eastAsia="仿宋" w:cs="宋体"/>
      <w:kern w:val="0"/>
      <w:sz w:val="24"/>
      <w:szCs w:val="21"/>
    </w:rPr>
  </w:style>
  <w:style w:type="paragraph" w:styleId="6">
    <w:name w:val="footer"/>
    <w:basedOn w:val="1"/>
    <w:autoRedefine/>
    <w:qFormat/>
    <w:uiPriority w:val="0"/>
    <w:pPr>
      <w:tabs>
        <w:tab w:val="center" w:pos="4153"/>
        <w:tab w:val="right" w:pos="8306"/>
      </w:tabs>
      <w:snapToGrid w:val="0"/>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9">
    <w:name w:val="Normal (Web)"/>
    <w:basedOn w:val="1"/>
    <w:autoRedefine/>
    <w:qFormat/>
    <w:uiPriority w:val="0"/>
    <w:pPr>
      <w:spacing w:before="100" w:beforeAutospacing="1" w:after="100" w:afterAutospacing="1"/>
    </w:pPr>
    <w:rPr>
      <w:rFonts w:cs="Times New Roman"/>
    </w:rPr>
  </w:style>
  <w:style w:type="paragraph" w:styleId="10">
    <w:name w:val="Body Text First Indent"/>
    <w:basedOn w:val="4"/>
    <w:next w:val="11"/>
    <w:autoRedefine/>
    <w:unhideWhenUsed/>
    <w:qFormat/>
    <w:uiPriority w:val="99"/>
    <w:pPr>
      <w:spacing w:beforeLines="50" w:afterLines="50" w:line="360" w:lineRule="auto"/>
      <w:ind w:firstLine="200" w:firstLineChars="200"/>
    </w:pPr>
    <w:rPr>
      <w:kern w:val="0"/>
      <w:sz w:val="30"/>
      <w:szCs w:val="24"/>
    </w:rPr>
  </w:style>
  <w:style w:type="paragraph" w:styleId="11">
    <w:name w:val="Body Text First Indent 2"/>
    <w:basedOn w:val="5"/>
    <w:autoRedefine/>
    <w:unhideWhenUsed/>
    <w:qFormat/>
    <w:uiPriority w:val="99"/>
    <w:pPr>
      <w:spacing w:after="120" w:line="240" w:lineRule="auto"/>
      <w:ind w:left="420" w:leftChars="200" w:firstLine="420" w:firstLine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rFonts w:hint="eastAsia" w:ascii="宋体" w:hAnsi="宋体" w:eastAsia="宋体" w:cs="宋体"/>
      <w:color w:val="000000"/>
      <w:sz w:val="18"/>
      <w:szCs w:val="18"/>
      <w:u w:val="none"/>
    </w:rPr>
  </w:style>
  <w:style w:type="character" w:styleId="16">
    <w:name w:val="Hyperlink"/>
    <w:basedOn w:val="14"/>
    <w:autoRedefine/>
    <w:qFormat/>
    <w:uiPriority w:val="0"/>
    <w:rPr>
      <w:rFonts w:hint="eastAsia" w:ascii="宋体" w:hAnsi="宋体" w:eastAsia="宋体" w:cs="宋体"/>
      <w:color w:val="000000"/>
      <w:sz w:val="18"/>
      <w:szCs w:val="18"/>
      <w:u w:val="none"/>
    </w:rPr>
  </w:style>
  <w:style w:type="paragraph" w:customStyle="1" w:styleId="17">
    <w:name w:val="正文 New New New New"/>
    <w:autoRedefine/>
    <w:qFormat/>
    <w:uiPriority w:val="0"/>
    <w:pPr>
      <w:widowControl w:val="0"/>
      <w:jc w:val="both"/>
    </w:pPr>
    <w:rPr>
      <w:rFonts w:ascii="Calibri" w:hAnsi="Calibri" w:eastAsia="宋体" w:cs="Times New Roman"/>
      <w:sz w:val="21"/>
      <w:szCs w:val="24"/>
      <w:lang w:val="en-US" w:eastAsia="zh-CN" w:bidi="ar-SA"/>
    </w:rPr>
  </w:style>
  <w:style w:type="paragraph" w:customStyle="1" w:styleId="18">
    <w:name w:val="※正文"/>
    <w:basedOn w:val="1"/>
    <w:next w:val="1"/>
    <w:autoRedefine/>
    <w:qFormat/>
    <w:uiPriority w:val="0"/>
    <w:pPr>
      <w:wordWrap w:val="0"/>
    </w:pPr>
  </w:style>
  <w:style w:type="paragraph" w:customStyle="1" w:styleId="19">
    <w:name w:val="title11"/>
    <w:basedOn w:val="1"/>
    <w:autoRedefine/>
    <w:qFormat/>
    <w:uiPriority w:val="0"/>
    <w:pPr>
      <w:spacing w:before="150"/>
    </w:pPr>
    <w:rPr>
      <w:b/>
      <w:sz w:val="22"/>
      <w:szCs w:val="22"/>
    </w:rPr>
  </w:style>
  <w:style w:type="paragraph" w:customStyle="1" w:styleId="20">
    <w:name w:val="title12"/>
    <w:basedOn w:val="1"/>
    <w:autoRedefine/>
    <w:qFormat/>
    <w:uiPriority w:val="0"/>
    <w:pPr>
      <w:spacing w:before="150"/>
    </w:pPr>
    <w:rPr>
      <w:rFonts w:cs="Times New Roman"/>
      <w:b/>
      <w:sz w:val="22"/>
      <w:szCs w:val="22"/>
    </w:rPr>
  </w:style>
  <w:style w:type="paragraph" w:customStyle="1" w:styleId="21">
    <w:name w:val="普通正文"/>
    <w:basedOn w:val="1"/>
    <w:autoRedefine/>
    <w:qFormat/>
    <w:uiPriority w:val="0"/>
    <w:pPr>
      <w:adjustRightInd w:val="0"/>
      <w:spacing w:before="120" w:after="120" w:line="360" w:lineRule="auto"/>
      <w:ind w:firstLine="480"/>
      <w:jc w:val="left"/>
    </w:pPr>
    <w:rPr>
      <w:rFonts w:ascii="Arial" w:hAnsi="Arial"/>
      <w:kern w:val="0"/>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719</Words>
  <Characters>841</Characters>
  <Lines>6</Lines>
  <Paragraphs>1</Paragraphs>
  <TotalTime>0</TotalTime>
  <ScaleCrop>false</ScaleCrop>
  <LinksUpToDate>false</LinksUpToDate>
  <CharactersWithSpaces>870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2017-11-14T03:29:00Z</dcterms:created>
  <dc:creator>Administrator</dc:creator>
  <cp:lastModifiedBy>最初的喜欢。</cp:lastModifiedBy>
  <cp:lastPrinted>2024-03-26T01:38:00Z</cp:lastPrinted>
  <dcterms:modified xsi:type="dcterms:W3CDTF">2024-04-26T08:05:50Z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11F7144D1CB245F5816C0E530C7BC773</vt:lpwstr>
  </property>
</Properties>
</file>