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版本号：SZTCS-XA-250203-FW20250204002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宜君县2024年32个村庄规划编制(包2第二次)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SZTCS-XA-250203-FW</w:t>
      </w:r>
      <w:r>
        <w:br/>
      </w:r>
      <w:r>
        <w:br/>
      </w:r>
      <w:r>
        <w:br/>
      </w:r>
    </w:p>
    <w:p>
      <w:pPr>
        <w:pStyle w:val="null3"/>
        <w:jc w:val="center"/>
        <w:outlineLvl w:val="2"/>
      </w:pPr>
      <w:r>
        <w:rPr>
          <w:rFonts w:ascii="仿宋_GB2312" w:hAnsi="仿宋_GB2312" w:cs="仿宋_GB2312" w:eastAsia="仿宋_GB2312"/>
          <w:sz w:val="28"/>
          <w:b/>
        </w:rPr>
        <w:t>宜君县自然资源和林业局</w:t>
      </w:r>
    </w:p>
    <w:p>
      <w:pPr>
        <w:pStyle w:val="null3"/>
        <w:jc w:val="center"/>
        <w:outlineLvl w:val="2"/>
      </w:pPr>
      <w:r>
        <w:rPr>
          <w:rFonts w:ascii="仿宋_GB2312" w:hAnsi="仿宋_GB2312" w:cs="仿宋_GB2312" w:eastAsia="仿宋_GB2312"/>
          <w:sz w:val="28"/>
          <w:b/>
        </w:rPr>
        <w:t>陕西省中投招标有限责任公司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陕西省中投招标有限责任公司</w:t>
      </w:r>
      <w:r>
        <w:rPr>
          <w:rFonts w:ascii="仿宋_GB2312" w:hAnsi="仿宋_GB2312" w:cs="仿宋_GB2312" w:eastAsia="仿宋_GB2312"/>
        </w:rPr>
        <w:t>（以下简称“代理机构”）受</w:t>
      </w:r>
      <w:r>
        <w:rPr>
          <w:rFonts w:ascii="仿宋_GB2312" w:hAnsi="仿宋_GB2312" w:cs="仿宋_GB2312" w:eastAsia="仿宋_GB2312"/>
        </w:rPr>
        <w:t>宜君县自然资源和林业局</w:t>
      </w:r>
      <w:r>
        <w:rPr>
          <w:rFonts w:ascii="仿宋_GB2312" w:hAnsi="仿宋_GB2312" w:cs="仿宋_GB2312" w:eastAsia="仿宋_GB2312"/>
        </w:rPr>
        <w:t>委托，拟对</w:t>
      </w:r>
      <w:r>
        <w:rPr>
          <w:rFonts w:ascii="仿宋_GB2312" w:hAnsi="仿宋_GB2312" w:cs="仿宋_GB2312" w:eastAsia="仿宋_GB2312"/>
        </w:rPr>
        <w:t>宜君县2024年32个村庄规划编制(包2第二次)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SZTCS-XA-250203-FW</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宜君县2024年32个村庄规划编制(包2第二次)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为贯彻落实《中共中央国务院关于建立国土空间规划体系并监督实施的若干意见》（中发〔2019〕18号）、《自然 资 源 部关于进一步加强国土空间规划编制和实施管理的通知》（自然资发〔2022〕186号），加强“五级三类”国土空间 规划传 导 协同，保障宜君县建设需求，加强城镇规划管理，特编制宜君县2024年32个村庄规划编制。本次招标五里镇、尧生镇8个村庄规划编制。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采购包1（五里镇、尧生镇 村庄规划编制）：属于专门面向中小企业采购。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1、营业执照：(1)根据供应商类别进行提供： ①如供应商是企业（包括合伙企业），应提供在工 商部门注册的有效“企业法人营业执照”或“营业执照”； ②如供应商是事业单位， 应提供有效的“事业单位法人证书”； ③如供应商是为企业专业服务机构的，应提 供执业许可证等证明文件； ④如供应商是个体工商户，应提供有效的“个体工商户 营业执照”； ⑤如供应商为自然人，应提供有效的自然人身份证明。 供货商需在项 目电子化交易系统中按要求上传相应证明文件并进行电子签章；</w:t>
      </w:r>
    </w:p>
    <w:p>
      <w:pPr>
        <w:pStyle w:val="null3"/>
      </w:pPr>
      <w:r>
        <w:rPr>
          <w:rFonts w:ascii="仿宋_GB2312" w:hAnsi="仿宋_GB2312" w:cs="仿宋_GB2312" w:eastAsia="仿宋_GB2312"/>
        </w:rPr>
        <w:t>2、企业资质 ：供应商须具备具备城乡规划乙级及以上资质，提供具有履行合同所必需的专业技术 能力的承诺；供货商需在项目电子化交易系统中按要求上传相应证明文件并进行电 子签章；</w:t>
      </w:r>
    </w:p>
    <w:p>
      <w:pPr>
        <w:pStyle w:val="null3"/>
      </w:pPr>
      <w:r>
        <w:rPr>
          <w:rFonts w:ascii="仿宋_GB2312" w:hAnsi="仿宋_GB2312" w:cs="仿宋_GB2312" w:eastAsia="仿宋_GB2312"/>
        </w:rPr>
        <w:t>3、法定代表人授权委托书 ；：法定代表人授权委托书（附法定代表人、被授权人身份证复印件并加盖公章）和被 授权人身 份证原件。（法定代表人参加投标只须提供法定代表人身份证明书及身 份证原件），供货商需在项目电子化交易系统中按要求上传相应证明文件并进行电 子签章</w:t>
      </w:r>
    </w:p>
    <w:p>
      <w:pPr>
        <w:pStyle w:val="null3"/>
      </w:pPr>
      <w:r>
        <w:rPr>
          <w:rFonts w:ascii="仿宋_GB2312" w:hAnsi="仿宋_GB2312" w:cs="仿宋_GB2312" w:eastAsia="仿宋_GB2312"/>
        </w:rPr>
        <w:t>4、财务报告 ：提供2023年度经审计的财务报告（成立时间至提交磋商响应文件截止时间不足一 年的可提供成立后任意时段的资产负债表），或磋商截止日期前6个月内银行出具 的资信证明； 供应商需在项目电子化交易系统中按要求上传相应证明文件并进行 电子签章；</w:t>
      </w:r>
    </w:p>
    <w:p>
      <w:pPr>
        <w:pStyle w:val="null3"/>
      </w:pPr>
      <w:r>
        <w:rPr>
          <w:rFonts w:ascii="仿宋_GB2312" w:hAnsi="仿宋_GB2312" w:cs="仿宋_GB2312" w:eastAsia="仿宋_GB2312"/>
        </w:rPr>
        <w:t>5、完税证明 ：提供磋商截止时间前6个月内任意一个月的纳税证明或完税证明，依法免税的单位 应提供相关证明材料，供货商需在项目电子化交易系统中按要求上传相应证明文件 并进行电子签章；</w:t>
      </w:r>
    </w:p>
    <w:p>
      <w:pPr>
        <w:pStyle w:val="null3"/>
      </w:pPr>
      <w:r>
        <w:rPr>
          <w:rFonts w:ascii="仿宋_GB2312" w:hAnsi="仿宋_GB2312" w:cs="仿宋_GB2312" w:eastAsia="仿宋_GB2312"/>
        </w:rPr>
        <w:t>6、社保缴纳凭证 ：提供磋商截止时间前6个月内任意一个月的社会保障资金缴存单据或社保机构开具 的社会保险参保缴费情况证明，依法不需要缴纳社会保障资金的单位应提供相关证 明材料，供货商需在项目电子化交易系统中按要求上传相应证明文件并进行电子签 章；</w:t>
      </w:r>
    </w:p>
    <w:p>
      <w:pPr>
        <w:pStyle w:val="null3"/>
      </w:pPr>
      <w:r>
        <w:rPr>
          <w:rFonts w:ascii="仿宋_GB2312" w:hAnsi="仿宋_GB2312" w:cs="仿宋_GB2312" w:eastAsia="仿宋_GB2312"/>
        </w:rPr>
        <w:t>7、无重大违法记录的书面声明 ：参加政府采购活动前3年内，在经营活动中没有重大违法记录的书面声明，供货商 需在项目电子化交易系统中按要求上传相应证明文件并进行电子签章；</w:t>
      </w:r>
    </w:p>
    <w:p>
      <w:pPr>
        <w:pStyle w:val="null3"/>
      </w:pPr>
      <w:r>
        <w:rPr>
          <w:rFonts w:ascii="仿宋_GB2312" w:hAnsi="仿宋_GB2312" w:cs="仿宋_GB2312" w:eastAsia="仿宋_GB2312"/>
        </w:rPr>
        <w:t>8、企业信誉截图 ：供应商不得为“信用中国”网站（www.creditchina.gov.cn）中列入失信被执行人 或税收违法黑名单的供应商，不得为中国政府采购网（www.ccgp.gov.cn）政府 采购严重违法失信行为记录名单中被财政部门禁止参加政府采购活动的供应商，供 货商需在项目电子化交易系统中按要求上传相应证明文件并进行电子签章；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宜君县自然资源和林业局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宜君县人社大楼七楼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宜君县自然资源和林业局经办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09195286106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陕西省中投招标有限责任公司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环城西路天朗时代酒店A座6层东区601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杜艳艳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13991227376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梁进兴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和国家发展改革委员会办公厅颁发的《关于招标代理服务收费有关问题的通知》（发改办价格[2003] 857号）规定标准收取。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宜君县自然资源和林业局</w:t>
      </w:r>
      <w:r>
        <w:rPr>
          <w:rFonts w:ascii="仿宋_GB2312" w:hAnsi="仿宋_GB2312" w:cs="仿宋_GB2312" w:eastAsia="仿宋_GB2312"/>
        </w:rPr>
        <w:t>和</w:t>
      </w:r>
      <w:r>
        <w:rPr>
          <w:rFonts w:ascii="仿宋_GB2312" w:hAnsi="仿宋_GB2312" w:cs="仿宋_GB2312" w:eastAsia="仿宋_GB2312"/>
        </w:rPr>
        <w:t>陕西省中投招标有限责任公司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宜君县自然资源和林业局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陕西省中投招标有限责任公司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宜君县自然资源和林业局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陕西省中投招标有限责任公司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严格按照招标文件及采购人要求参数进行验收，同时满足国家、行业相关标推及规范、规定要求。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陕西省中投招标有限责任公司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陕西省中投招标有限责任公司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陕西省中投招标有限责任公司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联系人：杜艳艳</w:t>
      </w:r>
    </w:p>
    <w:p>
      <w:pPr>
        <w:pStyle w:val="null3"/>
      </w:pPr>
      <w:r>
        <w:rPr>
          <w:rFonts w:ascii="仿宋_GB2312" w:hAnsi="仿宋_GB2312" w:cs="仿宋_GB2312" w:eastAsia="仿宋_GB2312"/>
        </w:rPr>
        <w:t>联系电话：13991227376</w:t>
      </w:r>
    </w:p>
    <w:p>
      <w:pPr>
        <w:pStyle w:val="null3"/>
      </w:pPr>
      <w:r>
        <w:rPr>
          <w:rFonts w:ascii="仿宋_GB2312" w:hAnsi="仿宋_GB2312" w:cs="仿宋_GB2312" w:eastAsia="仿宋_GB2312"/>
        </w:rPr>
        <w:t>地址：环城西路天朗时代酒店A座6层东区601</w:t>
      </w:r>
    </w:p>
    <w:p>
      <w:pPr>
        <w:pStyle w:val="null3"/>
      </w:pPr>
      <w:r>
        <w:rPr>
          <w:rFonts w:ascii="仿宋_GB2312" w:hAnsi="仿宋_GB2312" w:cs="仿宋_GB2312" w:eastAsia="仿宋_GB2312"/>
        </w:rPr>
        <w:t>邮编：710002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为贯彻落实《中共中央国务院关于建立国土空间规划体系并监督实施的若干意见》（中发〔2019〕18号）、《自然 资源 部关于进一步加强国土空间规划编制和实施管理的通知》（自然资发〔2022〕186号），加强“五级三类”国土空间 规划传导 协同，保障宜君县建设需求，加强城镇规划管理，特编制宜君县2024年32个村庄规划编制。本次招标五里镇、尧生镇中的8个村庄规划编制。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1,075,000.00</w:t>
      </w:r>
    </w:p>
    <w:p>
      <w:pPr>
        <w:pStyle w:val="null3"/>
      </w:pPr>
      <w:r>
        <w:rPr>
          <w:rFonts w:ascii="仿宋_GB2312" w:hAnsi="仿宋_GB2312" w:cs="仿宋_GB2312" w:eastAsia="仿宋_GB2312"/>
        </w:rPr>
        <w:t>采购包最高限价（元）: 1,075,000.00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宜君县2024年32个村庄规划编制(包2第二次)</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1,075,000.00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标的名称：宜君县2024年32个村庄规划编制(包2第二次)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五里镇、 尧生镇村庄规划编</w:t>
            </w:r>
          </w:p>
        </w:tc>
        <w:tc>
          <w:tcPr>
            <w:tcW w:type="dxa" w:w="2076"/>
          </w:tcPr>
          <w:p>
            <w:pPr>
              <w:pStyle w:val="null3"/>
            </w:pPr>
            <w:r>
              <w:rPr>
                <w:rFonts w:ascii="仿宋_GB2312" w:hAnsi="仿宋_GB2312" w:cs="仿宋_GB2312" w:eastAsia="仿宋_GB2312"/>
                <w:sz w:val="19"/>
                <w:color w:val="000000"/>
              </w:rPr>
              <w:t>一、区域划分</w:t>
            </w:r>
          </w:p>
          <w:p>
            <w:pPr>
              <w:pStyle w:val="null3"/>
            </w:pPr>
            <w:r>
              <w:rPr>
                <w:rFonts w:ascii="仿宋_GB2312" w:hAnsi="仿宋_GB2312" w:cs="仿宋_GB2312" w:eastAsia="仿宋_GB2312"/>
                <w:sz w:val="19"/>
                <w:color w:val="000000"/>
              </w:rPr>
              <w:t>五里镇（西村、文兴村、云辉村、寨子村），尧生镇（东舍村、南寨村、车村、八丈塬村）</w:t>
            </w:r>
          </w:p>
          <w:p>
            <w:pPr>
              <w:pStyle w:val="null3"/>
            </w:pPr>
            <w:r>
              <w:rPr>
                <w:rFonts w:ascii="仿宋_GB2312" w:hAnsi="仿宋_GB2312" w:cs="仿宋_GB2312" w:eastAsia="仿宋_GB2312"/>
                <w:sz w:val="19"/>
                <w:color w:val="000000"/>
              </w:rPr>
              <w:t>二、规划编制任务</w:t>
            </w:r>
          </w:p>
          <w:p>
            <w:pPr>
              <w:pStyle w:val="null3"/>
            </w:pPr>
            <w:r>
              <w:rPr>
                <w:rFonts w:ascii="仿宋_GB2312" w:hAnsi="仿宋_GB2312" w:cs="仿宋_GB2312" w:eastAsia="仿宋_GB2312"/>
                <w:sz w:val="19"/>
                <w:color w:val="000000"/>
              </w:rPr>
              <w:t>以乡镇为单位展开编制。其中位于县城和乡镇所在地的村庄与控规统筹编制，不单独编制村庄</w:t>
            </w:r>
            <w:r>
              <w:rPr>
                <w:rFonts w:ascii="仿宋_GB2312" w:hAnsi="仿宋_GB2312" w:cs="仿宋_GB2312" w:eastAsia="仿宋_GB2312"/>
                <w:sz w:val="19"/>
                <w:color w:val="000000"/>
              </w:rPr>
              <w:t>规划。规划需落实上位国土空间规划的强制性要求，切实落实永久基本农田、生态保护红线等强制</w:t>
            </w:r>
            <w:r>
              <w:rPr>
                <w:rFonts w:ascii="仿宋_GB2312" w:hAnsi="仿宋_GB2312" w:cs="仿宋_GB2312" w:eastAsia="仿宋_GB2312"/>
                <w:sz w:val="19"/>
                <w:color w:val="000000"/>
              </w:rPr>
              <w:t>性内容，并落实相关保护与管控要求。规划需对村庄发展存在的核心问题以及发展的优势、机遇条</w:t>
            </w:r>
            <w:r>
              <w:rPr>
                <w:rFonts w:ascii="仿宋_GB2312" w:hAnsi="仿宋_GB2312" w:cs="仿宋_GB2312" w:eastAsia="仿宋_GB2312"/>
                <w:sz w:val="19"/>
                <w:color w:val="000000"/>
              </w:rPr>
              <w:t>件进行综合分析，确定村庄发展定位和目标，打造高质量的在地化产业链体系、补足公共服务和基</w:t>
            </w:r>
            <w:r>
              <w:rPr>
                <w:rFonts w:ascii="仿宋_GB2312" w:hAnsi="仿宋_GB2312" w:cs="仿宋_GB2312" w:eastAsia="仿宋_GB2312"/>
                <w:sz w:val="19"/>
                <w:color w:val="000000"/>
              </w:rPr>
              <w:t xml:space="preserve">础设 施短板、完善道路交通路网格局、对国土空间进行整治和生态修复、摸清宅基地家底并合理预 </w:t>
            </w:r>
            <w:r>
              <w:rPr>
                <w:rFonts w:ascii="仿宋_GB2312" w:hAnsi="仿宋_GB2312" w:cs="仿宋_GB2312" w:eastAsia="仿宋_GB2312"/>
                <w:sz w:val="19"/>
                <w:color w:val="000000"/>
              </w:rPr>
              <w:t>测未来规模、安排防灾减灾设施布局等内容，真正做到有用、能用、实用的实用性村庄规划。</w:t>
            </w:r>
          </w:p>
          <w:p>
            <w:pPr>
              <w:pStyle w:val="null3"/>
            </w:pPr>
            <w:r>
              <w:rPr>
                <w:rFonts w:ascii="仿宋_GB2312" w:hAnsi="仿宋_GB2312" w:cs="仿宋_GB2312" w:eastAsia="仿宋_GB2312"/>
                <w:sz w:val="19"/>
                <w:color w:val="000000"/>
              </w:rPr>
              <w:t>三、总体要求</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）相关规划解读深入解读陕西省国土空间规划（</w:t>
            </w:r>
            <w:r>
              <w:rPr>
                <w:rFonts w:ascii="仿宋_GB2312" w:hAnsi="仿宋_GB2312" w:cs="仿宋_GB2312" w:eastAsia="仿宋_GB2312"/>
                <w:sz w:val="19"/>
                <w:color w:val="000000"/>
              </w:rPr>
              <w:t>2021-2035</w:t>
            </w:r>
            <w:r>
              <w:rPr>
                <w:rFonts w:ascii="仿宋_GB2312" w:hAnsi="仿宋_GB2312" w:cs="仿宋_GB2312" w:eastAsia="仿宋_GB2312"/>
                <w:sz w:val="19"/>
                <w:color w:val="000000"/>
              </w:rPr>
              <w:t>年）》、《陕西省乡村振兴战略</w:t>
            </w:r>
            <w:r>
              <w:rPr>
                <w:rFonts w:ascii="仿宋_GB2312" w:hAnsi="仿宋_GB2312" w:cs="仿宋_GB2312" w:eastAsia="仿宋_GB2312"/>
                <w:sz w:val="19"/>
                <w:color w:val="000000"/>
              </w:rPr>
              <w:t>规划（</w:t>
            </w:r>
            <w:r>
              <w:rPr>
                <w:rFonts w:ascii="仿宋_GB2312" w:hAnsi="仿宋_GB2312" w:cs="仿宋_GB2312" w:eastAsia="仿宋_GB2312"/>
                <w:sz w:val="19"/>
                <w:color w:val="000000"/>
              </w:rPr>
              <w:t xml:space="preserve">2018-2022 </w:t>
            </w:r>
            <w:r>
              <w:rPr>
                <w:rFonts w:ascii="仿宋_GB2312" w:hAnsi="仿宋_GB2312" w:cs="仿宋_GB2312" w:eastAsia="仿宋_GB2312"/>
                <w:sz w:val="19"/>
                <w:color w:val="000000"/>
              </w:rPr>
              <w:t>年）》、《宜君县国土空间规划（</w:t>
            </w:r>
            <w:r>
              <w:rPr>
                <w:rFonts w:ascii="仿宋_GB2312" w:hAnsi="仿宋_GB2312" w:cs="仿宋_GB2312" w:eastAsia="仿宋_GB2312"/>
                <w:sz w:val="19"/>
                <w:color w:val="000000"/>
              </w:rPr>
              <w:t>2021-2035</w:t>
            </w:r>
            <w:r>
              <w:rPr>
                <w:rFonts w:ascii="仿宋_GB2312" w:hAnsi="仿宋_GB2312" w:cs="仿宋_GB2312" w:eastAsia="仿宋_GB2312"/>
                <w:sz w:val="19"/>
                <w:color w:val="000000"/>
              </w:rPr>
              <w:t>年）》等与上位规划，明确上位</w:t>
            </w:r>
            <w:r>
              <w:rPr>
                <w:rFonts w:ascii="仿宋_GB2312" w:hAnsi="仿宋_GB2312" w:cs="仿宋_GB2312" w:eastAsia="仿宋_GB2312"/>
                <w:sz w:val="19"/>
                <w:color w:val="000000"/>
              </w:rPr>
              <w:t>规划对宜君县各乡镇村庄的规划要求。</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）确定发展定位 根据村庄分类，综合各个村庄现状特征、产业特点、区域职能、自然资源等影</w:t>
            </w:r>
            <w:r>
              <w:rPr>
                <w:rFonts w:ascii="仿宋_GB2312" w:hAnsi="仿宋_GB2312" w:cs="仿宋_GB2312" w:eastAsia="仿宋_GB2312"/>
                <w:sz w:val="19"/>
                <w:color w:val="000000"/>
              </w:rPr>
              <w:t>响要素分析，结合区域经济趋势特点，确定各村发展定位。</w:t>
            </w:r>
          </w:p>
          <w:p>
            <w:pPr>
              <w:pStyle w:val="null3"/>
            </w:pPr>
            <w:r>
              <w:rPr>
                <w:rFonts w:ascii="仿宋_GB2312" w:hAnsi="仿宋_GB2312" w:cs="仿宋_GB2312" w:eastAsia="仿宋_GB2312"/>
                <w:sz w:val="19"/>
                <w:color w:val="000000"/>
              </w:rPr>
              <w:t>3)</w:t>
            </w:r>
            <w:r>
              <w:rPr>
                <w:rFonts w:ascii="仿宋_GB2312" w:hAnsi="仿宋_GB2312" w:cs="仿宋_GB2312" w:eastAsia="仿宋_GB2312"/>
                <w:sz w:val="19"/>
                <w:color w:val="000000"/>
              </w:rPr>
              <w:t>村庄发展定位目标 衔接上位规划，结合村庄类型、规划评估结果，根据村庄的地理位置、地</w:t>
            </w:r>
            <w:r>
              <w:rPr>
                <w:rFonts w:ascii="仿宋_GB2312" w:hAnsi="仿宋_GB2312" w:cs="仿宋_GB2312" w:eastAsia="仿宋_GB2312"/>
                <w:sz w:val="19"/>
                <w:color w:val="000000"/>
              </w:rPr>
              <w:t>形地貌、资源禀赋、历史文化、经济社会发展、基础设施、传统风貌等因素，合理确定村庄 发展目</w:t>
            </w:r>
            <w:r>
              <w:rPr>
                <w:rFonts w:ascii="仿宋_GB2312" w:hAnsi="仿宋_GB2312" w:cs="仿宋_GB2312" w:eastAsia="仿宋_GB2312"/>
                <w:sz w:val="19"/>
                <w:color w:val="000000"/>
              </w:rPr>
              <w:t>标。按照优化布局、补齐短板的总体思路，统筹村庄发展和国土空间开发保护，确定村庄经济发展</w:t>
            </w:r>
            <w:r>
              <w:rPr>
                <w:rFonts w:ascii="仿宋_GB2312" w:hAnsi="仿宋_GB2312" w:cs="仿宋_GB2312" w:eastAsia="仿宋_GB2312"/>
                <w:sz w:val="19"/>
                <w:color w:val="000000"/>
              </w:rPr>
              <w:t>、生态保护、国土空间开发保护、耕地和永久基本农田保护、村庄建设、公共设施配置、人居环境整</w:t>
            </w:r>
            <w:r>
              <w:rPr>
                <w:rFonts w:ascii="仿宋_GB2312" w:hAnsi="仿宋_GB2312" w:cs="仿宋_GB2312" w:eastAsia="仿宋_GB2312"/>
                <w:sz w:val="19"/>
                <w:color w:val="000000"/>
              </w:rPr>
              <w:t>治、文化传承等方面的目标，明确村庄规划控制指标体系。</w:t>
            </w:r>
          </w:p>
          <w:p>
            <w:pPr>
              <w:pStyle w:val="null3"/>
            </w:pPr>
            <w:r>
              <w:rPr>
                <w:rFonts w:ascii="仿宋_GB2312" w:hAnsi="仿宋_GB2312" w:cs="仿宋_GB2312" w:eastAsia="仿宋_GB2312"/>
                <w:sz w:val="19"/>
                <w:color w:val="000000"/>
              </w:rPr>
              <w:t>四、具体工作内容</w:t>
            </w:r>
          </w:p>
          <w:p>
            <w:pPr>
              <w:pStyle w:val="null3"/>
            </w:pPr>
            <w:r>
              <w:rPr>
                <w:rFonts w:ascii="仿宋_GB2312" w:hAnsi="仿宋_GB2312" w:cs="仿宋_GB2312" w:eastAsia="仿宋_GB2312"/>
                <w:sz w:val="19"/>
                <w:b/>
                <w:color w:val="000000"/>
              </w:rPr>
              <w:t>1.</w:t>
            </w:r>
            <w:r>
              <w:rPr>
                <w:rFonts w:ascii="仿宋_GB2312" w:hAnsi="仿宋_GB2312" w:cs="仿宋_GB2312" w:eastAsia="仿宋_GB2312"/>
                <w:sz w:val="19"/>
                <w:color w:val="000000"/>
              </w:rPr>
              <w:t>发展规模预测</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）人口规模预测</w:t>
            </w:r>
          </w:p>
          <w:p>
            <w:pPr>
              <w:pStyle w:val="null3"/>
            </w:pPr>
            <w:r>
              <w:rPr>
                <w:rFonts w:ascii="仿宋_GB2312" w:hAnsi="仿宋_GB2312" w:cs="仿宋_GB2312" w:eastAsia="仿宋_GB2312"/>
                <w:sz w:val="19"/>
                <w:color w:val="000000"/>
              </w:rPr>
              <w:t>依据各个村庄人口历年变化情况，结合宜君县域镇村布局规划和村庄发展趋势， 综合考虑人口</w:t>
            </w:r>
            <w:r>
              <w:rPr>
                <w:rFonts w:ascii="仿宋_GB2312" w:hAnsi="仿宋_GB2312" w:cs="仿宋_GB2312" w:eastAsia="仿宋_GB2312"/>
                <w:sz w:val="19"/>
                <w:color w:val="000000"/>
              </w:rPr>
              <w:t>自然增长、产业发展、环境和生态资源承载力等因素，合理预测户籍人口和常住人口规模。</w:t>
            </w:r>
          </w:p>
          <w:p>
            <w:pPr>
              <w:pStyle w:val="null3"/>
            </w:pPr>
            <w:r>
              <w:rPr>
                <w:rFonts w:ascii="仿宋_GB2312" w:hAnsi="仿宋_GB2312" w:cs="仿宋_GB2312" w:eastAsia="仿宋_GB2312"/>
                <w:sz w:val="19"/>
                <w:color w:val="000000"/>
              </w:rPr>
              <w:t xml:space="preserve">2. </w:t>
            </w:r>
            <w:r>
              <w:rPr>
                <w:rFonts w:ascii="仿宋_GB2312" w:hAnsi="仿宋_GB2312" w:cs="仿宋_GB2312" w:eastAsia="仿宋_GB2312"/>
                <w:sz w:val="19"/>
                <w:color w:val="000000"/>
              </w:rPr>
              <w:t>建设用地规模预测</w:t>
            </w:r>
          </w:p>
          <w:p>
            <w:pPr>
              <w:pStyle w:val="null3"/>
            </w:pPr>
            <w:r>
              <w:rPr>
                <w:rFonts w:ascii="仿宋_GB2312" w:hAnsi="仿宋_GB2312" w:cs="仿宋_GB2312" w:eastAsia="仿宋_GB2312"/>
                <w:sz w:val="19"/>
                <w:color w:val="000000"/>
              </w:rPr>
              <w:t>依据村庄人口规模预测、产业经济发展基础、资源禀赋条件、村庄发展类型，预 测宜村庄建设</w:t>
            </w:r>
            <w:r>
              <w:rPr>
                <w:rFonts w:ascii="仿宋_GB2312" w:hAnsi="仿宋_GB2312" w:cs="仿宋_GB2312" w:eastAsia="仿宋_GB2312"/>
                <w:sz w:val="19"/>
                <w:color w:val="000000"/>
              </w:rPr>
              <w:t>用地规模。 宅基地需求：根据现状住宅用地规模及规划期内人口预测结果，按照</w:t>
            </w:r>
            <w:r>
              <w:rPr>
                <w:rFonts w:ascii="仿宋_GB2312" w:hAnsi="仿宋_GB2312" w:cs="仿宋_GB2312" w:eastAsia="仿宋_GB2312"/>
                <w:sz w:val="19"/>
                <w:color w:val="000000"/>
              </w:rPr>
              <w:t>“</w:t>
            </w:r>
            <w:r>
              <w:rPr>
                <w:rFonts w:ascii="仿宋_GB2312" w:hAnsi="仿宋_GB2312" w:cs="仿宋_GB2312" w:eastAsia="仿宋_GB2312"/>
                <w:sz w:val="19"/>
                <w:color w:val="000000"/>
              </w:rPr>
              <w:t>一户一宅</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政策要</w:t>
            </w:r>
            <w:r>
              <w:rPr>
                <w:rFonts w:ascii="仿宋_GB2312" w:hAnsi="仿宋_GB2312" w:cs="仿宋_GB2312" w:eastAsia="仿宋_GB2312"/>
                <w:sz w:val="19"/>
                <w:color w:val="000000"/>
              </w:rPr>
              <w:t>求及村民需求，估算新增居民户数，按照陕西省户均建筑面积预测宅基地需求。 设施用地需求：依</w:t>
            </w:r>
            <w:r>
              <w:rPr>
                <w:rFonts w:ascii="仿宋_GB2312" w:hAnsi="仿宋_GB2312" w:cs="仿宋_GB2312" w:eastAsia="仿宋_GB2312"/>
                <w:sz w:val="19"/>
                <w:color w:val="000000"/>
              </w:rPr>
              <w:t>据现状公共服务设施和基础设施配套情况，补齐短板，预测新 增配套设施用地需求面积。产业用地</w:t>
            </w:r>
            <w:r>
              <w:rPr>
                <w:rFonts w:ascii="仿宋_GB2312" w:hAnsi="仿宋_GB2312" w:cs="仿宋_GB2312" w:eastAsia="仿宋_GB2312"/>
                <w:sz w:val="19"/>
                <w:color w:val="000000"/>
              </w:rPr>
              <w:t>需求：依托村庄现有的养殖及农作物种植情况，按照未来产业发展趋势，预测新增产业用地，预留新</w:t>
            </w:r>
            <w:r>
              <w:rPr>
                <w:rFonts w:ascii="仿宋_GB2312" w:hAnsi="仿宋_GB2312" w:cs="仿宋_GB2312" w:eastAsia="仿宋_GB2312"/>
                <w:sz w:val="19"/>
                <w:color w:val="000000"/>
              </w:rPr>
              <w:t>增产业配套设施用地。 同时，按照《陕西省实用性村庄规划编制技术要点》，各类非农建设确需新</w:t>
            </w:r>
            <w:r>
              <w:rPr>
                <w:rFonts w:ascii="仿宋_GB2312" w:hAnsi="仿宋_GB2312" w:cs="仿宋_GB2312" w:eastAsia="仿宋_GB2312"/>
                <w:sz w:val="19"/>
                <w:color w:val="000000"/>
              </w:rPr>
              <w:t>增用地的，应优先使用存量土地或通过城乡建设用地增减挂钩解决，及全域土地综合整治等方法解</w:t>
            </w:r>
            <w:r>
              <w:rPr>
                <w:rFonts w:ascii="仿宋_GB2312" w:hAnsi="仿宋_GB2312" w:cs="仿宋_GB2312" w:eastAsia="仿宋_GB2312"/>
                <w:sz w:val="19"/>
                <w:color w:val="000000"/>
              </w:rPr>
              <w:t>决。</w:t>
            </w:r>
          </w:p>
          <w:p>
            <w:pPr>
              <w:pStyle w:val="null3"/>
            </w:pPr>
            <w:r>
              <w:rPr>
                <w:rFonts w:ascii="仿宋_GB2312" w:hAnsi="仿宋_GB2312" w:cs="仿宋_GB2312" w:eastAsia="仿宋_GB2312"/>
                <w:sz w:val="19"/>
                <w:b/>
                <w:color w:val="000000"/>
              </w:rPr>
              <w:t>2.</w:t>
            </w:r>
            <w:r>
              <w:rPr>
                <w:rFonts w:ascii="仿宋_GB2312" w:hAnsi="仿宋_GB2312" w:cs="仿宋_GB2312" w:eastAsia="仿宋_GB2312"/>
                <w:sz w:val="19"/>
                <w:color w:val="000000"/>
              </w:rPr>
              <w:t>国土综合整治与生态保护修复</w:t>
            </w:r>
          </w:p>
          <w:p>
            <w:pPr>
              <w:pStyle w:val="null3"/>
            </w:pPr>
            <w:r>
              <w:rPr>
                <w:rFonts w:ascii="仿宋_GB2312" w:hAnsi="仿宋_GB2312" w:cs="仿宋_GB2312" w:eastAsia="仿宋_GB2312"/>
                <w:sz w:val="19"/>
                <w:color w:val="000000"/>
              </w:rPr>
              <w:t>坚持节约优先、保护优先、自然恢复为主，实行最严格的生态环境保护制度。落实生态保护红线</w:t>
            </w:r>
            <w:r>
              <w:rPr>
                <w:rFonts w:ascii="仿宋_GB2312" w:hAnsi="仿宋_GB2312" w:cs="仿宋_GB2312" w:eastAsia="仿宋_GB2312"/>
                <w:sz w:val="19"/>
                <w:color w:val="000000"/>
              </w:rPr>
              <w:t>划定成果，明确森林、草原、河流、湖泊等生态空间，推进山水林田湖草整体保护、系统修复、综合</w:t>
            </w:r>
            <w:r>
              <w:rPr>
                <w:rFonts w:ascii="仿宋_GB2312" w:hAnsi="仿宋_GB2312" w:cs="仿宋_GB2312" w:eastAsia="仿宋_GB2312"/>
                <w:sz w:val="19"/>
                <w:color w:val="000000"/>
              </w:rPr>
              <w:t>治理，开展全域土地综合整治，全面推进大规模国土绿化行动，以优化国家生态安全屏障体系和促</w:t>
            </w:r>
            <w:r>
              <w:rPr>
                <w:rFonts w:ascii="仿宋_GB2312" w:hAnsi="仿宋_GB2312" w:cs="仿宋_GB2312" w:eastAsia="仿宋_GB2312"/>
                <w:sz w:val="19"/>
                <w:color w:val="000000"/>
              </w:rPr>
              <w:t>进生态系统良性循环为目标，加 快构建国家生态安全屏障。</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）国土综合整治</w:t>
            </w:r>
          </w:p>
          <w:p>
            <w:pPr>
              <w:pStyle w:val="null3"/>
            </w:pPr>
            <w:r>
              <w:rPr>
                <w:rFonts w:ascii="仿宋_GB2312" w:hAnsi="仿宋_GB2312" w:cs="仿宋_GB2312" w:eastAsia="仿宋_GB2312"/>
                <w:sz w:val="19"/>
                <w:color w:val="000000"/>
              </w:rPr>
              <w:t>以科学合理规划为前提，整体推进村庄农用地整理、建设用地整理和乡村生态保 护修复工作。</w:t>
            </w:r>
            <w:r>
              <w:rPr>
                <w:rFonts w:ascii="仿宋_GB2312" w:hAnsi="仿宋_GB2312" w:cs="仿宋_GB2312" w:eastAsia="仿宋_GB2312"/>
                <w:sz w:val="19"/>
                <w:color w:val="000000"/>
              </w:rPr>
              <w:t>按照</w:t>
            </w:r>
            <w:r>
              <w:rPr>
                <w:rFonts w:ascii="仿宋_GB2312" w:hAnsi="仿宋_GB2312" w:cs="仿宋_GB2312" w:eastAsia="仿宋_GB2312"/>
                <w:sz w:val="19"/>
                <w:color w:val="000000"/>
              </w:rPr>
              <w:t>“</w:t>
            </w:r>
            <w:r>
              <w:rPr>
                <w:rFonts w:ascii="仿宋_GB2312" w:hAnsi="仿宋_GB2312" w:cs="仿宋_GB2312" w:eastAsia="仿宋_GB2312"/>
                <w:sz w:val="19"/>
                <w:color w:val="000000"/>
              </w:rPr>
              <w:t>整治一个、提升一个，整治一片、靓化一片</w:t>
            </w:r>
            <w:r>
              <w:rPr>
                <w:rFonts w:ascii="仿宋_GB2312" w:hAnsi="仿宋_GB2312" w:cs="仿宋_GB2312" w:eastAsia="仿宋_GB2312"/>
                <w:sz w:val="19"/>
                <w:color w:val="000000"/>
              </w:rPr>
              <w:t>”</w:t>
            </w:r>
            <w:r>
              <w:rPr>
                <w:rFonts w:ascii="仿宋_GB2312" w:hAnsi="仿宋_GB2312" w:cs="仿宋_GB2312" w:eastAsia="仿宋_GB2312"/>
                <w:sz w:val="19"/>
                <w:color w:val="000000"/>
              </w:rPr>
              <w:t>的要求，突出水 体环境治理、大气环境治理和土</w:t>
            </w:r>
            <w:r>
              <w:rPr>
                <w:rFonts w:ascii="仿宋_GB2312" w:hAnsi="仿宋_GB2312" w:cs="仿宋_GB2312" w:eastAsia="仿宋_GB2312"/>
                <w:sz w:val="19"/>
                <w:color w:val="000000"/>
              </w:rPr>
              <w:t>壤环境治理的三大任务，村域水体、大气、土壤等 污染得到有效治理。整治验收后腾退的建设用地</w:t>
            </w:r>
            <w:r>
              <w:rPr>
                <w:rFonts w:ascii="仿宋_GB2312" w:hAnsi="仿宋_GB2312" w:cs="仿宋_GB2312" w:eastAsia="仿宋_GB2312"/>
                <w:sz w:val="19"/>
                <w:color w:val="000000"/>
              </w:rPr>
              <w:t>，在保障农民安置、农村基础设施 建设、公益事业等用地的前提下，重点用于农村一二三产业融合</w:t>
            </w:r>
            <w:r>
              <w:rPr>
                <w:rFonts w:ascii="仿宋_GB2312" w:hAnsi="仿宋_GB2312" w:cs="仿宋_GB2312" w:eastAsia="仿宋_GB2312"/>
                <w:sz w:val="19"/>
                <w:color w:val="000000"/>
              </w:rPr>
              <w:t>发展。</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）生态保护修复</w:t>
            </w:r>
          </w:p>
          <w:p>
            <w:pPr>
              <w:pStyle w:val="null3"/>
            </w:pPr>
            <w:r>
              <w:rPr>
                <w:rFonts w:ascii="仿宋_GB2312" w:hAnsi="仿宋_GB2312" w:cs="仿宋_GB2312" w:eastAsia="仿宋_GB2312"/>
                <w:sz w:val="19"/>
                <w:color w:val="000000"/>
              </w:rPr>
              <w:t>对水土流失、农业面源污染、土地生态服务功能衰退和生物多样性损失严重的区 域进行重点生</w:t>
            </w:r>
            <w:r>
              <w:rPr>
                <w:rFonts w:ascii="仿宋_GB2312" w:hAnsi="仿宋_GB2312" w:cs="仿宋_GB2312" w:eastAsia="仿宋_GB2312"/>
                <w:sz w:val="19"/>
                <w:color w:val="000000"/>
              </w:rPr>
              <w:t>态保护与修复工作。在源头上减少农药化肥施用数量，削减污染物产 生的</w:t>
            </w:r>
            <w:r>
              <w:rPr>
                <w:rFonts w:ascii="仿宋_GB2312" w:hAnsi="仿宋_GB2312" w:cs="仿宋_GB2312" w:eastAsia="仿宋_GB2312"/>
                <w:sz w:val="19"/>
                <w:color w:val="000000"/>
              </w:rPr>
              <w:t>“</w:t>
            </w:r>
            <w:r>
              <w:rPr>
                <w:rFonts w:ascii="仿宋_GB2312" w:hAnsi="仿宋_GB2312" w:cs="仿宋_GB2312" w:eastAsia="仿宋_GB2312"/>
                <w:sz w:val="19"/>
                <w:color w:val="000000"/>
              </w:rPr>
              <w:t>源</w:t>
            </w:r>
            <w:r>
              <w:rPr>
                <w:rFonts w:ascii="仿宋_GB2312" w:hAnsi="仿宋_GB2312" w:cs="仿宋_GB2312" w:eastAsia="仿宋_GB2312"/>
                <w:sz w:val="19"/>
                <w:color w:val="000000"/>
              </w:rPr>
              <w:t>”</w:t>
            </w:r>
            <w:r>
              <w:rPr>
                <w:rFonts w:ascii="仿宋_GB2312" w:hAnsi="仿宋_GB2312" w:cs="仿宋_GB2312" w:eastAsia="仿宋_GB2312"/>
                <w:sz w:val="19"/>
                <w:color w:val="000000"/>
              </w:rPr>
              <w:t>。加强对肥料农药质</w:t>
            </w:r>
            <w:r>
              <w:rPr>
                <w:rFonts w:ascii="仿宋_GB2312" w:hAnsi="仿宋_GB2312" w:cs="仿宋_GB2312" w:eastAsia="仿宋_GB2312"/>
                <w:sz w:val="19"/>
                <w:color w:val="000000"/>
              </w:rPr>
              <w:t>量和使用数量监督管理；加强对农膜使用的监督管理。 积极推广病虫害综合防治技术，合理施用农</w:t>
            </w:r>
            <w:r>
              <w:rPr>
                <w:rFonts w:ascii="仿宋_GB2312" w:hAnsi="仿宋_GB2312" w:cs="仿宋_GB2312" w:eastAsia="仿宋_GB2312"/>
                <w:sz w:val="19"/>
                <w:color w:val="000000"/>
              </w:rPr>
              <w:t>药化肥，减少农药化肥的使用数量，使 农药化肥单位面积平均使用量降低。</w:t>
            </w:r>
          </w:p>
          <w:p>
            <w:pPr>
              <w:pStyle w:val="null3"/>
            </w:pPr>
            <w:r>
              <w:rPr>
                <w:rFonts w:ascii="仿宋_GB2312" w:hAnsi="仿宋_GB2312" w:cs="仿宋_GB2312" w:eastAsia="仿宋_GB2312"/>
                <w:sz w:val="19"/>
                <w:b/>
                <w:color w:val="000000"/>
              </w:rPr>
              <w:t>3.</w:t>
            </w:r>
            <w:r>
              <w:rPr>
                <w:rFonts w:ascii="仿宋_GB2312" w:hAnsi="仿宋_GB2312" w:cs="仿宋_GB2312" w:eastAsia="仿宋_GB2312"/>
                <w:sz w:val="19"/>
                <w:color w:val="000000"/>
              </w:rPr>
              <w:t>耕地和永久本农田保护规划</w:t>
            </w:r>
          </w:p>
          <w:p>
            <w:pPr>
              <w:pStyle w:val="null3"/>
            </w:pPr>
            <w:r>
              <w:rPr>
                <w:rFonts w:ascii="仿宋_GB2312" w:hAnsi="仿宋_GB2312" w:cs="仿宋_GB2312" w:eastAsia="仿宋_GB2312"/>
                <w:sz w:val="19"/>
                <w:color w:val="000000"/>
              </w:rPr>
              <w:t xml:space="preserve">村庄规划将细化落实上位规划确定的耕地保有量、永久基本农田保护和永久基本 农田储备区任 </w:t>
            </w:r>
            <w:r>
              <w:rPr>
                <w:rFonts w:ascii="仿宋_GB2312" w:hAnsi="仿宋_GB2312" w:cs="仿宋_GB2312" w:eastAsia="仿宋_GB2312"/>
                <w:sz w:val="19"/>
                <w:color w:val="000000"/>
              </w:rPr>
              <w:t xml:space="preserve">务，明确具体地块、面积。对大比例尺调查发现的永久基本农田问题 图斑内存在非农建设用地或者 </w:t>
            </w:r>
            <w:r>
              <w:rPr>
                <w:rFonts w:ascii="仿宋_GB2312" w:hAnsi="仿宋_GB2312" w:cs="仿宋_GB2312" w:eastAsia="仿宋_GB2312"/>
                <w:sz w:val="19"/>
                <w:color w:val="000000"/>
              </w:rPr>
              <w:t xml:space="preserve">划定不实的用地，在符合国家相关政策的前提下，优 先整理、复垦为耕地，规划期内确实不能整理 </w:t>
            </w:r>
            <w:r>
              <w:rPr>
                <w:rFonts w:ascii="仿宋_GB2312" w:hAnsi="仿宋_GB2312" w:cs="仿宋_GB2312" w:eastAsia="仿宋_GB2312"/>
                <w:sz w:val="19"/>
                <w:color w:val="000000"/>
              </w:rPr>
              <w:t>复垦的，不扩大面积保留现状用途。 各项建设不占用永久基本农田。在落实永久基本农田和安排村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庄建设边界时出现冲突的，村庄建设布局尽量避让永久基本农田；确实难以避让的，应当按照国家</w:t>
            </w:r>
            <w:r>
              <w:rPr>
                <w:rFonts w:ascii="仿宋_GB2312" w:hAnsi="仿宋_GB2312" w:cs="仿宋_GB2312" w:eastAsia="仿宋_GB2312"/>
                <w:sz w:val="19"/>
                <w:color w:val="000000"/>
              </w:rPr>
              <w:t>相关政策的前提下，维持永久基本农田的整体性、连续性、稳定性和确保数量有增加、 质量不降低</w:t>
            </w:r>
          </w:p>
          <w:p>
            <w:pPr>
              <w:pStyle w:val="null3"/>
            </w:pPr>
            <w:r>
              <w:rPr>
                <w:rFonts w:ascii="仿宋_GB2312" w:hAnsi="仿宋_GB2312" w:cs="仿宋_GB2312" w:eastAsia="仿宋_GB2312"/>
                <w:sz w:val="19"/>
                <w:color w:val="000000"/>
              </w:rPr>
              <w:t>、布局更加集中连片的要求，对永久基本农田布局进行局部优化调整。 涉及永久基本农田布局调整</w:t>
            </w:r>
            <w:r>
              <w:rPr>
                <w:rFonts w:ascii="仿宋_GB2312" w:hAnsi="仿宋_GB2312" w:cs="仿宋_GB2312" w:eastAsia="仿宋_GB2312"/>
                <w:sz w:val="19"/>
                <w:color w:val="000000"/>
              </w:rPr>
              <w:t>的，严格按照国家有关规定执行，调整结果依法落实到 村庄规划中。</w:t>
            </w:r>
          </w:p>
          <w:p>
            <w:pPr>
              <w:pStyle w:val="null3"/>
            </w:pPr>
            <w:r>
              <w:rPr>
                <w:rFonts w:ascii="仿宋_GB2312" w:hAnsi="仿宋_GB2312" w:cs="仿宋_GB2312" w:eastAsia="仿宋_GB2312"/>
                <w:sz w:val="19"/>
                <w:color w:val="000000"/>
              </w:rPr>
              <w:t>4.</w:t>
            </w:r>
            <w:r>
              <w:rPr>
                <w:rFonts w:ascii="仿宋_GB2312" w:hAnsi="仿宋_GB2312" w:cs="仿宋_GB2312" w:eastAsia="仿宋_GB2312"/>
                <w:sz w:val="19"/>
                <w:color w:val="000000"/>
              </w:rPr>
              <w:t>村域产业发展规划</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）产业现状分析 梳理村庄一、二、三产发展现状，深入分析村庄气候条件、水文条件、地形地</w:t>
            </w:r>
            <w:r>
              <w:rPr>
                <w:rFonts w:ascii="仿宋_GB2312" w:hAnsi="仿宋_GB2312" w:cs="仿宋_GB2312" w:eastAsia="仿宋_GB2312"/>
                <w:sz w:val="19"/>
                <w:color w:val="000000"/>
              </w:rPr>
              <w:t>势、 土壤肥力等自然条件和农业发展历史、现有特色优势产品等特点，汇总各个村庄的 产业发展问</w:t>
            </w:r>
            <w:r>
              <w:rPr>
                <w:rFonts w:ascii="仿宋_GB2312" w:hAnsi="仿宋_GB2312" w:cs="仿宋_GB2312" w:eastAsia="仿宋_GB2312"/>
                <w:sz w:val="19"/>
                <w:color w:val="000000"/>
              </w:rPr>
              <w:t>题，总结各个村庄产业发展的优势与机遇，为进一步提出产业发展方向 做好基础工作。</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）产业发展引导</w:t>
            </w:r>
          </w:p>
          <w:p>
            <w:pPr>
              <w:pStyle w:val="null3"/>
            </w:pPr>
            <w:r>
              <w:rPr>
                <w:rFonts w:ascii="仿宋_GB2312" w:hAnsi="仿宋_GB2312" w:cs="仿宋_GB2312" w:eastAsia="仿宋_GB2312"/>
                <w:sz w:val="19"/>
                <w:color w:val="000000"/>
              </w:rPr>
              <w:t>依据村庄资源禀赋和区位条件，遵循宜农、生态、绿色、低碳的原则，围绕</w:t>
            </w:r>
            <w:r>
              <w:rPr>
                <w:rFonts w:ascii="仿宋_GB2312" w:hAnsi="仿宋_GB2312" w:cs="仿宋_GB2312" w:eastAsia="仿宋_GB2312"/>
                <w:sz w:val="19"/>
                <w:color w:val="000000"/>
              </w:rPr>
              <w:t>“</w:t>
            </w:r>
            <w:r>
              <w:rPr>
                <w:rFonts w:ascii="仿宋_GB2312" w:hAnsi="仿宋_GB2312" w:cs="仿宋_GB2312" w:eastAsia="仿宋_GB2312"/>
                <w:sz w:val="19"/>
                <w:color w:val="000000"/>
              </w:rPr>
              <w:t>组 织强、产业兴、</w:t>
            </w:r>
            <w:r>
              <w:rPr>
                <w:rFonts w:ascii="仿宋_GB2312" w:hAnsi="仿宋_GB2312" w:cs="仿宋_GB2312" w:eastAsia="仿宋_GB2312"/>
                <w:sz w:val="19"/>
                <w:color w:val="000000"/>
              </w:rPr>
              <w:t>群众富</w:t>
            </w:r>
            <w:r>
              <w:rPr>
                <w:rFonts w:ascii="仿宋_GB2312" w:hAnsi="仿宋_GB2312" w:cs="仿宋_GB2312" w:eastAsia="仿宋_GB2312"/>
                <w:sz w:val="19"/>
                <w:color w:val="000000"/>
              </w:rPr>
              <w:t>”</w:t>
            </w:r>
            <w:r>
              <w:rPr>
                <w:rFonts w:ascii="仿宋_GB2312" w:hAnsi="仿宋_GB2312" w:cs="仿宋_GB2312" w:eastAsia="仿宋_GB2312"/>
                <w:sz w:val="19"/>
                <w:color w:val="000000"/>
              </w:rPr>
              <w:t xml:space="preserve">目标，大力发展优质产业项目，鼓励以乡镇为单元合理确 定村庄产业类型、用地规模。通过 </w:t>
            </w:r>
            <w:r>
              <w:rPr>
                <w:rFonts w:ascii="仿宋_GB2312" w:hAnsi="仿宋_GB2312" w:cs="仿宋_GB2312" w:eastAsia="仿宋_GB2312"/>
                <w:sz w:val="19"/>
                <w:color w:val="000000"/>
              </w:rPr>
              <w:t>“</w:t>
            </w:r>
            <w:r>
              <w:rPr>
                <w:rFonts w:ascii="仿宋_GB2312" w:hAnsi="仿宋_GB2312" w:cs="仿宋_GB2312" w:eastAsia="仿宋_GB2312"/>
                <w:sz w:val="19"/>
                <w:color w:val="000000"/>
              </w:rPr>
              <w:t>单位</w:t>
            </w:r>
            <w:r>
              <w:rPr>
                <w:rFonts w:ascii="仿宋_GB2312" w:hAnsi="仿宋_GB2312" w:cs="仿宋_GB2312" w:eastAsia="仿宋_GB2312"/>
                <w:sz w:val="19"/>
                <w:color w:val="000000"/>
              </w:rPr>
              <w:t>+</w:t>
            </w:r>
            <w:r>
              <w:rPr>
                <w:rFonts w:ascii="仿宋_GB2312" w:hAnsi="仿宋_GB2312" w:cs="仿宋_GB2312" w:eastAsia="仿宋_GB2312"/>
                <w:sz w:val="19"/>
                <w:color w:val="000000"/>
              </w:rPr>
              <w:t>农户</w:t>
            </w:r>
            <w:r>
              <w:rPr>
                <w:rFonts w:ascii="仿宋_GB2312" w:hAnsi="仿宋_GB2312" w:cs="仿宋_GB2312" w:eastAsia="仿宋_GB2312"/>
                <w:sz w:val="19"/>
                <w:color w:val="000000"/>
              </w:rPr>
              <w:t>+</w:t>
            </w:r>
            <w:r>
              <w:rPr>
                <w:rFonts w:ascii="仿宋_GB2312" w:hAnsi="仿宋_GB2312" w:cs="仿宋_GB2312" w:eastAsia="仿宋_GB2312"/>
                <w:sz w:val="19"/>
                <w:color w:val="000000"/>
              </w:rPr>
              <w:t>基地</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专业合作社</w:t>
            </w:r>
            <w:r>
              <w:rPr>
                <w:rFonts w:ascii="仿宋_GB2312" w:hAnsi="仿宋_GB2312" w:cs="仿宋_GB2312" w:eastAsia="仿宋_GB2312"/>
                <w:sz w:val="19"/>
                <w:color w:val="000000"/>
              </w:rPr>
              <w:t>+</w:t>
            </w:r>
            <w:r>
              <w:rPr>
                <w:rFonts w:ascii="仿宋_GB2312" w:hAnsi="仿宋_GB2312" w:cs="仿宋_GB2312" w:eastAsia="仿宋_GB2312"/>
                <w:sz w:val="19"/>
                <w:color w:val="000000"/>
              </w:rPr>
              <w:t>农户</w:t>
            </w:r>
            <w:r>
              <w:rPr>
                <w:rFonts w:ascii="仿宋_GB2312" w:hAnsi="仿宋_GB2312" w:cs="仿宋_GB2312" w:eastAsia="仿宋_GB2312"/>
                <w:sz w:val="19"/>
                <w:color w:val="000000"/>
              </w:rPr>
              <w:t>”</w:t>
            </w:r>
            <w:r>
              <w:rPr>
                <w:rFonts w:ascii="仿宋_GB2312" w:hAnsi="仿宋_GB2312" w:cs="仿宋_GB2312" w:eastAsia="仿宋_GB2312"/>
                <w:sz w:val="19"/>
                <w:color w:val="000000"/>
              </w:rPr>
              <w:t>的形式， 形成规模效应，打造绿色农产品种植基地。通过</w:t>
            </w:r>
            <w:r>
              <w:rPr>
                <w:rFonts w:ascii="仿宋_GB2312" w:hAnsi="仿宋_GB2312" w:cs="仿宋_GB2312" w:eastAsia="仿宋_GB2312"/>
                <w:sz w:val="19"/>
                <w:color w:val="000000"/>
              </w:rPr>
              <w:t>龙头单位、合作社，为农户提供技 术指导和管理支持，创立绿色农产品品牌。加大宣传力度，搭上</w:t>
            </w:r>
            <w:r>
              <w:rPr>
                <w:rFonts w:ascii="仿宋_GB2312" w:hAnsi="仿宋_GB2312" w:cs="仿宋_GB2312" w:eastAsia="仿宋_GB2312"/>
                <w:sz w:val="19"/>
                <w:color w:val="000000"/>
              </w:rPr>
              <w:t>电商</w:t>
            </w:r>
            <w:r>
              <w:rPr>
                <w:rFonts w:ascii="仿宋_GB2312" w:hAnsi="仿宋_GB2312" w:cs="仿宋_GB2312" w:eastAsia="仿宋_GB2312"/>
                <w:sz w:val="19"/>
                <w:color w:val="000000"/>
              </w:rPr>
              <w:t>“</w:t>
            </w:r>
            <w:r>
              <w:rPr>
                <w:rFonts w:ascii="仿宋_GB2312" w:hAnsi="仿宋_GB2312" w:cs="仿宋_GB2312" w:eastAsia="仿宋_GB2312"/>
                <w:sz w:val="19"/>
                <w:color w:val="000000"/>
              </w:rPr>
              <w:t>快车</w:t>
            </w:r>
            <w:r>
              <w:rPr>
                <w:rFonts w:ascii="仿宋_GB2312" w:hAnsi="仿宋_GB2312" w:cs="仿宋_GB2312" w:eastAsia="仿宋_GB2312"/>
                <w:sz w:val="19"/>
                <w:color w:val="000000"/>
              </w:rPr>
              <w:t>”</w:t>
            </w:r>
            <w:r>
              <w:rPr>
                <w:rFonts w:ascii="仿宋_GB2312" w:hAnsi="仿宋_GB2312" w:cs="仿宋_GB2312" w:eastAsia="仿宋_GB2312"/>
                <w:sz w:val="19"/>
                <w:color w:val="000000"/>
              </w:rPr>
              <w:t>，打通 农产品网上销售渠道，实现农产品优质优价。以重要交通线路、交通枢纽等产业</w:t>
            </w:r>
            <w:r>
              <w:rPr>
                <w:rFonts w:ascii="仿宋_GB2312" w:hAnsi="仿宋_GB2312" w:cs="仿宋_GB2312" w:eastAsia="仿宋_GB2312"/>
                <w:sz w:val="19"/>
                <w:color w:val="000000"/>
              </w:rPr>
              <w:t>发展轴线串联各个特色产业发展核心，做大、做长、做强无公害工贸产业链和农旅康 养旅游业。 同</w:t>
            </w:r>
            <w:r>
              <w:rPr>
                <w:rFonts w:ascii="仿宋_GB2312" w:hAnsi="仿宋_GB2312" w:cs="仿宋_GB2312" w:eastAsia="仿宋_GB2312"/>
                <w:sz w:val="19"/>
                <w:color w:val="000000"/>
              </w:rPr>
              <w:t>时，规划注重突出地方特色，结合市场新需求，实现</w:t>
            </w:r>
            <w:r>
              <w:rPr>
                <w:rFonts w:ascii="仿宋_GB2312" w:hAnsi="仿宋_GB2312" w:cs="仿宋_GB2312" w:eastAsia="仿宋_GB2312"/>
                <w:sz w:val="19"/>
                <w:color w:val="000000"/>
              </w:rPr>
              <w:t>“</w:t>
            </w:r>
            <w:r>
              <w:rPr>
                <w:rFonts w:ascii="仿宋_GB2312" w:hAnsi="仿宋_GB2312" w:cs="仿宋_GB2312" w:eastAsia="仿宋_GB2312"/>
                <w:sz w:val="19"/>
                <w:color w:val="000000"/>
              </w:rPr>
              <w:t>农业＋</w:t>
            </w:r>
            <w:r>
              <w:rPr>
                <w:rFonts w:ascii="仿宋_GB2312" w:hAnsi="仿宋_GB2312" w:cs="仿宋_GB2312" w:eastAsia="仿宋_GB2312"/>
                <w:sz w:val="19"/>
                <w:color w:val="000000"/>
              </w:rPr>
              <w:t>”</w:t>
            </w:r>
            <w:r>
              <w:rPr>
                <w:rFonts w:ascii="仿宋_GB2312" w:hAnsi="仿宋_GB2312" w:cs="仿宋_GB2312" w:eastAsia="仿宋_GB2312"/>
                <w:sz w:val="19"/>
                <w:color w:val="000000"/>
              </w:rPr>
              <w:t>多业态融合发 展。深挖田园风光、生</w:t>
            </w:r>
            <w:r>
              <w:rPr>
                <w:rFonts w:ascii="仿宋_GB2312" w:hAnsi="仿宋_GB2312" w:cs="仿宋_GB2312" w:eastAsia="仿宋_GB2312"/>
                <w:sz w:val="19"/>
                <w:color w:val="000000"/>
              </w:rPr>
              <w:t>态文化等资源优势，推进农林牧副渔、加工流通、文化旅游、 健康养老和信息等产业深度融合，引</w:t>
            </w:r>
            <w:r>
              <w:rPr>
                <w:rFonts w:ascii="仿宋_GB2312" w:hAnsi="仿宋_GB2312" w:cs="仿宋_GB2312" w:eastAsia="仿宋_GB2312"/>
                <w:sz w:val="19"/>
                <w:color w:val="000000"/>
              </w:rPr>
              <w:t>导新产业新业态特色化、专业化、规模化经营。</w:t>
            </w:r>
          </w:p>
          <w:p>
            <w:pPr>
              <w:pStyle w:val="null3"/>
            </w:pPr>
            <w:r>
              <w:rPr>
                <w:rFonts w:ascii="仿宋_GB2312" w:hAnsi="仿宋_GB2312" w:cs="仿宋_GB2312" w:eastAsia="仿宋_GB2312"/>
                <w:sz w:val="19"/>
                <w:b/>
                <w:color w:val="000000"/>
              </w:rPr>
              <w:t>5.</w:t>
            </w:r>
            <w:r>
              <w:rPr>
                <w:rFonts w:ascii="仿宋_GB2312" w:hAnsi="仿宋_GB2312" w:cs="仿宋_GB2312" w:eastAsia="仿宋_GB2312"/>
                <w:sz w:val="19"/>
                <w:color w:val="000000"/>
              </w:rPr>
              <w:t>住房布局规划</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）布局原则</w:t>
            </w:r>
          </w:p>
          <w:p>
            <w:pPr>
              <w:pStyle w:val="null3"/>
            </w:pPr>
            <w:r>
              <w:rPr>
                <w:rFonts w:ascii="仿宋_GB2312" w:hAnsi="仿宋_GB2312" w:cs="仿宋_GB2312" w:eastAsia="仿宋_GB2312"/>
                <w:sz w:val="19"/>
                <w:color w:val="000000"/>
              </w:rPr>
              <w:t>严格落实</w:t>
            </w:r>
            <w:r>
              <w:rPr>
                <w:rFonts w:ascii="仿宋_GB2312" w:hAnsi="仿宋_GB2312" w:cs="仿宋_GB2312" w:eastAsia="仿宋_GB2312"/>
                <w:sz w:val="19"/>
                <w:color w:val="000000"/>
              </w:rPr>
              <w:t>“</w:t>
            </w:r>
            <w:r>
              <w:rPr>
                <w:rFonts w:ascii="仿宋_GB2312" w:hAnsi="仿宋_GB2312" w:cs="仿宋_GB2312" w:eastAsia="仿宋_GB2312"/>
                <w:sz w:val="19"/>
                <w:color w:val="000000"/>
              </w:rPr>
              <w:t>一户一宅</w:t>
            </w:r>
            <w:r>
              <w:rPr>
                <w:rFonts w:ascii="仿宋_GB2312" w:hAnsi="仿宋_GB2312" w:cs="仿宋_GB2312" w:eastAsia="仿宋_GB2312"/>
                <w:sz w:val="19"/>
                <w:color w:val="000000"/>
              </w:rPr>
              <w:t>”</w:t>
            </w:r>
            <w:r>
              <w:rPr>
                <w:rFonts w:ascii="仿宋_GB2312" w:hAnsi="仿宋_GB2312" w:cs="仿宋_GB2312" w:eastAsia="仿宋_GB2312"/>
                <w:sz w:val="19"/>
                <w:color w:val="000000"/>
              </w:rPr>
              <w:t>原则，依据村庄户数和人口规模，宅基地面积标准等因 素，合理确定宅基</w:t>
            </w:r>
            <w:r>
              <w:rPr>
                <w:rFonts w:ascii="仿宋_GB2312" w:hAnsi="仿宋_GB2312" w:cs="仿宋_GB2312" w:eastAsia="仿宋_GB2312"/>
                <w:sz w:val="19"/>
                <w:color w:val="000000"/>
              </w:rPr>
              <w:t>地规模，在村庄建设边界内划定宅基地范围。 规划宅基地原则上不得占用耕地，优先利用村内空闲</w:t>
            </w:r>
            <w:r>
              <w:rPr>
                <w:rFonts w:ascii="仿宋_GB2312" w:hAnsi="仿宋_GB2312" w:cs="仿宋_GB2312" w:eastAsia="仿宋_GB2312"/>
                <w:sz w:val="19"/>
                <w:color w:val="000000"/>
              </w:rPr>
              <w:t>地、闲置宅基地和未利用 地。引导集中建设，减少村庄住房建设对自然环境的干扰，不挖山、不填</w:t>
            </w:r>
            <w:r>
              <w:rPr>
                <w:rFonts w:ascii="仿宋_GB2312" w:hAnsi="仿宋_GB2312" w:cs="仿宋_GB2312" w:eastAsia="仿宋_GB2312"/>
                <w:sz w:val="19"/>
                <w:color w:val="000000"/>
              </w:rPr>
              <w:t>湖、不毁林，避开地质灾害隐患区，满足铁路、公路等设施退让要求。</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）空间布局</w:t>
            </w:r>
          </w:p>
          <w:p>
            <w:pPr>
              <w:pStyle w:val="null3"/>
            </w:pPr>
            <w:r>
              <w:rPr>
                <w:rFonts w:ascii="仿宋_GB2312" w:hAnsi="仿宋_GB2312" w:cs="仿宋_GB2312" w:eastAsia="仿宋_GB2312"/>
                <w:sz w:val="19"/>
                <w:color w:val="000000"/>
              </w:rPr>
              <w:t>针对现状村庄内部可改造成宅基地的土地分布空间特征以及其他用地的合理统 筹，综合确定保</w:t>
            </w:r>
            <w:r>
              <w:rPr>
                <w:rFonts w:ascii="仿宋_GB2312" w:hAnsi="仿宋_GB2312" w:cs="仿宋_GB2312" w:eastAsia="仿宋_GB2312"/>
                <w:sz w:val="19"/>
                <w:color w:val="000000"/>
              </w:rPr>
              <w:t>留、新增和腾退等方式对现状用地进行整合，达到土地资源的合理 配置。</w:t>
            </w:r>
          </w:p>
          <w:p>
            <w:pPr>
              <w:pStyle w:val="null3"/>
            </w:pPr>
            <w:r>
              <w:rPr>
                <w:rFonts w:ascii="仿宋_GB2312" w:hAnsi="仿宋_GB2312" w:cs="仿宋_GB2312" w:eastAsia="仿宋_GB2312"/>
                <w:sz w:val="19"/>
                <w:color w:val="000000"/>
              </w:rPr>
              <w:t>3</w:t>
            </w:r>
            <w:r>
              <w:rPr>
                <w:rFonts w:ascii="仿宋_GB2312" w:hAnsi="仿宋_GB2312" w:cs="仿宋_GB2312" w:eastAsia="仿宋_GB2312"/>
                <w:sz w:val="19"/>
                <w:color w:val="000000"/>
              </w:rPr>
              <w:t>）宅基地管控</w:t>
            </w:r>
          </w:p>
          <w:p>
            <w:pPr>
              <w:pStyle w:val="null3"/>
            </w:pPr>
            <w:r>
              <w:rPr>
                <w:rFonts w:ascii="仿宋_GB2312" w:hAnsi="仿宋_GB2312" w:cs="仿宋_GB2312" w:eastAsia="仿宋_GB2312"/>
                <w:sz w:val="19"/>
                <w:color w:val="000000"/>
              </w:rPr>
              <w:t>严格落实</w:t>
            </w:r>
            <w:r>
              <w:rPr>
                <w:rFonts w:ascii="仿宋_GB2312" w:hAnsi="仿宋_GB2312" w:cs="仿宋_GB2312" w:eastAsia="仿宋_GB2312"/>
                <w:sz w:val="19"/>
                <w:color w:val="000000"/>
              </w:rPr>
              <w:t>“</w:t>
            </w:r>
            <w:r>
              <w:rPr>
                <w:rFonts w:ascii="仿宋_GB2312" w:hAnsi="仿宋_GB2312" w:cs="仿宋_GB2312" w:eastAsia="仿宋_GB2312"/>
                <w:sz w:val="19"/>
                <w:color w:val="000000"/>
              </w:rPr>
              <w:t>一户一宅</w:t>
            </w:r>
            <w:r>
              <w:rPr>
                <w:rFonts w:ascii="仿宋_GB2312" w:hAnsi="仿宋_GB2312" w:cs="仿宋_GB2312" w:eastAsia="仿宋_GB2312"/>
                <w:sz w:val="19"/>
                <w:color w:val="000000"/>
              </w:rPr>
              <w:t>”</w:t>
            </w:r>
            <w:r>
              <w:rPr>
                <w:rFonts w:ascii="仿宋_GB2312" w:hAnsi="仿宋_GB2312" w:cs="仿宋_GB2312" w:eastAsia="仿宋_GB2312"/>
                <w:sz w:val="19"/>
                <w:color w:val="000000"/>
              </w:rPr>
              <w:t>规定，面积不得超过省厅的规划标准，严禁城镇居民购买 宅基地。并参考</w:t>
            </w:r>
            <w:r>
              <w:rPr>
                <w:rFonts w:ascii="仿宋_GB2312" w:hAnsi="仿宋_GB2312" w:cs="仿宋_GB2312" w:eastAsia="仿宋_GB2312"/>
                <w:sz w:val="19"/>
                <w:color w:val="000000"/>
              </w:rPr>
              <w:t>国内其他地区经验，对新建宅基地的后退红线等内容提出管控措施。</w:t>
            </w:r>
          </w:p>
          <w:p>
            <w:pPr>
              <w:pStyle w:val="null3"/>
            </w:pPr>
            <w:r>
              <w:rPr>
                <w:rFonts w:ascii="仿宋_GB2312" w:hAnsi="仿宋_GB2312" w:cs="仿宋_GB2312" w:eastAsia="仿宋_GB2312"/>
                <w:sz w:val="19"/>
                <w:b/>
                <w:color w:val="000000"/>
              </w:rPr>
              <w:t>6.</w:t>
            </w:r>
            <w:r>
              <w:rPr>
                <w:rFonts w:ascii="仿宋_GB2312" w:hAnsi="仿宋_GB2312" w:cs="仿宋_GB2312" w:eastAsia="仿宋_GB2312"/>
                <w:sz w:val="19"/>
                <w:color w:val="000000"/>
              </w:rPr>
              <w:t>道路交通规划</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）规划目标</w:t>
            </w:r>
          </w:p>
          <w:p>
            <w:pPr>
              <w:pStyle w:val="null3"/>
            </w:pPr>
            <w:r>
              <w:rPr>
                <w:rFonts w:ascii="仿宋_GB2312" w:hAnsi="仿宋_GB2312" w:cs="仿宋_GB2312" w:eastAsia="仿宋_GB2312"/>
                <w:sz w:val="19"/>
                <w:color w:val="000000"/>
              </w:rPr>
              <w:t>在落实上位规划确定的道路和交通设施建设要求的基础上，以实现村庄道路便 捷畅通化、街道</w:t>
            </w:r>
            <w:r>
              <w:rPr>
                <w:rFonts w:ascii="仿宋_GB2312" w:hAnsi="仿宋_GB2312" w:cs="仿宋_GB2312" w:eastAsia="仿宋_GB2312"/>
                <w:sz w:val="19"/>
                <w:color w:val="000000"/>
              </w:rPr>
              <w:t>场地明亮化为目标，为全域产业发展和生活提供最便捷服务。</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）不同类型道路规划</w:t>
            </w:r>
          </w:p>
          <w:p>
            <w:pPr>
              <w:pStyle w:val="null3"/>
            </w:pPr>
            <w:r>
              <w:rPr>
                <w:rFonts w:ascii="仿宋_GB2312" w:hAnsi="仿宋_GB2312" w:cs="仿宋_GB2312" w:eastAsia="仿宋_GB2312"/>
                <w:sz w:val="19"/>
                <w:color w:val="000000"/>
              </w:rPr>
              <w:t>梳理村域道路体系，加强村庄各居民点之间、与乡（镇）和周边其他村庄之间 的连接。建议新</w:t>
            </w:r>
            <w:r>
              <w:rPr>
                <w:rFonts w:ascii="仿宋_GB2312" w:hAnsi="仿宋_GB2312" w:cs="仿宋_GB2312" w:eastAsia="仿宋_GB2312"/>
                <w:sz w:val="19"/>
                <w:color w:val="000000"/>
              </w:rPr>
              <w:t xml:space="preserve">建的村道红线宽度不超过 </w:t>
            </w:r>
            <w:r>
              <w:rPr>
                <w:rFonts w:ascii="仿宋_GB2312" w:hAnsi="仿宋_GB2312" w:cs="仿宋_GB2312" w:eastAsia="仿宋_GB2312"/>
                <w:sz w:val="19"/>
                <w:color w:val="000000"/>
              </w:rPr>
              <w:t xml:space="preserve">8 </w:t>
            </w:r>
            <w:r>
              <w:rPr>
                <w:rFonts w:ascii="仿宋_GB2312" w:hAnsi="仿宋_GB2312" w:cs="仿宋_GB2312" w:eastAsia="仿宋_GB2312"/>
                <w:sz w:val="19"/>
                <w:color w:val="000000"/>
              </w:rPr>
              <w:t xml:space="preserve">米，宜为 </w:t>
            </w:r>
            <w:r>
              <w:rPr>
                <w:rFonts w:ascii="仿宋_GB2312" w:hAnsi="仿宋_GB2312" w:cs="仿宋_GB2312" w:eastAsia="仿宋_GB2312"/>
                <w:sz w:val="19"/>
                <w:color w:val="000000"/>
              </w:rPr>
              <w:t xml:space="preserve">6-8 </w:t>
            </w:r>
            <w:r>
              <w:rPr>
                <w:rFonts w:ascii="仿宋_GB2312" w:hAnsi="仿宋_GB2312" w:cs="仿宋_GB2312" w:eastAsia="仿宋_GB2312"/>
                <w:sz w:val="19"/>
                <w:color w:val="000000"/>
              </w:rPr>
              <w:t>米。结合村庄建设区现状， 充分利用原有路基、空闲地，</w:t>
            </w:r>
            <w:r>
              <w:rPr>
                <w:rFonts w:ascii="仿宋_GB2312" w:hAnsi="仿宋_GB2312" w:cs="仿宋_GB2312" w:eastAsia="仿宋_GB2312"/>
                <w:sz w:val="19"/>
                <w:color w:val="000000"/>
              </w:rPr>
              <w:t>顺应现有村庄格局，优化村庄内部道路系统。综合考 虑农业生产、畜牧业现代化及高标准农田建设</w:t>
            </w:r>
            <w:r>
              <w:rPr>
                <w:rFonts w:ascii="仿宋_GB2312" w:hAnsi="仿宋_GB2312" w:cs="仿宋_GB2312" w:eastAsia="仿宋_GB2312"/>
                <w:sz w:val="19"/>
                <w:color w:val="000000"/>
              </w:rPr>
              <w:t>需要，结合农机具停放设施布局，保 障农田耕作、农业物资运输等生产活动，规划田间道路系统，</w:t>
            </w:r>
            <w:r>
              <w:rPr>
                <w:rFonts w:ascii="仿宋_GB2312" w:hAnsi="仿宋_GB2312" w:cs="仿宋_GB2312" w:eastAsia="仿宋_GB2312"/>
                <w:sz w:val="19"/>
                <w:color w:val="000000"/>
              </w:rPr>
              <w:t xml:space="preserve">田间道宽度一般为 </w:t>
            </w:r>
            <w:r>
              <w:rPr>
                <w:rFonts w:ascii="仿宋_GB2312" w:hAnsi="仿宋_GB2312" w:cs="仿宋_GB2312" w:eastAsia="仿宋_GB2312"/>
                <w:sz w:val="19"/>
                <w:color w:val="000000"/>
              </w:rPr>
              <w:t xml:space="preserve">4 </w:t>
            </w:r>
            <w:r>
              <w:rPr>
                <w:rFonts w:ascii="仿宋_GB2312" w:hAnsi="仿宋_GB2312" w:cs="仿宋_GB2312" w:eastAsia="仿宋_GB2312"/>
                <w:sz w:val="19"/>
                <w:color w:val="000000"/>
              </w:rPr>
              <w:t>米。</w:t>
            </w:r>
          </w:p>
          <w:p>
            <w:pPr>
              <w:pStyle w:val="null3"/>
            </w:pPr>
            <w:r>
              <w:rPr>
                <w:rFonts w:ascii="仿宋_GB2312" w:hAnsi="仿宋_GB2312" w:cs="仿宋_GB2312" w:eastAsia="仿宋_GB2312"/>
                <w:sz w:val="19"/>
                <w:b/>
                <w:color w:val="000000"/>
              </w:rPr>
              <w:t>7.</w:t>
            </w:r>
            <w:r>
              <w:rPr>
                <w:rFonts w:ascii="仿宋_GB2312" w:hAnsi="仿宋_GB2312" w:cs="仿宋_GB2312" w:eastAsia="仿宋_GB2312"/>
                <w:sz w:val="19"/>
                <w:color w:val="000000"/>
              </w:rPr>
              <w:t>基础设施规划</w:t>
            </w:r>
          </w:p>
          <w:p>
            <w:pPr>
              <w:pStyle w:val="null3"/>
            </w:pPr>
            <w:r>
              <w:rPr>
                <w:rFonts w:ascii="仿宋_GB2312" w:hAnsi="仿宋_GB2312" w:cs="仿宋_GB2312" w:eastAsia="仿宋_GB2312"/>
                <w:sz w:val="19"/>
                <w:color w:val="000000"/>
              </w:rPr>
              <w:t>落实上位规划确定的区域性基础设施，在梳理村庄现状设施的基础上，结合实际 需求，明确供</w:t>
            </w:r>
            <w:r>
              <w:rPr>
                <w:rFonts w:ascii="仿宋_GB2312" w:hAnsi="仿宋_GB2312" w:cs="仿宋_GB2312" w:eastAsia="仿宋_GB2312"/>
                <w:sz w:val="19"/>
                <w:color w:val="000000"/>
              </w:rPr>
              <w:t>水、污水、电力、供气、电信、环卫等设施的位置、规模及线路走向、 敷设方式等建设要求。基础</w:t>
            </w:r>
            <w:r>
              <w:rPr>
                <w:rFonts w:ascii="仿宋_GB2312" w:hAnsi="仿宋_GB2312" w:cs="仿宋_GB2312" w:eastAsia="仿宋_GB2312"/>
                <w:sz w:val="19"/>
                <w:color w:val="000000"/>
              </w:rPr>
              <w:t>设施的设置应以现状问题为导向，结合实际需求，充分 利用现有设施，以安全、经济、方便群众使</w:t>
            </w:r>
            <w:r>
              <w:rPr>
                <w:rFonts w:ascii="仿宋_GB2312" w:hAnsi="仿宋_GB2312" w:cs="仿宋_GB2312" w:eastAsia="仿宋_GB2312"/>
                <w:sz w:val="19"/>
                <w:color w:val="000000"/>
              </w:rPr>
              <w:t>用为原则，集中优先解决完善现状缺少 及配置不达标的项目。集聚提升类村庄和特色保护类村庄基</w:t>
            </w:r>
            <w:r>
              <w:rPr>
                <w:rFonts w:ascii="仿宋_GB2312" w:hAnsi="仿宋_GB2312" w:cs="仿宋_GB2312" w:eastAsia="仿宋_GB2312"/>
                <w:sz w:val="19"/>
                <w:color w:val="000000"/>
              </w:rPr>
              <w:t>础设施建设应适度超前； 城郊融合类村庄应与城市市政公用设施互联共建，逐步实现城乡一体。</w:t>
            </w:r>
          </w:p>
          <w:p>
            <w:pPr>
              <w:pStyle w:val="null3"/>
            </w:pPr>
            <w:r>
              <w:rPr>
                <w:rFonts w:ascii="仿宋_GB2312" w:hAnsi="仿宋_GB2312" w:cs="仿宋_GB2312" w:eastAsia="仿宋_GB2312"/>
                <w:sz w:val="19"/>
                <w:b/>
                <w:color w:val="000000"/>
              </w:rPr>
              <w:t>8.</w:t>
            </w:r>
            <w:r>
              <w:rPr>
                <w:rFonts w:ascii="仿宋_GB2312" w:hAnsi="仿宋_GB2312" w:cs="仿宋_GB2312" w:eastAsia="仿宋_GB2312"/>
                <w:sz w:val="19"/>
                <w:color w:val="000000"/>
              </w:rPr>
              <w:t>公共服务设施规划</w:t>
            </w:r>
          </w:p>
          <w:p>
            <w:pPr>
              <w:pStyle w:val="null3"/>
            </w:pPr>
            <w:r>
              <w:rPr>
                <w:rFonts w:ascii="仿宋_GB2312" w:hAnsi="仿宋_GB2312" w:cs="仿宋_GB2312" w:eastAsia="仿宋_GB2312"/>
                <w:sz w:val="19"/>
                <w:color w:val="000000"/>
              </w:rPr>
              <w:t xml:space="preserve">依据村庄类型、人口规模和实际需求，确定村庄文化教育、医疗卫生、商业服务、 集贸设施、 </w:t>
            </w:r>
            <w:r>
              <w:rPr>
                <w:rFonts w:ascii="仿宋_GB2312" w:hAnsi="仿宋_GB2312" w:cs="仿宋_GB2312" w:eastAsia="仿宋_GB2312"/>
                <w:sz w:val="19"/>
                <w:color w:val="000000"/>
              </w:rPr>
              <w:t xml:space="preserve">养老设施等公共建筑的规模位置及空间组合形式。鼓励以乡镇为单元， 统筹布局村庄公共服务设施 </w:t>
            </w:r>
            <w:r>
              <w:rPr>
                <w:rFonts w:ascii="仿宋_GB2312" w:hAnsi="仿宋_GB2312" w:cs="仿宋_GB2312" w:eastAsia="仿宋_GB2312"/>
                <w:sz w:val="19"/>
                <w:color w:val="000000"/>
              </w:rPr>
              <w:t xml:space="preserve">。除小学、幼儿园、集贸市场外，宜将村委会、图书阅 览室、老年活动室、健身广场、戏台剧场、 </w:t>
            </w:r>
            <w:r>
              <w:rPr>
                <w:rFonts w:ascii="仿宋_GB2312" w:hAnsi="仿宋_GB2312" w:cs="仿宋_GB2312" w:eastAsia="仿宋_GB2312"/>
                <w:sz w:val="19"/>
                <w:color w:val="000000"/>
              </w:rPr>
              <w:t xml:space="preserve">农村小超市等进行集中布置，形成村民 活动中心和公共开放空间。 </w:t>
            </w:r>
            <w:r>
              <w:rPr>
                <w:rFonts w:ascii="仿宋_GB2312" w:hAnsi="仿宋_GB2312" w:cs="仿宋_GB2312" w:eastAsia="仿宋_GB2312"/>
                <w:sz w:val="19"/>
                <w:color w:val="000000"/>
              </w:rPr>
              <w:t xml:space="preserve">32 </w:t>
            </w:r>
            <w:r>
              <w:rPr>
                <w:rFonts w:ascii="仿宋_GB2312" w:hAnsi="仿宋_GB2312" w:cs="仿宋_GB2312" w:eastAsia="仿宋_GB2312"/>
                <w:sz w:val="19"/>
                <w:color w:val="000000"/>
              </w:rPr>
              <w:t xml:space="preserve">个村庄中旅游资源丰富的村庄 </w:t>
            </w:r>
            <w:r>
              <w:rPr>
                <w:rFonts w:ascii="仿宋_GB2312" w:hAnsi="仿宋_GB2312" w:cs="仿宋_GB2312" w:eastAsia="仿宋_GB2312"/>
                <w:sz w:val="19"/>
                <w:color w:val="000000"/>
              </w:rPr>
              <w:t xml:space="preserve">，应增加相关的服务设施。传统村落公共服务 设施的设置应充分结合当地历史环境、建筑风貌和风 </w:t>
            </w:r>
            <w:r>
              <w:rPr>
                <w:rFonts w:ascii="仿宋_GB2312" w:hAnsi="仿宋_GB2312" w:cs="仿宋_GB2312" w:eastAsia="仿宋_GB2312"/>
                <w:sz w:val="19"/>
                <w:color w:val="000000"/>
              </w:rPr>
              <w:t>俗民情。</w:t>
            </w:r>
          </w:p>
          <w:p>
            <w:pPr>
              <w:pStyle w:val="null3"/>
            </w:pPr>
            <w:r>
              <w:rPr>
                <w:rFonts w:ascii="仿宋_GB2312" w:hAnsi="仿宋_GB2312" w:cs="仿宋_GB2312" w:eastAsia="仿宋_GB2312"/>
                <w:sz w:val="19"/>
                <w:b/>
                <w:color w:val="000000"/>
              </w:rPr>
              <w:t>9.</w:t>
            </w:r>
            <w:r>
              <w:rPr>
                <w:rFonts w:ascii="仿宋_GB2312" w:hAnsi="仿宋_GB2312" w:cs="仿宋_GB2312" w:eastAsia="仿宋_GB2312"/>
                <w:sz w:val="19"/>
                <w:color w:val="000000"/>
              </w:rPr>
              <w:t>村庄安全和防灾减灾规划</w:t>
            </w:r>
          </w:p>
          <w:p>
            <w:pPr>
              <w:pStyle w:val="null3"/>
            </w:pPr>
            <w:r>
              <w:rPr>
                <w:rFonts w:ascii="仿宋_GB2312" w:hAnsi="仿宋_GB2312" w:cs="仿宋_GB2312" w:eastAsia="仿宋_GB2312"/>
                <w:sz w:val="19"/>
                <w:color w:val="000000"/>
              </w:rPr>
              <w:t>根据村庄所处地理环境，综合考虑洪涝、干旱、地质灾害、火灾等各类灾害影响， 落实上位规</w:t>
            </w:r>
            <w:r>
              <w:rPr>
                <w:rFonts w:ascii="仿宋_GB2312" w:hAnsi="仿宋_GB2312" w:cs="仿宋_GB2312" w:eastAsia="仿宋_GB2312"/>
                <w:sz w:val="19"/>
                <w:color w:val="000000"/>
              </w:rPr>
              <w:t>划的灾害影响和安全防护范围，确定村庄灾害分区及灾害种类，提出综 合防灾减灾的目标和措施。</w:t>
            </w:r>
            <w:r>
              <w:rPr>
                <w:rFonts w:ascii="仿宋_GB2312" w:hAnsi="仿宋_GB2312" w:cs="仿宋_GB2312" w:eastAsia="仿宋_GB2312"/>
                <w:sz w:val="19"/>
                <w:color w:val="000000"/>
              </w:rPr>
              <w:t>建立健全村庄防灾减灾救灾体制机制，提高防灾减灾知 识公众普及率。</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）消防</w:t>
            </w:r>
          </w:p>
          <w:p>
            <w:pPr>
              <w:pStyle w:val="null3"/>
            </w:pPr>
            <w:r>
              <w:rPr>
                <w:rFonts w:ascii="仿宋_GB2312" w:hAnsi="仿宋_GB2312" w:cs="仿宋_GB2312" w:eastAsia="仿宋_GB2312"/>
                <w:sz w:val="19"/>
                <w:color w:val="000000"/>
              </w:rPr>
              <w:t xml:space="preserve">村庄消防工程系统有消防站、消防给水管网、消火栓等设施。消防工程系统的功 能是日常防范 </w:t>
            </w:r>
            <w:r>
              <w:rPr>
                <w:rFonts w:ascii="仿宋_GB2312" w:hAnsi="仿宋_GB2312" w:cs="仿宋_GB2312" w:eastAsia="仿宋_GB2312"/>
                <w:sz w:val="19"/>
                <w:color w:val="000000"/>
              </w:rPr>
              <w:t xml:space="preserve">火灾，及时发现与扑灭各类火灾，避免或减少火灾的损失。 村庄按相关规范设置消防通道，主要建 </w:t>
            </w:r>
            <w:r>
              <w:rPr>
                <w:rFonts w:ascii="仿宋_GB2312" w:hAnsi="仿宋_GB2312" w:cs="仿宋_GB2312" w:eastAsia="仿宋_GB2312"/>
                <w:sz w:val="19"/>
                <w:color w:val="000000"/>
              </w:rPr>
              <w:t>筑物、公共场所应配置消防设施，成立义务消防队；村庄内不得设置生产、储存危险物品的工厂、</w:t>
            </w:r>
            <w:r>
              <w:rPr>
                <w:rFonts w:ascii="仿宋_GB2312" w:hAnsi="仿宋_GB2312" w:cs="仿宋_GB2312" w:eastAsia="仿宋_GB2312"/>
                <w:sz w:val="19"/>
                <w:color w:val="000000"/>
              </w:rPr>
              <w:t>仓库；无给水管网的村庄，消防给水应充分利用邻近的水渠、堰塘等天然水源，并应设置通向水源</w:t>
            </w:r>
            <w:r>
              <w:rPr>
                <w:rFonts w:ascii="仿宋_GB2312" w:hAnsi="仿宋_GB2312" w:cs="仿宋_GB2312" w:eastAsia="仿宋_GB2312"/>
                <w:sz w:val="19"/>
                <w:color w:val="000000"/>
              </w:rPr>
              <w:t>地的消防车 通道和可靠的取水设施。</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）防洪排涝</w:t>
            </w:r>
          </w:p>
          <w:p>
            <w:pPr>
              <w:pStyle w:val="null3"/>
            </w:pPr>
            <w:r>
              <w:rPr>
                <w:rFonts w:ascii="仿宋_GB2312" w:hAnsi="仿宋_GB2312" w:cs="仿宋_GB2312" w:eastAsia="仿宋_GB2312"/>
                <w:sz w:val="19"/>
                <w:color w:val="000000"/>
              </w:rPr>
              <w:t>村庄防洪工程系统有防洪堤、截洪沟、防洪闸、排涝泵站等设置。防洪工程系统 的功能是采用</w:t>
            </w:r>
            <w:r>
              <w:rPr>
                <w:rFonts w:ascii="仿宋_GB2312" w:hAnsi="仿宋_GB2312" w:cs="仿宋_GB2312" w:eastAsia="仿宋_GB2312"/>
                <w:sz w:val="19"/>
                <w:color w:val="000000"/>
              </w:rPr>
              <w:t>避、拦、堵、截、导等各种方法，排除涝灾，保护村庄安全。 村庄建设应满足上位规划确定的防洪</w:t>
            </w:r>
            <w:r>
              <w:rPr>
                <w:rFonts w:ascii="仿宋_GB2312" w:hAnsi="仿宋_GB2312" w:cs="仿宋_GB2312" w:eastAsia="仿宋_GB2312"/>
                <w:sz w:val="19"/>
                <w:color w:val="000000"/>
              </w:rPr>
              <w:t>标准要求，避开行洪河道、洪水淹没区、海 潮灾害易发区。山洪防治应充分利用山前水塘、洼地滞</w:t>
            </w:r>
            <w:r>
              <w:rPr>
                <w:rFonts w:ascii="仿宋_GB2312" w:hAnsi="仿宋_GB2312" w:cs="仿宋_GB2312" w:eastAsia="仿宋_GB2312"/>
                <w:sz w:val="19"/>
                <w:color w:val="000000"/>
              </w:rPr>
              <w:t>蓄洪水。在山体周围布局的 村庄应布置截洪沟或截流沟。</w:t>
            </w:r>
          </w:p>
          <w:p>
            <w:pPr>
              <w:pStyle w:val="null3"/>
            </w:pPr>
            <w:r>
              <w:rPr>
                <w:rFonts w:ascii="仿宋_GB2312" w:hAnsi="仿宋_GB2312" w:cs="仿宋_GB2312" w:eastAsia="仿宋_GB2312"/>
                <w:sz w:val="19"/>
                <w:color w:val="000000"/>
              </w:rPr>
              <w:t>3</w:t>
            </w:r>
            <w:r>
              <w:rPr>
                <w:rFonts w:ascii="仿宋_GB2312" w:hAnsi="仿宋_GB2312" w:cs="仿宋_GB2312" w:eastAsia="仿宋_GB2312"/>
                <w:sz w:val="19"/>
                <w:color w:val="000000"/>
              </w:rPr>
              <w:t>）地质灾害防治</w:t>
            </w:r>
          </w:p>
          <w:p>
            <w:pPr>
              <w:pStyle w:val="null3"/>
            </w:pPr>
            <w:r>
              <w:rPr>
                <w:rFonts w:ascii="仿宋_GB2312" w:hAnsi="仿宋_GB2312" w:cs="仿宋_GB2312" w:eastAsia="仿宋_GB2312"/>
                <w:sz w:val="19"/>
                <w:color w:val="000000"/>
              </w:rPr>
              <w:t>地处滑坡、塌陷地质灾害易发区的村庄，近期不能搬迁的，其村庄建设应避开可 能发生各类地</w:t>
            </w:r>
            <w:r>
              <w:rPr>
                <w:rFonts w:ascii="仿宋_GB2312" w:hAnsi="仿宋_GB2312" w:cs="仿宋_GB2312" w:eastAsia="仿宋_GB2312"/>
                <w:sz w:val="19"/>
                <w:color w:val="000000"/>
              </w:rPr>
              <w:t>质灾害的地段，并提出地质灾害预防和治理措施。</w:t>
            </w:r>
          </w:p>
          <w:p>
            <w:pPr>
              <w:pStyle w:val="null3"/>
            </w:pPr>
            <w:r>
              <w:rPr>
                <w:rFonts w:ascii="仿宋_GB2312" w:hAnsi="仿宋_GB2312" w:cs="仿宋_GB2312" w:eastAsia="仿宋_GB2312"/>
                <w:sz w:val="19"/>
                <w:color w:val="000000"/>
              </w:rPr>
              <w:t>4</w:t>
            </w:r>
            <w:r>
              <w:rPr>
                <w:rFonts w:ascii="仿宋_GB2312" w:hAnsi="仿宋_GB2312" w:cs="仿宋_GB2312" w:eastAsia="仿宋_GB2312"/>
                <w:sz w:val="19"/>
                <w:color w:val="000000"/>
              </w:rPr>
              <w:t>）地震灾害防治</w:t>
            </w:r>
          </w:p>
          <w:p>
            <w:pPr>
              <w:pStyle w:val="null3"/>
            </w:pPr>
            <w:r>
              <w:rPr>
                <w:rFonts w:ascii="仿宋_GB2312" w:hAnsi="仿宋_GB2312" w:cs="仿宋_GB2312" w:eastAsia="仿宋_GB2312"/>
                <w:sz w:val="19"/>
                <w:color w:val="000000"/>
              </w:rPr>
              <w:t xml:space="preserve">依照《建筑工程抗震设防分类标准 </w:t>
            </w:r>
            <w:r>
              <w:rPr>
                <w:rFonts w:ascii="仿宋_GB2312" w:hAnsi="仿宋_GB2312" w:cs="仿宋_GB2312" w:eastAsia="仿宋_GB2312"/>
                <w:sz w:val="19"/>
                <w:color w:val="000000"/>
              </w:rPr>
              <w:t>GB50233-2008</w:t>
            </w:r>
            <w:r>
              <w:rPr>
                <w:rFonts w:ascii="仿宋_GB2312" w:hAnsi="仿宋_GB2312" w:cs="仿宋_GB2312" w:eastAsia="仿宋_GB2312"/>
                <w:sz w:val="19"/>
                <w:color w:val="000000"/>
              </w:rPr>
              <w:t>》，确定宜君县村庄的抗震设防 标准。加强</w:t>
            </w:r>
            <w:r>
              <w:rPr>
                <w:rFonts w:ascii="仿宋_GB2312" w:hAnsi="仿宋_GB2312" w:cs="仿宋_GB2312" w:eastAsia="仿宋_GB2312"/>
                <w:sz w:val="19"/>
                <w:color w:val="000000"/>
              </w:rPr>
              <w:t>对村内古民居的整修，村庄新建、改建筑物均应符合地震设防标准的安 全规定，具体建设时各类建</w:t>
            </w:r>
            <w:r>
              <w:rPr>
                <w:rFonts w:ascii="仿宋_GB2312" w:hAnsi="仿宋_GB2312" w:cs="仿宋_GB2312" w:eastAsia="仿宋_GB2312"/>
                <w:sz w:val="19"/>
                <w:color w:val="000000"/>
              </w:rPr>
              <w:t>筑应选技术上、经济上合理的抗震结构方案进行施工。</w:t>
            </w:r>
          </w:p>
          <w:p>
            <w:pPr>
              <w:pStyle w:val="null3"/>
            </w:pPr>
            <w:r>
              <w:rPr>
                <w:rFonts w:ascii="仿宋_GB2312" w:hAnsi="仿宋_GB2312" w:cs="仿宋_GB2312" w:eastAsia="仿宋_GB2312"/>
                <w:sz w:val="19"/>
                <w:b/>
                <w:color w:val="000000"/>
              </w:rPr>
              <w:t>10.</w:t>
            </w:r>
            <w:r>
              <w:rPr>
                <w:rFonts w:ascii="仿宋_GB2312" w:hAnsi="仿宋_GB2312" w:cs="仿宋_GB2312" w:eastAsia="仿宋_GB2312"/>
                <w:sz w:val="19"/>
                <w:color w:val="000000"/>
              </w:rPr>
              <w:t>历史文化及特色风貌保护规划</w:t>
            </w:r>
          </w:p>
          <w:p>
            <w:pPr>
              <w:pStyle w:val="null3"/>
            </w:pPr>
            <w:r>
              <w:rPr>
                <w:rFonts w:ascii="仿宋_GB2312" w:hAnsi="仿宋_GB2312" w:cs="仿宋_GB2312" w:eastAsia="仿宋_GB2312"/>
                <w:sz w:val="19"/>
                <w:color w:val="000000"/>
              </w:rPr>
              <w:t>研究村庄地形地貌、历史沿革、建筑特色、风俗人情、非物质文化遗产等历史文 化价值，确定</w:t>
            </w:r>
            <w:r>
              <w:rPr>
                <w:rFonts w:ascii="仿宋_GB2312" w:hAnsi="仿宋_GB2312" w:cs="仿宋_GB2312" w:eastAsia="仿宋_GB2312"/>
                <w:sz w:val="19"/>
                <w:color w:val="000000"/>
              </w:rPr>
              <w:t>村庄自然山水环境、传统格局、传统建筑、历史环境要素、非物质文 化遗产和传统器物，划定保护</w:t>
            </w:r>
            <w:r>
              <w:rPr>
                <w:rFonts w:ascii="仿宋_GB2312" w:hAnsi="仿宋_GB2312" w:cs="仿宋_GB2312" w:eastAsia="仿宋_GB2312"/>
                <w:sz w:val="19"/>
                <w:color w:val="000000"/>
              </w:rPr>
              <w:t>范围，提出历史文化景观整体保护措施。</w:t>
            </w:r>
          </w:p>
          <w:p>
            <w:pPr>
              <w:pStyle w:val="null3"/>
            </w:pPr>
            <w:r>
              <w:rPr>
                <w:rFonts w:ascii="仿宋_GB2312" w:hAnsi="仿宋_GB2312" w:cs="仿宋_GB2312" w:eastAsia="仿宋_GB2312"/>
                <w:sz w:val="19"/>
                <w:b/>
                <w:color w:val="000000"/>
              </w:rPr>
              <w:t>11.</w:t>
            </w:r>
            <w:r>
              <w:rPr>
                <w:rFonts w:ascii="仿宋_GB2312" w:hAnsi="仿宋_GB2312" w:cs="仿宋_GB2312" w:eastAsia="仿宋_GB2312"/>
                <w:sz w:val="19"/>
                <w:color w:val="000000"/>
              </w:rPr>
              <w:t>近期建设计划</w:t>
            </w:r>
          </w:p>
          <w:p>
            <w:pPr>
              <w:pStyle w:val="null3"/>
            </w:pPr>
            <w:r>
              <w:rPr>
                <w:rFonts w:ascii="仿宋_GB2312" w:hAnsi="仿宋_GB2312" w:cs="仿宋_GB2312" w:eastAsia="仿宋_GB2312"/>
                <w:sz w:val="19"/>
                <w:color w:val="000000"/>
              </w:rPr>
              <w:t>围绕总体定位和目标，结合经济社会发展规划，综合考虑现有基础、宏观调控政 策和城乡发展</w:t>
            </w:r>
            <w:r>
              <w:rPr>
                <w:rFonts w:ascii="仿宋_GB2312" w:hAnsi="仿宋_GB2312" w:cs="仿宋_GB2312" w:eastAsia="仿宋_GB2312"/>
                <w:sz w:val="19"/>
                <w:color w:val="000000"/>
              </w:rPr>
              <w:t>需求态势，对近期国土空间开发保护做出统筹安排，提出近期实施目 标和重点任务，建立近期项目</w:t>
            </w:r>
          </w:p>
          <w:p>
            <w:pPr>
              <w:pStyle w:val="null3"/>
            </w:pPr>
            <w:r>
              <w:rPr>
                <w:rFonts w:ascii="仿宋_GB2312" w:hAnsi="仿宋_GB2312" w:cs="仿宋_GB2312" w:eastAsia="仿宋_GB2312"/>
                <w:sz w:val="19"/>
                <w:color w:val="000000"/>
              </w:rPr>
              <w:t>库，明确近期约束性指标、管控边界和管控要求。</w:t>
            </w:r>
          </w:p>
          <w:p>
            <w:pPr>
              <w:pStyle w:val="null3"/>
            </w:pPr>
            <w:r>
              <w:rPr>
                <w:rFonts w:ascii="仿宋_GB2312" w:hAnsi="仿宋_GB2312" w:cs="仿宋_GB2312" w:eastAsia="仿宋_GB2312"/>
                <w:sz w:val="19"/>
                <w:color w:val="000000"/>
              </w:rPr>
              <w:t xml:space="preserve">1. </w:t>
            </w:r>
            <w:r>
              <w:rPr>
                <w:rFonts w:ascii="仿宋_GB2312" w:hAnsi="仿宋_GB2312" w:cs="仿宋_GB2312" w:eastAsia="仿宋_GB2312"/>
                <w:sz w:val="19"/>
                <w:color w:val="000000"/>
              </w:rPr>
              <w:t>村庄建设时序</w:t>
            </w:r>
          </w:p>
          <w:p>
            <w:pPr>
              <w:pStyle w:val="null3"/>
            </w:pPr>
            <w:r>
              <w:rPr>
                <w:rFonts w:ascii="仿宋_GB2312" w:hAnsi="仿宋_GB2312" w:cs="仿宋_GB2312" w:eastAsia="仿宋_GB2312"/>
                <w:sz w:val="19"/>
                <w:color w:val="000000"/>
              </w:rPr>
              <w:t>将开发建设时序划分为：启动期（</w:t>
            </w:r>
            <w:r>
              <w:rPr>
                <w:rFonts w:ascii="仿宋_GB2312" w:hAnsi="仿宋_GB2312" w:cs="仿宋_GB2312" w:eastAsia="仿宋_GB2312"/>
                <w:sz w:val="19"/>
                <w:color w:val="000000"/>
              </w:rPr>
              <w:t>2024</w:t>
            </w:r>
            <w:r>
              <w:rPr>
                <w:rFonts w:ascii="仿宋_GB2312" w:hAnsi="仿宋_GB2312" w:cs="仿宋_GB2312" w:eastAsia="仿宋_GB2312"/>
                <w:sz w:val="19"/>
                <w:color w:val="000000"/>
              </w:rPr>
              <w:t>年）、近期（</w:t>
            </w:r>
            <w:r>
              <w:rPr>
                <w:rFonts w:ascii="仿宋_GB2312" w:hAnsi="仿宋_GB2312" w:cs="仿宋_GB2312" w:eastAsia="仿宋_GB2312"/>
                <w:sz w:val="19"/>
                <w:color w:val="000000"/>
              </w:rPr>
              <w:t>2024-2026</w:t>
            </w:r>
            <w:r>
              <w:rPr>
                <w:rFonts w:ascii="仿宋_GB2312" w:hAnsi="仿宋_GB2312" w:cs="仿宋_GB2312" w:eastAsia="仿宋_GB2312"/>
                <w:sz w:val="19"/>
                <w:color w:val="000000"/>
              </w:rPr>
              <w:t>年内）以及远期 （</w:t>
            </w:r>
            <w:r>
              <w:rPr>
                <w:rFonts w:ascii="仿宋_GB2312" w:hAnsi="仿宋_GB2312" w:cs="仿宋_GB2312" w:eastAsia="仿宋_GB2312"/>
                <w:sz w:val="19"/>
                <w:color w:val="000000"/>
              </w:rPr>
              <w:t>2027-203</w:t>
            </w:r>
            <w:r>
              <w:rPr>
                <w:rFonts w:ascii="仿宋_GB2312" w:hAnsi="仿宋_GB2312" w:cs="仿宋_GB2312" w:eastAsia="仿宋_GB2312"/>
                <w:sz w:val="19"/>
                <w:color w:val="000000"/>
              </w:rPr>
              <w:t xml:space="preserve">5 </w:t>
            </w:r>
            <w:r>
              <w:rPr>
                <w:rFonts w:ascii="仿宋_GB2312" w:hAnsi="仿宋_GB2312" w:cs="仿宋_GB2312" w:eastAsia="仿宋_GB2312"/>
                <w:sz w:val="19"/>
                <w:color w:val="000000"/>
              </w:rPr>
              <w:t>年内）三个阶段。</w:t>
            </w:r>
          </w:p>
          <w:p>
            <w:pPr>
              <w:pStyle w:val="null3"/>
            </w:pPr>
            <w:r>
              <w:rPr>
                <w:rFonts w:ascii="仿宋_GB2312" w:hAnsi="仿宋_GB2312" w:cs="仿宋_GB2312" w:eastAsia="仿宋_GB2312"/>
                <w:sz w:val="19"/>
                <w:color w:val="000000"/>
              </w:rPr>
              <w:t xml:space="preserve">2. </w:t>
            </w:r>
            <w:r>
              <w:rPr>
                <w:rFonts w:ascii="仿宋_GB2312" w:hAnsi="仿宋_GB2312" w:cs="仿宋_GB2312" w:eastAsia="仿宋_GB2312"/>
                <w:sz w:val="19"/>
                <w:color w:val="000000"/>
              </w:rPr>
              <w:t>近期建设目标</w:t>
            </w:r>
          </w:p>
          <w:p>
            <w:pPr>
              <w:pStyle w:val="null3"/>
            </w:pPr>
            <w:r>
              <w:rPr>
                <w:rFonts w:ascii="仿宋_GB2312" w:hAnsi="仿宋_GB2312" w:cs="仿宋_GB2312" w:eastAsia="仿宋_GB2312"/>
                <w:sz w:val="19"/>
                <w:color w:val="000000"/>
              </w:rPr>
              <w:t>近期，根据规划完成各村的建设土地整理工作，将各村的人均建设用地指标控制 在正常范围之内，</w:t>
            </w:r>
            <w:r>
              <w:rPr>
                <w:rFonts w:ascii="仿宋_GB2312" w:hAnsi="仿宋_GB2312" w:cs="仿宋_GB2312" w:eastAsia="仿宋_GB2312"/>
                <w:sz w:val="19"/>
                <w:color w:val="000000"/>
              </w:rPr>
              <w:t>完善各村的各项基础设施与公共服务设施配套。</w:t>
            </w:r>
          </w:p>
          <w:p>
            <w:pPr>
              <w:pStyle w:val="null3"/>
            </w:pPr>
            <w:r>
              <w:rPr>
                <w:rFonts w:ascii="仿宋_GB2312" w:hAnsi="仿宋_GB2312" w:cs="仿宋_GB2312" w:eastAsia="仿宋_GB2312"/>
                <w:sz w:val="19"/>
                <w:color w:val="000000"/>
              </w:rPr>
              <w:t xml:space="preserve">3. </w:t>
            </w:r>
            <w:r>
              <w:rPr>
                <w:rFonts w:ascii="仿宋_GB2312" w:hAnsi="仿宋_GB2312" w:cs="仿宋_GB2312" w:eastAsia="仿宋_GB2312"/>
                <w:sz w:val="19"/>
                <w:color w:val="000000"/>
              </w:rPr>
              <w:t>近期建设项目库</w:t>
            </w:r>
          </w:p>
          <w:p>
            <w:pPr>
              <w:pStyle w:val="null3"/>
            </w:pPr>
            <w:r>
              <w:rPr>
                <w:rFonts w:ascii="仿宋_GB2312" w:hAnsi="仿宋_GB2312" w:cs="仿宋_GB2312" w:eastAsia="仿宋_GB2312"/>
                <w:sz w:val="19"/>
                <w:color w:val="000000"/>
              </w:rPr>
              <w:t>主要包括生态修复整治、农用地整治、拆旧复垦、补充耕地和提质改造、历史文 化保护、产业发展</w:t>
            </w:r>
            <w:r>
              <w:rPr>
                <w:rFonts w:ascii="仿宋_GB2312" w:hAnsi="仿宋_GB2312" w:cs="仿宋_GB2312" w:eastAsia="仿宋_GB2312"/>
                <w:sz w:val="19"/>
                <w:color w:val="000000"/>
              </w:rPr>
              <w:t>、基础设施建设、公共服务设施建设、人居环境整治及其他类型 安排近期实施项目，明确实施设时</w:t>
            </w:r>
            <w:r>
              <w:rPr>
                <w:rFonts w:ascii="仿宋_GB2312" w:hAnsi="仿宋_GB2312" w:cs="仿宋_GB2312" w:eastAsia="仿宋_GB2312"/>
                <w:sz w:val="19"/>
                <w:color w:val="000000"/>
              </w:rPr>
              <w:t>序。 根据规划确定的目标任务，综合考虑人力、财力和居民的迫切需求，研究提出近 期急需推进的</w:t>
            </w:r>
            <w:r>
              <w:rPr>
                <w:rFonts w:ascii="仿宋_GB2312" w:hAnsi="仿宋_GB2312" w:cs="仿宋_GB2312" w:eastAsia="仿宋_GB2312"/>
                <w:sz w:val="19"/>
                <w:color w:val="000000"/>
              </w:rPr>
              <w:t>生态保护修复和综合整治、耕地和永久基本农田保护、产业发展、住房布局、道路交通建设、基础设</w:t>
            </w:r>
            <w:r>
              <w:rPr>
                <w:rFonts w:ascii="仿宋_GB2312" w:hAnsi="仿宋_GB2312" w:cs="仿宋_GB2312" w:eastAsia="仿宋_GB2312"/>
                <w:sz w:val="19"/>
                <w:color w:val="000000"/>
              </w:rPr>
              <w:t>施和公共服务配套、历史文化及特色风貌保护等项目，合理安排实施时序，制定近期建设项目表。有</w:t>
            </w:r>
            <w:r>
              <w:rPr>
                <w:rFonts w:ascii="仿宋_GB2312" w:hAnsi="仿宋_GB2312" w:cs="仿宋_GB2312" w:eastAsia="仿宋_GB2312"/>
                <w:sz w:val="19"/>
                <w:color w:val="000000"/>
              </w:rPr>
              <w:t>条件的村庄可以制定近期建设项 目书，明确近期建设项目的建设规模、实施时间、资金规模和筹措</w:t>
            </w:r>
          </w:p>
          <w:p>
            <w:pPr>
              <w:pStyle w:val="null3"/>
            </w:pPr>
            <w:r>
              <w:rPr>
                <w:rFonts w:ascii="仿宋_GB2312" w:hAnsi="仿宋_GB2312" w:cs="仿宋_GB2312" w:eastAsia="仿宋_GB2312"/>
                <w:sz w:val="19"/>
                <w:color w:val="000000"/>
              </w:rPr>
              <w:t>方式、建设主体和方式等。</w:t>
            </w:r>
          </w:p>
          <w:p>
            <w:pPr>
              <w:pStyle w:val="null3"/>
            </w:pPr>
            <w:r>
              <w:rPr>
                <w:rFonts w:ascii="仿宋_GB2312" w:hAnsi="仿宋_GB2312" w:cs="仿宋_GB2312" w:eastAsia="仿宋_GB2312"/>
                <w:sz w:val="19"/>
                <w:color w:val="000000"/>
              </w:rPr>
              <w:t>注明：：具体编制内容和深度参考《《陕西省实用性村庄规划编制技术要点》》。</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五里镇、 尧生镇村庄规划编</w:t>
            </w:r>
          </w:p>
        </w:tc>
        <w:tc>
          <w:tcPr>
            <w:tcW w:type="dxa" w:w="2076"/>
          </w:tcPr>
          <w:p>
            <w:pPr>
              <w:pStyle w:val="null3"/>
            </w:pPr>
            <w:r>
              <w:rPr>
                <w:rFonts w:ascii="仿宋_GB2312" w:hAnsi="仿宋_GB2312" w:cs="仿宋_GB2312" w:eastAsia="仿宋_GB2312"/>
                <w:sz w:val="19"/>
                <w:color w:val="000000"/>
              </w:rPr>
              <w:t>成果要求</w:t>
            </w:r>
          </w:p>
          <w:p>
            <w:pPr>
              <w:pStyle w:val="null3"/>
            </w:pPr>
            <w:r>
              <w:rPr>
                <w:rFonts w:ascii="仿宋_GB2312" w:hAnsi="仿宋_GB2312" w:cs="仿宋_GB2312" w:eastAsia="仿宋_GB2312"/>
                <w:sz w:val="19"/>
                <w:color w:val="000000"/>
              </w:rPr>
              <w:t xml:space="preserve">成果内容须符合国家、省、市相关法律、标准、规程与技术标准的相关规定。 </w:t>
            </w:r>
            <w:r>
              <w:rPr>
                <w:rFonts w:ascii="仿宋_GB2312" w:hAnsi="仿宋_GB2312" w:cs="仿宋_GB2312" w:eastAsia="仿宋_GB2312"/>
                <w:sz w:val="19"/>
                <w:color w:val="000000"/>
              </w:rPr>
              <w:t xml:space="preserve">规划最终成果包括规划文本、规划图件、规划说明以及规划数据库等；形式分为纸质成果、电子 </w:t>
            </w:r>
            <w:r>
              <w:rPr>
                <w:rFonts w:ascii="仿宋_GB2312" w:hAnsi="仿宋_GB2312" w:cs="仿宋_GB2312" w:eastAsia="仿宋_GB2312"/>
                <w:sz w:val="19"/>
                <w:color w:val="000000"/>
              </w:rPr>
              <w:t>成果和数据库。</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成果形式</w:t>
            </w:r>
          </w:p>
          <w:p>
            <w:pPr>
              <w:pStyle w:val="null3"/>
            </w:pPr>
            <w:r>
              <w:rPr>
                <w:rFonts w:ascii="仿宋_GB2312" w:hAnsi="仿宋_GB2312" w:cs="仿宋_GB2312" w:eastAsia="仿宋_GB2312"/>
                <w:sz w:val="19"/>
                <w:color w:val="000000"/>
              </w:rPr>
              <w:t xml:space="preserve">1. </w:t>
            </w:r>
            <w:r>
              <w:rPr>
                <w:rFonts w:ascii="仿宋_GB2312" w:hAnsi="仿宋_GB2312" w:cs="仿宋_GB2312" w:eastAsia="仿宋_GB2312"/>
                <w:sz w:val="19"/>
                <w:color w:val="000000"/>
              </w:rPr>
              <w:t>纸质成果文件，符合国家、省、市相关法律、标准、规程与技术标准的相关要求；</w:t>
            </w:r>
          </w:p>
          <w:p>
            <w:pPr>
              <w:pStyle w:val="null3"/>
            </w:pPr>
            <w:r>
              <w:rPr>
                <w:rFonts w:ascii="仿宋_GB2312" w:hAnsi="仿宋_GB2312" w:cs="仿宋_GB2312" w:eastAsia="仿宋_GB2312"/>
                <w:sz w:val="19"/>
                <w:color w:val="000000"/>
              </w:rPr>
              <w:t xml:space="preserve">2. </w:t>
            </w:r>
            <w:r>
              <w:rPr>
                <w:rFonts w:ascii="仿宋_GB2312" w:hAnsi="仿宋_GB2312" w:cs="仿宋_GB2312" w:eastAsia="仿宋_GB2312"/>
                <w:sz w:val="19"/>
                <w:color w:val="000000"/>
              </w:rPr>
              <w:t>电子文件应符合交互使用要求；</w:t>
            </w:r>
          </w:p>
          <w:p>
            <w:pPr>
              <w:pStyle w:val="null3"/>
            </w:pPr>
            <w:r>
              <w:rPr>
                <w:rFonts w:ascii="仿宋_GB2312" w:hAnsi="仿宋_GB2312" w:cs="仿宋_GB2312" w:eastAsia="仿宋_GB2312"/>
                <w:sz w:val="19"/>
                <w:color w:val="000000"/>
              </w:rPr>
              <w:t xml:space="preserve">3. </w:t>
            </w:r>
            <w:r>
              <w:rPr>
                <w:rFonts w:ascii="仿宋_GB2312" w:hAnsi="仿宋_GB2312" w:cs="仿宋_GB2312" w:eastAsia="仿宋_GB2312"/>
                <w:sz w:val="19"/>
                <w:color w:val="000000"/>
              </w:rPr>
              <w:t>数据库参考《乡镇级国土空间数据库规范》、《陕西省实用性村庄规划编制技术要点》等</w:t>
            </w:r>
            <w:r>
              <w:rPr>
                <w:rFonts w:ascii="仿宋_GB2312" w:hAnsi="仿宋_GB2312" w:cs="仿宋_GB2312" w:eastAsia="仿宋_GB2312"/>
                <w:sz w:val="19"/>
                <w:color w:val="000000"/>
              </w:rPr>
              <w:t>相关要求，及后续国家、陕西省等下发的实用性村庄规划数据库规范。</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b/>
                <w:color w:val="000000"/>
              </w:rPr>
              <w:t>1</w:t>
            </w:r>
            <w:r>
              <w:rPr>
                <w:rFonts w:ascii="仿宋_GB2312" w:hAnsi="仿宋_GB2312" w:cs="仿宋_GB2312" w:eastAsia="仿宋_GB2312"/>
                <w:sz w:val="19"/>
                <w:color w:val="000000"/>
              </w:rPr>
              <w:t>））纸质成果</w:t>
            </w:r>
          </w:p>
          <w:p>
            <w:pPr>
              <w:pStyle w:val="null3"/>
            </w:pPr>
            <w:r>
              <w:rPr>
                <w:rFonts w:ascii="仿宋_GB2312" w:hAnsi="仿宋_GB2312" w:cs="仿宋_GB2312" w:eastAsia="仿宋_GB2312"/>
                <w:sz w:val="19"/>
                <w:color w:val="000000"/>
              </w:rPr>
              <w:t>文字部分包括国土空间总体规划文本、规划说明、专题研究报告，采用</w:t>
            </w:r>
            <w:r>
              <w:rPr>
                <w:rFonts w:ascii="仿宋_GB2312" w:hAnsi="仿宋_GB2312" w:cs="仿宋_GB2312" w:eastAsia="仿宋_GB2312"/>
                <w:sz w:val="19"/>
                <w:color w:val="000000"/>
              </w:rPr>
              <w:t>A3</w:t>
            </w:r>
            <w:r>
              <w:rPr>
                <w:rFonts w:ascii="仿宋_GB2312" w:hAnsi="仿宋_GB2312" w:cs="仿宋_GB2312" w:eastAsia="仿宋_GB2312"/>
                <w:sz w:val="19"/>
                <w:color w:val="000000"/>
              </w:rPr>
              <w:t>或</w:t>
            </w:r>
            <w:r>
              <w:rPr>
                <w:rFonts w:ascii="仿宋_GB2312" w:hAnsi="仿宋_GB2312" w:cs="仿宋_GB2312" w:eastAsia="仿宋_GB2312"/>
                <w:sz w:val="19"/>
                <w:color w:val="000000"/>
              </w:rPr>
              <w:t>A4</w:t>
            </w:r>
            <w:r>
              <w:rPr>
                <w:rFonts w:ascii="仿宋_GB2312" w:hAnsi="仿宋_GB2312" w:cs="仿宋_GB2312" w:eastAsia="仿宋_GB2312"/>
                <w:sz w:val="19"/>
                <w:color w:val="000000"/>
              </w:rPr>
              <w:t>规格，共</w:t>
            </w:r>
            <w:r>
              <w:rPr>
                <w:rFonts w:ascii="仿宋_GB2312" w:hAnsi="仿宋_GB2312" w:cs="仿宋_GB2312" w:eastAsia="仿宋_GB2312"/>
                <w:sz w:val="19"/>
                <w:color w:val="000000"/>
              </w:rPr>
              <w:t>3</w:t>
            </w:r>
            <w:r>
              <w:rPr>
                <w:rFonts w:ascii="仿宋_GB2312" w:hAnsi="仿宋_GB2312" w:cs="仿宋_GB2312" w:eastAsia="仿宋_GB2312"/>
                <w:sz w:val="19"/>
                <w:color w:val="000000"/>
              </w:rPr>
              <w:t>套</w:t>
            </w:r>
            <w:r>
              <w:rPr>
                <w:rFonts w:ascii="仿宋_GB2312" w:hAnsi="仿宋_GB2312" w:cs="仿宋_GB2312" w:eastAsia="仿宋_GB2312"/>
                <w:sz w:val="19"/>
                <w:color w:val="000000"/>
              </w:rPr>
              <w:t>/</w:t>
            </w:r>
            <w:r>
              <w:rPr>
                <w:rFonts w:ascii="仿宋_GB2312" w:hAnsi="仿宋_GB2312" w:cs="仿宋_GB2312" w:eastAsia="仿宋_GB2312"/>
                <w:sz w:val="19"/>
                <w:color w:val="000000"/>
              </w:rPr>
              <w:t xml:space="preserve">乡 </w:t>
            </w:r>
            <w:r>
              <w:rPr>
                <w:rFonts w:ascii="仿宋_GB2312" w:hAnsi="仿宋_GB2312" w:cs="仿宋_GB2312" w:eastAsia="仿宋_GB2312"/>
                <w:sz w:val="19"/>
                <w:color w:val="000000"/>
              </w:rPr>
              <w:t>镇（须加盖单位公章、项目负责人签字）。图纸部分依据《陕西省实用性村庄规划编制技术要点》执</w:t>
            </w:r>
            <w:r>
              <w:rPr>
                <w:rFonts w:ascii="仿宋_GB2312" w:hAnsi="仿宋_GB2312" w:cs="仿宋_GB2312" w:eastAsia="仿宋_GB2312"/>
                <w:sz w:val="19"/>
                <w:color w:val="000000"/>
              </w:rPr>
              <w:t>行，共</w:t>
            </w:r>
            <w:r>
              <w:rPr>
                <w:rFonts w:ascii="仿宋_GB2312" w:hAnsi="仿宋_GB2312" w:cs="仿宋_GB2312" w:eastAsia="仿宋_GB2312"/>
                <w:sz w:val="19"/>
                <w:color w:val="000000"/>
              </w:rPr>
              <w:t>3</w:t>
            </w:r>
            <w:r>
              <w:rPr>
                <w:rFonts w:ascii="仿宋_GB2312" w:hAnsi="仿宋_GB2312" w:cs="仿宋_GB2312" w:eastAsia="仿宋_GB2312"/>
                <w:sz w:val="19"/>
                <w:color w:val="000000"/>
              </w:rPr>
              <w:t>套</w:t>
            </w:r>
            <w:r>
              <w:rPr>
                <w:rFonts w:ascii="仿宋_GB2312" w:hAnsi="仿宋_GB2312" w:cs="仿宋_GB2312" w:eastAsia="仿宋_GB2312"/>
                <w:sz w:val="19"/>
                <w:color w:val="000000"/>
              </w:rPr>
              <w:t>/</w:t>
            </w:r>
            <w:r>
              <w:rPr>
                <w:rFonts w:ascii="仿宋_GB2312" w:hAnsi="仿宋_GB2312" w:cs="仿宋_GB2312" w:eastAsia="仿宋_GB2312"/>
                <w:sz w:val="19"/>
                <w:color w:val="000000"/>
              </w:rPr>
              <w:t>乡镇（须加盖单位公章、项目负责人签字）。</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b/>
                <w:color w:val="000000"/>
              </w:rPr>
              <w:t>2</w:t>
            </w:r>
            <w:r>
              <w:rPr>
                <w:rFonts w:ascii="仿宋_GB2312" w:hAnsi="仿宋_GB2312" w:cs="仿宋_GB2312" w:eastAsia="仿宋_GB2312"/>
                <w:sz w:val="19"/>
                <w:color w:val="000000"/>
              </w:rPr>
              <w:t>））电子成果</w:t>
            </w:r>
          </w:p>
          <w:p>
            <w:pPr>
              <w:pStyle w:val="null3"/>
            </w:pPr>
            <w:r>
              <w:rPr>
                <w:rFonts w:ascii="仿宋_GB2312" w:hAnsi="仿宋_GB2312" w:cs="仿宋_GB2312" w:eastAsia="仿宋_GB2312"/>
                <w:sz w:val="19"/>
                <w:color w:val="000000"/>
              </w:rPr>
              <w:t>包括国土空间总体规划文本、规划说明的</w:t>
            </w:r>
            <w:r>
              <w:rPr>
                <w:rFonts w:ascii="仿宋_GB2312" w:hAnsi="仿宋_GB2312" w:cs="仿宋_GB2312" w:eastAsia="仿宋_GB2312"/>
                <w:sz w:val="19"/>
                <w:color w:val="000000"/>
              </w:rPr>
              <w:t>word</w:t>
            </w:r>
            <w:r>
              <w:rPr>
                <w:rFonts w:ascii="仿宋_GB2312" w:hAnsi="仿宋_GB2312" w:cs="仿宋_GB2312" w:eastAsia="仿宋_GB2312"/>
                <w:sz w:val="19"/>
                <w:color w:val="000000"/>
              </w:rPr>
              <w:t>文件，以及图纸的</w:t>
            </w:r>
            <w:r>
              <w:rPr>
                <w:rFonts w:ascii="仿宋_GB2312" w:hAnsi="仿宋_GB2312" w:cs="仿宋_GB2312" w:eastAsia="仿宋_GB2312"/>
                <w:sz w:val="19"/>
                <w:color w:val="000000"/>
              </w:rPr>
              <w:t>cad</w:t>
            </w:r>
            <w:r>
              <w:rPr>
                <w:rFonts w:ascii="仿宋_GB2312" w:hAnsi="仿宋_GB2312" w:cs="仿宋_GB2312" w:eastAsia="仿宋_GB2312"/>
                <w:sz w:val="19"/>
                <w:color w:val="000000"/>
              </w:rPr>
              <w:t>、</w:t>
            </w:r>
            <w:r>
              <w:rPr>
                <w:rFonts w:ascii="仿宋_GB2312" w:hAnsi="仿宋_GB2312" w:cs="仿宋_GB2312" w:eastAsia="仿宋_GB2312"/>
                <w:sz w:val="19"/>
                <w:color w:val="000000"/>
              </w:rPr>
              <w:t>gis</w:t>
            </w:r>
            <w:r>
              <w:rPr>
                <w:rFonts w:ascii="仿宋_GB2312" w:hAnsi="仿宋_GB2312" w:cs="仿宋_GB2312" w:eastAsia="仿宋_GB2312"/>
                <w:sz w:val="19"/>
                <w:color w:val="000000"/>
              </w:rPr>
              <w:t>矢量文件。图件和文</w:t>
            </w:r>
            <w:r>
              <w:rPr>
                <w:rFonts w:ascii="仿宋_GB2312" w:hAnsi="仿宋_GB2312" w:cs="仿宋_GB2312" w:eastAsia="仿宋_GB2312"/>
                <w:sz w:val="19"/>
                <w:color w:val="000000"/>
              </w:rPr>
              <w:t>本须做到清晰、完整、表达准确，同类图纸规格应尽量统一，</w:t>
            </w:r>
            <w:r>
              <w:rPr>
                <w:rFonts w:ascii="仿宋_GB2312" w:hAnsi="仿宋_GB2312" w:cs="仿宋_GB2312" w:eastAsia="仿宋_GB2312"/>
                <w:sz w:val="19"/>
                <w:color w:val="000000"/>
              </w:rPr>
              <w:t>cad</w:t>
            </w:r>
            <w:r>
              <w:rPr>
                <w:rFonts w:ascii="仿宋_GB2312" w:hAnsi="仿宋_GB2312" w:cs="仿宋_GB2312" w:eastAsia="仿宋_GB2312"/>
                <w:sz w:val="19"/>
                <w:color w:val="000000"/>
              </w:rPr>
              <w:t>、</w:t>
            </w:r>
            <w:r>
              <w:rPr>
                <w:rFonts w:ascii="仿宋_GB2312" w:hAnsi="仿宋_GB2312" w:cs="仿宋_GB2312" w:eastAsia="仿宋_GB2312"/>
                <w:sz w:val="19"/>
                <w:color w:val="000000"/>
              </w:rPr>
              <w:t>gis</w:t>
            </w:r>
            <w:r>
              <w:rPr>
                <w:rFonts w:ascii="仿宋_GB2312" w:hAnsi="仿宋_GB2312" w:cs="仿宋_GB2312" w:eastAsia="仿宋_GB2312"/>
                <w:sz w:val="19"/>
                <w:color w:val="000000"/>
              </w:rPr>
              <w:t>图件要符合相关要求。</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）数据库成果</w:t>
            </w:r>
          </w:p>
          <w:p>
            <w:pPr>
              <w:pStyle w:val="null3"/>
            </w:pPr>
            <w:r>
              <w:rPr>
                <w:rFonts w:ascii="仿宋_GB2312" w:hAnsi="仿宋_GB2312" w:cs="仿宋_GB2312" w:eastAsia="仿宋_GB2312"/>
                <w:sz w:val="19"/>
                <w:color w:val="000000"/>
              </w:rPr>
              <w:t>按照国土空间总体规划数据库标准建立，格式为</w:t>
            </w:r>
            <w:r>
              <w:rPr>
                <w:rFonts w:ascii="仿宋_GB2312" w:hAnsi="仿宋_GB2312" w:cs="仿宋_GB2312" w:eastAsia="仿宋_GB2312"/>
                <w:sz w:val="19"/>
                <w:color w:val="000000"/>
              </w:rPr>
              <w:t>mdb</w:t>
            </w:r>
            <w:r>
              <w:rPr>
                <w:rFonts w:ascii="仿宋_GB2312" w:hAnsi="仿宋_GB2312" w:cs="仿宋_GB2312" w:eastAsia="仿宋_GB2312"/>
                <w:sz w:val="19"/>
                <w:color w:val="000000"/>
              </w:rPr>
              <w:t>或</w:t>
            </w:r>
            <w:r>
              <w:rPr>
                <w:rFonts w:ascii="仿宋_GB2312" w:hAnsi="仿宋_GB2312" w:cs="仿宋_GB2312" w:eastAsia="仿宋_GB2312"/>
                <w:sz w:val="19"/>
                <w:color w:val="000000"/>
              </w:rPr>
              <w:t>gdb</w:t>
            </w:r>
            <w:r>
              <w:rPr>
                <w:rFonts w:ascii="仿宋_GB2312" w:hAnsi="仿宋_GB2312" w:cs="仿宋_GB2312" w:eastAsia="仿宋_GB2312"/>
                <w:sz w:val="19"/>
                <w:color w:val="000000"/>
              </w:rPr>
              <w:t>格式，坐标系为</w:t>
            </w:r>
            <w:r>
              <w:rPr>
                <w:rFonts w:ascii="仿宋_GB2312" w:hAnsi="仿宋_GB2312" w:cs="仿宋_GB2312" w:eastAsia="仿宋_GB2312"/>
                <w:sz w:val="19"/>
                <w:color w:val="000000"/>
              </w:rPr>
              <w:t>2000</w:t>
            </w:r>
            <w:r>
              <w:rPr>
                <w:rFonts w:ascii="仿宋_GB2312" w:hAnsi="仿宋_GB2312" w:cs="仿宋_GB2312" w:eastAsia="仿宋_GB2312"/>
                <w:sz w:val="19"/>
                <w:color w:val="000000"/>
              </w:rPr>
              <w:t>国家大地坐标</w:t>
            </w:r>
            <w:r>
              <w:rPr>
                <w:rFonts w:ascii="仿宋_GB2312" w:hAnsi="仿宋_GB2312" w:cs="仿宋_GB2312" w:eastAsia="仿宋_GB2312"/>
                <w:sz w:val="19"/>
                <w:color w:val="000000"/>
              </w:rPr>
              <w:t>系，并建立符合村庄规划数据库标准的数据库。</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）最终成果清单构成：</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村庄规划（规划文本、规划图件、规划说明）数量：</w:t>
            </w:r>
            <w:r>
              <w:rPr>
                <w:rFonts w:ascii="仿宋_GB2312" w:hAnsi="仿宋_GB2312" w:cs="仿宋_GB2312" w:eastAsia="仿宋_GB2312"/>
                <w:sz w:val="19"/>
                <w:color w:val="000000"/>
              </w:rPr>
              <w:t>3</w:t>
            </w:r>
            <w:r>
              <w:rPr>
                <w:rFonts w:ascii="仿宋_GB2312" w:hAnsi="仿宋_GB2312" w:cs="仿宋_GB2312" w:eastAsia="仿宋_GB2312"/>
                <w:sz w:val="19"/>
                <w:color w:val="000000"/>
              </w:rPr>
              <w:t>套</w:t>
            </w:r>
            <w:r>
              <w:rPr>
                <w:rFonts w:ascii="仿宋_GB2312" w:hAnsi="仿宋_GB2312" w:cs="仿宋_GB2312" w:eastAsia="仿宋_GB2312"/>
                <w:sz w:val="19"/>
                <w:color w:val="000000"/>
              </w:rPr>
              <w:t>/</w:t>
            </w:r>
            <w:r>
              <w:rPr>
                <w:rFonts w:ascii="仿宋_GB2312" w:hAnsi="仿宋_GB2312" w:cs="仿宋_GB2312" w:eastAsia="仿宋_GB2312"/>
                <w:sz w:val="19"/>
                <w:color w:val="000000"/>
              </w:rPr>
              <w:t>乡镇</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文件的电子档案格式要求：</w:t>
            </w:r>
            <w:r>
              <w:rPr>
                <w:rFonts w:ascii="仿宋_GB2312" w:hAnsi="仿宋_GB2312" w:cs="仿宋_GB2312" w:eastAsia="仿宋_GB2312"/>
                <w:sz w:val="19"/>
                <w:color w:val="000000"/>
              </w:rPr>
              <w:t>doc</w:t>
            </w:r>
            <w:r>
              <w:rPr>
                <w:rFonts w:ascii="仿宋_GB2312" w:hAnsi="仿宋_GB2312" w:cs="仿宋_GB2312" w:eastAsia="仿宋_GB2312"/>
                <w:sz w:val="19"/>
                <w:color w:val="000000"/>
              </w:rPr>
              <w:t>、</w:t>
            </w:r>
            <w:r>
              <w:rPr>
                <w:rFonts w:ascii="仿宋_GB2312" w:hAnsi="仿宋_GB2312" w:cs="仿宋_GB2312" w:eastAsia="仿宋_GB2312"/>
                <w:sz w:val="19"/>
                <w:color w:val="000000"/>
              </w:rPr>
              <w:t>xls</w:t>
            </w:r>
            <w:r>
              <w:rPr>
                <w:rFonts w:ascii="仿宋_GB2312" w:hAnsi="仿宋_GB2312" w:cs="仿宋_GB2312" w:eastAsia="仿宋_GB2312"/>
                <w:sz w:val="19"/>
                <w:color w:val="000000"/>
              </w:rPr>
              <w:t>、</w:t>
            </w:r>
            <w:r>
              <w:rPr>
                <w:rFonts w:ascii="仿宋_GB2312" w:hAnsi="仿宋_GB2312" w:cs="仿宋_GB2312" w:eastAsia="仿宋_GB2312"/>
                <w:sz w:val="19"/>
                <w:color w:val="000000"/>
              </w:rPr>
              <w:t>ppt</w:t>
            </w:r>
            <w:r>
              <w:rPr>
                <w:rFonts w:ascii="仿宋_GB2312" w:hAnsi="仿宋_GB2312" w:cs="仿宋_GB2312" w:eastAsia="仿宋_GB2312"/>
                <w:sz w:val="19"/>
                <w:color w:val="000000"/>
              </w:rPr>
              <w:t>、</w:t>
            </w:r>
            <w:r>
              <w:rPr>
                <w:rFonts w:ascii="仿宋_GB2312" w:hAnsi="仿宋_GB2312" w:cs="仿宋_GB2312" w:eastAsia="仿宋_GB2312"/>
                <w:sz w:val="19"/>
                <w:color w:val="000000"/>
              </w:rPr>
              <w:t>pdf</w:t>
            </w:r>
            <w:r>
              <w:rPr>
                <w:rFonts w:ascii="仿宋_GB2312" w:hAnsi="仿宋_GB2312" w:cs="仿宋_GB2312" w:eastAsia="仿宋_GB2312"/>
                <w:sz w:val="19"/>
                <w:color w:val="000000"/>
              </w:rPr>
              <w:t>、</w:t>
            </w:r>
            <w:r>
              <w:rPr>
                <w:rFonts w:ascii="仿宋_GB2312" w:hAnsi="仿宋_GB2312" w:cs="仿宋_GB2312" w:eastAsia="仿宋_GB2312"/>
                <w:sz w:val="19"/>
                <w:color w:val="000000"/>
              </w:rPr>
              <w:t>shp</w:t>
            </w:r>
            <w:r>
              <w:rPr>
                <w:rFonts w:ascii="仿宋_GB2312" w:hAnsi="仿宋_GB2312" w:cs="仿宋_GB2312" w:eastAsia="仿宋_GB2312"/>
                <w:sz w:val="19"/>
                <w:color w:val="000000"/>
              </w:rPr>
              <w:t>、</w:t>
            </w:r>
            <w:r>
              <w:rPr>
                <w:rFonts w:ascii="仿宋_GB2312" w:hAnsi="仿宋_GB2312" w:cs="仿宋_GB2312" w:eastAsia="仿宋_GB2312"/>
                <w:sz w:val="19"/>
                <w:color w:val="000000"/>
              </w:rPr>
              <w:t>jpg</w:t>
            </w:r>
            <w:r>
              <w:rPr>
                <w:rFonts w:ascii="仿宋_GB2312" w:hAnsi="仿宋_GB2312" w:cs="仿宋_GB2312" w:eastAsia="仿宋_GB2312"/>
                <w:sz w:val="19"/>
                <w:color w:val="000000"/>
              </w:rPr>
              <w:t>、</w:t>
            </w:r>
            <w:r>
              <w:rPr>
                <w:rFonts w:ascii="仿宋_GB2312" w:hAnsi="仿宋_GB2312" w:cs="仿宋_GB2312" w:eastAsia="仿宋_GB2312"/>
                <w:sz w:val="19"/>
                <w:color w:val="000000"/>
              </w:rPr>
              <w:t>dwg</w:t>
            </w:r>
            <w:r>
              <w:rPr>
                <w:rFonts w:ascii="仿宋_GB2312" w:hAnsi="仿宋_GB2312" w:cs="仿宋_GB2312" w:eastAsia="仿宋_GB2312"/>
                <w:sz w:val="19"/>
                <w:color w:val="000000"/>
              </w:rPr>
              <w:t>、</w:t>
            </w:r>
            <w:r>
              <w:rPr>
                <w:rFonts w:ascii="仿宋_GB2312" w:hAnsi="仿宋_GB2312" w:cs="仿宋_GB2312" w:eastAsia="仿宋_GB2312"/>
                <w:sz w:val="19"/>
                <w:color w:val="000000"/>
              </w:rPr>
              <w:t>mdb</w:t>
            </w:r>
            <w:r>
              <w:rPr>
                <w:rFonts w:ascii="仿宋_GB2312" w:hAnsi="仿宋_GB2312" w:cs="仿宋_GB2312" w:eastAsia="仿宋_GB2312"/>
                <w:sz w:val="19"/>
                <w:color w:val="000000"/>
              </w:rPr>
              <w:t>或</w:t>
            </w:r>
            <w:r>
              <w:rPr>
                <w:rFonts w:ascii="仿宋_GB2312" w:hAnsi="仿宋_GB2312" w:cs="仿宋_GB2312" w:eastAsia="仿宋_GB2312"/>
                <w:sz w:val="19"/>
                <w:color w:val="000000"/>
              </w:rPr>
              <w:t>gdb</w:t>
            </w:r>
            <w:r>
              <w:rPr>
                <w:rFonts w:ascii="仿宋_GB2312" w:hAnsi="仿宋_GB2312" w:cs="仿宋_GB2312" w:eastAsia="仿宋_GB2312"/>
                <w:sz w:val="19"/>
                <w:color w:val="000000"/>
              </w:rPr>
              <w:t>等汇报演示</w:t>
            </w:r>
            <w:r>
              <w:rPr>
                <w:rFonts w:ascii="仿宋_GB2312" w:hAnsi="仿宋_GB2312" w:cs="仿宋_GB2312" w:eastAsia="仿宋_GB2312"/>
                <w:sz w:val="19"/>
                <w:color w:val="000000"/>
              </w:rPr>
              <w:t>文件格式要求：</w:t>
            </w:r>
            <w:r>
              <w:rPr>
                <w:rFonts w:ascii="仿宋_GB2312" w:hAnsi="仿宋_GB2312" w:cs="仿宋_GB2312" w:eastAsia="仿宋_GB2312"/>
                <w:sz w:val="19"/>
                <w:color w:val="000000"/>
              </w:rPr>
              <w:t>ppt</w:t>
            </w:r>
          </w:p>
          <w:p>
            <w:pPr>
              <w:pStyle w:val="null3"/>
            </w:pPr>
            <w:r>
              <w:rPr>
                <w:rFonts w:ascii="仿宋_GB2312" w:hAnsi="仿宋_GB2312" w:cs="仿宋_GB2312" w:eastAsia="仿宋_GB2312"/>
                <w:sz w:val="19"/>
                <w:color w:val="000000"/>
              </w:rPr>
              <w:t>3.</w:t>
            </w:r>
            <w:r>
              <w:rPr>
                <w:rFonts w:ascii="仿宋_GB2312" w:hAnsi="仿宋_GB2312" w:cs="仿宋_GB2312" w:eastAsia="仿宋_GB2312"/>
                <w:sz w:val="19"/>
                <w:color w:val="000000"/>
              </w:rPr>
              <w:t>数据库</w:t>
            </w:r>
          </w:p>
          <w:p>
            <w:pPr>
              <w:pStyle w:val="null3"/>
            </w:pPr>
            <w:r>
              <w:rPr>
                <w:rFonts w:ascii="仿宋_GB2312" w:hAnsi="仿宋_GB2312" w:cs="仿宋_GB2312" w:eastAsia="仿宋_GB2312"/>
                <w:sz w:val="19"/>
                <w:color w:val="000000"/>
              </w:rPr>
              <w:t>4.</w:t>
            </w:r>
            <w:r>
              <w:rPr>
                <w:rFonts w:ascii="仿宋_GB2312" w:hAnsi="仿宋_GB2312" w:cs="仿宋_GB2312" w:eastAsia="仿宋_GB2312"/>
                <w:sz w:val="19"/>
                <w:color w:val="000000"/>
              </w:rPr>
              <w:t>根据采购人需求增加的其他文件</w:t>
            </w:r>
          </w:p>
          <w:p>
            <w:pPr>
              <w:pStyle w:val="null3"/>
            </w:pPr>
            <w:r>
              <w:rPr>
                <w:rFonts w:ascii="仿宋_GB2312" w:hAnsi="仿宋_GB2312" w:cs="仿宋_GB2312" w:eastAsia="仿宋_GB2312"/>
                <w:sz w:val="19"/>
                <w:color w:val="000000"/>
              </w:rPr>
              <w:t xml:space="preserve">注：具体成果内容和形式参考《《陕西省实用性村庄规划编制技术要点》》。在项目履行过程中 </w:t>
            </w:r>
            <w:r>
              <w:rPr>
                <w:rFonts w:ascii="仿宋_GB2312" w:hAnsi="仿宋_GB2312" w:cs="仿宋_GB2312" w:eastAsia="仿宋_GB2312"/>
                <w:sz w:val="19"/>
                <w:color w:val="000000"/>
              </w:rPr>
              <w:t>，必要时采购人可以对最终成果的构成中的原定内容和范围进行适当调整。</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五里镇、尧生镇村庄规划编制</w:t>
            </w:r>
          </w:p>
        </w:tc>
        <w:tc>
          <w:tcPr>
            <w:tcW w:type="dxa" w:w="2076"/>
          </w:tcPr>
          <w:p>
            <w:pPr>
              <w:pStyle w:val="null3"/>
            </w:pPr>
            <w:r>
              <w:rPr>
                <w:rFonts w:ascii="仿宋_GB2312" w:hAnsi="仿宋_GB2312" w:cs="仿宋_GB2312" w:eastAsia="仿宋_GB2312"/>
                <w:sz w:val="19"/>
                <w:color w:val="000000"/>
              </w:rPr>
              <w:t>保密要求</w:t>
            </w:r>
          </w:p>
          <w:p>
            <w:pPr>
              <w:pStyle w:val="null3"/>
            </w:pPr>
            <w:r>
              <w:rPr>
                <w:rFonts w:ascii="仿宋_GB2312" w:hAnsi="仿宋_GB2312" w:cs="仿宋_GB2312" w:eastAsia="仿宋_GB2312"/>
                <w:sz w:val="19"/>
                <w:color w:val="000000"/>
              </w:rPr>
              <w:t>本项目涉及遥感数据、基础地理信息数据、土地规划数据、要求中标人需按照国家、 省的有关</w:t>
            </w:r>
            <w:r>
              <w:rPr>
                <w:rFonts w:ascii="仿宋_GB2312" w:hAnsi="仿宋_GB2312" w:cs="仿宋_GB2312" w:eastAsia="仿宋_GB2312"/>
                <w:sz w:val="19"/>
                <w:color w:val="000000"/>
              </w:rPr>
              <w:t>法规文件规定，开展工作、履行保密责任，如中标人在项目实施过程中造成数 据泄露或违反其它保</w:t>
            </w:r>
            <w:r>
              <w:rPr>
                <w:rFonts w:ascii="仿宋_GB2312" w:hAnsi="仿宋_GB2312" w:cs="仿宋_GB2312" w:eastAsia="仿宋_GB2312"/>
                <w:sz w:val="19"/>
                <w:color w:val="000000"/>
              </w:rPr>
              <w:t>密条例的，将追究法律责任。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铜川市宜君县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符合《中华人民共和国民法典》、《中华人民共和国城乡规划法》、《城市规划编制办 法》以及其他相关法律、法规。</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完成规划成果通过专家评审后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成果提交后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 行。未按合同或招标文件要求提供服务 质量不能满足采购人技术要求，采购单位有权终止合同，甚至对供应商违约行为进行 追究。 未按合同或招标文件要求提供服 务质量不能满足采购人技术要求，采购单位有权终止合同，甚至对供应商违约行为进 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纸质版投标文件一律采用书籍（胶装）方式装订。投标文件正本一份，副本二份，电子文件 Word 版本（全套投标文 件，U 盘）一份。纸质投标文件均需使用 A4 纸，分别各自装订成册。投标文件正本、副本、电子版统一密封在一个标袋内。 递交方式：开标后中标单位将纸质标书送至陕西省西安市莲湖区环城西路北段360号天朗时代大酒店A座六层东区 注：本次招 标采用线上招标方式，纸质投标文件按招标文件要求递交（若是投标人的电子标无法打开，视为无效投标文件，不再参与评 审。纸质文件不作为评审依据）请各投标人严格按照规定的电子标准格式编制投标文件，并确保以标准格式上传，否则不能参 与评审。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提供2023年度经审计的财务报告（成立时间至提交磋商响 应文件截止时间不足一年的可提供成立后任意时段的资产 负债表），或磋商截止日期前6个月内银行出具的资信证明 ；供应商需在项目电子化交易系统中按要求上传相应证明 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(1)根据供应商类别进行提供： ①如供应商是企业（包括合伙企业），应提供在工 商部门注册的有效“企业法人营业执照”或“营业执照”； ②如供应商是事业单位， 应提供有效的“事业单位法人证书”； ③如供应商是为企业专业服务机构的，应提 供执业许可证等证明文件； ④如供应商是个体工商户，应提供有效的“个体工商户 营业执照”； ⑤如供应商为自然人，应提供有效的自然人身份证明。 供货商需在项 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供应商须具备具备城乡规划乙级及以上资质，提供具有履行合同所必需的专业技术 能力的承诺；供货商需在项目电子化交易系统中按要求上传相应证明文件并进行电 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 ；</w:t>
            </w:r>
          </w:p>
        </w:tc>
        <w:tc>
          <w:tcPr>
            <w:tcW w:type="dxa" w:w="3322"/>
          </w:tcPr>
          <w:p>
            <w:pPr>
              <w:pStyle w:val="null3"/>
            </w:pPr>
            <w:r>
              <w:rPr>
                <w:rFonts w:ascii="仿宋_GB2312" w:hAnsi="仿宋_GB2312" w:cs="仿宋_GB2312" w:eastAsia="仿宋_GB2312"/>
              </w:rPr>
              <w:t>法定代表人授权委托书（附法定代表人、被授权人身份证复印件并加盖公章）和被 授权人身 份证原件。（法定代表人参加投标只须提供法定代表人身份证明书及身 份证原件），供货商需在项目电子化交易系统中按要求上传相应证明文件并进行电 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提供2023年度经审计的财务报告（成立时间至提交磋商响应文件截止时间不足一 年的可提供成立后任意时段的资产负债表），或磋商截止日期前6个月内银行出具 的资信证明； 供应商需在项目电子化交易系统中按要求上传相应证明文件并进行 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提供磋商截止时间前6个月内任意一个月的纳税证明或完税证明，依法免税的单位 应提供相关证明材料，供货商需在项目电子化交易系统中按要求上传相应证明文件 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提供磋商截止时间前6个月内任意一个月的社会保障资金缴存单据或社保机构开具 的社会保险参保缴费情况证明，依法不需要缴纳社会保障资金的单位应提供相关证 明材料，供货商需在项目电子化交易系统中按要求上传相应证明文件并进行电子签 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参加政府采购活动前3年内，在经营活动中没有重大违法记录的书面声明，供货商 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企业信誉截图</w:t>
            </w:r>
          </w:p>
        </w:tc>
        <w:tc>
          <w:tcPr>
            <w:tcW w:type="dxa" w:w="3322"/>
          </w:tcPr>
          <w:p>
            <w:pPr>
              <w:pStyle w:val="null3"/>
            </w:pPr>
            <w:r>
              <w:rPr>
                <w:rFonts w:ascii="仿宋_GB2312" w:hAnsi="仿宋_GB2312" w:cs="仿宋_GB2312" w:eastAsia="仿宋_GB2312"/>
              </w:rPr>
              <w:t>供应商不得为“信用中国”网站（www.creditchina.gov.cn）中列入失信被执行人 或税收违法黑名单的供应商，不得为中国政府采购网（www.ccgp.gov.cn）政府 采购严重违法失信行为记录名单中被财政部门禁止参加政府采购活动的供应商，供 货商需在项目电子化交易系统中按要求上传相应证明文件并进行电子签章；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招标响应文件签章</w:t>
            </w:r>
          </w:p>
        </w:tc>
        <w:tc>
          <w:tcPr>
            <w:tcW w:type="dxa" w:w="3322"/>
          </w:tcPr>
          <w:p>
            <w:pPr>
              <w:pStyle w:val="null3"/>
            </w:pPr>
            <w:r>
              <w:rPr>
                <w:rFonts w:ascii="仿宋_GB2312" w:hAnsi="仿宋_GB2312" w:cs="仿宋_GB2312" w:eastAsia="仿宋_GB2312"/>
              </w:rPr>
              <w:t>按招标文件要求签署、加盖印章 （平台提交的 应加盖符合要求的电子签章）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商务及技术主要条款响应</w:t>
            </w:r>
          </w:p>
        </w:tc>
        <w:tc>
          <w:tcPr>
            <w:tcW w:type="dxa" w:w="3322"/>
          </w:tcPr>
          <w:p>
            <w:pPr>
              <w:pStyle w:val="null3"/>
            </w:pPr>
            <w:r>
              <w:rPr>
                <w:rFonts w:ascii="仿宋_GB2312" w:hAnsi="仿宋_GB2312" w:cs="仿宋_GB2312" w:eastAsia="仿宋_GB2312"/>
              </w:rPr>
              <w:t>对服务期限等实质性内容进行响应且未附加其 它条件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投标报价唯一且未超过采购预算</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规 划 背 景 与 基 础 分 析</w:t>
            </w:r>
          </w:p>
        </w:tc>
        <w:tc>
          <w:tcPr>
            <w:tcW w:type="dxa" w:w="2492"/>
          </w:tcPr>
          <w:p>
            <w:pPr>
              <w:pStyle w:val="null3"/>
            </w:pPr>
            <w:r>
              <w:rPr>
                <w:rFonts w:ascii="仿宋_GB2312" w:hAnsi="仿宋_GB2312" w:cs="仿宋_GB2312" w:eastAsia="仿宋_GB2312"/>
              </w:rPr>
              <w:t>能够从国家、省、市政策层面、区域发展、现实需求层面对项目背景 进行解读；对项目 前期资料收集、 分析、理解与认识进行说明，赋分 0-10 分： 项目背景及对项目前期 资 料收集分析理解充分、全面、准 确、到位，得 7-10； 项目背景及 对项目前期资料收集 分析理解基本到位，得 4-7； 项目背景及对项目 前期资料分析理解不到位，得 1-4分 ；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 术 路 线 制 定</w:t>
            </w:r>
          </w:p>
        </w:tc>
        <w:tc>
          <w:tcPr>
            <w:tcW w:type="dxa" w:w="2492"/>
          </w:tcPr>
          <w:p>
            <w:pPr>
              <w:pStyle w:val="null3"/>
            </w:pPr>
            <w:r>
              <w:rPr>
                <w:rFonts w:ascii="仿宋_GB2312" w:hAnsi="仿宋_GB2312" w:cs="仿宋_GB2312" w:eastAsia="仿宋_GB2312"/>
              </w:rPr>
              <w:t>准确把握规划区实际情况，提出规 划编制的内容、思路和技术路线清 晰、完整，赋分 0- 20 分： 技术方案完整详细，科学可行的，得 15- 20分； 技术方案较为完整，可行性 较高的，得 6-15 分； 技术方案 一般，总体较差的，得 1- 6分； 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 状 与 发 展 趋 势 研 判</w:t>
            </w:r>
          </w:p>
        </w:tc>
        <w:tc>
          <w:tcPr>
            <w:tcW w:type="dxa" w:w="2492"/>
          </w:tcPr>
          <w:p>
            <w:pPr>
              <w:pStyle w:val="null3"/>
            </w:pPr>
            <w:r>
              <w:rPr>
                <w:rFonts w:ascii="仿宋_GB2312" w:hAnsi="仿宋_GB2312" w:cs="仿宋_GB2312" w:eastAsia="仿宋_GB2312"/>
              </w:rPr>
              <w:t>对规划区现状特征及未来发展趋势 的理解，赋分 0-10 分： 现状解读 清楚，未来发展趋 势研判准确的得 7-10 分； 现状解读一般，未来发 展研判基本到位的得 4-7分； 现 状 解读不清楚，未来发展趋势研判 不到位的得 1-4 分； 未提供得0分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关 键 点 、 重 难 点 分 析</w:t>
            </w:r>
          </w:p>
        </w:tc>
        <w:tc>
          <w:tcPr>
            <w:tcW w:type="dxa" w:w="2492"/>
          </w:tcPr>
          <w:p>
            <w:pPr>
              <w:pStyle w:val="null3"/>
            </w:pPr>
            <w:r>
              <w:rPr>
                <w:rFonts w:ascii="仿宋_GB2312" w:hAnsi="仿宋_GB2312" w:cs="仿宋_GB2312" w:eastAsia="仿宋_GB2312"/>
              </w:rPr>
              <w:t>正确识别本项目关键点及重难点， 逐条列出且分析全面、具体、透彻 ，解决对策，根据 内容完整度情况 ，赋分 0-20 分： 重难点理解到位 、应对措施合理可行，得 15-20 分 ； 重难点理解基本到位、应对措 施较为合理可行，得 6-15分； 重 难点理解不到位、应 对措施较差， 得 1-6 分； 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 作 计 划</w:t>
            </w:r>
          </w:p>
        </w:tc>
        <w:tc>
          <w:tcPr>
            <w:tcW w:type="dxa" w:w="2492"/>
          </w:tcPr>
          <w:p>
            <w:pPr>
              <w:pStyle w:val="null3"/>
            </w:pPr>
            <w:r>
              <w:rPr>
                <w:rFonts w:ascii="仿宋_GB2312" w:hAnsi="仿宋_GB2312" w:cs="仿宋_GB2312" w:eastAsia="仿宋_GB2312"/>
              </w:rPr>
              <w:t>时间安排紧凑得当，重点突出，能 充分体现工作效率及工作效果，计 划合理且科学，赋 分 7-10 分： 时 间与工作进度安排较为合理，得 4- 7 分； 时间与工作进度安排不尽合 理，得 1-4 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 务 保 证</w:t>
            </w:r>
          </w:p>
        </w:tc>
        <w:tc>
          <w:tcPr>
            <w:tcW w:type="dxa" w:w="2492"/>
          </w:tcPr>
          <w:p>
            <w:pPr>
              <w:pStyle w:val="null3"/>
            </w:pPr>
            <w:r>
              <w:rPr>
                <w:rFonts w:ascii="仿宋_GB2312" w:hAnsi="仿宋_GB2312" w:cs="仿宋_GB2312" w:eastAsia="仿宋_GB2312"/>
              </w:rPr>
              <w:t>项目实施过程中如何实施服务保证 措施，对比各供应商的方案，根据 情况，赋分 0-10 分： 质量保证措 施完善具体，合理性、针对性及可 行性强，违约责任承诺较好内容全 面的，得 7-10分； 服务质量保证措施 合理性、针对性及可行性一般，违 约责任承诺良好内 容一般的，得 4- 7分； 服务质量保证措施合理性、 针对性及可行性差，有违约责任 承 诺但不具体的，得 1-4分。 未提供 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 员 配 备</w:t>
            </w:r>
          </w:p>
        </w:tc>
        <w:tc>
          <w:tcPr>
            <w:tcW w:type="dxa" w:w="2492"/>
          </w:tcPr>
          <w:p>
            <w:pPr>
              <w:pStyle w:val="null3"/>
            </w:pPr>
            <w:r>
              <w:rPr>
                <w:rFonts w:ascii="仿宋_GB2312" w:hAnsi="仿宋_GB2312" w:cs="仿宋_GB2312" w:eastAsia="仿宋_GB2312"/>
              </w:rPr>
              <w:t xml:space="preserve"> (1)项目负责人：具有城乡规划（城 市规划）专业高级工程师以上技术 职称资格，得 2分 . (2)充分考虑制 作团队综合实力，提供具体项目组 成员名单，根据项目团队人员构成 、 数量、学历专业、技术职称等赋 分 1-2分。 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提供供应商的 2022 年1月1日至今 签订的类似项目；每提供一份计 2 分，满分 6分，未 提供得0分。（以合同签订日期为准，须附合同复印件或中标通知书复印件并加盖投标人 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 足磋商文件要求且最终磋商价最低 的投标报价为评标 基准价，其价格 分为满分，计 10 分；满足磋商文 件要求且磋商价格最低的磋商报价 为 评标基准价，其他磋商人的价格 分按照公式计算： 报价得分=（评 标基准价／磋商报价 ）×价格权值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