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宜君县2022年度国土变更调查项目</w:t>
      </w:r>
    </w:p>
    <w:p>
      <w:pPr>
        <w:pStyle w:val="null3"/>
        <w:jc w:val="center"/>
        <w:outlineLvl w:val="2"/>
      </w:pPr>
      <w:r>
        <w:rPr>
          <w:sz w:val="28"/>
          <w:b/>
        </w:rPr>
        <w:t>采购项目编号：</w:t>
      </w:r>
      <w:r>
        <w:rPr>
          <w:sz w:val="28"/>
          <w:b/>
        </w:rPr>
        <w:t>ZHXYZB-2024004</w:t>
      </w:r>
      <w:r>
        <w:br/>
      </w:r>
      <w:r>
        <w:br/>
      </w:r>
      <w:r>
        <w:br/>
      </w:r>
    </w:p>
    <w:p>
      <w:pPr>
        <w:pStyle w:val="null3"/>
        <w:jc w:val="center"/>
        <w:outlineLvl w:val="2"/>
      </w:pPr>
      <w:r>
        <w:rPr>
          <w:sz w:val="28"/>
          <w:b/>
        </w:rPr>
        <w:t>宜君县自然资源和林业局</w:t>
      </w:r>
    </w:p>
    <w:p>
      <w:pPr>
        <w:pStyle w:val="null3"/>
        <w:jc w:val="center"/>
        <w:outlineLvl w:val="2"/>
      </w:pPr>
      <w:r>
        <w:rPr>
          <w:sz w:val="28"/>
          <w:b/>
        </w:rPr>
        <w:t>陕西智华兴业建设项目管理有限公司</w:t>
      </w:r>
      <w:r>
        <w:rPr>
          <w:sz w:val="28"/>
          <w:b/>
        </w:rPr>
        <w:t>共同编制</w:t>
      </w:r>
    </w:p>
    <w:p>
      <w:pPr>
        <w:pStyle w:val="null3"/>
        <w:jc w:val="center"/>
        <w:outlineLvl w:val="2"/>
      </w:pPr>
      <w:r>
        <w:rPr>
          <w:sz w:val="28"/>
          <w:b/>
        </w:rPr>
        <w:t>2024年12月26日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陕西智华兴业建设项目管理有限公司</w:t>
      </w:r>
      <w:r>
        <w:rPr/>
        <w:t>（以下简称“代理机构”）受</w:t>
      </w:r>
      <w:r>
        <w:rPr/>
        <w:t>宜君县自然资源和林业局</w:t>
      </w:r>
      <w:r>
        <w:rPr/>
        <w:t>委托，拟对</w:t>
      </w:r>
      <w:r>
        <w:rPr/>
        <w:t>宜君县2022年度国土变更调查项目</w:t>
      </w:r>
      <w:r>
        <w:rPr/>
        <w:t>采用竞争性磋商采购方式进行采购，兹邀请供应商参加本项目的竞争性磋商。</w:t>
      </w:r>
    </w:p>
    <w:p>
      <w:pPr>
        <w:pStyle w:val="null3"/>
        <w:outlineLvl w:val="2"/>
      </w:pPr>
      <w:r>
        <w:rPr>
          <w:sz w:val="28"/>
          <w:b/>
        </w:rPr>
        <w:t>一、项目编号：</w:t>
      </w:r>
      <w:r>
        <w:rPr>
          <w:sz w:val="28"/>
          <w:b/>
        </w:rPr>
        <w:t>ZHXYZB-2024004</w:t>
      </w:r>
    </w:p>
    <w:p>
      <w:pPr>
        <w:pStyle w:val="null3"/>
        <w:outlineLvl w:val="2"/>
      </w:pPr>
      <w:r>
        <w:rPr>
          <w:sz w:val="28"/>
          <w:b/>
        </w:rPr>
        <w:t>二、项目名称：</w:t>
      </w:r>
      <w:r>
        <w:rPr>
          <w:sz w:val="28"/>
          <w:b/>
        </w:rPr>
        <w:t>宜君县2022年度国土变更调查项目</w:t>
      </w:r>
    </w:p>
    <w:p>
      <w:pPr>
        <w:pStyle w:val="null3"/>
        <w:outlineLvl w:val="2"/>
      </w:pPr>
      <w:r>
        <w:rPr>
          <w:sz w:val="28"/>
          <w:b/>
        </w:rPr>
        <w:t>三、磋商项目简介</w:t>
      </w:r>
    </w:p>
    <w:p>
      <w:pPr>
        <w:pStyle w:val="null3"/>
        <w:ind w:firstLine="480"/>
      </w:pPr>
      <w:r>
        <w:rPr/>
        <w:t>在2021年度国土变更调查成果基础上，通过开展2022年度全国国土变更调查工作，以2022年12月31日为标准时点，开展国土利用动态全覆盖遥感监测，提取地类变化信息，统筹利用现有资料，结合有关专项监测及自然资源管理成果，统一制作调查底图，开展实地调查举证，全面掌握2022年度的地类、面积、属性及相关单独图层信息的变化情况，更新县级国土调查数据库，形成年度国土变更调查成果。同时开展2022年度耕地资源质量分类更新与监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采购包1（宜君县2022年度国土变更调查项目）：属于专门面向中小企业采购。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1、营业执照等主体资格证明文件：具有独立承担民事责任的能力，提供法人或者其他组织的营业执照等证明文件，自然人参与的提供其身份证明</w:t>
      </w:r>
    </w:p>
    <w:p>
      <w:pPr>
        <w:pStyle w:val="null3"/>
      </w:pPr>
      <w:r>
        <w:rPr/>
        <w:t>2、财务状况报告：提供2022或2023任一年度经审计的财务审计报告(2024年成立的公司提供成立后企业的资产负债表和利润表），或提供近三个月内基本存款账户开户银行开具的资信证明；</w:t>
      </w:r>
    </w:p>
    <w:p>
      <w:pPr>
        <w:pStyle w:val="null3"/>
      </w:pPr>
      <w:r>
        <w:rPr/>
        <w:t>3、税收缴纳证明：提供2023年12月01日至今任意一个月的缴纳税收的证明材料,(依法免税的单位应提供相关证明材料)</w:t>
      </w:r>
    </w:p>
    <w:p>
      <w:pPr>
        <w:pStyle w:val="null3"/>
      </w:pPr>
      <w:r>
        <w:rPr/>
        <w:t>4、社会保障资金缴纳证明：提供2023年12月01日至今任意一个月的依法缴纳社会保障资金的证明材料（依法不需要缴纳社会保障资金的单位应提供相关证明材料）</w:t>
      </w:r>
    </w:p>
    <w:p>
      <w:pPr>
        <w:pStyle w:val="null3"/>
      </w:pPr>
      <w:r>
        <w:rPr/>
        <w:t>5、信用查询：供应商不得为“信用中国”网站（www.creditchina.gov.cn）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p>
      <w:pPr>
        <w:pStyle w:val="null3"/>
      </w:pPr>
      <w:r>
        <w:rPr/>
        <w:t>6、履约能力：出具具备履行合同所必需的设备和专业技术能力的书面声明</w:t>
      </w:r>
    </w:p>
    <w:p>
      <w:pPr>
        <w:pStyle w:val="null3"/>
      </w:pPr>
      <w:r>
        <w:rPr/>
        <w:t>7、无重大违法记录：参加政府采购活动前3年内，在经营活动中没有重大违法记录（提供书面声明函）</w:t>
      </w:r>
    </w:p>
    <w:p>
      <w:pPr>
        <w:pStyle w:val="null3"/>
      </w:pPr>
      <w:r>
        <w:rPr/>
        <w:t>8、企业关联关系：单位负责人为同一人或者存在直接控股、管理关系的不同供应商不得同时参加本项目磋商</w:t>
      </w:r>
    </w:p>
    <w:p>
      <w:pPr>
        <w:pStyle w:val="null3"/>
      </w:pPr>
      <w:r>
        <w:rPr/>
        <w:t>9、法定代表人身份证明或法定代表人授权委托书：法定代表人授权书（附法定代表人及被授权人身份证复印件）（如法定代表人直接投标只须提交法人身份证明并附身份证复印件）</w:t>
      </w:r>
    </w:p>
    <w:p>
      <w:pPr>
        <w:pStyle w:val="null3"/>
      </w:pPr>
      <w:r>
        <w:rPr/>
        <w:t>10、资质证书：供应商须具备行政主管部门颁发的测绘乙级（含乙级）以上资质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宜君县自然资源和林业局</w:t>
      </w:r>
    </w:p>
    <w:p>
      <w:pPr>
        <w:pStyle w:val="null3"/>
      </w:pPr>
      <w:r>
        <w:rPr/>
        <w:t xml:space="preserve"> 地址： </w:t>
      </w:r>
      <w:r>
        <w:rPr/>
        <w:t>宜君县人社大楼七楼</w:t>
      </w:r>
    </w:p>
    <w:p>
      <w:pPr>
        <w:pStyle w:val="null3"/>
      </w:pPr>
      <w:r>
        <w:rPr/>
        <w:t xml:space="preserve"> 邮编： </w:t>
      </w:r>
      <w:r>
        <w:rPr/>
        <w:t>727200</w:t>
      </w:r>
    </w:p>
    <w:p>
      <w:pPr>
        <w:pStyle w:val="null3"/>
      </w:pPr>
      <w:r>
        <w:rPr/>
        <w:t xml:space="preserve"> 联系人： </w:t>
      </w:r>
      <w:r>
        <w:rPr/>
        <w:t>王刘伟</w:t>
      </w:r>
    </w:p>
    <w:p>
      <w:pPr>
        <w:pStyle w:val="null3"/>
      </w:pPr>
      <w:r>
        <w:rPr/>
        <w:t xml:space="preserve"> 联系电话： </w:t>
      </w:r>
      <w:r>
        <w:rPr/>
        <w:t>18992901615</w:t>
      </w:r>
    </w:p>
    <w:p>
      <w:pPr>
        <w:pStyle w:val="null3"/>
        <w:outlineLvl w:val="3"/>
      </w:pPr>
      <w:r>
        <w:rPr>
          <w:sz w:val="24"/>
          <w:b/>
        </w:rPr>
        <w:t>代理机构：</w:t>
      </w:r>
      <w:r>
        <w:rPr>
          <w:sz w:val="24"/>
          <w:b/>
        </w:rPr>
        <w:t>陕西智华兴业建设项目管理有限公司</w:t>
      </w:r>
    </w:p>
    <w:p>
      <w:pPr>
        <w:pStyle w:val="null3"/>
      </w:pPr>
      <w:r>
        <w:rPr/>
        <w:t xml:space="preserve"> 地址： </w:t>
      </w:r>
      <w:r>
        <w:rPr/>
        <w:t>陕西省西安市雁塔区朱雀大街南段6号紫郡长安小区4栋1单元15层3号</w:t>
      </w:r>
    </w:p>
    <w:p>
      <w:pPr>
        <w:pStyle w:val="null3"/>
      </w:pPr>
      <w:r>
        <w:rPr/>
        <w:t xml:space="preserve"> 邮编： </w:t>
      </w:r>
      <w:r>
        <w:rPr/>
        <w:t>710061</w:t>
      </w:r>
    </w:p>
    <w:p>
      <w:pPr>
        <w:pStyle w:val="null3"/>
      </w:pPr>
      <w:r>
        <w:rPr/>
        <w:t xml:space="preserve"> 联系人： </w:t>
      </w:r>
      <w:r>
        <w:rPr/>
        <w:t>王莉莉</w:t>
      </w:r>
    </w:p>
    <w:p>
      <w:pPr>
        <w:pStyle w:val="null3"/>
      </w:pPr>
      <w:r>
        <w:rPr/>
        <w:t xml:space="preserve"> 联系电话： </w:t>
      </w:r>
      <w:r>
        <w:rPr/>
        <w:t>18991106658</w:t>
      </w:r>
    </w:p>
    <w:p>
      <w:pPr>
        <w:pStyle w:val="null3"/>
        <w:outlineLvl w:val="3"/>
      </w:pPr>
      <w:r>
        <w:rPr>
          <w:sz w:val="24"/>
          <w:b/>
        </w:rPr>
        <w:t>采购监督机构：</w:t>
      </w:r>
      <w:r>
        <w:rPr>
          <w:sz w:val="24"/>
          <w:b/>
        </w:rPr>
        <w:t>宜君县政府采购管理股</w:t>
      </w:r>
    </w:p>
    <w:p>
      <w:pPr>
        <w:pStyle w:val="null3"/>
        <w:ind w:firstLine="480"/>
      </w:pPr>
      <w:r>
        <w:rPr/>
        <w:t>联系人：</w:t>
      </w:r>
      <w:r>
        <w:rPr/>
        <w:t>刘亚莉</w:t>
      </w:r>
    </w:p>
    <w:p>
      <w:pPr>
        <w:pStyle w:val="null3"/>
        <w:ind w:firstLine="480"/>
      </w:pPr>
      <w:r>
        <w:rPr/>
        <w:t>联系电话：</w:t>
      </w:r>
      <w:r>
        <w:rPr/>
        <w:t>0919-5996058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关于印发&lt;招标代理服务收费管理暂行办法&gt;的通知》（计价格【2002】1980号）和《国家发展改革委办公厅关于招标代理服务收费有关问题的通知》（发改办价格【2003】857号）文件规定的标准收取。可以采取现金、支票、银行汇票、电汇、网银等方式向陕西智华兴业建设项目管理有限公司指定账户交纳招标代理服务费/中标服务费。中标/成交供应商在中标（成交）结果公告发布之日起5日内，向采购代理机构缴纳采购代理服务费/中标（成交）服务费。 账户名：陕西智华兴业建设项目管理有限公司 开户行：中国 农业银行西安经济技术开发区支行 账 号：26115901040026610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宜君县自然资源和林业局</w:t>
      </w:r>
      <w:r>
        <w:rPr/>
        <w:t>和</w:t>
      </w:r>
      <w:r>
        <w:rPr/>
        <w:t>陕西智华兴业建设项目管理有限公司</w:t>
      </w:r>
      <w:r>
        <w:rPr/>
        <w:t>享有。对磋商文件中供应商参加本次政府采购活动应当具备的条件，磋商项目技术、服务、商务及其他要求，评审细则及标准由</w:t>
      </w:r>
      <w:r>
        <w:rPr/>
        <w:t>宜君县自然资源和林业局</w:t>
      </w:r>
      <w:r>
        <w:rPr/>
        <w:t>负责解释。除上述磋商文件内容，其他内容由</w:t>
      </w:r>
      <w:r>
        <w:rPr/>
        <w:t>陕西智华兴业建设项目管理有限公司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宜君县自然资源和林业局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陕西智华兴业建设项目管理有限公司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1）验收组织方式：自行验收； 2）是否邀请本项目的其他供应商：否 3）是否邀请专家：否； 4）是否邀请服务对象：是 5）是否邀请第三方检测机构：否； 6）履约验收程序：一次性验收； 7）履约验收时间： 供应商提出验收申请之日起7日内组织验收； 8）验收组织的其他事项：验收前供应商应将成果文件交采购人初步审核，如有不合格处及时修改；9）履约验收标准：严格按照磋商文件及采购人要求参数进行验收，同时满足国家、行业相关标准及规范、规定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陕西智华兴业建设项目管理有限公司</w:t>
      </w:r>
      <w:r>
        <w:rPr/>
        <w:t xml:space="preserve"> 负责答复；供应商对除采购需求外的采购文件的询问、质疑由</w:t>
      </w:r>
      <w:r>
        <w:rPr/>
        <w:t>陕西智华兴业建设项目管理有限公司</w:t>
      </w:r>
      <w:r>
        <w:rPr/>
        <w:t xml:space="preserve"> 负责答复；供应商对采购过程、采购结果的询问、质疑由 </w:t>
      </w:r>
      <w:r>
        <w:rPr/>
        <w:t>陕西智华兴业建设项目管理有限公司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联系人：王莉莉</w:t>
      </w:r>
    </w:p>
    <w:p>
      <w:pPr>
        <w:pStyle w:val="null3"/>
      </w:pPr>
      <w:r>
        <w:rPr/>
        <w:t>联系电话：18991106658</w:t>
      </w:r>
    </w:p>
    <w:p>
      <w:pPr>
        <w:pStyle w:val="null3"/>
      </w:pPr>
      <w:r>
        <w:rPr/>
        <w:t>地址：陕西省西安市雁塔区朱雀大街南段6号紫郡长安小区4栋1单元15层3号</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在2021年度国土变更调查成果基础上，通过开展2022年度全国国土变更调查工作，以2022年12月31日为标准时点，开展国土利用动态全覆盖遥感监测，提取地类变化信息，统筹利用现有资料，结合有关专项监测及自然资源管理成果，统一制作调查底图，开展实地调查举证，全面掌握2022年度的地类、面积、属性及相关单独图层信息的变化情况，更新县级国土调查数据库，形成年度国土变更调查成果。同时开展2022年度耕地资源质量分类更新与监测。</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1,800,000.00</w:t>
      </w:r>
    </w:p>
    <w:p>
      <w:pPr>
        <w:pStyle w:val="null3"/>
      </w:pPr>
      <w:r>
        <w:rPr/>
        <w:t>采购包最高限价（元）: 1,800,000.00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宜君县2022年度国土变更调查项目</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标的名称：宜君县2022年度国土变更调查项目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10"/>
              <w:jc w:val="both"/>
            </w:pPr>
            <w:r>
              <w:rPr>
                <w:rFonts w:ascii="宋体" w:hAnsi="宋体" w:cs="宋体" w:eastAsia="宋体"/>
                <w:sz w:val="28"/>
                <w:b/>
                <w:color w:val="000000"/>
              </w:rPr>
              <w:t>一、采购项目概况</w:t>
            </w:r>
          </w:p>
          <w:p>
            <w:pPr>
              <w:pStyle w:val="null3"/>
              <w:ind w:firstLine="576"/>
              <w:jc w:val="both"/>
            </w:pPr>
            <w:r>
              <w:rPr>
                <w:rFonts w:ascii="宋体" w:hAnsi="宋体" w:cs="宋体" w:eastAsia="宋体"/>
                <w:sz w:val="28"/>
                <w:color w:val="000000"/>
              </w:rPr>
              <w:t>在</w:t>
            </w:r>
            <w:r>
              <w:rPr>
                <w:rFonts w:ascii="宋体" w:hAnsi="宋体" w:cs="宋体" w:eastAsia="宋体"/>
                <w:sz w:val="28"/>
                <w:color w:val="000000"/>
              </w:rPr>
              <w:t>2021年度国土变更调查成果基础上，通过开展2022年度全国国土变更调查工作，以2022年12月31日为标准时点，</w:t>
            </w:r>
            <w:r>
              <w:rPr>
                <w:rFonts w:ascii="宋体" w:hAnsi="宋体" w:cs="宋体" w:eastAsia="宋体"/>
                <w:sz w:val="28"/>
                <w:color w:val="000000"/>
              </w:rPr>
              <w:t>开展国土利用动态全覆盖遥感监测，提取地类变化信息，统筹利用现有</w:t>
            </w:r>
            <w:r>
              <w:rPr>
                <w:rFonts w:ascii="宋体" w:hAnsi="宋体" w:cs="宋体" w:eastAsia="宋体"/>
                <w:sz w:val="28"/>
                <w:color w:val="000000"/>
              </w:rPr>
              <w:t>资料，结合有关专项监测及自然资源管理成果，统一</w:t>
            </w:r>
            <w:r>
              <w:rPr>
                <w:rFonts w:ascii="宋体" w:hAnsi="宋体" w:cs="宋体" w:eastAsia="宋体"/>
                <w:sz w:val="28"/>
                <w:color w:val="000000"/>
              </w:rPr>
              <w:t>制作调查底图，开展实地调查举证，全面掌握</w:t>
            </w:r>
            <w:r>
              <w:rPr>
                <w:rFonts w:ascii="宋体" w:hAnsi="宋体" w:cs="宋体" w:eastAsia="宋体"/>
                <w:sz w:val="28"/>
                <w:color w:val="000000"/>
              </w:rPr>
              <w:t>2022年度的地类、面积、属性及相关单独图层信息的变化情况，更新县级国土</w:t>
            </w:r>
            <w:r>
              <w:rPr>
                <w:rFonts w:ascii="宋体" w:hAnsi="宋体" w:cs="宋体" w:eastAsia="宋体"/>
                <w:sz w:val="28"/>
                <w:color w:val="000000"/>
              </w:rPr>
              <w:t>调查数据库，形成年度国土变更调查成果。同</w:t>
            </w:r>
            <w:r>
              <w:rPr>
                <w:rFonts w:ascii="宋体" w:hAnsi="宋体" w:cs="宋体" w:eastAsia="宋体"/>
                <w:sz w:val="28"/>
                <w:color w:val="000000"/>
              </w:rPr>
              <w:t>时开展</w:t>
            </w:r>
            <w:r>
              <w:rPr>
                <w:rFonts w:ascii="宋体" w:hAnsi="宋体" w:cs="宋体" w:eastAsia="宋体"/>
                <w:sz w:val="28"/>
                <w:color w:val="000000"/>
              </w:rPr>
              <w:t>2022年度耕地资源质量分类更新与监测。</w:t>
            </w:r>
          </w:p>
          <w:p>
            <w:pPr>
              <w:pStyle w:val="null3"/>
              <w:ind w:firstLine="610"/>
              <w:jc w:val="both"/>
            </w:pPr>
            <w:r>
              <w:rPr>
                <w:rFonts w:ascii="宋体" w:hAnsi="宋体" w:cs="宋体" w:eastAsia="宋体"/>
                <w:sz w:val="28"/>
                <w:b/>
                <w:color w:val="000000"/>
              </w:rPr>
              <w:t>二、工作依据</w:t>
            </w:r>
          </w:p>
          <w:p>
            <w:pPr>
              <w:pStyle w:val="null3"/>
              <w:ind w:firstLine="596"/>
              <w:jc w:val="both"/>
            </w:pPr>
            <w:r>
              <w:rPr>
                <w:rFonts w:ascii="宋体" w:hAnsi="宋体" w:cs="宋体" w:eastAsia="宋体"/>
                <w:sz w:val="28"/>
                <w:color w:val="000000"/>
              </w:rPr>
              <w:t>1.《自然资源部办公厅关于开展2022年度全国国土变更调查工</w:t>
            </w:r>
            <w:r>
              <w:rPr>
                <w:rFonts w:ascii="宋体" w:hAnsi="宋体" w:cs="宋体" w:eastAsia="宋体"/>
                <w:sz w:val="28"/>
                <w:color w:val="000000"/>
              </w:rPr>
              <w:t>作的通知》（自</w:t>
            </w:r>
            <w:r>
              <w:rPr>
                <w:rFonts w:ascii="宋体" w:hAnsi="宋体" w:cs="宋体" w:eastAsia="宋体"/>
                <w:sz w:val="28"/>
                <w:color w:val="000000"/>
              </w:rPr>
              <w:t>然资办发</w:t>
            </w:r>
            <w:r>
              <w:rPr>
                <w:rFonts w:ascii="宋体" w:hAnsi="宋体" w:cs="宋体" w:eastAsia="宋体"/>
                <w:sz w:val="28"/>
                <w:color w:val="000000"/>
              </w:rPr>
              <w:t>[2022]49号</w:t>
            </w:r>
            <w:r>
              <w:rPr>
                <w:rFonts w:ascii="宋体" w:hAnsi="宋体" w:cs="宋体" w:eastAsia="宋体"/>
                <w:sz w:val="28"/>
                <w:color w:val="000000"/>
              </w:rPr>
              <w:t>）；</w:t>
            </w:r>
          </w:p>
          <w:p>
            <w:pPr>
              <w:pStyle w:val="null3"/>
              <w:ind w:firstLine="588"/>
              <w:jc w:val="both"/>
            </w:pPr>
            <w:r>
              <w:rPr>
                <w:rFonts w:ascii="宋体" w:hAnsi="宋体" w:cs="宋体" w:eastAsia="宋体"/>
                <w:sz w:val="28"/>
                <w:color w:val="000000"/>
              </w:rPr>
              <w:t>2.《关于开展2022年遥感监测工作暨探索建立国</w:t>
            </w:r>
            <w:r>
              <w:rPr>
                <w:rFonts w:ascii="宋体" w:hAnsi="宋体" w:cs="宋体" w:eastAsia="宋体"/>
                <w:sz w:val="28"/>
                <w:color w:val="000000"/>
              </w:rPr>
              <w:t>土资源日常变更机制的通知》</w:t>
            </w:r>
            <w:r>
              <w:rPr/>
              <w:t xml:space="preserve"> </w:t>
            </w:r>
            <w:r>
              <w:rPr>
                <w:rFonts w:ascii="宋体" w:hAnsi="宋体" w:cs="宋体" w:eastAsia="宋体"/>
                <w:sz w:val="28"/>
                <w:color w:val="000000"/>
              </w:rPr>
              <w:t>（铜自然资函</w:t>
            </w:r>
            <w:r>
              <w:rPr>
                <w:rFonts w:ascii="宋体" w:hAnsi="宋体" w:cs="宋体" w:eastAsia="宋体"/>
                <w:sz w:val="28"/>
                <w:color w:val="000000"/>
              </w:rPr>
              <w:t>[2022]48号</w:t>
            </w:r>
            <w:r>
              <w:rPr>
                <w:rFonts w:ascii="宋体" w:hAnsi="宋体" w:cs="宋体" w:eastAsia="宋体"/>
                <w:sz w:val="28"/>
                <w:color w:val="000000"/>
              </w:rPr>
              <w:t>）；</w:t>
            </w:r>
          </w:p>
          <w:p>
            <w:pPr>
              <w:pStyle w:val="null3"/>
              <w:ind w:firstLine="568"/>
              <w:jc w:val="both"/>
            </w:pPr>
            <w:r>
              <w:rPr>
                <w:rFonts w:ascii="宋体" w:hAnsi="宋体" w:cs="宋体" w:eastAsia="宋体"/>
                <w:sz w:val="28"/>
                <w:color w:val="000000"/>
              </w:rPr>
              <w:t>3.《第三次全国国土调查技术规程》（</w:t>
            </w:r>
            <w:r>
              <w:rPr>
                <w:rFonts w:ascii="宋体" w:hAnsi="宋体" w:cs="宋体" w:eastAsia="宋体"/>
                <w:sz w:val="28"/>
                <w:color w:val="000000"/>
              </w:rPr>
              <w:t>TD</w:t>
            </w:r>
            <w:r>
              <w:rPr>
                <w:rFonts w:ascii="宋体" w:hAnsi="宋体" w:cs="宋体" w:eastAsia="宋体"/>
                <w:sz w:val="28"/>
                <w:color w:val="000000"/>
              </w:rPr>
              <w:t>/T</w:t>
            </w:r>
            <w:r>
              <w:rPr/>
              <w:t xml:space="preserve"> </w:t>
            </w:r>
            <w:r>
              <w:rPr>
                <w:rFonts w:ascii="宋体" w:hAnsi="宋体" w:cs="宋体" w:eastAsia="宋体"/>
                <w:sz w:val="28"/>
                <w:color w:val="000000"/>
              </w:rPr>
              <w:t>1055-2019）</w:t>
            </w:r>
          </w:p>
          <w:p>
            <w:pPr>
              <w:pStyle w:val="null3"/>
              <w:ind w:firstLine="580"/>
              <w:jc w:val="both"/>
            </w:pPr>
            <w:r>
              <w:rPr>
                <w:rFonts w:ascii="宋体" w:hAnsi="宋体" w:cs="宋体" w:eastAsia="宋体"/>
                <w:sz w:val="28"/>
                <w:color w:val="000000"/>
              </w:rPr>
              <w:t>4.《中华人民共和国土地管理法》；</w:t>
            </w:r>
          </w:p>
          <w:p>
            <w:pPr>
              <w:pStyle w:val="null3"/>
              <w:ind w:firstLine="580"/>
              <w:jc w:val="both"/>
            </w:pPr>
            <w:r>
              <w:rPr>
                <w:rFonts w:ascii="宋体" w:hAnsi="宋体" w:cs="宋体" w:eastAsia="宋体"/>
                <w:sz w:val="28"/>
                <w:color w:val="000000"/>
              </w:rPr>
              <w:t>5.《土地调查条例实施办法》；</w:t>
            </w:r>
          </w:p>
          <w:p>
            <w:pPr>
              <w:pStyle w:val="null3"/>
              <w:ind w:firstLine="576"/>
              <w:jc w:val="both"/>
            </w:pPr>
            <w:r>
              <w:rPr>
                <w:rFonts w:ascii="宋体" w:hAnsi="宋体" w:cs="宋体" w:eastAsia="宋体"/>
                <w:sz w:val="28"/>
                <w:color w:val="000000"/>
              </w:rPr>
              <w:t>6.《土地调查条例》。</w:t>
            </w:r>
          </w:p>
          <w:p>
            <w:pPr>
              <w:pStyle w:val="null3"/>
              <w:ind w:firstLine="624"/>
              <w:jc w:val="both"/>
            </w:pPr>
            <w:r>
              <w:rPr>
                <w:rFonts w:ascii="宋体" w:hAnsi="宋体" w:cs="宋体" w:eastAsia="宋体"/>
                <w:sz w:val="28"/>
                <w:color w:val="000000"/>
              </w:rPr>
              <w:t>三、</w:t>
            </w:r>
            <w:r>
              <w:rPr>
                <w:rFonts w:ascii="宋体" w:hAnsi="宋体" w:cs="宋体" w:eastAsia="宋体"/>
                <w:sz w:val="28"/>
                <w:b/>
                <w:color w:val="000000"/>
              </w:rPr>
              <w:t>技术要求</w:t>
            </w:r>
          </w:p>
          <w:p>
            <w:pPr>
              <w:pStyle w:val="null3"/>
              <w:ind w:firstLine="596"/>
              <w:jc w:val="both"/>
            </w:pPr>
            <w:r>
              <w:rPr>
                <w:rFonts w:ascii="宋体" w:hAnsi="宋体" w:cs="宋体" w:eastAsia="宋体"/>
                <w:sz w:val="28"/>
                <w:color w:val="000000"/>
              </w:rPr>
              <w:t>2022年度变更调查的数学基础、调查分类、调查精度等技术指标与“</w:t>
            </w:r>
            <w:r>
              <w:rPr>
                <w:rFonts w:ascii="宋体" w:hAnsi="宋体" w:cs="宋体" w:eastAsia="宋体"/>
                <w:sz w:val="28"/>
                <w:color w:val="000000"/>
              </w:rPr>
              <w:t>三调</w:t>
            </w:r>
            <w:r>
              <w:rPr>
                <w:rFonts w:ascii="宋体" w:hAnsi="宋体" w:cs="宋体" w:eastAsia="宋体"/>
                <w:sz w:val="28"/>
                <w:color w:val="000000"/>
              </w:rPr>
              <w:t>”一致</w:t>
            </w:r>
            <w:r>
              <w:rPr>
                <w:rFonts w:ascii="宋体" w:hAnsi="宋体" w:cs="宋体" w:eastAsia="宋体"/>
                <w:sz w:val="28"/>
                <w:color w:val="000000"/>
              </w:rPr>
              <w:t>。</w:t>
            </w:r>
          </w:p>
          <w:p>
            <w:pPr>
              <w:pStyle w:val="null3"/>
              <w:ind w:firstLine="588"/>
              <w:jc w:val="both"/>
            </w:pPr>
            <w:r>
              <w:rPr>
                <w:rFonts w:ascii="宋体" w:hAnsi="宋体" w:cs="宋体" w:eastAsia="宋体"/>
                <w:sz w:val="28"/>
                <w:color w:val="000000"/>
              </w:rPr>
              <w:t>调查界线以</w:t>
            </w:r>
            <w:r>
              <w:rPr>
                <w:rFonts w:ascii="宋体" w:hAnsi="宋体" w:cs="宋体" w:eastAsia="宋体"/>
                <w:sz w:val="28"/>
                <w:color w:val="000000"/>
              </w:rPr>
              <w:t>2021年度下发的国土调查数据库中的界线为准。县级及以上级别调</w:t>
            </w:r>
            <w:r>
              <w:rPr>
                <w:rFonts w:ascii="宋体" w:hAnsi="宋体" w:cs="宋体" w:eastAsia="宋体"/>
                <w:sz w:val="28"/>
                <w:color w:val="000000"/>
              </w:rPr>
              <w:t>查界线如果发生变化（包括：名称、代码、界线位置变化</w:t>
            </w:r>
            <w:r>
              <w:rPr>
                <w:rFonts w:ascii="宋体" w:hAnsi="宋体" w:cs="宋体" w:eastAsia="宋体"/>
                <w:sz w:val="28"/>
                <w:color w:val="000000"/>
              </w:rPr>
              <w:t>）需要调整的，应依据相关主管部门的批准文件及相关资料，报部统一调整并下发各地作为调查控制界线。</w:t>
            </w:r>
          </w:p>
          <w:p>
            <w:pPr>
              <w:pStyle w:val="null3"/>
              <w:ind w:firstLine="610"/>
              <w:jc w:val="both"/>
            </w:pPr>
            <w:r>
              <w:rPr>
                <w:rFonts w:ascii="宋体" w:hAnsi="宋体" w:cs="宋体" w:eastAsia="宋体"/>
                <w:sz w:val="28"/>
                <w:b/>
                <w:color w:val="000000"/>
              </w:rPr>
              <w:t>四、服务内容及要求</w:t>
            </w:r>
          </w:p>
          <w:p>
            <w:pPr>
              <w:pStyle w:val="null3"/>
              <w:ind w:firstLine="588"/>
              <w:jc w:val="both"/>
            </w:pPr>
            <w:r>
              <w:rPr>
                <w:rFonts w:ascii="宋体" w:hAnsi="宋体" w:cs="宋体" w:eastAsia="宋体"/>
                <w:sz w:val="28"/>
                <w:color w:val="000000"/>
              </w:rPr>
              <w:t>调查单元以</w:t>
            </w:r>
            <w:r>
              <w:rPr>
                <w:rFonts w:ascii="宋体" w:hAnsi="宋体" w:cs="宋体" w:eastAsia="宋体"/>
                <w:sz w:val="28"/>
                <w:color w:val="000000"/>
              </w:rPr>
              <w:t>2022年12月31日为统一时点，以部下发的20</w:t>
            </w:r>
            <w:r>
              <w:rPr>
                <w:rFonts w:ascii="宋体" w:hAnsi="宋体" w:cs="宋体" w:eastAsia="宋体"/>
                <w:sz w:val="28"/>
                <w:color w:val="000000"/>
              </w:rPr>
              <w:t>22年度遥感监测成果</w:t>
            </w:r>
            <w:r>
              <w:rPr>
                <w:rFonts w:ascii="宋体" w:hAnsi="宋体" w:cs="宋体" w:eastAsia="宋体"/>
                <w:sz w:val="28"/>
                <w:color w:val="000000"/>
              </w:rPr>
              <w:t>为基础，结合省级及以下</w:t>
            </w:r>
            <w:r>
              <w:rPr>
                <w:rFonts w:ascii="宋体" w:hAnsi="宋体" w:cs="宋体" w:eastAsia="宋体"/>
                <w:sz w:val="28"/>
                <w:color w:val="000000"/>
              </w:rPr>
              <w:t>2022年度内监测发现的各类国土利用变化信息以及各类自</w:t>
            </w:r>
            <w:r>
              <w:rPr/>
              <w:t xml:space="preserve"> </w:t>
            </w:r>
            <w:r>
              <w:rPr>
                <w:rFonts w:ascii="宋体" w:hAnsi="宋体" w:cs="宋体" w:eastAsia="宋体"/>
                <w:sz w:val="28"/>
                <w:color w:val="000000"/>
              </w:rPr>
              <w:t>然资源管理信息，制作</w:t>
            </w:r>
            <w:r>
              <w:rPr>
                <w:rFonts w:ascii="宋体" w:hAnsi="宋体" w:cs="宋体" w:eastAsia="宋体"/>
                <w:sz w:val="28"/>
                <w:color w:val="000000"/>
              </w:rPr>
              <w:t>2022年度变更调查外业调查工作底图（以下简称“工作底</w:t>
            </w:r>
            <w:r>
              <w:rPr>
                <w:rFonts w:ascii="宋体" w:hAnsi="宋体" w:cs="宋体" w:eastAsia="宋体"/>
                <w:sz w:val="28"/>
                <w:color w:val="000000"/>
              </w:rPr>
              <w:t>图</w:t>
            </w:r>
            <w:r>
              <w:rPr>
                <w:rFonts w:ascii="宋体" w:hAnsi="宋体" w:cs="宋体" w:eastAsia="宋体"/>
                <w:sz w:val="28"/>
                <w:color w:val="000000"/>
              </w:rPr>
              <w:t>”</w:t>
            </w:r>
            <w:r>
              <w:rPr>
                <w:rFonts w:ascii="宋体" w:hAnsi="宋体" w:cs="宋体" w:eastAsia="宋体"/>
                <w:sz w:val="28"/>
                <w:color w:val="000000"/>
              </w:rPr>
              <w:t>)。可自行采集标准时点前后更高分辨率的遥感影像数据，通过比对2021年度国土</w:t>
            </w:r>
            <w:r>
              <w:rPr>
                <w:rFonts w:ascii="宋体" w:hAnsi="宋体" w:cs="宋体" w:eastAsia="宋体"/>
                <w:sz w:val="28"/>
                <w:color w:val="000000"/>
              </w:rPr>
              <w:t>调查数据库与最新遥感正射影像图，内业补充提取</w:t>
            </w:r>
            <w:r>
              <w:rPr>
                <w:rFonts w:ascii="宋体" w:hAnsi="宋体" w:cs="宋体" w:eastAsia="宋体"/>
                <w:sz w:val="28"/>
                <w:color w:val="000000"/>
              </w:rPr>
              <w:t>2022年度各类土地的变化情况。</w:t>
            </w:r>
            <w:r>
              <w:rPr>
                <w:rFonts w:ascii="宋体" w:hAnsi="宋体" w:cs="宋体" w:eastAsia="宋体"/>
                <w:sz w:val="28"/>
                <w:color w:val="000000"/>
              </w:rPr>
              <w:t>自行采集生产的遥感正射影像图需与年度变更调查成果一同上报</w:t>
            </w:r>
            <w:r>
              <w:rPr>
                <w:rFonts w:ascii="宋体" w:hAnsi="宋体" w:cs="宋体" w:eastAsia="宋体"/>
                <w:sz w:val="28"/>
                <w:color w:val="000000"/>
              </w:rPr>
              <w:t>，用于国家级核查。</w:t>
            </w:r>
          </w:p>
          <w:p>
            <w:pPr>
              <w:pStyle w:val="null3"/>
              <w:ind w:firstLine="592"/>
              <w:jc w:val="both"/>
            </w:pPr>
            <w:r>
              <w:rPr>
                <w:rFonts w:ascii="宋体" w:hAnsi="宋体" w:cs="宋体" w:eastAsia="宋体"/>
                <w:sz w:val="28"/>
                <w:color w:val="000000"/>
              </w:rPr>
              <w:t>各调查单元以实地现状认定地类为原则，查清工作</w:t>
            </w:r>
            <w:r>
              <w:rPr>
                <w:rFonts w:ascii="宋体" w:hAnsi="宋体" w:cs="宋体" w:eastAsia="宋体"/>
                <w:sz w:val="28"/>
                <w:color w:val="000000"/>
              </w:rPr>
              <w:t>底图上每一块变化图斑的地类</w:t>
            </w:r>
            <w:r>
              <w:rPr>
                <w:rFonts w:ascii="宋体" w:hAnsi="宋体" w:cs="宋体" w:eastAsia="宋体"/>
                <w:sz w:val="28"/>
                <w:color w:val="000000"/>
              </w:rPr>
              <w:t>、面积、属性、权属等实际情况；对需要举证的图斑，逐一实地拍照举证；</w:t>
            </w:r>
            <w:r>
              <w:rPr/>
              <w:t xml:space="preserve"> </w:t>
            </w:r>
            <w:r>
              <w:rPr>
                <w:rFonts w:ascii="宋体" w:hAnsi="宋体" w:cs="宋体" w:eastAsia="宋体"/>
                <w:sz w:val="28"/>
                <w:color w:val="000000"/>
              </w:rPr>
              <w:t>日常变更</w:t>
            </w:r>
            <w:r>
              <w:rPr>
                <w:rFonts w:ascii="宋体" w:hAnsi="宋体" w:cs="宋体" w:eastAsia="宋体"/>
                <w:sz w:val="28"/>
                <w:color w:val="000000"/>
              </w:rPr>
              <w:t>核定图斑结果经</w:t>
            </w:r>
            <w:r>
              <w:rPr>
                <w:rFonts w:ascii="宋体" w:hAnsi="宋体" w:cs="宋体" w:eastAsia="宋体"/>
                <w:sz w:val="28"/>
                <w:color w:val="000000"/>
              </w:rPr>
              <w:t>2022年度遥感监测一致性核实确认的，可直接按照变更调查要求生</w:t>
            </w:r>
            <w:r>
              <w:rPr>
                <w:rFonts w:ascii="宋体" w:hAnsi="宋体" w:cs="宋体" w:eastAsia="宋体"/>
                <w:sz w:val="28"/>
                <w:color w:val="000000"/>
              </w:rPr>
              <w:t>成增量数据，无需再次实地举证；</w:t>
            </w:r>
            <w:r>
              <w:rPr/>
              <w:t xml:space="preserve"> </w:t>
            </w:r>
            <w:r>
              <w:rPr>
                <w:rFonts w:ascii="宋体" w:hAnsi="宋体" w:cs="宋体" w:eastAsia="宋体"/>
                <w:sz w:val="28"/>
                <w:color w:val="000000"/>
              </w:rPr>
              <w:t>日常变更核定图斑结果与</w:t>
            </w:r>
            <w:r>
              <w:rPr>
                <w:rFonts w:ascii="宋体" w:hAnsi="宋体" w:cs="宋体" w:eastAsia="宋体"/>
                <w:sz w:val="28"/>
                <w:color w:val="000000"/>
              </w:rPr>
              <w:t>2022年度</w:t>
            </w:r>
            <w:r>
              <w:rPr>
                <w:rFonts w:ascii="宋体" w:hAnsi="宋体" w:cs="宋体" w:eastAsia="宋体"/>
                <w:sz w:val="28"/>
                <w:color w:val="000000"/>
              </w:rPr>
              <w:t>遥感监测成果</w:t>
            </w:r>
            <w:r>
              <w:rPr>
                <w:rFonts w:ascii="宋体" w:hAnsi="宋体" w:cs="宋体" w:eastAsia="宋体"/>
                <w:sz w:val="28"/>
                <w:color w:val="000000"/>
              </w:rPr>
              <w:t>不一致的，需再次实地举证；在</w:t>
            </w:r>
            <w:r>
              <w:rPr>
                <w:rFonts w:ascii="宋体" w:hAnsi="宋体" w:cs="宋体" w:eastAsia="宋体"/>
                <w:sz w:val="28"/>
                <w:color w:val="000000"/>
              </w:rPr>
              <w:t>2021年度国土调查数据库基础上，结合林草湿等专</w:t>
            </w:r>
            <w:r>
              <w:rPr>
                <w:rFonts w:ascii="宋体" w:hAnsi="宋体" w:cs="宋体" w:eastAsia="宋体"/>
                <w:sz w:val="28"/>
                <w:color w:val="000000"/>
              </w:rPr>
              <w:t>项调查监测工作移交的变化图斑及举证成果，对涉及地类</w:t>
            </w:r>
            <w:r>
              <w:rPr>
                <w:rFonts w:ascii="宋体" w:hAnsi="宋体" w:cs="宋体" w:eastAsia="宋体"/>
                <w:sz w:val="28"/>
                <w:color w:val="000000"/>
              </w:rPr>
              <w:t>变更的，按照数据库更新技术要求，形成</w:t>
            </w:r>
            <w:r>
              <w:rPr>
                <w:rFonts w:ascii="宋体" w:hAnsi="宋体" w:cs="宋体" w:eastAsia="宋体"/>
                <w:sz w:val="28"/>
                <w:color w:val="000000"/>
              </w:rPr>
              <w:t>2022年度国土变更调查更新数据增量包，上报省级自然资源主管部门</w:t>
            </w:r>
            <w:r>
              <w:rPr>
                <w:rFonts w:ascii="宋体" w:hAnsi="宋体" w:cs="宋体" w:eastAsia="宋体"/>
                <w:sz w:val="28"/>
                <w:color w:val="000000"/>
              </w:rPr>
              <w:t>。</w:t>
            </w:r>
          </w:p>
          <w:p>
            <w:pPr>
              <w:pStyle w:val="null3"/>
              <w:ind w:firstLine="610"/>
              <w:jc w:val="both"/>
            </w:pPr>
            <w:r>
              <w:rPr>
                <w:rFonts w:ascii="宋体" w:hAnsi="宋体" w:cs="宋体" w:eastAsia="宋体"/>
                <w:sz w:val="28"/>
                <w:b/>
                <w:color w:val="000000"/>
              </w:rPr>
              <w:t>五、提交主要成果</w:t>
            </w:r>
          </w:p>
          <w:p>
            <w:pPr>
              <w:pStyle w:val="null3"/>
              <w:ind w:firstLine="580"/>
              <w:jc w:val="both"/>
            </w:pPr>
            <w:r>
              <w:rPr>
                <w:rFonts w:ascii="宋体" w:hAnsi="宋体" w:cs="宋体" w:eastAsia="宋体"/>
                <w:sz w:val="28"/>
                <w:color w:val="000000"/>
              </w:rPr>
              <w:t>1、遥感监测成果</w:t>
            </w:r>
          </w:p>
          <w:p>
            <w:pPr>
              <w:pStyle w:val="null3"/>
              <w:ind w:firstLine="584"/>
              <w:jc w:val="both"/>
            </w:pPr>
            <w:r>
              <w:rPr>
                <w:rFonts w:ascii="宋体" w:hAnsi="宋体" w:cs="宋体" w:eastAsia="宋体"/>
                <w:sz w:val="28"/>
                <w:color w:val="000000"/>
              </w:rPr>
              <w:t>包括遥感正射影像图、遥感监测图斑。</w:t>
            </w:r>
          </w:p>
          <w:p>
            <w:pPr>
              <w:pStyle w:val="null3"/>
              <w:ind w:firstLine="580"/>
              <w:jc w:val="both"/>
            </w:pPr>
            <w:r>
              <w:rPr>
                <w:rFonts w:ascii="宋体" w:hAnsi="宋体" w:cs="宋体" w:eastAsia="宋体"/>
                <w:sz w:val="28"/>
                <w:color w:val="000000"/>
              </w:rPr>
              <w:t>2、外业调查成果</w:t>
            </w:r>
          </w:p>
          <w:p>
            <w:pPr>
              <w:pStyle w:val="null3"/>
              <w:ind w:firstLine="592"/>
              <w:jc w:val="both"/>
            </w:pPr>
            <w:r>
              <w:rPr>
                <w:rFonts w:ascii="宋体" w:hAnsi="宋体" w:cs="宋体" w:eastAsia="宋体"/>
                <w:sz w:val="28"/>
                <w:color w:val="000000"/>
              </w:rPr>
              <w:t>包括外业调查图件、地物补测资料、图斑举证数据包（</w:t>
            </w:r>
            <w:r>
              <w:rPr>
                <w:rFonts w:ascii="宋体" w:hAnsi="宋体" w:cs="宋体" w:eastAsia="宋体"/>
                <w:sz w:val="28"/>
                <w:color w:val="000000"/>
              </w:rPr>
              <w:t>DB</w:t>
            </w:r>
            <w:r>
              <w:rPr>
                <w:rFonts w:ascii="宋体" w:hAnsi="宋体" w:cs="宋体" w:eastAsia="宋体"/>
                <w:sz w:val="28"/>
                <w:color w:val="000000"/>
              </w:rPr>
              <w:t>格式）。</w:t>
            </w:r>
          </w:p>
          <w:p>
            <w:pPr>
              <w:pStyle w:val="null3"/>
              <w:ind w:firstLine="580"/>
              <w:jc w:val="both"/>
            </w:pPr>
            <w:r>
              <w:rPr>
                <w:rFonts w:ascii="宋体" w:hAnsi="宋体" w:cs="宋体" w:eastAsia="宋体"/>
                <w:sz w:val="28"/>
                <w:color w:val="000000"/>
              </w:rPr>
              <w:t>3、数据库成果</w:t>
            </w:r>
          </w:p>
          <w:p>
            <w:pPr>
              <w:pStyle w:val="null3"/>
              <w:ind w:firstLine="596"/>
              <w:jc w:val="both"/>
            </w:pPr>
            <w:r>
              <w:rPr>
                <w:rFonts w:ascii="宋体" w:hAnsi="宋体" w:cs="宋体" w:eastAsia="宋体"/>
                <w:sz w:val="28"/>
                <w:color w:val="000000"/>
              </w:rPr>
              <w:t>包括更新后的县级数据库、</w:t>
            </w:r>
            <w:r>
              <w:rPr>
                <w:rFonts w:ascii="宋体" w:hAnsi="宋体" w:cs="宋体" w:eastAsia="宋体"/>
                <w:sz w:val="28"/>
                <w:color w:val="000000"/>
              </w:rPr>
              <w:t>“变更调查”增量包（含增量信息与统计报表，由数据</w:t>
            </w:r>
            <w:r>
              <w:rPr>
                <w:rFonts w:ascii="宋体" w:hAnsi="宋体" w:cs="宋体" w:eastAsia="宋体"/>
                <w:sz w:val="28"/>
                <w:color w:val="000000"/>
              </w:rPr>
              <w:t>库质检软件打包生成）、耕地资源质量分类数据库及相应的数据更新包。</w:t>
            </w:r>
          </w:p>
          <w:p>
            <w:pPr>
              <w:pStyle w:val="null3"/>
              <w:ind w:firstLine="580"/>
              <w:jc w:val="both"/>
            </w:pPr>
            <w:r>
              <w:rPr>
                <w:rFonts w:ascii="宋体" w:hAnsi="宋体" w:cs="宋体" w:eastAsia="宋体"/>
                <w:sz w:val="28"/>
                <w:color w:val="000000"/>
              </w:rPr>
              <w:t>4、各类报表</w:t>
            </w:r>
          </w:p>
          <w:p>
            <w:pPr>
              <w:pStyle w:val="null3"/>
              <w:ind w:firstLine="596"/>
              <w:jc w:val="both"/>
            </w:pPr>
            <w:r>
              <w:rPr>
                <w:rFonts w:ascii="宋体" w:hAnsi="宋体" w:cs="宋体" w:eastAsia="宋体"/>
                <w:sz w:val="28"/>
                <w:color w:val="000000"/>
              </w:rPr>
              <w:t>包括遥感监测图斑信息核实记录表、各级核查错误图斑列表（</w:t>
            </w:r>
            <w:r>
              <w:rPr>
                <w:rFonts w:ascii="宋体" w:hAnsi="宋体" w:cs="宋体" w:eastAsia="宋体"/>
                <w:sz w:val="28"/>
                <w:color w:val="000000"/>
              </w:rPr>
              <w:t>MDB</w:t>
            </w:r>
            <w:r>
              <w:rPr>
                <w:rFonts w:ascii="宋体" w:hAnsi="宋体" w:cs="宋体" w:eastAsia="宋体"/>
                <w:sz w:val="28"/>
                <w:color w:val="000000"/>
              </w:rPr>
              <w:t>格式）、举证</w:t>
            </w:r>
            <w:r>
              <w:rPr>
                <w:rFonts w:ascii="宋体" w:hAnsi="宋体" w:cs="宋体" w:eastAsia="宋体"/>
                <w:sz w:val="28"/>
                <w:color w:val="000000"/>
              </w:rPr>
              <w:t>图斑信息表（</w:t>
            </w:r>
            <w:r>
              <w:rPr>
                <w:rFonts w:ascii="宋体" w:hAnsi="宋体" w:cs="宋体" w:eastAsia="宋体"/>
                <w:sz w:val="28"/>
                <w:color w:val="000000"/>
              </w:rPr>
              <w:t>MDB</w:t>
            </w:r>
            <w:r>
              <w:rPr>
                <w:rFonts w:ascii="宋体" w:hAnsi="宋体" w:cs="宋体" w:eastAsia="宋体"/>
                <w:sz w:val="28"/>
                <w:color w:val="000000"/>
              </w:rPr>
              <w:t>格式）、各类统计汇总表等。</w:t>
            </w:r>
          </w:p>
          <w:p>
            <w:pPr>
              <w:pStyle w:val="null3"/>
              <w:ind w:firstLine="580"/>
              <w:jc w:val="both"/>
            </w:pPr>
            <w:r>
              <w:rPr>
                <w:rFonts w:ascii="宋体" w:hAnsi="宋体" w:cs="宋体" w:eastAsia="宋体"/>
                <w:sz w:val="28"/>
                <w:color w:val="000000"/>
              </w:rPr>
              <w:t>5、文字成果</w:t>
            </w:r>
          </w:p>
          <w:p>
            <w:pPr>
              <w:pStyle w:val="null3"/>
              <w:ind w:firstLine="584"/>
              <w:jc w:val="both"/>
            </w:pPr>
            <w:r>
              <w:rPr>
                <w:rFonts w:ascii="宋体" w:hAnsi="宋体" w:cs="宋体" w:eastAsia="宋体"/>
                <w:sz w:val="28"/>
                <w:color w:val="000000"/>
              </w:rPr>
              <w:t>土地利用变化情况分析报告等。</w:t>
            </w:r>
          </w:p>
        </w:tc>
      </w:tr>
    </w:tbl>
    <w:p>
      <w:pPr>
        <w:pStyle w:val="null3"/>
        <w:outlineLvl w:val="2"/>
      </w:pPr>
      <w:r>
        <w:rPr>
          <w:sz w:val="28"/>
          <w:b/>
        </w:rPr>
        <w:t>3.2.3人员配置要求</w:t>
      </w:r>
    </w:p>
    <w:p>
      <w:pPr>
        <w:pStyle w:val="null3"/>
      </w:pPr>
      <w:r>
        <w:rPr/>
        <w:t>采购包1：</w:t>
      </w:r>
    </w:p>
    <w:p>
      <w:pPr>
        <w:pStyle w:val="null3"/>
      </w:pPr>
      <w:r>
        <w:rPr/>
        <w:t>供应商根据文件要求自主配备，要有能保证合同正常履行所需的从业人员。</w:t>
      </w:r>
    </w:p>
    <w:p>
      <w:pPr>
        <w:pStyle w:val="null3"/>
        <w:outlineLvl w:val="2"/>
      </w:pPr>
      <w:r>
        <w:rPr>
          <w:sz w:val="28"/>
          <w:b/>
        </w:rPr>
        <w:t>3.2.4设施设备要求</w:t>
      </w:r>
    </w:p>
    <w:p>
      <w:pPr>
        <w:pStyle w:val="null3"/>
      </w:pPr>
      <w:r>
        <w:rPr/>
        <w:t>采购包1：</w:t>
      </w:r>
    </w:p>
    <w:p>
      <w:pPr>
        <w:pStyle w:val="null3"/>
      </w:pPr>
      <w:r>
        <w:rPr/>
        <w:t>供应商根据文件要求自主配备，要有能保证合同正常履行所需的设备。</w:t>
      </w:r>
    </w:p>
    <w:p>
      <w:pPr>
        <w:pStyle w:val="null3"/>
        <w:outlineLvl w:val="2"/>
      </w:pPr>
      <w:r>
        <w:rPr>
          <w:sz w:val="28"/>
          <w:b/>
        </w:rPr>
        <w:t>3.2.5其他要求</w:t>
      </w:r>
    </w:p>
    <w:p>
      <w:pPr>
        <w:pStyle w:val="null3"/>
      </w:pPr>
      <w:r>
        <w:rPr/>
        <w:t>采购包1：</w:t>
      </w:r>
    </w:p>
    <w:p>
      <w:pPr>
        <w:pStyle w:val="null3"/>
      </w:pPr>
      <w:r>
        <w:rPr/>
        <w:t>详见本章第3.2.2条</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合同签订后90天完成项目所有内容</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严格按照磋商文件及采购人要求参数进行验收，同时满足国家、行业相关标准及规范、规定要求。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项目全部完成后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成果文件提交验收合格后</w:t>
      </w:r>
      <w:r>
        <w:rPr/>
        <w:t xml:space="preserve"> ，达到付款条件起 </w:t>
      </w:r>
      <w:r>
        <w:rPr/>
        <w:t>30</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2、未按合同要求提供服务或服务质量不能满足技术要求，采购人有权终止合同，并对供方违约行为进行追究，同时按《中华人民共和国政府采购法》的有关规定进行处罚。</w:t>
      </w:r>
    </w:p>
    <w:p>
      <w:pPr>
        <w:pStyle w:val="null3"/>
        <w:outlineLvl w:val="2"/>
      </w:pPr>
      <w:r>
        <w:rPr>
          <w:sz w:val="28"/>
          <w:b/>
        </w:rPr>
        <w:t>3.4其他要求</w:t>
      </w:r>
    </w:p>
    <w:p>
      <w:pPr>
        <w:pStyle w:val="null3"/>
      </w:pPr>
      <w:r>
        <w:rPr/>
        <w:t>1）为顺利推进政府采购电子化交易平台应用工作，投标人需要在线提交所有通过电子化交易平台实施的政府采购项目的响应文件，同时，线下提交纸质响应文件正本壹份、副本贰份、电子版U盘贰套（纸质响应文件侧脊处标明项目名称，正本、副本分开密封，U盘贰套随正本密封，封套须标明投标人名称、项目名称等）。若电子化交易平台文件与纸质响应文件不一致的，以电子化交易平台文件为准。 线下递交文件截止时间：同响应文件递交截止时间，线下递交文件地点：铜川市王益区红旗街正大国际新城C座502室。2)根据《政府采购促进中小企业发展管理办法》（财库〔2020〕46号）的有关规定，该 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服务采购项目中，服务由中小企业承接，即提供服务的人员为中小企业依照《中华人民共和国劳动合同法》订立劳动合同的从业人员。以联合体形式参加政府采购活动，联合体各方均为中小企业的，联合体视同中小企业。其中，联合体各方均为小微企业的，联合体视同小微企业。中小企业参加政府采购活动，应当出具本办法规定的《中小企业声明函》，否则不得享受相关中小企业扶持政策。3)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 象，且全部产权属于司法部监狱管理局、戒毒管理局、直属煤矿管理局，各省、自治区、直辖市监狱管理局、戒毒管理局，各 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4)《财政部、民政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5）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 按最新的文件执行。如享受相关政策需提供相关证明材料）。6）企业规模划分标准按《工业和信息化部、国家统计局、国家发展和改革委员会、财政部关于印发&lt;中小企业划型标准规定&gt;的通知》（工信部联企业【2011】300 号）文。属于其他未列明行业。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或2023任一年度经审计的财务审计报告(2024年成立的公司提供成立后企业的资产负债表和利润表），或提供近三个月内基本存款账户开户银行开具的资信证明；供应商需在项目电子化交易系统中按要求上传相应证明文件并进行电子签章。</w:t>
            </w:r>
          </w:p>
        </w:tc>
        <w:tc>
          <w:tcPr>
            <w:tcW w:type="dxa" w:w="1661"/>
          </w:tcPr>
          <w:p>
            <w:pPr>
              <w:pStyle w:val="null3"/>
            </w:pPr>
            <w:r>
              <w:rPr/>
              <w:t>响应函 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具有独立承担民事责任的能力，提供法人或者其他组织的营业执照等证明文件，自然人参与的提供其身份证明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提供2022或2023任一年度经审计的财务审计报告(2024年成立的公司提供成立后企业的资产负债表和利润表），或提供近三个月内基本存款账户开户银行开具的资信证明；</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提供2023年12月01日至今任意一个月的缴纳税收的证明材料,(依法免税的单位应提供相关证明材料)</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提供2023年12月01日至今任意一个月的依法缴纳社会保障资金的证明材料（依法不需要缴纳社会保障资金的单位应提供相关证明材料）</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信用查询</w:t>
            </w:r>
          </w:p>
        </w:tc>
        <w:tc>
          <w:tcPr>
            <w:tcW w:type="dxa" w:w="3322"/>
          </w:tcPr>
          <w:p>
            <w:pPr>
              <w:pStyle w:val="null3"/>
            </w:pPr>
            <w:r>
              <w:rPr/>
              <w:t>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履约能力</w:t>
            </w:r>
          </w:p>
        </w:tc>
        <w:tc>
          <w:tcPr>
            <w:tcW w:type="dxa" w:w="3322"/>
          </w:tcPr>
          <w:p>
            <w:pPr>
              <w:pStyle w:val="null3"/>
            </w:pPr>
            <w:r>
              <w:rPr/>
              <w:t>出具具备履行合同所必需的设备和专业技术能力的书面声明</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无重大违法记录</w:t>
            </w:r>
          </w:p>
        </w:tc>
        <w:tc>
          <w:tcPr>
            <w:tcW w:type="dxa" w:w="3322"/>
          </w:tcPr>
          <w:p>
            <w:pPr>
              <w:pStyle w:val="null3"/>
            </w:pPr>
            <w:r>
              <w:rPr/>
              <w:t>参加政府采购活动前3年内，在经营活动中没有重大违法记录（提供书面声明函）</w:t>
            </w:r>
          </w:p>
        </w:tc>
        <w:tc>
          <w:tcPr>
            <w:tcW w:type="dxa" w:w="1661"/>
          </w:tcPr>
          <w:p>
            <w:pPr>
              <w:pStyle w:val="null3"/>
            </w:pPr>
            <w:r>
              <w:rPr/>
              <w:t>供应商资格证明文件</w:t>
            </w:r>
          </w:p>
        </w:tc>
      </w:tr>
      <w:tr>
        <w:tc>
          <w:tcPr>
            <w:tcW w:type="dxa" w:w="831"/>
          </w:tcPr>
          <w:p>
            <w:pPr>
              <w:pStyle w:val="null3"/>
            </w:pPr>
            <w:r>
              <w:rPr/>
              <w:t>8</w:t>
            </w:r>
          </w:p>
        </w:tc>
        <w:tc>
          <w:tcPr>
            <w:tcW w:type="dxa" w:w="2492"/>
          </w:tcPr>
          <w:p>
            <w:pPr>
              <w:pStyle w:val="null3"/>
            </w:pPr>
            <w:r>
              <w:rPr/>
              <w:t>企业关联关系</w:t>
            </w:r>
          </w:p>
        </w:tc>
        <w:tc>
          <w:tcPr>
            <w:tcW w:type="dxa" w:w="3322"/>
          </w:tcPr>
          <w:p>
            <w:pPr>
              <w:pStyle w:val="null3"/>
            </w:pPr>
            <w:r>
              <w:rPr/>
              <w:t>单位负责人为同一人或者存在直接控股、管理关系的不同供应商不得同时参加本项目磋商</w:t>
            </w:r>
          </w:p>
        </w:tc>
        <w:tc>
          <w:tcPr>
            <w:tcW w:type="dxa" w:w="1661"/>
          </w:tcPr>
          <w:p>
            <w:pPr>
              <w:pStyle w:val="null3"/>
            </w:pPr>
            <w:r>
              <w:rPr/>
              <w:t>供应商资格证明文件</w:t>
            </w:r>
          </w:p>
        </w:tc>
      </w:tr>
      <w:tr>
        <w:tc>
          <w:tcPr>
            <w:tcW w:type="dxa" w:w="831"/>
          </w:tcPr>
          <w:p>
            <w:pPr>
              <w:pStyle w:val="null3"/>
            </w:pPr>
            <w:r>
              <w:rPr/>
              <w:t>9</w:t>
            </w:r>
          </w:p>
        </w:tc>
        <w:tc>
          <w:tcPr>
            <w:tcW w:type="dxa" w:w="2492"/>
          </w:tcPr>
          <w:p>
            <w:pPr>
              <w:pStyle w:val="null3"/>
            </w:pPr>
            <w:r>
              <w:rPr/>
              <w:t>法定代表人身份证明或法定代表人授权委托书</w:t>
            </w:r>
          </w:p>
        </w:tc>
        <w:tc>
          <w:tcPr>
            <w:tcW w:type="dxa" w:w="3322"/>
          </w:tcPr>
          <w:p>
            <w:pPr>
              <w:pStyle w:val="null3"/>
            </w:pPr>
            <w:r>
              <w:rPr/>
              <w:t>法定代表人授权书（附法定代表人及被授权人身份证复印件）（如法定代表人直接投标只须提交法人身份证明并附身份证复印件）</w:t>
            </w:r>
          </w:p>
        </w:tc>
        <w:tc>
          <w:tcPr>
            <w:tcW w:type="dxa" w:w="1661"/>
          </w:tcPr>
          <w:p>
            <w:pPr>
              <w:pStyle w:val="null3"/>
            </w:pPr>
            <w:r>
              <w:rPr/>
              <w:t>供应商资格证明文件</w:t>
            </w:r>
          </w:p>
        </w:tc>
      </w:tr>
      <w:tr>
        <w:tc>
          <w:tcPr>
            <w:tcW w:type="dxa" w:w="831"/>
          </w:tcPr>
          <w:p>
            <w:pPr>
              <w:pStyle w:val="null3"/>
            </w:pPr>
            <w:r>
              <w:rPr/>
              <w:t>10</w:t>
            </w:r>
          </w:p>
        </w:tc>
        <w:tc>
          <w:tcPr>
            <w:tcW w:type="dxa" w:w="2492"/>
          </w:tcPr>
          <w:p>
            <w:pPr>
              <w:pStyle w:val="null3"/>
            </w:pPr>
            <w:r>
              <w:rPr/>
              <w:t>资质证书</w:t>
            </w:r>
          </w:p>
        </w:tc>
        <w:tc>
          <w:tcPr>
            <w:tcW w:type="dxa" w:w="3322"/>
          </w:tcPr>
          <w:p>
            <w:pPr>
              <w:pStyle w:val="null3"/>
            </w:pPr>
            <w:r>
              <w:rPr/>
              <w:t>供应商须具备行政主管部门颁发的测绘乙级（含乙级）以上资质</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响应文件的有效性及响应性评审</w:t>
            </w:r>
          </w:p>
        </w:tc>
        <w:tc>
          <w:tcPr>
            <w:tcW w:type="dxa" w:w="3322"/>
          </w:tcPr>
          <w:p>
            <w:pPr>
              <w:pStyle w:val="null3"/>
            </w:pPr>
            <w:r>
              <w:rPr/>
              <w:t>（1）报价唯一： 只能有一个有效报价，不得提交选择性报价，且报价不超过采购预算和最高限价；（2）响应文件的签署及格式：磋商文件要求必须响应的内容齐全，有格式要求的按要求提供；要求签字或盖章的，按磋商文件规定签字或盖章齐全；（3）服务期限、服务地点：应满足磋商文件的要求；（4）磋商有效期：应满足磋商文件中的规定；（5）其他：不能有任何采购人不能接受的附加条件。</w:t>
            </w:r>
          </w:p>
        </w:tc>
        <w:tc>
          <w:tcPr>
            <w:tcW w:type="dxa" w:w="1661"/>
          </w:tcPr>
          <w:p>
            <w:pPr>
              <w:pStyle w:val="null3"/>
            </w:pPr>
            <w:r>
              <w:rPr/>
              <w:t>项目组人员表 服务内容及服务邀请应答表 中小企业声明函 业绩 商务应答表 报价表 拒绝政府采购领域商业贿赂承诺书 响应文件封面 残疾人福利性单位声明函 服务方案 标的清单 响应函 监狱企业的证明文件 供应商资格证明文件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对项目的解读与掌握</w:t>
            </w:r>
          </w:p>
        </w:tc>
        <w:tc>
          <w:tcPr>
            <w:tcW w:type="dxa" w:w="2492"/>
          </w:tcPr>
          <w:p>
            <w:pPr>
              <w:pStyle w:val="null3"/>
            </w:pPr>
            <w:r>
              <w:rPr/>
              <w:t>解读全面，掌握项目相关情况，贴近项目实际需求，能较好地履约计 4.1-6 分； 解读基本准确，了解项目相关情况，能基本满足项目实际需求 , 保证履约的计2.1-4 分； 解读不准确，不利于项目履约计 0.1-2 分 ; 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工作背景目的及内容</w:t>
            </w:r>
          </w:p>
        </w:tc>
        <w:tc>
          <w:tcPr>
            <w:tcW w:type="dxa" w:w="2492"/>
          </w:tcPr>
          <w:p>
            <w:pPr>
              <w:pStyle w:val="null3"/>
            </w:pPr>
            <w:r>
              <w:rPr/>
              <w:t>对本项目的工作背景目的及内容描述清楚明确详实的计4.1-6 分； 对本项目的工作背景目的及内容基本描述清楚的计 2.1-4分； 对本项目的工作背景目的及内容描述不准确的计 0.1-2 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技术路线和方法</w:t>
            </w:r>
          </w:p>
        </w:tc>
        <w:tc>
          <w:tcPr>
            <w:tcW w:type="dxa" w:w="2492"/>
          </w:tcPr>
          <w:p>
            <w:pPr>
              <w:pStyle w:val="null3"/>
            </w:pPr>
            <w:r>
              <w:rPr/>
              <w:t>项目实施的技术路线清晰、全面，方法科学合理，技术指标明确计6.1-8 分；项目实施的技术路线基本清晰全面，方法基本可行计3.1-6分；项目实施的技术路线不够清晰，方法简单不利于项目实施的计0.1-3分；未提供不计分。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工作流程</w:t>
            </w:r>
          </w:p>
        </w:tc>
        <w:tc>
          <w:tcPr>
            <w:tcW w:type="dxa" w:w="2492"/>
          </w:tcPr>
          <w:p>
            <w:pPr>
              <w:pStyle w:val="null3"/>
            </w:pPr>
            <w:r>
              <w:rPr/>
              <w:t>能够按照工作内容全面梳理项目实施阶段各工作流程，流程清晰、方法得当、可行性强，完全满足采购人的要求计5.1-8分；流程基本全面，满足采购人要求计2.1-5分； 技术方法及流程不完善，不利于项目实施的计0.1-2分；未提供不计分。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进度保障措施</w:t>
            </w:r>
          </w:p>
        </w:tc>
        <w:tc>
          <w:tcPr>
            <w:tcW w:type="dxa" w:w="2492"/>
          </w:tcPr>
          <w:p>
            <w:pPr>
              <w:pStyle w:val="null3"/>
            </w:pPr>
            <w:r>
              <w:rPr/>
              <w:t>结合本项目要求，阐述服务时效及进度的保障措施，时间进度安排合理、可行，完全满足采购要求计4.1-7分；措施基本合理，满足项目需求计 2.1-4分；措施简单，不利于项目实施计0.1-2分；未提供不计分。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质量保障措施</w:t>
            </w:r>
          </w:p>
        </w:tc>
        <w:tc>
          <w:tcPr>
            <w:tcW w:type="dxa" w:w="2492"/>
          </w:tcPr>
          <w:p>
            <w:pPr>
              <w:pStyle w:val="null3"/>
            </w:pPr>
            <w:r>
              <w:rPr/>
              <w:t>结合本项目要求阐述服务质量保障措施及所配备的专业设施设备等。设施设备有保障，服务质量的保障措施科学合理、具体可行计4.1-7分；设施设备满足项目需求，保障措施基本合理计2.1-4分；配有设施设备，但保障措施简单、不利于项目实施计0.1-2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预期成果</w:t>
            </w:r>
          </w:p>
        </w:tc>
        <w:tc>
          <w:tcPr>
            <w:tcW w:type="dxa" w:w="2492"/>
          </w:tcPr>
          <w:p>
            <w:pPr>
              <w:pStyle w:val="null3"/>
            </w:pPr>
            <w:r>
              <w:rPr/>
              <w:t>预期成果分类合理、内容齐全、成果描述具体详实的计3.1-5分；预期成果分类基本合理、内容基本齐全，并对成果进行相关描述的计 1. 1-3 分；预期成果分类不合理、内容缺失的计 0.1- 1 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提出的合理化建议有益于本项目在技术、质量、进度或管理等方面进行改进的计3.1- 4分；提出的合理化建议基本有益于本项目在技术、质量、进度或管理等方面进行改进的 计1.1-3分；提出的合理化建议不益于本项目在技术、质量、进度或管理等方面进行改进的计0.1- 1分; 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拟派技术负责人具有相关专业（包含但不限于测绘或土地管理等）高级及以上工程师职称的计3分，其他不得分； 拟投入本项目的其他人员(除技术负责人以外)中具有相关专业（包含但不限于测绘 、规划、地理信息系统等）高级及以上工程师职称的，每提供一个计2分，中级的每提供一个得1分，最多得8分。 注：以上人员不重复计分，响应文件中附以上所有人员职称证复印件加盖公章, 否则不得分。</w:t>
            </w:r>
          </w:p>
        </w:tc>
        <w:tc>
          <w:tcPr>
            <w:tcW w:type="dxa" w:w="831"/>
          </w:tcPr>
          <w:p>
            <w:pPr>
              <w:pStyle w:val="null3"/>
              <w:jc w:val="right"/>
            </w:pPr>
            <w:r>
              <w:rPr/>
              <w:t>11.0000</w:t>
            </w:r>
          </w:p>
        </w:tc>
        <w:tc>
          <w:tcPr>
            <w:tcW w:type="dxa" w:w="831"/>
          </w:tcPr>
          <w:p>
            <w:pPr>
              <w:pStyle w:val="null3"/>
            </w:pPr>
            <w:r>
              <w:rPr/>
              <w:t>客观</w:t>
            </w:r>
          </w:p>
        </w:tc>
        <w:tc>
          <w:tcPr>
            <w:tcW w:type="dxa" w:w="1661"/>
          </w:tcPr>
          <w:p>
            <w:pPr>
              <w:pStyle w:val="null3"/>
            </w:pPr>
            <w:r>
              <w:rPr/>
              <w:t>服务方案</w:t>
            </w:r>
          </w:p>
          <w:p>
            <w:pPr>
              <w:pStyle w:val="null3"/>
            </w:pPr>
            <w:r>
              <w:rPr/>
              <w:t>项目组人员表</w:t>
            </w:r>
          </w:p>
        </w:tc>
      </w:tr>
      <w:tr>
        <w:tc>
          <w:tcPr>
            <w:tcW w:type="dxa" w:w="831"/>
            <w:vMerge/>
          </w:tcPr>
          <w:p/>
        </w:tc>
        <w:tc>
          <w:tcPr>
            <w:tcW w:type="dxa" w:w="1661"/>
          </w:tcPr>
          <w:p>
            <w:pPr>
              <w:pStyle w:val="null3"/>
            </w:pPr>
            <w:r>
              <w:rPr/>
              <w:t>项目组织机构及人员配置</w:t>
            </w:r>
          </w:p>
        </w:tc>
        <w:tc>
          <w:tcPr>
            <w:tcW w:type="dxa" w:w="2492"/>
          </w:tcPr>
          <w:p>
            <w:pPr>
              <w:pStyle w:val="null3"/>
            </w:pPr>
            <w:r>
              <w:rPr/>
              <w:t>本项目拟投入人员的工作经验及组织架构是否满足项目需求。架构合理，人员配置齐全、岗位分配合理、团队人员经验丰富，完全满足项目需求计 2.1-4分；架构及人员配置基本合理，满足项目需求计1.1-2分；人员配置欠缺、不利于项目实施的计0.1- 1分；未提供不得分；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项目组人员表</w:t>
            </w:r>
          </w:p>
        </w:tc>
      </w:tr>
      <w:tr>
        <w:tc>
          <w:tcPr>
            <w:tcW w:type="dxa" w:w="831"/>
            <w:vMerge/>
          </w:tcPr>
          <w:p/>
        </w:tc>
        <w:tc>
          <w:tcPr>
            <w:tcW w:type="dxa" w:w="1661"/>
          </w:tcPr>
          <w:p>
            <w:pPr>
              <w:pStyle w:val="null3"/>
            </w:pPr>
            <w:r>
              <w:rPr/>
              <w:t>服务承诺</w:t>
            </w:r>
          </w:p>
        </w:tc>
        <w:tc>
          <w:tcPr>
            <w:tcW w:type="dxa" w:w="2492"/>
          </w:tcPr>
          <w:p>
            <w:pPr>
              <w:pStyle w:val="null3"/>
            </w:pPr>
            <w:r>
              <w:rPr/>
              <w:t>供应商根据本项目的服务内容，做出切实可行的服务承诺，确保项目能按时按质完成，达到服务要求且能保证项目质量。承诺内容清晰、承诺指标明确，后续服务具有可延续性计2.1-4分；承诺及措施科学合理，基本满足项目需求计0.1-2分，未提供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供应商人须提供针对本项目的保密措施，有完善的保密机制或具备保密能力的证明（可提供相关保密资格证书），并承诺参与本次项目的 所有实施人员必须与采购人签订保密协议，确保信息数据不外泄。保密措施完善、承诺满足项目需求计 2.1-4分 ；有保密措施、承诺基本满足项目需求计0.1-2分；未提供的不计分。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重点、难点及实施方案分析</w:t>
            </w:r>
          </w:p>
        </w:tc>
        <w:tc>
          <w:tcPr>
            <w:tcW w:type="dxa" w:w="2492"/>
          </w:tcPr>
          <w:p>
            <w:pPr>
              <w:pStyle w:val="null3"/>
            </w:pPr>
            <w:r>
              <w:rPr/>
              <w:t>供应商针对本项目的重、难点及实施方案进行分析。思路清晰，重、难点分析准确、对项目理解充分计7.1-10分；思路基本清晰，有重、难点分析，基本了解项目需求计3.1-7；思路混乱，未体现重、难点且没有准确理解项目实施目的计0.1-3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 2021年12月1日至今类似项目业绩(时间以合同签订时间为准，需提供合同协议书复印件或扫描件加盖单位公章)，每个得2分，满分6分。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价格分采用低价优先法计算，即满足磋商文件要求且投标价格最低的投标报价为评标基准价，其价格分为满分。其他供应商的价格分统一按照下列公式计算 投标报价得分 =（评标基准价 /有效报价）×价格权重（10%）×100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详见附件：供应商资格证明文件</w:t>
      </w:r>
    </w:p>
    <w:p>
      <w:pPr>
        <w:pStyle w:val="null3"/>
        <w:ind w:firstLine="960"/>
      </w:pPr>
      <w:r>
        <w:rPr/>
        <w:t>详见附件：拒绝政府采购领域商业贿赂承诺书</w:t>
      </w:r>
    </w:p>
    <w:p>
      <w:pPr>
        <w:pStyle w:val="null3"/>
        <w:ind w:firstLine="960"/>
      </w:pPr>
      <w:r>
        <w:rPr/>
        <w:t>详见附件：服务方案</w:t>
      </w:r>
    </w:p>
    <w:p>
      <w:pPr>
        <w:pStyle w:val="null3"/>
        <w:ind w:firstLine="960"/>
      </w:pPr>
      <w:r>
        <w:rPr/>
        <w:t>详见附件：项目组人员表</w:t>
      </w:r>
    </w:p>
    <w:p>
      <w:pPr>
        <w:pStyle w:val="null3"/>
        <w:ind w:firstLine="960"/>
      </w:pPr>
      <w:r>
        <w:rPr/>
        <w:t>详见附件：业绩</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