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版本号：241022001</w:t>
      </w:r>
      <w:r>
        <w:br/>
      </w:r>
      <w:r>
        <w:br/>
      </w:r>
      <w:r>
        <w:br/>
      </w:r>
      <w:r>
        <w:br/>
      </w:r>
      <w:r>
        <w:br/>
      </w:r>
    </w:p>
    <w:p>
      <w:pPr>
        <w:pStyle w:val="null3"/>
        <w:jc w:val="center"/>
        <w:outlineLvl w:val="0"/>
      </w:pPr>
      <w:r>
        <w:rPr>
          <w:sz w:val="48"/>
          <w:b/>
        </w:rPr>
        <w:t>磋 商 文 件</w:t>
      </w:r>
      <w:r>
        <w:br/>
      </w:r>
      <w:r>
        <w:br/>
      </w:r>
      <w:r>
        <w:br/>
      </w:r>
    </w:p>
    <w:p>
      <w:pPr>
        <w:pStyle w:val="null3"/>
        <w:jc w:val="center"/>
        <w:outlineLvl w:val="1"/>
      </w:pPr>
      <w:r>
        <w:rPr>
          <w:sz w:val="36"/>
          <w:b/>
        </w:rPr>
        <w:t>（货物类）</w:t>
      </w:r>
      <w:r>
        <w:br/>
      </w:r>
      <w:r>
        <w:br/>
      </w:r>
      <w:r>
        <w:br/>
      </w:r>
      <w:r>
        <w:br/>
      </w:r>
      <w:r>
        <w:br/>
      </w:r>
      <w:r>
        <w:br/>
      </w:r>
      <w:r>
        <w:br/>
      </w:r>
      <w:r>
        <w:br/>
      </w:r>
      <w:r>
        <w:br/>
      </w:r>
      <w:r>
        <w:br/>
      </w:r>
      <w:r>
        <w:br/>
      </w:r>
    </w:p>
    <w:p>
      <w:pPr>
        <w:pStyle w:val="null3"/>
        <w:jc w:val="center"/>
        <w:outlineLvl w:val="2"/>
      </w:pPr>
      <w:r>
        <w:rPr>
          <w:sz w:val="28"/>
          <w:b/>
        </w:rPr>
        <w:t>采购项目名称：</w:t>
      </w:r>
      <w:r>
        <w:rPr>
          <w:sz w:val="28"/>
          <w:b/>
        </w:rPr>
        <w:t>关于2024年度排烟消防车的采购项目</w:t>
      </w:r>
    </w:p>
    <w:p>
      <w:pPr>
        <w:pStyle w:val="null3"/>
        <w:jc w:val="center"/>
        <w:outlineLvl w:val="2"/>
      </w:pPr>
      <w:r>
        <w:rPr>
          <w:sz w:val="28"/>
          <w:b/>
        </w:rPr>
        <w:t>采购项目编号：</w:t>
      </w:r>
      <w:r>
        <w:rPr>
          <w:sz w:val="28"/>
          <w:b/>
        </w:rPr>
        <w:t>SWLCS-241016-HW</w:t>
      </w:r>
      <w:r>
        <w:br/>
      </w:r>
      <w:r>
        <w:br/>
      </w:r>
      <w:r>
        <w:br/>
      </w:r>
    </w:p>
    <w:p>
      <w:pPr>
        <w:pStyle w:val="null3"/>
        <w:jc w:val="center"/>
        <w:outlineLvl w:val="2"/>
      </w:pPr>
      <w:r>
        <w:rPr>
          <w:sz w:val="28"/>
          <w:b/>
        </w:rPr>
        <w:t>铜川市新区应急管理局</w:t>
      </w:r>
    </w:p>
    <w:p>
      <w:pPr>
        <w:pStyle w:val="null3"/>
        <w:jc w:val="center"/>
        <w:outlineLvl w:val="2"/>
      </w:pPr>
      <w:r>
        <w:rPr>
          <w:sz w:val="28"/>
          <w:b/>
        </w:rPr>
        <w:t>陕西文林建设项目管理有限公司</w:t>
      </w:r>
      <w:r>
        <w:rPr>
          <w:sz w:val="28"/>
          <w:b/>
        </w:rPr>
        <w:t>共同编制</w:t>
      </w:r>
    </w:p>
    <w:p>
      <w:pPr>
        <w:pStyle w:val="null3"/>
        <w:jc w:val="center"/>
        <w:outlineLvl w:val="2"/>
      </w:pPr>
      <w:r>
        <w:rPr>
          <w:sz w:val="28"/>
          <w:b/>
        </w:rPr>
        <w:t>2024年10月22日</w:t>
      </w:r>
    </w:p>
    <w:p>
      <w:pPr>
        <w:pStyle w:val="null3"/>
      </w:pPr>
      <w:r>
        <w:rPr/>
        <w:t xml:space="preserve"> </w:t>
        <w:br/>
        <w:br w:type="page"/>
      </w:r>
    </w:p>
    <w:p>
      <w:pPr>
        <w:pStyle w:val="null3"/>
        <w:jc w:val="center"/>
        <w:outlineLvl w:val="1"/>
      </w:pPr>
      <w:r>
        <w:rPr>
          <w:sz w:val="36"/>
          <w:b/>
        </w:rPr>
        <w:t>第一章 竞争性磋商邀请</w:t>
      </w:r>
    </w:p>
    <w:p>
      <w:pPr>
        <w:pStyle w:val="null3"/>
        <w:ind w:firstLine="480"/>
      </w:pPr>
      <w:r>
        <w:rPr/>
        <w:t>陕西文林建设项目管理有限公司</w:t>
      </w:r>
      <w:r>
        <w:rPr/>
        <w:t>（以下简称“代理机构”）受</w:t>
      </w:r>
      <w:r>
        <w:rPr/>
        <w:t>铜川市新区应急管理局</w:t>
      </w:r>
      <w:r>
        <w:rPr/>
        <w:t>委托，拟对</w:t>
      </w:r>
      <w:r>
        <w:rPr/>
        <w:t>关于2024年度排烟消防车的采购项目</w:t>
      </w:r>
      <w:r>
        <w:rPr/>
        <w:t>采用竞争性磋商采购方式进行采购，兹邀请供应商参加本项目的竞争性磋商。</w:t>
      </w:r>
    </w:p>
    <w:p>
      <w:pPr>
        <w:pStyle w:val="null3"/>
        <w:outlineLvl w:val="2"/>
      </w:pPr>
      <w:r>
        <w:rPr>
          <w:sz w:val="28"/>
          <w:b/>
        </w:rPr>
        <w:t>一、项目编号：</w:t>
      </w:r>
      <w:r>
        <w:rPr>
          <w:sz w:val="28"/>
          <w:b/>
        </w:rPr>
        <w:t>SWLCS-241016-HW</w:t>
      </w:r>
    </w:p>
    <w:p>
      <w:pPr>
        <w:pStyle w:val="null3"/>
        <w:outlineLvl w:val="2"/>
      </w:pPr>
      <w:r>
        <w:rPr>
          <w:sz w:val="28"/>
          <w:b/>
        </w:rPr>
        <w:t>二、项目名称：</w:t>
      </w:r>
      <w:r>
        <w:rPr>
          <w:sz w:val="28"/>
          <w:b/>
        </w:rPr>
        <w:t>关于2024年度排烟消防车的采购项目</w:t>
      </w:r>
    </w:p>
    <w:p>
      <w:pPr>
        <w:pStyle w:val="null3"/>
        <w:outlineLvl w:val="2"/>
      </w:pPr>
      <w:r>
        <w:rPr>
          <w:sz w:val="28"/>
          <w:b/>
        </w:rPr>
        <w:t>三、磋商项目简介</w:t>
      </w:r>
    </w:p>
    <w:p>
      <w:pPr>
        <w:pStyle w:val="null3"/>
        <w:ind w:firstLine="480"/>
      </w:pPr>
      <w:r>
        <w:rPr/>
        <w:t>为提升应急处置能力，结合新区目前应急救援装备实力，需购置排烟消防车一辆，用于火场排烟或强制送风，排烟车正负压25万立方。</w:t>
      </w:r>
    </w:p>
    <w:p>
      <w:pPr>
        <w:pStyle w:val="null3"/>
        <w:outlineLvl w:val="2"/>
      </w:pPr>
      <w:r>
        <w:rPr>
          <w:sz w:val="28"/>
          <w:b/>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落实政府采购促进中小企业发展的相关政策：</w:t>
      </w:r>
    </w:p>
    <w:p>
      <w:pPr>
        <w:pStyle w:val="null3"/>
      </w:pPr>
      <w:r>
        <w:rPr/>
        <w:t>采购包1（铜川市新区应急管理局关于2024年度排烟消防车的采购项目）：属于专门面向中小企业采购。</w:t>
      </w:r>
    </w:p>
    <w:p>
      <w:pPr>
        <w:pStyle w:val="null3"/>
        <w:ind w:firstLine="480"/>
      </w:pPr>
      <w:r>
        <w:rPr/>
        <w:t>（三）本项目的特定资格要求：</w:t>
      </w:r>
    </w:p>
    <w:p>
      <w:pPr>
        <w:pStyle w:val="null3"/>
      </w:pPr>
      <w:r>
        <w:rPr/>
        <w:t>采购包1：</w:t>
      </w:r>
    </w:p>
    <w:p>
      <w:pPr>
        <w:pStyle w:val="null3"/>
      </w:pPr>
      <w:r>
        <w:rPr/>
        <w:t>1、法定代表人授权书：提供法定代表人授权书（附法定代表人、被授权人身份证复印件）及被授权人身份证原件（法定代表人直接参加磋商，须提供法定代表人身份证明及身份证原件）；</w:t>
      </w:r>
    </w:p>
    <w:p>
      <w:pPr>
        <w:pStyle w:val="null3"/>
      </w:pPr>
      <w:r>
        <w:rPr/>
        <w:t>2、信誉要求：不得为“信用中国”网站(http://www.creditchina.gov.cn/)列入“失信被执行人或重大税收违法案件当事人名单或政府采购严重违法失信行为记录名单”的投标人；不得被列入中国政府采购网(http://www.ccgp.gov.cn/)“政府采购严重违法失信行为记录名单”；</w:t>
      </w:r>
    </w:p>
    <w:p>
      <w:pPr>
        <w:pStyle w:val="null3"/>
      </w:pPr>
      <w:r>
        <w:rPr/>
        <w:t>3、联合体磋商：本项目不接受联合体磋商</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t xml:space="preserve"> 注：获取的磋商文件主体格式包括pdf、word两种格式版本，其中以pdf格式为准。</w:t>
      </w:r>
    </w:p>
    <w:p>
      <w:pPr>
        <w:pStyle w:val="null3"/>
        <w:outlineLvl w:val="2"/>
      </w:pPr>
      <w:r>
        <w:rPr>
          <w:sz w:val="28"/>
          <w:b/>
        </w:rPr>
        <w:t xml:space="preserve"> 八、首次响应文件提交截止时间及开启时间、地点、方式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铜川市新区应急管理局</w:t>
      </w:r>
    </w:p>
    <w:p>
      <w:pPr>
        <w:pStyle w:val="null3"/>
      </w:pPr>
      <w:r>
        <w:rPr/>
        <w:t xml:space="preserve"> 地址： </w:t>
      </w:r>
      <w:r>
        <w:rPr/>
        <w:t>铜川市新区管委会</w:t>
      </w:r>
    </w:p>
    <w:p>
      <w:pPr>
        <w:pStyle w:val="null3"/>
      </w:pPr>
      <w:r>
        <w:rPr/>
        <w:t xml:space="preserve"> 邮编： </w:t>
      </w:r>
      <w:r>
        <w:rPr/>
        <w:t>727031</w:t>
      </w:r>
    </w:p>
    <w:p>
      <w:pPr>
        <w:pStyle w:val="null3"/>
      </w:pPr>
      <w:r>
        <w:rPr/>
        <w:t xml:space="preserve"> 联系人： </w:t>
      </w:r>
      <w:r>
        <w:rPr/>
        <w:t>陈耀军</w:t>
      </w:r>
    </w:p>
    <w:p>
      <w:pPr>
        <w:pStyle w:val="null3"/>
      </w:pPr>
      <w:r>
        <w:rPr/>
        <w:t xml:space="preserve"> 联系电话： </w:t>
      </w:r>
      <w:r>
        <w:rPr/>
        <w:t>13992912957</w:t>
      </w:r>
    </w:p>
    <w:p>
      <w:pPr>
        <w:pStyle w:val="null3"/>
        <w:outlineLvl w:val="3"/>
      </w:pPr>
      <w:r>
        <w:rPr>
          <w:sz w:val="24"/>
          <w:b/>
        </w:rPr>
        <w:t>代理机构：</w:t>
      </w:r>
      <w:r>
        <w:rPr>
          <w:sz w:val="24"/>
          <w:b/>
        </w:rPr>
        <w:t>陕西文林建设项目管理有限公司</w:t>
      </w:r>
    </w:p>
    <w:p>
      <w:pPr>
        <w:pStyle w:val="null3"/>
      </w:pPr>
      <w:r>
        <w:rPr/>
        <w:t xml:space="preserve"> 地址： </w:t>
      </w:r>
      <w:r>
        <w:rPr/>
        <w:t>陕西省西安市莲湖区夏家什字小区华汇大厦1幢1单元10601室</w:t>
      </w:r>
    </w:p>
    <w:p>
      <w:pPr>
        <w:pStyle w:val="null3"/>
      </w:pPr>
      <w:r>
        <w:rPr/>
        <w:t xml:space="preserve"> 邮编： </w:t>
      </w:r>
      <w:r>
        <w:rPr/>
        <w:t>710082</w:t>
      </w:r>
    </w:p>
    <w:p>
      <w:pPr>
        <w:pStyle w:val="null3"/>
      </w:pPr>
      <w:r>
        <w:rPr/>
        <w:t xml:space="preserve"> 联系人： </w:t>
      </w:r>
      <w:r>
        <w:rPr/>
        <w:t>杨旻</w:t>
      </w:r>
    </w:p>
    <w:p>
      <w:pPr>
        <w:pStyle w:val="null3"/>
      </w:pPr>
      <w:r>
        <w:rPr/>
        <w:t xml:space="preserve"> 联系电话： </w:t>
      </w:r>
      <w:r>
        <w:rPr/>
        <w:t>18220179916</w:t>
      </w:r>
    </w:p>
    <w:p>
      <w:pPr>
        <w:pStyle w:val="null3"/>
        <w:outlineLvl w:val="3"/>
      </w:pPr>
      <w:r>
        <w:rPr>
          <w:sz w:val="24"/>
          <w:b/>
        </w:rPr>
        <w:t>采购监督机构：</w:t>
      </w:r>
      <w:r>
        <w:rPr>
          <w:sz w:val="24"/>
          <w:b/>
        </w:rPr>
        <w:t>铜川新区政府采购管理股</w:t>
      </w:r>
    </w:p>
    <w:p>
      <w:pPr>
        <w:pStyle w:val="null3"/>
        <w:ind w:firstLine="480"/>
      </w:pPr>
      <w:r>
        <w:rPr/>
        <w:t>联系人：</w:t>
      </w:r>
      <w:r>
        <w:rPr/>
        <w:t>高炜</w:t>
      </w:r>
    </w:p>
    <w:p>
      <w:pPr>
        <w:pStyle w:val="null3"/>
        <w:ind w:firstLine="480"/>
      </w:pPr>
      <w:r>
        <w:rPr/>
        <w:t>联系电话：</w:t>
      </w:r>
      <w:r>
        <w:rPr/>
        <w:t>0919-3181026</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采购包1：1,750,000.00元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 xml:space="preserve"> 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（3）同一专业的单位组成的联合体，应当按照资质等级较低的单位确定联合体的资质等级。某联合体由三个单位组成，其中两个单位资质等级为甲级，另一单位资质等级为乙级，则该联合体资质等级为乙级。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2.本项目采购的</w:t>
            </w:r>
            <w:r>
              <w:rPr/>
              <w:t>无产品</w:t>
            </w:r>
            <w:r>
              <w:rPr/>
              <w:t>产品属于节能产品政府采购品目清单中应强制采购的产品范围，供应商应当提供国家确定的认证机构出具的、处于有效期之内的节能产品认证证书，否则作无效响应处理。</w:t>
            </w:r>
          </w:p>
          <w:p>
            <w:pPr>
              <w:pStyle w:val="null3"/>
            </w:pPr>
            <w:r>
              <w:rPr/>
              <w:t>3.本项目采购的</w:t>
            </w:r>
            <w:r>
              <w:rPr/>
              <w:t>无产品</w:t>
            </w:r>
            <w:r>
              <w:rPr/>
              <w:t>产品属于节能产品政府采购品目清单中应优先采购的产品范围，本项目采购的</w:t>
            </w:r>
            <w:r>
              <w:rPr/>
              <w:t>无产品</w:t>
            </w:r>
            <w:r>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w:t>
            </w:r>
          </w:p>
          <w:p>
            <w:pPr>
              <w:pStyle w:val="null3"/>
            </w:pPr>
            <w:r>
              <w:rPr/>
              <w:t xml:space="preserve"> 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采购包1：缴纳</w:t>
            </w:r>
          </w:p>
          <w:p>
            <w:pPr>
              <w:pStyle w:val="null3"/>
            </w:pPr>
            <w:r>
              <w:rPr/>
              <w:t>本采购包履约保证金为合同金额的5.0%</w:t>
            </w:r>
          </w:p>
          <w:p>
            <w:pPr>
              <w:pStyle w:val="null3"/>
            </w:pPr>
            <w:r>
              <w:rPr/>
              <w:t>说明：签订合同后7个工作日内中标供应商向采购人交纳合同总金额的5%的履约保证金。（允许供应商按照相关法律法规自主选择以支票、汇票、本票、保函等非现金形式缴纳保证金）</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提交首次响应文件的截止之日起不少于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代理服务费收费标准：代理服务费收费标准： 1、招标代理服务费参考《国家计委关于印发&lt;招标代理服务收费管理暂行办法&gt;的通知》（计价格〔2002〕1980号）规定按标准收取代理服务费。 2、在领取成交通知书前，由成交供应商向采购代理机构缴纳招标代理服务费，一次性付清。 3、服务费缴纳账户： 户 名：陕西文林建设项目管理有限公司 账号：2614 2101 0400 06681 开户行：中国农业银行股份有限公司西安团结二路支行 行号：103791014215 转账用途注明“项目简称+服务费”</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出现下列情形之一的，采购人或者代理机构应当中止电子化采购活动，并保留相关证明材料备查：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铜川市新区应急管理局</w:t>
      </w:r>
      <w:r>
        <w:rPr/>
        <w:t>和</w:t>
      </w:r>
      <w:r>
        <w:rPr/>
        <w:t>陕西文林建设项目管理有限公司</w:t>
      </w:r>
      <w:r>
        <w:rPr/>
        <w:t>享有。对磋商文件中供应商参加本次政府采购活动应当具备的条件，磋商项目技术、服务、商务及其他要求，评审细则及标准由</w:t>
      </w:r>
      <w:r>
        <w:rPr/>
        <w:t>铜川市新区应急管理局</w:t>
      </w:r>
      <w:r>
        <w:rPr/>
        <w:t>负责解释。除上述磋商文件内容，其他内容由</w:t>
      </w:r>
      <w:r>
        <w:rPr/>
        <w:t>陕西文林建设项目管理有限公司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一、“采购人”是指依法进行政府采购的各级国家机关、事业单位、团体组织。本次磋商的采购人是{采购人名称}。</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陕西文林建设项目管理有限公司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sz w:val="24"/>
          <w:b/>
        </w:rPr>
        <w:t>2.2.3响应费用（实质性要求）</w:t>
      </w:r>
    </w:p>
    <w:p>
      <w:pPr>
        <w:pStyle w:val="null3"/>
        <w:ind w:firstLine="480"/>
      </w:pPr>
      <w:r>
        <w:rPr/>
        <w:t>供应商应自行承担参加竞争性磋商采购活动的全部费用。</w:t>
      </w:r>
    </w:p>
    <w:p>
      <w:pPr>
        <w:pStyle w:val="null3"/>
        <w:outlineLvl w:val="2"/>
      </w:pPr>
      <w:r>
        <w:rPr>
          <w:sz w:val="28"/>
          <w:b/>
        </w:rPr>
        <w:t>2.3磋商文件</w:t>
      </w:r>
    </w:p>
    <w:p>
      <w:pPr>
        <w:pStyle w:val="null3"/>
        <w:outlineLvl w:val="3"/>
      </w:pPr>
      <w:r>
        <w:rPr>
          <w:sz w:val="24"/>
          <w:b/>
        </w:rPr>
        <w:t>2.3.1磋商文件的构成</w:t>
      </w:r>
    </w:p>
    <w:p>
      <w:pPr>
        <w:pStyle w:val="null3"/>
        <w:ind w:firstLine="480"/>
      </w:pPr>
      <w:r>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sz w:val="24"/>
          <w:b/>
        </w:rPr>
        <w:t>2.3.2磋商文件的澄清和修改</w:t>
      </w:r>
    </w:p>
    <w:p>
      <w:pPr>
        <w:pStyle w:val="null3"/>
        <w:ind w:firstLine="480"/>
      </w:pPr>
      <w:r>
        <w:rPr/>
        <w:t xml:space="preserve"> 一、在提交首次响应文件截止时间前，采购人或者代理机构可以对已发出的磋商文件进行必要的澄清或者修改。</w:t>
      </w:r>
    </w:p>
    <w:p>
      <w:pPr>
        <w:pStyle w:val="null3"/>
      </w:pPr>
      <w:r>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除磋商文件中另有规定外，本项目均采用国家法定的计量单位。</w:t>
      </w:r>
    </w:p>
    <w:p>
      <w:pPr>
        <w:pStyle w:val="null3"/>
        <w:outlineLvl w:val="3"/>
      </w:pPr>
      <w:r>
        <w:rPr>
          <w:sz w:val="24"/>
          <w:b/>
        </w:rPr>
        <w:t>2.4.3响应货币</w:t>
      </w:r>
    </w:p>
    <w:p>
      <w:pPr>
        <w:pStyle w:val="null3"/>
        <w:ind w:firstLine="480"/>
      </w:pPr>
      <w:r>
        <w:rPr/>
        <w:t>本次项目均以人民币报价。</w:t>
      </w:r>
    </w:p>
    <w:p>
      <w:pPr>
        <w:pStyle w:val="null3"/>
        <w:outlineLvl w:val="3"/>
      </w:pPr>
      <w:r>
        <w:rPr>
          <w:sz w:val="24"/>
          <w:b/>
        </w:rPr>
        <w:t>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 xml:space="preserve"> 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sz w:val="24"/>
          <w:b/>
        </w:rPr>
        <w:t>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sz w:val="24"/>
          <w:b/>
        </w:rPr>
        <w:t>2.4.6响应文件格式</w:t>
      </w:r>
    </w:p>
    <w:p>
      <w:pPr>
        <w:pStyle w:val="null3"/>
        <w:ind w:firstLine="480"/>
      </w:pPr>
      <w:r>
        <w:rPr/>
        <w:t xml:space="preserve"> 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sz w:val="24"/>
          <w:b/>
        </w:rPr>
        <w:t>2.4.7响应报价（实质性要求）</w:t>
      </w:r>
    </w:p>
    <w:p>
      <w:pPr>
        <w:pStyle w:val="null3"/>
        <w:ind w:firstLine="480"/>
      </w:pPr>
      <w:r>
        <w:rPr/>
        <w:t xml:space="preserve"> 一、供应商的报价是其响应磋商项目要求的全部工作内容的价格体现，包括供应商完成本项目所需的一切费用。</w:t>
      </w:r>
    </w:p>
    <w:p>
      <w:pPr>
        <w:pStyle w:val="null3"/>
        <w:ind w:firstLine="480"/>
      </w:pPr>
      <w:r>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2.4.9响应文件的制作、签章和加密（实质性要求）</w:t>
      </w:r>
    </w:p>
    <w:p>
      <w:pPr>
        <w:pStyle w:val="null3"/>
        <w:ind w:firstLine="480"/>
      </w:pPr>
      <w:r>
        <w:rPr/>
        <w:t xml:space="preserve"> 一、响应文件应当根据磋商文件进行编制。供应商应通过陕西省政府采购网--办事指南-CA及签章服务下载投标（响应）客户端，使用客户端编制响应文件。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sz w:val="24"/>
          <w:b/>
        </w:rPr>
        <w:t>2.4.10响应文件的提交（实质性要求）</w:t>
      </w:r>
    </w:p>
    <w:p>
      <w:pPr>
        <w:pStyle w:val="null3"/>
        <w:ind w:firstLine="480"/>
      </w:pPr>
      <w:r>
        <w:rPr/>
        <w:t xml:space="preserve"> 一、供应商应当在提交响应文件截止时间前，通过项目电子化交易系统完成首次响应文件提交。</w:t>
      </w:r>
    </w:p>
    <w:p>
      <w:pPr>
        <w:pStyle w:val="null3"/>
        <w:ind w:firstLine="480"/>
      </w:pPr>
      <w:r>
        <w:rPr/>
        <w:t xml:space="preserve"> 二、在提交响应文件截止时间后，代理机构不再接受供应商提交响应文件。供应商应充分考虑影响响应文件提交的各种因素，确保在提交响应文件截止时间前完成提交。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2.5开启、资格审查、磋商和确定成交供应商</w:t>
      </w:r>
    </w:p>
    <w:p>
      <w:pPr>
        <w:pStyle w:val="null3"/>
        <w:outlineLvl w:val="3"/>
      </w:pPr>
      <w:r>
        <w:rPr>
          <w:sz w:val="24"/>
          <w:b/>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pPr>
      <w:r>
        <w:rPr/>
        <w:t xml:space="preserve"> 响应文件开启时间前，供应商登录项目电子化交易系统-“开标/开启大厅”，等待代理机构开启磋商。</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详见磋商文件第四章。</w:t>
      </w:r>
    </w:p>
    <w:p>
      <w:pPr>
        <w:pStyle w:val="null3"/>
        <w:outlineLvl w:val="3"/>
      </w:pPr>
      <w:r>
        <w:rPr>
          <w:sz w:val="24"/>
          <w:b/>
        </w:rPr>
        <w:t>2.5.4磋商</w:t>
      </w:r>
    </w:p>
    <w:p>
      <w:pPr>
        <w:pStyle w:val="null3"/>
        <w:ind w:firstLine="480"/>
      </w:pPr>
      <w:r>
        <w:rPr/>
        <w:t>详见磋商文件第六章</w:t>
      </w:r>
    </w:p>
    <w:p>
      <w:pPr>
        <w:pStyle w:val="null3"/>
        <w:outlineLvl w:val="3"/>
      </w:pPr>
      <w:r>
        <w:rPr>
          <w:sz w:val="24"/>
          <w:b/>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2.6.1签订合同</w:t>
      </w:r>
    </w:p>
    <w:p>
      <w:pPr>
        <w:pStyle w:val="null3"/>
        <w:ind w:firstLine="480"/>
      </w:pPr>
      <w:r>
        <w:rPr/>
        <w:t xml:space="preserve"> 一、采购人应在成交通知书发出之日起三十日内与成交供应商签订采购合同。</w:t>
      </w:r>
    </w:p>
    <w:p>
      <w:pPr>
        <w:pStyle w:val="null3"/>
        <w:ind w:firstLine="480"/>
      </w:pPr>
      <w:r>
        <w:rPr/>
        <w:t xml:space="preserve"> 二、采购人和成交供应商签订的采购合同不得对磋商文件确定的事项以及成交供应商的响应文件作实质性修改。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 xml:space="preserve"> 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t xml:space="preserve"> 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sz w:val="24"/>
          <w:b/>
        </w:rPr>
        <w:t>2.6.6履行合同</w:t>
      </w:r>
    </w:p>
    <w:p>
      <w:pPr>
        <w:pStyle w:val="null3"/>
        <w:ind w:firstLine="480"/>
      </w:pPr>
      <w:r>
        <w:rPr/>
        <w:t>一、成交供应商与采购人签订合同后，合同双方应严格执行合同条款，履行合同规定的义务，保证合同的顺利完成。</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2.6.7履约验收方案</w:t>
      </w:r>
    </w:p>
    <w:p>
      <w:pPr>
        <w:pStyle w:val="null3"/>
      </w:pPr>
      <w:r>
        <w:rPr/>
        <w:t>采购包1：</w:t>
      </w:r>
    </w:p>
    <w:p>
      <w:pPr>
        <w:pStyle w:val="null3"/>
      </w:pPr>
      <w:r>
        <w:rPr/>
        <w:t>国标GB7956，合同和技术参数</w:t>
      </w:r>
    </w:p>
    <w:p>
      <w:pPr>
        <w:pStyle w:val="null3"/>
        <w:outlineLvl w:val="3"/>
      </w:pPr>
      <w:r>
        <w:rPr>
          <w:sz w:val="24"/>
          <w:b/>
        </w:rPr>
        <w:t>2.6.8资金支付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 xml:space="preserve"> 对各供应商的商业秘密，磋商小组成员应予以保密，不得泄露给其他供应商。</w:t>
      </w:r>
    </w:p>
    <w:p>
      <w:pPr>
        <w:pStyle w:val="null3"/>
        <w:outlineLvl w:val="3"/>
      </w:pPr>
      <w:r>
        <w:rPr>
          <w:sz w:val="24"/>
          <w:b/>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 xml:space="preserve"> （三）不同供应商的响应文件载明的项目管理成员或者联系人员为同一人；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八、未按照磋商文件确定的事项签订政府采购合同；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供应商有上述情形的，按照规定追究法律责任，具有前述一至十三条情形之一的，其响应文件无效，或取消被确认为成交供应商的资格或认定成交无效。</w:t>
      </w:r>
    </w:p>
    <w:p>
      <w:pPr>
        <w:pStyle w:val="null3"/>
        <w:outlineLvl w:val="3"/>
      </w:pPr>
      <w:r>
        <w:rPr>
          <w:sz w:val="24"/>
          <w:b/>
        </w:rPr>
        <w:t>2.7.3采购人员及相关人员回避要求</w:t>
      </w:r>
    </w:p>
    <w:p>
      <w:pPr>
        <w:pStyle w:val="null3"/>
        <w:ind w:firstLine="480"/>
      </w:pPr>
      <w:r>
        <w:rPr/>
        <w:t xml:space="preserve"> 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 xml:space="preserve"> （四）与供应商的法定代表人或者负责人有夫妻、直系血亲、三代以内旁系血亲或者近姻亲关系；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根据委托代理协议约定，供应商对采购文件的询问、质疑由 </w:t>
      </w:r>
      <w:r>
        <w:rPr/>
        <w:t>陕西文林建设项目管理有限公司</w:t>
      </w:r>
      <w:r>
        <w:rPr/>
        <w:t xml:space="preserve"> 负责答复；供应商对采购过程的询问、质疑由</w:t>
      </w:r>
      <w:r>
        <w:rPr/>
        <w:t>陕西文林建设项目管理有限公司</w:t>
      </w:r>
      <w:r>
        <w:rPr/>
        <w:t xml:space="preserve"> 负责答复；供应商对采购结果的询问、质疑由 </w:t>
      </w:r>
      <w:r>
        <w:rPr/>
        <w:t>陕西文林建设项目管理有限公司</w:t>
      </w:r>
      <w:r>
        <w:rPr/>
        <w:t xml:space="preserve"> 负责答复。</w:t>
      </w:r>
    </w:p>
    <w:p>
      <w:pPr>
        <w:pStyle w:val="null3"/>
        <w:ind w:firstLine="480"/>
      </w:pPr>
      <w:r>
        <w:rPr/>
        <w:t xml:space="preserve"> 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磋商文件、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t xml:space="preserve"> （一）对可以质疑的采购文件提出质疑的，为收到采购文件之日或者采购文件公告期限届满之日；</w:t>
      </w:r>
    </w:p>
    <w:p>
      <w:pPr>
        <w:pStyle w:val="null3"/>
        <w:ind w:firstLine="480"/>
      </w:pPr>
      <w:r>
        <w:rPr/>
        <w:t>（二）对采购过程提出质疑的，为各采购程序环节结束之日；</w:t>
      </w:r>
    </w:p>
    <w:p>
      <w:pPr>
        <w:pStyle w:val="null3"/>
        <w:ind w:firstLine="480"/>
      </w:pPr>
      <w:r>
        <w:rPr/>
        <w:t xml:space="preserve"> （三）对中标或者成交结果提出质疑的，为中标或者成交结果公告期限届满之日。</w:t>
      </w:r>
    </w:p>
    <w:p>
      <w:pPr>
        <w:pStyle w:val="null3"/>
        <w:ind w:firstLine="480"/>
      </w:pPr>
      <w:r>
        <w:rPr/>
        <w:t xml:space="preserve"> 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 xml:space="preserve"> （二）法定代表人或主要负责人授权委托书1份（委托代理人办理质疑事宜的需提供）；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 xml:space="preserve"> （四）委托代理人身份证复印件1份（委托代理人办理质疑事宜的需提供）；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pPr>
      <w:r>
        <w:rPr/>
        <w:t>答复主体：代理机构</w:t>
      </w:r>
    </w:p>
    <w:p>
      <w:pPr>
        <w:pStyle w:val="null3"/>
      </w:pPr>
      <w:r>
        <w:rPr/>
        <w:t>联系人：冯工</w:t>
      </w:r>
    </w:p>
    <w:p>
      <w:pPr>
        <w:pStyle w:val="null3"/>
      </w:pPr>
      <w:r>
        <w:rPr/>
        <w:t>联系电话：18049234676</w:t>
      </w:r>
    </w:p>
    <w:p>
      <w:pPr>
        <w:pStyle w:val="null3"/>
      </w:pPr>
      <w:r>
        <w:rPr/>
        <w:t>地址：陕西省西安市莲湖区陕西省西安市莲湖区环城西路北段360号天朗时代大酒店A座六层东区</w:t>
      </w:r>
    </w:p>
    <w:p>
      <w:pPr>
        <w:pStyle w:val="null3"/>
      </w:pPr>
      <w:r>
        <w:rPr/>
        <w:t>邮编：710082</w:t>
      </w:r>
    </w:p>
    <w:p>
      <w:pPr>
        <w:pStyle w:val="null3"/>
        <w:ind w:firstLine="480"/>
      </w:pPr>
      <w:r>
        <w:rPr/>
        <w:t xml:space="preserve"> 注：根据《中华人民共和国政府采购法》的规定，供应商质疑不得超出磋商文件、采购过程、采购结果的范围。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 xml:space="preserve"> 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3.1采购项目概况</w:t>
      </w:r>
    </w:p>
    <w:p>
      <w:pPr>
        <w:pStyle w:val="null3"/>
        <w:ind w:firstLine="480"/>
      </w:pPr>
      <w:r>
        <w:rPr/>
        <w:t>为提升应急处置能力，结合新区目前应急救援装备实力，需购置排烟消防车一辆，用于火场排烟或强制送风，排烟车正负压25万立方。</w:t>
      </w:r>
    </w:p>
    <w:p>
      <w:pPr>
        <w:pStyle w:val="null3"/>
        <w:outlineLvl w:val="2"/>
      </w:pPr>
      <w:r>
        <w:rPr>
          <w:sz w:val="28"/>
          <w:b/>
        </w:rPr>
        <w:t>3.2采购内容</w:t>
      </w:r>
    </w:p>
    <w:p>
      <w:pPr>
        <w:pStyle w:val="null3"/>
      </w:pPr>
      <w:r>
        <w:rPr/>
        <w:t>采购包1：</w:t>
      </w:r>
    </w:p>
    <w:p>
      <w:pPr>
        <w:pStyle w:val="null3"/>
      </w:pPr>
      <w:r>
        <w:rPr/>
        <w:t>采购包预算金额（元）: 1,750,000.00</w:t>
      </w:r>
    </w:p>
    <w:p>
      <w:pPr>
        <w:pStyle w:val="null3"/>
      </w:pPr>
      <w:r>
        <w:rPr/>
        <w:t>采购包最高限价（元）: 1,750,000.00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排烟消防车</w:t>
            </w:r>
          </w:p>
        </w:tc>
        <w:tc>
          <w:tcPr>
            <w:tcW w:type="dxa" w:w="831"/>
          </w:tcPr>
          <w:p>
            <w:pPr>
              <w:pStyle w:val="null3"/>
              <w:jc w:val="right"/>
            </w:pPr>
            <w:r>
              <w:rPr/>
              <w:t>1.00</w:t>
            </w:r>
          </w:p>
        </w:tc>
        <w:tc>
          <w:tcPr>
            <w:tcW w:type="dxa" w:w="831"/>
          </w:tcPr>
          <w:p>
            <w:pPr>
              <w:pStyle w:val="null3"/>
              <w:jc w:val="right"/>
            </w:pPr>
            <w:r>
              <w:rPr/>
              <w:t>1,750,000.00</w:t>
            </w:r>
          </w:p>
        </w:tc>
        <w:tc>
          <w:tcPr>
            <w:tcW w:type="dxa" w:w="831"/>
          </w:tcPr>
          <w:p>
            <w:pPr>
              <w:pStyle w:val="null3"/>
            </w:pPr>
            <w:r>
              <w:rPr/>
              <w:t>辆</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3.3技术要求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标的名称：排烟消防车</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pPr>
              <w:pStyle w:val="null3"/>
            </w:pPr>
            <w:r>
              <w:rPr/>
              <w:t>★</w:t>
            </w:r>
          </w:p>
        </w:tc>
        <w:tc>
          <w:tcPr>
            <w:tcW w:type="dxa" w:w="2769"/>
          </w:tcPr>
          <w:p>
            <w:pPr>
              <w:pStyle w:val="null3"/>
            </w:pPr>
            <w:r>
              <w:rPr/>
              <w:t>1</w:t>
            </w:r>
          </w:p>
        </w:tc>
        <w:tc>
          <w:tcPr>
            <w:tcW w:type="dxa" w:w="2769"/>
          </w:tcPr>
          <w:p>
            <w:pPr>
              <w:pStyle w:val="null3"/>
              <w:spacing w:before="285" w:after="285"/>
              <w:jc w:val="both"/>
              <w:outlineLvl w:val="3"/>
            </w:pPr>
            <w:r>
              <w:rPr>
                <w:rFonts w:ascii="宋体" w:hAnsi="宋体" w:cs="宋体" w:eastAsia="宋体"/>
                <w:sz w:val="24"/>
                <w:b/>
              </w:rPr>
              <w:t>整车：</w:t>
            </w:r>
          </w:p>
          <w:p>
            <w:pPr>
              <w:pStyle w:val="null3"/>
              <w:spacing w:before="285" w:after="285"/>
              <w:jc w:val="both"/>
              <w:outlineLvl w:val="3"/>
            </w:pPr>
            <w:r>
              <w:rPr>
                <w:rFonts w:ascii="宋体" w:hAnsi="宋体" w:cs="宋体" w:eastAsia="宋体"/>
                <w:sz w:val="24"/>
                <w:b/>
              </w:rPr>
              <w:t>1、满足GB1589-2016《汽车、挂车及汽车列车外廓尺寸、轴荷及质量限值》和GB7956.1-2014《消防车第1部分：通用技术条件》相关规定；</w:t>
            </w:r>
          </w:p>
          <w:p>
            <w:pPr>
              <w:pStyle w:val="null3"/>
              <w:spacing w:before="285" w:after="285"/>
              <w:jc w:val="both"/>
              <w:outlineLvl w:val="3"/>
            </w:pPr>
            <w:r>
              <w:rPr>
                <w:rFonts w:ascii="宋体" w:hAnsi="宋体" w:cs="宋体" w:eastAsia="宋体"/>
                <w:sz w:val="24"/>
                <w:b/>
              </w:rPr>
              <w:t>2、整车外形尺寸(长×宽×高)mm：≥8900×250×3950；</w:t>
            </w:r>
          </w:p>
          <w:p>
            <w:pPr>
              <w:pStyle w:val="null3"/>
              <w:spacing w:before="285" w:after="285"/>
              <w:jc w:val="both"/>
              <w:outlineLvl w:val="3"/>
            </w:pPr>
            <w:r>
              <w:rPr>
                <w:rFonts w:ascii="宋体" w:hAnsi="宋体" w:cs="宋体" w:eastAsia="宋体"/>
                <w:sz w:val="24"/>
                <w:b/>
              </w:rPr>
              <w:t>3、排放标准：国Ⅵ；</w:t>
            </w:r>
          </w:p>
          <w:p>
            <w:pPr>
              <w:pStyle w:val="null3"/>
              <w:spacing w:before="285" w:after="285"/>
              <w:jc w:val="both"/>
              <w:outlineLvl w:val="3"/>
            </w:pPr>
            <w:r>
              <w:rPr>
                <w:rFonts w:ascii="宋体" w:hAnsi="宋体" w:cs="宋体" w:eastAsia="宋体"/>
                <w:sz w:val="24"/>
                <w:b/>
              </w:rPr>
              <w:t>4、发动机功率：≥250kw，整车整备质量≥13800kg；</w:t>
            </w:r>
          </w:p>
          <w:p>
            <w:pPr>
              <w:pStyle w:val="null3"/>
              <w:spacing w:before="285" w:after="285"/>
              <w:jc w:val="both"/>
              <w:outlineLvl w:val="3"/>
            </w:pPr>
            <w:r>
              <w:rPr>
                <w:rFonts w:ascii="宋体" w:hAnsi="宋体" w:cs="宋体" w:eastAsia="宋体"/>
                <w:sz w:val="24"/>
                <w:b/>
              </w:rPr>
              <w:t>5、底盘：国产底盘，采用市场二类底盘改装而成；</w:t>
            </w:r>
          </w:p>
          <w:p>
            <w:pPr>
              <w:pStyle w:val="null3"/>
              <w:spacing w:before="285" w:after="285"/>
              <w:jc w:val="both"/>
              <w:outlineLvl w:val="3"/>
            </w:pPr>
            <w:r>
              <w:rPr>
                <w:rFonts w:ascii="宋体" w:hAnsi="宋体" w:cs="宋体" w:eastAsia="宋体"/>
                <w:sz w:val="24"/>
                <w:b/>
              </w:rPr>
              <w:t>6、驱动形式：4×2；</w:t>
            </w:r>
          </w:p>
          <w:p>
            <w:pPr>
              <w:pStyle w:val="null3"/>
              <w:spacing w:before="285" w:after="285"/>
              <w:jc w:val="both"/>
              <w:outlineLvl w:val="3"/>
            </w:pPr>
            <w:r>
              <w:rPr>
                <w:rFonts w:ascii="宋体" w:hAnsi="宋体" w:cs="宋体" w:eastAsia="宋体"/>
                <w:sz w:val="24"/>
                <w:b/>
              </w:rPr>
              <w:t>7、驾驶室：单排驾驶室；</w:t>
            </w:r>
          </w:p>
          <w:p>
            <w:pPr>
              <w:pStyle w:val="null3"/>
              <w:spacing w:before="285" w:after="285"/>
              <w:jc w:val="both"/>
              <w:outlineLvl w:val="3"/>
            </w:pPr>
            <w:r>
              <w:rPr>
                <w:rFonts w:ascii="宋体" w:hAnsi="宋体" w:cs="宋体" w:eastAsia="宋体"/>
                <w:sz w:val="24"/>
                <w:b/>
              </w:rPr>
              <w:t>8、底盘油箱容积≥200L；</w:t>
            </w:r>
          </w:p>
          <w:p>
            <w:pPr>
              <w:pStyle w:val="null3"/>
              <w:spacing w:before="285" w:after="285"/>
              <w:jc w:val="both"/>
              <w:outlineLvl w:val="3"/>
            </w:pPr>
            <w:r>
              <w:rPr>
                <w:rFonts w:ascii="宋体" w:hAnsi="宋体" w:cs="宋体" w:eastAsia="宋体"/>
                <w:sz w:val="24"/>
                <w:b/>
              </w:rPr>
              <w:t>9、变速箱：手动变速箱，9个前进挡+1个倒挡，带同步器；</w:t>
            </w:r>
          </w:p>
          <w:p>
            <w:pPr>
              <w:pStyle w:val="null3"/>
              <w:spacing w:before="285" w:after="285"/>
              <w:jc w:val="both"/>
              <w:outlineLvl w:val="3"/>
            </w:pPr>
            <w:r>
              <w:rPr>
                <w:rFonts w:ascii="宋体" w:hAnsi="宋体" w:cs="宋体" w:eastAsia="宋体"/>
                <w:sz w:val="24"/>
                <w:b/>
              </w:rPr>
              <w:t>10、底盘配置子午线钢丝真空胎、配备原车全尺寸备胎；</w:t>
            </w:r>
          </w:p>
          <w:p>
            <w:pPr>
              <w:pStyle w:val="null3"/>
              <w:spacing w:before="285" w:after="285"/>
              <w:jc w:val="both"/>
              <w:outlineLvl w:val="3"/>
            </w:pPr>
            <w:r>
              <w:rPr>
                <w:rFonts w:ascii="宋体" w:hAnsi="宋体" w:cs="宋体" w:eastAsia="宋体"/>
                <w:sz w:val="24"/>
                <w:b/>
              </w:rPr>
              <w:t>11、轴距：≤5200mm；</w:t>
            </w:r>
          </w:p>
          <w:p>
            <w:pPr>
              <w:pStyle w:val="null3"/>
              <w:spacing w:before="285" w:after="285"/>
              <w:jc w:val="both"/>
              <w:outlineLvl w:val="3"/>
            </w:pPr>
            <w:r>
              <w:rPr>
                <w:rFonts w:ascii="宋体" w:hAnsi="宋体" w:cs="宋体" w:eastAsia="宋体"/>
                <w:sz w:val="24"/>
                <w:b/>
              </w:rPr>
              <w:t>12、制动系统：EBS（电子制动系统）+ESC(电子防侧翻系统)；</w:t>
            </w:r>
          </w:p>
        </w:tc>
      </w:tr>
      <w:tr>
        <w:tc>
          <w:tcPr>
            <w:tcW w:type="dxa" w:w="2769"/>
          </w:tcPr>
          <w:p>
            <w:pPr>
              <w:pStyle w:val="null3"/>
            </w:pPr>
            <w:r>
              <w:rPr/>
              <w:t>★</w:t>
            </w:r>
          </w:p>
        </w:tc>
        <w:tc>
          <w:tcPr>
            <w:tcW w:type="dxa" w:w="2769"/>
          </w:tcPr>
          <w:p>
            <w:pPr>
              <w:pStyle w:val="null3"/>
            </w:pPr>
            <w:r>
              <w:rPr/>
              <w:t>2</w:t>
            </w:r>
          </w:p>
        </w:tc>
        <w:tc>
          <w:tcPr>
            <w:tcW w:type="dxa" w:w="2769"/>
          </w:tcPr>
          <w:p>
            <w:pPr>
              <w:pStyle w:val="null3"/>
              <w:outlineLvl w:val="3"/>
            </w:pPr>
            <w:r>
              <w:rPr>
                <w:sz w:val="24"/>
                <w:b/>
              </w:rPr>
              <w:t>驾驶室：</w:t>
            </w:r>
          </w:p>
          <w:p>
            <w:pPr>
              <w:pStyle w:val="null3"/>
              <w:outlineLvl w:val="3"/>
            </w:pPr>
            <w:r>
              <w:rPr>
                <w:sz w:val="24"/>
                <w:b/>
              </w:rPr>
              <w:t>1、驾乘室布局结构：双门单排驾驶室，电动电加热后视镜，电动玻璃升降器；</w:t>
            </w:r>
          </w:p>
          <w:p>
            <w:pPr>
              <w:pStyle w:val="null3"/>
              <w:outlineLvl w:val="3"/>
            </w:pPr>
            <w:r>
              <w:rPr>
                <w:sz w:val="24"/>
                <w:b/>
              </w:rPr>
              <w:t>2、驾乘室安全设置：安装有三点式预紧安全带；</w:t>
            </w:r>
          </w:p>
          <w:p>
            <w:pPr>
              <w:pStyle w:val="null3"/>
              <w:outlineLvl w:val="3"/>
            </w:pPr>
            <w:r>
              <w:rPr>
                <w:sz w:val="24"/>
                <w:b/>
              </w:rPr>
              <w:t>3、配置车载逆变器，220V/5A交流电源接口，交流接口采用万能插，满足两插、三插等各类不同插头的需求，并配有USB3.0接口；</w:t>
            </w:r>
          </w:p>
          <w:p>
            <w:pPr>
              <w:pStyle w:val="null3"/>
              <w:outlineLvl w:val="3"/>
            </w:pPr>
            <w:r>
              <w:rPr>
                <w:sz w:val="24"/>
                <w:b/>
              </w:rPr>
              <w:t>4、 配备冷暖空调，带有车载导航系统，胎压监测、带倒车影像（含雷达），360度行车记录仪（内存不小于256G，100拍摄时间不小于6小时），气动主驾座椅，增加车门、安全带报警提示蜂鸣器。</w:t>
            </w:r>
          </w:p>
        </w:tc>
      </w:tr>
      <w:tr>
        <w:tc>
          <w:tcPr>
            <w:tcW w:type="dxa" w:w="2769"/>
          </w:tcPr>
          <w:p>
            <w:pPr>
              <w:pStyle w:val="null3"/>
            </w:pPr>
            <w:r>
              <w:rPr/>
              <w:t>★</w:t>
            </w:r>
          </w:p>
        </w:tc>
        <w:tc>
          <w:tcPr>
            <w:tcW w:type="dxa" w:w="2769"/>
          </w:tcPr>
          <w:p>
            <w:pPr>
              <w:pStyle w:val="null3"/>
            </w:pPr>
            <w:r>
              <w:rPr/>
              <w:t>3</w:t>
            </w:r>
          </w:p>
        </w:tc>
        <w:tc>
          <w:tcPr>
            <w:tcW w:type="dxa" w:w="2769"/>
          </w:tcPr>
          <w:p>
            <w:pPr>
              <w:pStyle w:val="null3"/>
              <w:outlineLvl w:val="3"/>
            </w:pPr>
            <w:r>
              <w:rPr>
                <w:sz w:val="24"/>
                <w:b/>
              </w:rPr>
              <w:t>车厢：</w:t>
            </w:r>
          </w:p>
          <w:p>
            <w:pPr>
              <w:pStyle w:val="null3"/>
              <w:outlineLvl w:val="3"/>
            </w:pPr>
            <w:r>
              <w:rPr>
                <w:sz w:val="24"/>
                <w:b/>
              </w:rPr>
              <w:t>1、结构：车厢的骨架、内饰板和底板均为铝合金；</w:t>
            </w:r>
          </w:p>
          <w:p>
            <w:pPr>
              <w:pStyle w:val="null3"/>
              <w:outlineLvl w:val="3"/>
            </w:pPr>
            <w:r>
              <w:rPr>
                <w:sz w:val="24"/>
                <w:b/>
              </w:rPr>
              <w:t>2、材质：车厢（器材箱、泵室及内骨架）为铝合金型材，内饰板采用氧化铝板；</w:t>
            </w:r>
          </w:p>
          <w:p>
            <w:pPr>
              <w:pStyle w:val="null3"/>
              <w:outlineLvl w:val="3"/>
            </w:pPr>
            <w:r>
              <w:rPr>
                <w:sz w:val="24"/>
                <w:b/>
              </w:rPr>
              <w:t>3、车顶护围：采用铝合金整体拉制成型，外侧安装频闪警灯及车外照明灯，内侧安装LED车顶照明灯；</w:t>
            </w:r>
          </w:p>
          <w:p>
            <w:pPr>
              <w:pStyle w:val="null3"/>
              <w:outlineLvl w:val="3"/>
            </w:pPr>
            <w:r>
              <w:rPr>
                <w:sz w:val="24"/>
                <w:b/>
              </w:rPr>
              <w:t>4、爬梯：车厢前部设置一架通往车顶的安全爬梯。</w:t>
            </w:r>
          </w:p>
        </w:tc>
      </w:tr>
      <w:tr>
        <w:tc>
          <w:tcPr>
            <w:tcW w:type="dxa" w:w="2769"/>
          </w:tcPr>
          <w:p>
            <w:pPr>
              <w:pStyle w:val="null3"/>
            </w:pPr>
            <w:r>
              <w:rPr/>
              <w:t>★</w:t>
            </w:r>
          </w:p>
        </w:tc>
        <w:tc>
          <w:tcPr>
            <w:tcW w:type="dxa" w:w="2769"/>
          </w:tcPr>
          <w:p>
            <w:pPr>
              <w:pStyle w:val="null3"/>
            </w:pPr>
            <w:r>
              <w:rPr/>
              <w:t>4</w:t>
            </w:r>
          </w:p>
        </w:tc>
        <w:tc>
          <w:tcPr>
            <w:tcW w:type="dxa" w:w="2769"/>
          </w:tcPr>
          <w:p>
            <w:pPr>
              <w:pStyle w:val="null3"/>
              <w:outlineLvl w:val="3"/>
            </w:pPr>
            <w:r>
              <w:rPr>
                <w:sz w:val="24"/>
                <w:b/>
              </w:rPr>
              <w:t>消防泵：</w:t>
            </w:r>
          </w:p>
          <w:p>
            <w:pPr>
              <w:pStyle w:val="null3"/>
              <w:outlineLvl w:val="3"/>
            </w:pPr>
            <w:r>
              <w:rPr>
                <w:sz w:val="24"/>
                <w:b/>
              </w:rPr>
              <w:t>1、额定流量：≥30（L/s）</w:t>
            </w:r>
          </w:p>
          <w:p>
            <w:pPr>
              <w:pStyle w:val="null3"/>
              <w:outlineLvl w:val="3"/>
            </w:pPr>
            <w:r>
              <w:rPr>
                <w:sz w:val="24"/>
                <w:b/>
              </w:rPr>
              <w:t>2、额定压力：≥1.0（MPa）</w:t>
            </w:r>
          </w:p>
        </w:tc>
      </w:tr>
      <w:tr>
        <w:tc>
          <w:tcPr>
            <w:tcW w:type="dxa" w:w="2769"/>
          </w:tcPr>
          <w:p>
            <w:pPr>
              <w:pStyle w:val="null3"/>
            </w:pPr>
            <w:r>
              <w:rPr/>
              <w:t>★</w:t>
            </w:r>
          </w:p>
        </w:tc>
        <w:tc>
          <w:tcPr>
            <w:tcW w:type="dxa" w:w="2769"/>
          </w:tcPr>
          <w:p>
            <w:pPr>
              <w:pStyle w:val="null3"/>
            </w:pPr>
            <w:r>
              <w:rPr/>
              <w:t>5</w:t>
            </w:r>
          </w:p>
        </w:tc>
        <w:tc>
          <w:tcPr>
            <w:tcW w:type="dxa" w:w="2769"/>
          </w:tcPr>
          <w:p>
            <w:pPr>
              <w:pStyle w:val="null3"/>
              <w:outlineLvl w:val="3"/>
            </w:pPr>
            <w:r>
              <w:rPr>
                <w:sz w:val="24"/>
                <w:b/>
              </w:rPr>
              <w:t>罐体：</w:t>
            </w:r>
          </w:p>
          <w:p>
            <w:pPr>
              <w:pStyle w:val="null3"/>
              <w:outlineLvl w:val="3"/>
            </w:pPr>
            <w:r>
              <w:rPr>
                <w:sz w:val="24"/>
                <w:b/>
              </w:rPr>
              <w:t>1、额定载质量：≥2000（kg）</w:t>
            </w:r>
          </w:p>
          <w:p>
            <w:pPr>
              <w:pStyle w:val="null3"/>
              <w:outlineLvl w:val="3"/>
            </w:pPr>
            <w:r>
              <w:rPr>
                <w:sz w:val="24"/>
                <w:b/>
              </w:rPr>
              <w:t>2、材质：不锈钢</w:t>
            </w:r>
          </w:p>
          <w:p>
            <w:pPr>
              <w:pStyle w:val="null3"/>
              <w:outlineLvl w:val="3"/>
            </w:pPr>
            <w:r>
              <w:rPr>
                <w:sz w:val="24"/>
                <w:b/>
              </w:rPr>
              <w:t>3、结构：1个人孔；1个溢流/卸压装置；1个液位传感器；1个水罐放余水口。</w:t>
            </w:r>
          </w:p>
        </w:tc>
      </w:tr>
      <w:tr>
        <w:tc>
          <w:tcPr>
            <w:tcW w:type="dxa" w:w="2769"/>
          </w:tcPr>
          <w:p>
            <w:pPr>
              <w:pStyle w:val="null3"/>
            </w:pPr>
            <w:r>
              <w:rPr/>
              <w:t>★</w:t>
            </w:r>
          </w:p>
        </w:tc>
        <w:tc>
          <w:tcPr>
            <w:tcW w:type="dxa" w:w="2769"/>
          </w:tcPr>
          <w:p>
            <w:pPr>
              <w:pStyle w:val="null3"/>
            </w:pPr>
            <w:r>
              <w:rPr/>
              <w:t>6</w:t>
            </w:r>
          </w:p>
        </w:tc>
        <w:tc>
          <w:tcPr>
            <w:tcW w:type="dxa" w:w="2769"/>
          </w:tcPr>
          <w:p>
            <w:pPr>
              <w:pStyle w:val="null3"/>
              <w:outlineLvl w:val="3"/>
            </w:pPr>
            <w:r>
              <w:rPr>
                <w:sz w:val="24"/>
                <w:b/>
              </w:rPr>
              <w:t>排烟装置：</w:t>
            </w:r>
          </w:p>
          <w:p>
            <w:pPr>
              <w:pStyle w:val="null3"/>
              <w:outlineLvl w:val="3"/>
            </w:pPr>
            <w:r>
              <w:rPr>
                <w:sz w:val="24"/>
                <w:b/>
              </w:rPr>
              <w:t>1、正压空气输出量：200000m³/h；</w:t>
            </w:r>
          </w:p>
          <w:p>
            <w:pPr>
              <w:pStyle w:val="null3"/>
              <w:outlineLvl w:val="3"/>
            </w:pPr>
            <w:r>
              <w:rPr>
                <w:sz w:val="24"/>
                <w:b/>
              </w:rPr>
              <w:t>2、负压排烟量：50000m³/h；需连接负压风管，采用两个可快速装卸≥DN600排烟口，可与主风机对接；</w:t>
            </w:r>
          </w:p>
          <w:p>
            <w:pPr>
              <w:pStyle w:val="null3"/>
              <w:outlineLvl w:val="3"/>
            </w:pPr>
            <w:r>
              <w:rPr>
                <w:sz w:val="24"/>
                <w:b/>
              </w:rPr>
              <w:t>3、工作高度：≥4.0m；</w:t>
            </w:r>
          </w:p>
          <w:p>
            <w:pPr>
              <w:pStyle w:val="null3"/>
              <w:outlineLvl w:val="3"/>
            </w:pPr>
            <w:r>
              <w:rPr>
                <w:sz w:val="24"/>
                <w:b/>
              </w:rPr>
              <w:t>4、回转角度：≥180°；</w:t>
            </w:r>
          </w:p>
          <w:p>
            <w:pPr>
              <w:pStyle w:val="null3"/>
              <w:outlineLvl w:val="3"/>
            </w:pPr>
            <w:r>
              <w:rPr>
                <w:sz w:val="24"/>
                <w:b/>
              </w:rPr>
              <w:t>5、最小俯角≤-5，最大仰角≥30。</w:t>
            </w:r>
          </w:p>
        </w:tc>
      </w:tr>
      <w:tr>
        <w:tc>
          <w:tcPr>
            <w:tcW w:type="dxa" w:w="2769"/>
          </w:tcPr>
          <w:p>
            <w:pPr>
              <w:pStyle w:val="null3"/>
            </w:pPr>
            <w:r>
              <w:rPr/>
              <w:t>★</w:t>
            </w:r>
          </w:p>
        </w:tc>
        <w:tc>
          <w:tcPr>
            <w:tcW w:type="dxa" w:w="2769"/>
          </w:tcPr>
          <w:p>
            <w:pPr>
              <w:pStyle w:val="null3"/>
            </w:pPr>
            <w:r>
              <w:rPr/>
              <w:t>7</w:t>
            </w:r>
          </w:p>
        </w:tc>
        <w:tc>
          <w:tcPr>
            <w:tcW w:type="dxa" w:w="2769"/>
          </w:tcPr>
          <w:p>
            <w:pPr>
              <w:pStyle w:val="null3"/>
              <w:outlineLvl w:val="3"/>
            </w:pPr>
            <w:r>
              <w:rPr>
                <w:sz w:val="24"/>
                <w:b/>
              </w:rPr>
              <w:t>控制系统：</w:t>
            </w:r>
          </w:p>
          <w:p>
            <w:pPr>
              <w:pStyle w:val="null3"/>
              <w:outlineLvl w:val="3"/>
            </w:pPr>
            <w:r>
              <w:rPr>
                <w:sz w:val="24"/>
                <w:b/>
              </w:rPr>
              <w:t>1、所有风机的操作均采用智能控制，可根据情况实现正压送风或负压抽风。设有油门控制开关、电源开关、急停开关、一键复位开关等；开关和指示灯标注有中文标识;操作可在车侧进行，或实现无线遥控操作；</w:t>
            </w:r>
          </w:p>
          <w:p>
            <w:pPr>
              <w:pStyle w:val="null3"/>
              <w:outlineLvl w:val="3"/>
            </w:pPr>
            <w:r>
              <w:rPr>
                <w:sz w:val="24"/>
                <w:b/>
              </w:rPr>
              <w:t>2、控制方式：电动/手动；</w:t>
            </w:r>
          </w:p>
        </w:tc>
      </w:tr>
      <w:tr>
        <w:tc>
          <w:tcPr>
            <w:tcW w:type="dxa" w:w="2769"/>
          </w:tcPr>
          <w:p>
            <w:pPr>
              <w:pStyle w:val="null3"/>
            </w:pPr>
            <w:r>
              <w:rPr/>
              <w:t>★</w:t>
            </w:r>
          </w:p>
        </w:tc>
        <w:tc>
          <w:tcPr>
            <w:tcW w:type="dxa" w:w="2769"/>
          </w:tcPr>
          <w:p>
            <w:pPr>
              <w:pStyle w:val="null3"/>
            </w:pPr>
            <w:r>
              <w:rPr/>
              <w:t>8</w:t>
            </w:r>
          </w:p>
        </w:tc>
        <w:tc>
          <w:tcPr>
            <w:tcW w:type="dxa" w:w="2769"/>
          </w:tcPr>
          <w:p>
            <w:pPr>
              <w:pStyle w:val="null3"/>
              <w:outlineLvl w:val="3"/>
            </w:pPr>
            <w:r>
              <w:rPr>
                <w:sz w:val="24"/>
                <w:b/>
              </w:rPr>
              <w:t>电气系统：</w:t>
            </w:r>
          </w:p>
          <w:p>
            <w:pPr>
              <w:pStyle w:val="null3"/>
              <w:outlineLvl w:val="3"/>
            </w:pPr>
            <w:r>
              <w:rPr>
                <w:sz w:val="24"/>
                <w:b/>
              </w:rPr>
              <w:t>1、警灯警报：车头前顶部设置长排式警灯，单音100W警报器、警灯、电路为独立式附加电路，控制器件安装在驾驶室内；</w:t>
            </w:r>
          </w:p>
          <w:p>
            <w:pPr>
              <w:pStyle w:val="null3"/>
              <w:outlineLvl w:val="3"/>
            </w:pPr>
            <w:r>
              <w:rPr>
                <w:sz w:val="24"/>
                <w:b/>
              </w:rPr>
              <w:t>2、器材箱灯：器材箱、泵房卷帘门两侧内设有LED白光照明灯带，能够满足整个箱体的照明，照明灯开关与卷帘门联动；</w:t>
            </w:r>
          </w:p>
          <w:p>
            <w:pPr>
              <w:pStyle w:val="null3"/>
              <w:outlineLvl w:val="3"/>
            </w:pPr>
            <w:r>
              <w:rPr>
                <w:sz w:val="24"/>
                <w:b/>
              </w:rPr>
              <w:t>3、频闪灯：车厢左右两侧上部各配置两盏频闪警灯；</w:t>
            </w:r>
          </w:p>
          <w:p>
            <w:pPr>
              <w:pStyle w:val="null3"/>
              <w:outlineLvl w:val="3"/>
            </w:pPr>
            <w:r>
              <w:rPr>
                <w:sz w:val="24"/>
                <w:b/>
              </w:rPr>
              <w:t>4、车外照明：车厢左右两侧上部各配置两盏LED侧照明灯，车厢顶部内侧配备LED灯；</w:t>
            </w:r>
          </w:p>
          <w:p>
            <w:pPr>
              <w:pStyle w:val="null3"/>
              <w:outlineLvl w:val="3"/>
            </w:pPr>
            <w:r>
              <w:rPr>
                <w:sz w:val="24"/>
                <w:b/>
              </w:rPr>
              <w:t>5、警示灯：车厢两侧脚踏板放下后朝向消防车前和后方均安装有内嵌式黄色警示闪光灯。</w:t>
            </w:r>
          </w:p>
        </w:tc>
      </w:tr>
      <w:tr>
        <w:tc>
          <w:tcPr>
            <w:tcW w:type="dxa" w:w="2769"/>
          </w:tcPr>
          <w:p>
            <w:pPr>
              <w:pStyle w:val="null3"/>
            </w:pPr>
            <w:r>
              <w:rPr/>
              <w:t>★</w:t>
            </w:r>
          </w:p>
        </w:tc>
        <w:tc>
          <w:tcPr>
            <w:tcW w:type="dxa" w:w="2769"/>
          </w:tcPr>
          <w:p>
            <w:pPr>
              <w:pStyle w:val="null3"/>
            </w:pPr>
            <w:r>
              <w:rPr/>
              <w:t>9</w:t>
            </w:r>
          </w:p>
        </w:tc>
        <w:tc>
          <w:tcPr>
            <w:tcW w:type="dxa" w:w="2769"/>
          </w:tcPr>
          <w:p>
            <w:pPr>
              <w:pStyle w:val="null3"/>
              <w:outlineLvl w:val="3"/>
            </w:pPr>
            <w:r>
              <w:rPr>
                <w:sz w:val="24"/>
                <w:b/>
              </w:rPr>
              <w:t>外观油漆：</w:t>
            </w:r>
          </w:p>
          <w:p>
            <w:pPr>
              <w:pStyle w:val="null3"/>
              <w:outlineLvl w:val="3"/>
            </w:pPr>
            <w:r>
              <w:rPr>
                <w:sz w:val="24"/>
                <w:b/>
              </w:rPr>
              <w:t>1、厢体所有焊接金属面应打磨光滑、无毛刺，并喷漆处理；</w:t>
            </w:r>
          </w:p>
          <w:p>
            <w:pPr>
              <w:pStyle w:val="null3"/>
              <w:outlineLvl w:val="3"/>
            </w:pPr>
            <w:r>
              <w:rPr>
                <w:sz w:val="24"/>
                <w:b/>
              </w:rPr>
              <w:t>2、反光带：为保证夜间工作安全，车身设有符合安全标准的荧光反光带；</w:t>
            </w:r>
          </w:p>
          <w:p>
            <w:pPr>
              <w:pStyle w:val="null3"/>
              <w:outlineLvl w:val="3"/>
            </w:pPr>
            <w:r>
              <w:rPr>
                <w:sz w:val="24"/>
                <w:b/>
              </w:rPr>
              <w:t>3、涂装要求：按照《国家综合性消防救援车辆外观制式涂装操作手册》要求进行涂装；</w:t>
            </w:r>
          </w:p>
          <w:p>
            <w:pPr>
              <w:pStyle w:val="null3"/>
              <w:outlineLvl w:val="3"/>
            </w:pPr>
            <w:r>
              <w:rPr>
                <w:sz w:val="24"/>
                <w:b/>
              </w:rPr>
              <w:t>4、标识标牌：所有操作开关及仪表均有符合规范的中文防水金属标识。</w:t>
            </w:r>
          </w:p>
        </w:tc>
      </w:tr>
      <w:tr>
        <w:tc>
          <w:tcPr>
            <w:tcW w:type="dxa" w:w="2769"/>
          </w:tcPr>
          <w:p>
            <w:pPr>
              <w:pStyle w:val="null3"/>
            </w:pPr>
            <w:r>
              <w:rPr/>
              <w:t>▲</w:t>
            </w:r>
          </w:p>
        </w:tc>
        <w:tc>
          <w:tcPr>
            <w:tcW w:type="dxa" w:w="2769"/>
          </w:tcPr>
          <w:p>
            <w:pPr>
              <w:pStyle w:val="null3"/>
            </w:pPr>
            <w:r>
              <w:rPr/>
              <w:t>10</w:t>
            </w:r>
          </w:p>
        </w:tc>
        <w:tc>
          <w:tcPr>
            <w:tcW w:type="dxa" w:w="2769"/>
          </w:tcPr>
          <w:p>
            <w:pPr>
              <w:pStyle w:val="null3"/>
              <w:outlineLvl w:val="3"/>
            </w:pPr>
            <w:r>
              <w:rPr>
                <w:sz w:val="24"/>
                <w:b/>
              </w:rPr>
              <w:t>随车器材：</w:t>
            </w:r>
          </w:p>
          <w:p>
            <w:pPr>
              <w:pStyle w:val="null3"/>
              <w:outlineLvl w:val="3"/>
            </w:pPr>
            <w:r>
              <w:rPr>
                <w:sz w:val="24"/>
                <w:b/>
              </w:rPr>
              <w:t>1、消防水带 13-65-20、卡式接口2盘；</w:t>
            </w:r>
          </w:p>
          <w:p>
            <w:pPr>
              <w:pStyle w:val="null3"/>
              <w:outlineLvl w:val="3"/>
            </w:pPr>
            <w:r>
              <w:rPr>
                <w:sz w:val="24"/>
                <w:b/>
              </w:rPr>
              <w:t>2、地上消火栓扳手1把；</w:t>
            </w:r>
          </w:p>
          <w:p>
            <w:pPr>
              <w:pStyle w:val="null3"/>
              <w:outlineLvl w:val="3"/>
            </w:pPr>
            <w:r>
              <w:rPr>
                <w:sz w:val="24"/>
                <w:b/>
              </w:rPr>
              <w:t>3、地下消火栓扳手1把；</w:t>
            </w:r>
          </w:p>
          <w:p>
            <w:pPr>
              <w:pStyle w:val="null3"/>
              <w:outlineLvl w:val="3"/>
            </w:pPr>
            <w:r>
              <w:rPr>
                <w:sz w:val="24"/>
                <w:b/>
              </w:rPr>
              <w:t>4、水带挂钩1个；</w:t>
            </w:r>
          </w:p>
          <w:p>
            <w:pPr>
              <w:pStyle w:val="null3"/>
              <w:outlineLvl w:val="3"/>
            </w:pPr>
            <w:r>
              <w:rPr>
                <w:sz w:val="24"/>
                <w:b/>
              </w:rPr>
              <w:t>5、护带桥2件；</w:t>
            </w:r>
          </w:p>
          <w:p>
            <w:pPr>
              <w:pStyle w:val="null3"/>
              <w:outlineLvl w:val="3"/>
            </w:pPr>
            <w:r>
              <w:rPr>
                <w:sz w:val="24"/>
                <w:b/>
              </w:rPr>
              <w:t>6、水带包布1个；</w:t>
            </w:r>
          </w:p>
          <w:p>
            <w:pPr>
              <w:pStyle w:val="null3"/>
              <w:outlineLvl w:val="3"/>
            </w:pPr>
            <w:r>
              <w:rPr>
                <w:sz w:val="24"/>
                <w:b/>
              </w:rPr>
              <w:t>7、异径接口KJK80/65Z、DN80雌接口转DN65雄接口1个；</w:t>
            </w:r>
          </w:p>
          <w:p>
            <w:pPr>
              <w:pStyle w:val="null3"/>
              <w:outlineLvl w:val="3"/>
            </w:pPr>
            <w:r>
              <w:rPr>
                <w:sz w:val="24"/>
                <w:b/>
              </w:rPr>
              <w:t>8、铁锹PSXFQ-S503D 1把；</w:t>
            </w:r>
          </w:p>
          <w:p>
            <w:pPr>
              <w:pStyle w:val="null3"/>
              <w:outlineLvl w:val="3"/>
            </w:pPr>
            <w:r>
              <w:rPr>
                <w:sz w:val="24"/>
                <w:b/>
              </w:rPr>
              <w:t>9、尖斧GFJ 900 F 1把；</w:t>
            </w:r>
          </w:p>
          <w:p>
            <w:pPr>
              <w:pStyle w:val="null3"/>
              <w:outlineLvl w:val="3"/>
            </w:pPr>
            <w:r>
              <w:rPr>
                <w:sz w:val="24"/>
                <w:b/>
              </w:rPr>
              <w:t>10、铁铤PSQG-965 1支；</w:t>
            </w:r>
          </w:p>
          <w:p>
            <w:pPr>
              <w:pStyle w:val="null3"/>
              <w:outlineLvl w:val="3"/>
            </w:pPr>
            <w:r>
              <w:rPr>
                <w:sz w:val="24"/>
                <w:b/>
              </w:rPr>
              <w:t>11、手提式干粉灭火器MFZ/ABC2 1具；</w:t>
            </w:r>
          </w:p>
          <w:p>
            <w:pPr>
              <w:pStyle w:val="null3"/>
              <w:outlineLvl w:val="3"/>
            </w:pPr>
            <w:r>
              <w:rPr>
                <w:sz w:val="24"/>
                <w:b/>
              </w:rPr>
              <w:t>12、水桶2个；</w:t>
            </w:r>
          </w:p>
          <w:p>
            <w:pPr>
              <w:pStyle w:val="null3"/>
              <w:outlineLvl w:val="3"/>
            </w:pPr>
            <w:r>
              <w:rPr>
                <w:sz w:val="24"/>
                <w:b/>
              </w:rPr>
              <w:t>13、原车工具1套；</w:t>
            </w:r>
          </w:p>
          <w:p>
            <w:pPr>
              <w:pStyle w:val="null3"/>
              <w:outlineLvl w:val="3"/>
            </w:pPr>
            <w:r>
              <w:rPr>
                <w:sz w:val="24"/>
                <w:b/>
              </w:rPr>
              <w:t>14、车用三角警告牌GB19151-2003  1个；</w:t>
            </w:r>
          </w:p>
          <w:p>
            <w:pPr>
              <w:pStyle w:val="null3"/>
              <w:outlineLvl w:val="3"/>
            </w:pPr>
            <w:r>
              <w:rPr>
                <w:sz w:val="24"/>
                <w:b/>
              </w:rPr>
              <w:t>15、正负压排烟管φ600，正压60米，负压40米 1套。</w:t>
            </w:r>
          </w:p>
        </w:tc>
      </w:tr>
      <w:tr>
        <w:tc>
          <w:tcPr>
            <w:tcW w:type="dxa" w:w="2769"/>
          </w:tcPr>
          <w:p>
            <w:pPr>
              <w:pStyle w:val="null3"/>
            </w:pPr>
            <w:r>
              <w:rPr/>
              <w:t>★</w:t>
            </w:r>
          </w:p>
        </w:tc>
        <w:tc>
          <w:tcPr>
            <w:tcW w:type="dxa" w:w="2769"/>
          </w:tcPr>
          <w:p>
            <w:pPr>
              <w:pStyle w:val="null3"/>
            </w:pPr>
            <w:r>
              <w:rPr/>
              <w:t>11</w:t>
            </w:r>
          </w:p>
        </w:tc>
        <w:tc>
          <w:tcPr>
            <w:tcW w:type="dxa" w:w="2769"/>
          </w:tcPr>
          <w:p>
            <w:pPr>
              <w:pStyle w:val="null3"/>
              <w:outlineLvl w:val="3"/>
            </w:pPr>
            <w:r>
              <w:rPr>
                <w:sz w:val="24"/>
                <w:b/>
              </w:rPr>
              <w:t>随车文件和附件：</w:t>
            </w:r>
          </w:p>
          <w:p>
            <w:pPr>
              <w:pStyle w:val="null3"/>
              <w:outlineLvl w:val="3"/>
            </w:pPr>
            <w:r>
              <w:rPr>
                <w:sz w:val="24"/>
                <w:b/>
              </w:rPr>
              <w:t>1、 交付时提供：整车合格证（需与工信部提供数据一致）（1份）；</w:t>
            </w:r>
          </w:p>
          <w:p>
            <w:pPr>
              <w:pStyle w:val="null3"/>
              <w:outlineLvl w:val="3"/>
            </w:pPr>
            <w:r>
              <w:rPr>
                <w:sz w:val="24"/>
                <w:b/>
              </w:rPr>
              <w:t>2、工业和信息化部发布的《道路机动车辆生产企业及产品公告》（包括道路机动车辆生产企业及产品或车辆生产企业及产品的官方公告文号和批次所在页、附件中所投产品车型所在页、汽车产品公告参数页）复印件（1份）；</w:t>
            </w:r>
          </w:p>
          <w:p>
            <w:pPr>
              <w:pStyle w:val="null3"/>
              <w:outlineLvl w:val="3"/>
            </w:pPr>
            <w:r>
              <w:rPr>
                <w:sz w:val="24"/>
                <w:b/>
              </w:rPr>
              <w:t>3、整车国家级检测机构出具的检测报告复印件（1份）；</w:t>
            </w:r>
          </w:p>
          <w:p>
            <w:pPr>
              <w:pStyle w:val="null3"/>
              <w:outlineLvl w:val="3"/>
            </w:pPr>
            <w:r>
              <w:rPr>
                <w:sz w:val="24"/>
                <w:b/>
              </w:rPr>
              <w:t>4、底盘使用说明书（1份）；</w:t>
            </w:r>
          </w:p>
          <w:p>
            <w:pPr>
              <w:pStyle w:val="null3"/>
              <w:outlineLvl w:val="3"/>
            </w:pPr>
            <w:r>
              <w:rPr>
                <w:sz w:val="24"/>
                <w:b/>
              </w:rPr>
              <w:t>5、底盘合格证（1份）；</w:t>
            </w:r>
          </w:p>
          <w:p>
            <w:pPr>
              <w:pStyle w:val="null3"/>
              <w:outlineLvl w:val="3"/>
            </w:pPr>
            <w:r>
              <w:rPr>
                <w:sz w:val="24"/>
                <w:b/>
              </w:rPr>
              <w:t>6、发动机号码拓印（1份）；</w:t>
            </w:r>
          </w:p>
          <w:p>
            <w:pPr>
              <w:pStyle w:val="null3"/>
              <w:outlineLvl w:val="3"/>
            </w:pPr>
            <w:r>
              <w:rPr>
                <w:sz w:val="24"/>
                <w:b/>
              </w:rPr>
              <w:t>7、底盘号码拓印件（1份）；</w:t>
            </w:r>
          </w:p>
          <w:p>
            <w:pPr>
              <w:pStyle w:val="null3"/>
              <w:outlineLvl w:val="3"/>
            </w:pPr>
            <w:r>
              <w:rPr>
                <w:sz w:val="24"/>
                <w:b/>
              </w:rPr>
              <w:t>8、消防车使用说明书（1份）；</w:t>
            </w:r>
          </w:p>
          <w:p>
            <w:pPr>
              <w:pStyle w:val="null3"/>
              <w:outlineLvl w:val="3"/>
            </w:pPr>
            <w:r>
              <w:rPr>
                <w:sz w:val="24"/>
                <w:b/>
              </w:rPr>
              <w:t>9、消防车消防器材清单（1份）；</w:t>
            </w:r>
          </w:p>
          <w:p>
            <w:pPr>
              <w:pStyle w:val="null3"/>
              <w:outlineLvl w:val="3"/>
            </w:pPr>
            <w:r>
              <w:rPr>
                <w:sz w:val="24"/>
                <w:b/>
              </w:rPr>
              <w:t>10、消防车合格证（1份）；</w:t>
            </w:r>
          </w:p>
          <w:p>
            <w:pPr>
              <w:pStyle w:val="null3"/>
              <w:outlineLvl w:val="3"/>
            </w:pPr>
            <w:r>
              <w:rPr>
                <w:sz w:val="24"/>
                <w:b/>
              </w:rPr>
              <w:t>11、消防车跟踪服务卡（1份）；</w:t>
            </w:r>
          </w:p>
          <w:p>
            <w:pPr>
              <w:pStyle w:val="null3"/>
              <w:outlineLvl w:val="3"/>
            </w:pPr>
            <w:r>
              <w:rPr>
                <w:sz w:val="24"/>
                <w:b/>
              </w:rPr>
              <w:t>12、消防车交接清单（1份）。</w:t>
            </w:r>
          </w:p>
        </w:tc>
      </w:tr>
    </w:tbl>
    <w:p>
      <w:pPr>
        <w:pStyle w:val="null3"/>
        <w:outlineLvl w:val="2"/>
      </w:pPr>
      <w:r>
        <w:rPr>
          <w:sz w:val="28"/>
          <w:b/>
        </w:rPr>
        <w:t>3.4商务要求</w:t>
      </w:r>
    </w:p>
    <w:p>
      <w:pPr>
        <w:pStyle w:val="null3"/>
        <w:outlineLvl w:val="3"/>
      </w:pPr>
      <w:r>
        <w:rPr>
          <w:sz w:val="24"/>
          <w:b/>
        </w:rPr>
        <w:t>3.4.1交货时间</w:t>
      </w:r>
    </w:p>
    <w:p>
      <w:pPr>
        <w:pStyle w:val="null3"/>
      </w:pPr>
      <w:r>
        <w:rPr/>
        <w:t>采购包1：</w:t>
      </w:r>
    </w:p>
    <w:p>
      <w:pPr>
        <w:pStyle w:val="null3"/>
      </w:pPr>
      <w:r>
        <w:rPr/>
        <w:t>自供货合同签订生效之日起60天内。</w:t>
      </w:r>
    </w:p>
    <w:p>
      <w:pPr>
        <w:pStyle w:val="null3"/>
        <w:outlineLvl w:val="3"/>
      </w:pPr>
      <w:r>
        <w:rPr>
          <w:sz w:val="24"/>
          <w:b/>
        </w:rPr>
        <w:t>3.4.2交货地点和方式</w:t>
      </w:r>
    </w:p>
    <w:p>
      <w:pPr>
        <w:pStyle w:val="null3"/>
      </w:pPr>
      <w:r>
        <w:rPr/>
        <w:t>采购包1：</w:t>
      </w:r>
    </w:p>
    <w:p>
      <w:pPr>
        <w:pStyle w:val="null3"/>
      </w:pPr>
      <w:r>
        <w:rPr/>
        <w:t>采购人指定地点。</w:t>
      </w:r>
    </w:p>
    <w:p>
      <w:pPr>
        <w:pStyle w:val="null3"/>
        <w:outlineLvl w:val="3"/>
      </w:pPr>
      <w:r>
        <w:rPr>
          <w:sz w:val="24"/>
          <w:b/>
        </w:rPr>
        <w:t>3.4.3支付方式</w:t>
      </w:r>
    </w:p>
    <w:p>
      <w:pPr>
        <w:pStyle w:val="null3"/>
      </w:pPr>
      <w:r>
        <w:rPr/>
        <w:t>采购包1：</w:t>
      </w:r>
    </w:p>
    <w:p>
      <w:pPr>
        <w:pStyle w:val="null3"/>
      </w:pPr>
      <w:r>
        <w:rPr/>
        <w:t>分期付款</w:t>
      </w:r>
    </w:p>
    <w:p>
      <w:pPr>
        <w:pStyle w:val="null3"/>
        <w:outlineLvl w:val="3"/>
      </w:pPr>
      <w:r>
        <w:rPr>
          <w:sz w:val="24"/>
          <w:b/>
        </w:rPr>
        <w:t>3.4.4支付约定</w:t>
      </w:r>
    </w:p>
    <w:p>
      <w:pPr>
        <w:pStyle w:val="null3"/>
      </w:pPr>
      <w:r>
        <w:rPr/>
        <w:t>采购包1：</w:t>
      </w:r>
      <w:r>
        <w:rPr/>
        <w:t xml:space="preserve"> 付款条件说明： </w:t>
      </w:r>
      <w:r>
        <w:rPr/>
        <w:t>签订合同后</w:t>
      </w:r>
      <w:r>
        <w:rPr/>
        <w:t xml:space="preserve"> ，达到付款条件起 </w:t>
      </w:r>
      <w:r>
        <w:rPr/>
        <w:t>60</w:t>
      </w:r>
      <w:r>
        <w:rPr/>
        <w:t xml:space="preserve"> 日内，支付合同总金额的 </w:t>
      </w:r>
      <w:r>
        <w:rPr/>
        <w:t>50.00</w:t>
      </w:r>
      <w:r>
        <w:rPr/>
        <w:t>%。</w:t>
      </w:r>
    </w:p>
    <w:p>
      <w:pPr>
        <w:pStyle w:val="null3"/>
      </w:pPr>
      <w:r>
        <w:rPr/>
        <w:t>采购包1：</w:t>
      </w:r>
      <w:r>
        <w:rPr/>
        <w:t xml:space="preserve"> 付款条件说明： </w:t>
      </w:r>
      <w:r>
        <w:rPr/>
        <w:t>验收合格后满一年无任何质量问题</w:t>
      </w:r>
      <w:r>
        <w:rPr/>
        <w:t xml:space="preserve"> ，达到付款条件起 </w:t>
      </w:r>
      <w:r>
        <w:rPr/>
        <w:t>30</w:t>
      </w:r>
      <w:r>
        <w:rPr/>
        <w:t xml:space="preserve"> 日内，支付合同总金额的 </w:t>
      </w:r>
      <w:r>
        <w:rPr/>
        <w:t>50.00</w:t>
      </w:r>
      <w:r>
        <w:rPr/>
        <w:t>%。</w:t>
      </w:r>
    </w:p>
    <w:p>
      <w:pPr>
        <w:pStyle w:val="null3"/>
        <w:outlineLvl w:val="3"/>
      </w:pPr>
      <w:r>
        <w:rPr>
          <w:sz w:val="24"/>
          <w:b/>
        </w:rPr>
        <w:t>3.4.5验收标准和方法</w:t>
      </w:r>
    </w:p>
    <w:p>
      <w:pPr>
        <w:pStyle w:val="null3"/>
      </w:pPr>
      <w:r>
        <w:rPr/>
        <w:t>采购包1：</w:t>
      </w:r>
    </w:p>
    <w:p>
      <w:pPr>
        <w:pStyle w:val="null3"/>
      </w:pPr>
      <w:r>
        <w:rPr/>
        <w:t>1、产品到达采购人指定地点后，采购人根据合同约定，对产品进行验收、确认产品的产地、规格、型号和数量。所有产品外包装箱、单个产品包装盒上必须印制或粘贴下列基本信息：产品生产厂家、生产日期、有效期、生产厂家联系人、联系电话；代理厂商联系人、联系电话、售后联系人、联系方式； 2、产品安装、调试并正常运行后，由中标供应商进行自检合格后，准备验收文件，并书面通知采购人； 3、采购人确认中标供应商的自检内容后（必要时请有关专家）进行系统验收，填写项目验收单，作为对设备的最终认可； 4、中标供应商向采购人提交设备实施过程中的所有资料，以便采购人日后管理和维护。</w:t>
      </w:r>
    </w:p>
    <w:p>
      <w:pPr>
        <w:pStyle w:val="null3"/>
        <w:outlineLvl w:val="3"/>
      </w:pPr>
      <w:r>
        <w:rPr>
          <w:sz w:val="24"/>
          <w:b/>
        </w:rPr>
        <w:t>3.4.6包装方式及运输</w:t>
      </w:r>
    </w:p>
    <w:p>
      <w:pPr>
        <w:pStyle w:val="null3"/>
      </w:pPr>
      <w:r>
        <w:rPr/>
        <w:t>采购包1：</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sz w:val="24"/>
          <w:b/>
        </w:rPr>
        <w:t>3.4.7质量保修范围和保修期</w:t>
      </w:r>
    </w:p>
    <w:p>
      <w:pPr>
        <w:pStyle w:val="null3"/>
      </w:pPr>
      <w:r>
        <w:rPr/>
        <w:t>采购包1：</w:t>
      </w:r>
    </w:p>
    <w:p>
      <w:pPr>
        <w:pStyle w:val="null3"/>
      </w:pPr>
      <w:r>
        <w:rPr/>
        <w:t>验收合格之日起，整车保修期5年。</w:t>
      </w:r>
    </w:p>
    <w:p>
      <w:pPr>
        <w:pStyle w:val="null3"/>
        <w:outlineLvl w:val="3"/>
      </w:pPr>
      <w:r>
        <w:rPr>
          <w:sz w:val="24"/>
          <w:b/>
        </w:rPr>
        <w:t>3.4.8违约责任与解决争议的方法</w:t>
      </w:r>
    </w:p>
    <w:p>
      <w:pPr>
        <w:pStyle w:val="null3"/>
      </w:pPr>
      <w:r>
        <w:rPr/>
        <w:t>采购包1：</w:t>
      </w:r>
    </w:p>
    <w:p>
      <w:pPr>
        <w:pStyle w:val="null3"/>
      </w:pPr>
      <w:r>
        <w:rPr/>
        <w:t>违约责任： 1、甲方违约责任 （1）甲方无正当理由拒收货物的，甲方应偿付合同总价30 %的违约金； （2）甲方逾期支付货款的，除应及时付足货款外，应向乙方每天支付欠款总额2 ‰的滞纳金；但累计滞纳金总额不超过欠款总额的5%。 2、乙方违约责任 （1）乙方逾期交付货物的，每逾期1天，乙方向甲方偿付逾期交货部分货款总额的 2 ‰的滞纳金。如乙方逾期交货达30天，甲方有权解除合同，解除合同的通知自到达乙方时生效； （2）乙方所交付的货物品种、型号、规格不符合合同规定的，甲方有权拒收。甲方拒收的，乙方应向甲方支付货款总额 5%的违约金； （3）乙方货物经甲方送交具有法定资格条件的质量技术监督机构检测后，如检测结果认定货物质量不符合本合同规定标准的，则视为乙方没有按时交货而违约，乙方须在 30 天内无条件更换合格的货物，如逾期不能更换合格的货物，甲方有权终止本合同，乙方应另向甲方支付货款总额的 5 %的违约金。 争议的解决： 1、因货物的质量问题发生争议，由质量技术监督部门或其指定的质量鉴定机构进行质量鉴定。货物符合标准的，鉴定费由甲方承担；货物不符合质量标准的，鉴定费由乙方承担。 2、因履行本合同引起的或与本合同有关的争议，甲、乙双方应首先通过友好协商解决，如果协商不成，则采取以下方式解决争议： （1）向甲方所在地有管辖权的人民法院提起诉讼； （2）向仲裁委员会按其仲裁规则申请仲裁。 3．在仲裁期间，本合同应继续履行。</w:t>
      </w:r>
    </w:p>
    <w:p>
      <w:pPr>
        <w:pStyle w:val="null3"/>
        <w:jc w:val="left"/>
        <w:outlineLvl w:val="2"/>
      </w:pPr>
      <w:r>
        <w:rPr>
          <w:sz w:val="28"/>
          <w:b/>
        </w:rPr>
        <w:t>3.5其他要求</w:t>
      </w:r>
    </w:p>
    <w:p>
      <w:pPr>
        <w:pStyle w:val="null3"/>
      </w:pPr>
      <w:r>
        <w:rPr/>
        <w:t>1.各供应商应根据“陕西省财政厅 陕财办采[2022]9号文”《政府采购项目电子化交易规则》等文件的要求，做好人员配备、设施设备、系统操作的相应准备，熟悉并正确实施相关操作流程，承担由于操作或其他因素造成的不利后果。 2.供应商需要在线提交所有通过电子化交易平台实施的政府采购项目的响应文件。</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1）营业执照：①如供应商是企业（包括合伙企业），应提供在工商部门注册的有效“企业法人营业执照”或“营业执照”；②如供应商是事业单位，应提供有效的“事业单位法人证书”；③如供应商是为企业专业服务机构的，应提供执业许可证等证明文件；④如供应商是个体工商户，应提供有效的“个体工商户营业执照”；⑤如供应商为自然人，应提供有效的自然人身份证明。 （2）承诺：提供具有履行合同所必需的设备和专业技术能力的承诺； （3）税收缴纳证明：提供投标截止日前一年内已缴纳的至少一个月的纳税证明或完税证明，依法免税的单位应提供相关证明材料； （4）社会保障资金缴纳证明：提供投标截止日前一年内已缴存的至少一个月的社会保障资金缴存单据或社保机构开具的社会保险参保缴费情况证明，依法不需要缴纳社会保障资金的单位应提供相关证明材料； （5）声明：参加政府采购活动前3年内，在经营活动中没有重大违法记录的书面声明。</w:t>
            </w:r>
          </w:p>
        </w:tc>
        <w:tc>
          <w:tcPr>
            <w:tcW w:type="dxa" w:w="1661"/>
          </w:tcPr>
          <w:p>
            <w:pPr>
              <w:pStyle w:val="null3"/>
            </w:pPr>
            <w:r>
              <w:rPr/>
              <w:t>响应文件封面 供应商应提交的相关资格证明材料 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提供2023年度经审计的财务报告（成立时间至提交投标文件截止时间不足一年的可提供成立后任意时段的资产负债表），或投标截止日期前6个月内银行出具的资信证明；</w:t>
            </w:r>
          </w:p>
        </w:tc>
        <w:tc>
          <w:tcPr>
            <w:tcW w:type="dxa" w:w="1661"/>
          </w:tcPr>
          <w:p>
            <w:pPr>
              <w:pStyle w:val="null3"/>
            </w:pPr>
            <w:r>
              <w:rPr/>
              <w:t>供应商应提交的相关资格证明材料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供应商应提交的相关资格证明材料 响应函</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参与的供应商（联合体）提供的货物全部由符合政策要求的中小企业制造。</w:t>
            </w:r>
          </w:p>
        </w:tc>
        <w:tc>
          <w:tcPr>
            <w:tcW w:type="dxa" w:w="1661"/>
          </w:tcPr>
          <w:p>
            <w:pPr>
              <w:pStyle w:val="null3"/>
            </w:pPr>
            <w:r>
              <w:rPr/>
              <w:t>中小企业声明函 残疾人福利性单位声明函 监狱企业的证明文件</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法定代表人授权书</w:t>
            </w:r>
          </w:p>
        </w:tc>
        <w:tc>
          <w:tcPr>
            <w:tcW w:type="dxa" w:w="3322"/>
          </w:tcPr>
          <w:p>
            <w:pPr>
              <w:pStyle w:val="null3"/>
            </w:pPr>
            <w:r>
              <w:rPr/>
              <w:t>提供法定代表人授权书（附法定代表人、被授权人身份证复印件）及被授权人身份证原件（法定代表人直接参加磋商，须提供法定代表人身份证明及身份证原件）；</w:t>
            </w:r>
          </w:p>
        </w:tc>
        <w:tc>
          <w:tcPr>
            <w:tcW w:type="dxa" w:w="1661"/>
          </w:tcPr>
          <w:p>
            <w:pPr>
              <w:pStyle w:val="null3"/>
            </w:pPr>
            <w:r>
              <w:rPr/>
              <w:t>供应商应提交的相关资格证明材料</w:t>
            </w:r>
          </w:p>
        </w:tc>
      </w:tr>
      <w:tr>
        <w:tc>
          <w:tcPr>
            <w:tcW w:type="dxa" w:w="831"/>
          </w:tcPr>
          <w:p>
            <w:pPr>
              <w:pStyle w:val="null3"/>
            </w:pPr>
            <w:r>
              <w:rPr/>
              <w:t>2</w:t>
            </w:r>
          </w:p>
        </w:tc>
        <w:tc>
          <w:tcPr>
            <w:tcW w:type="dxa" w:w="2492"/>
          </w:tcPr>
          <w:p>
            <w:pPr>
              <w:pStyle w:val="null3"/>
            </w:pPr>
            <w:r>
              <w:rPr/>
              <w:t>信誉要求</w:t>
            </w:r>
          </w:p>
        </w:tc>
        <w:tc>
          <w:tcPr>
            <w:tcW w:type="dxa" w:w="3322"/>
          </w:tcPr>
          <w:p>
            <w:pPr>
              <w:pStyle w:val="null3"/>
            </w:pPr>
            <w:r>
              <w:rPr/>
              <w:t>不得为“信用中国”网站(http://www.creditchina.gov.cn/)列入“失信被执行人或重大税收违法案件当事人名单或政府采购严重违法失信行为记录名单”的投标人；不得被列入中国政府采购网(http://www.ccgp.gov.cn/)“政府采购严重违法失信行为记录名单”；</w:t>
            </w:r>
          </w:p>
        </w:tc>
        <w:tc>
          <w:tcPr>
            <w:tcW w:type="dxa" w:w="1661"/>
          </w:tcPr>
          <w:p>
            <w:pPr>
              <w:pStyle w:val="null3"/>
            </w:pPr>
            <w:r>
              <w:rPr/>
              <w:t>供应商应提交的相关资格证明材料</w:t>
            </w:r>
          </w:p>
        </w:tc>
      </w:tr>
      <w:tr>
        <w:tc>
          <w:tcPr>
            <w:tcW w:type="dxa" w:w="831"/>
          </w:tcPr>
          <w:p>
            <w:pPr>
              <w:pStyle w:val="null3"/>
            </w:pPr>
            <w:r>
              <w:rPr/>
              <w:t>3</w:t>
            </w:r>
          </w:p>
        </w:tc>
        <w:tc>
          <w:tcPr>
            <w:tcW w:type="dxa" w:w="2492"/>
          </w:tcPr>
          <w:p>
            <w:pPr>
              <w:pStyle w:val="null3"/>
            </w:pPr>
            <w:r>
              <w:rPr/>
              <w:t>联合体磋商</w:t>
            </w:r>
          </w:p>
        </w:tc>
        <w:tc>
          <w:tcPr>
            <w:tcW w:type="dxa" w:w="3322"/>
          </w:tcPr>
          <w:p>
            <w:pPr>
              <w:pStyle w:val="null3"/>
            </w:pPr>
            <w:r>
              <w:rPr/>
              <w:t>本项目不接受联合体磋商</w:t>
            </w:r>
          </w:p>
        </w:tc>
        <w:tc>
          <w:tcPr>
            <w:tcW w:type="dxa" w:w="1661"/>
          </w:tcPr>
          <w:p>
            <w:pPr>
              <w:pStyle w:val="null3"/>
            </w:pPr>
            <w:r>
              <w:rPr/>
              <w:t>供应商应提交的相关资格证明材料</w:t>
            </w:r>
          </w:p>
        </w:tc>
      </w:tr>
    </w:tbl>
    <w:p>
      <w:pPr>
        <w:pStyle w:val="null3"/>
      </w:pPr>
      <w:r>
        <w:rPr/>
        <w:t xml:space="preserve"> </w:t>
        <w:br/>
        <w:br w:type="page"/>
      </w:r>
    </w:p>
    <w:p>
      <w:pPr>
        <w:pStyle w:val="null3"/>
        <w:jc w:val="center"/>
        <w:outlineLvl w:val="1"/>
      </w:pPr>
      <w:r>
        <w:rPr>
          <w:sz w:val="36"/>
          <w:b/>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t xml:space="preserve"> </w:t>
        <w:br/>
        <w:br w:type="page"/>
      </w:r>
    </w:p>
    <w:p>
      <w:pPr>
        <w:pStyle w:val="null3"/>
        <w:jc w:val="center"/>
        <w:outlineLvl w:val="1"/>
      </w:pPr>
      <w:r>
        <w:rPr>
          <w:sz w:val="36"/>
          <w:b/>
        </w:rPr>
        <w:t>第六章 磋商办法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t xml:space="preserve"> 二、评审工作由代理机构组织，具体评审事务由依法组建的磋商小组负责。</w:t>
      </w:r>
    </w:p>
    <w:p>
      <w:pPr>
        <w:pStyle w:val="null3"/>
        <w:ind w:firstLine="480"/>
      </w:pPr>
      <w:r>
        <w:rPr/>
        <w:t xml:space="preserve"> 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 xml:space="preserve"> 三、磋商小组按照磋商文件规定的磋商程序、评分方法和标准进行评审，并独立履行下列职责：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（三）根据需要要求供应商对响应文件中含义不明确、同类问题表述不一致或者有明显文字和计算错误的内容等作出必要的澄清、说明或者更正；</w:t>
      </w:r>
    </w:p>
    <w:p>
      <w:pPr>
        <w:pStyle w:val="null3"/>
        <w:ind w:firstLine="480"/>
      </w:pPr>
      <w:r>
        <w:rPr/>
        <w:t>（四）推荐成交候选供应商，或者受采购人委托确定成交供应商；</w:t>
      </w:r>
    </w:p>
    <w:p>
      <w:pPr>
        <w:pStyle w:val="null3"/>
        <w:ind w:firstLine="480"/>
      </w:pPr>
      <w:r>
        <w:rPr/>
        <w:t>（五）起草评审报告并进行签署；</w:t>
      </w:r>
    </w:p>
    <w:p>
      <w:pPr>
        <w:pStyle w:val="null3"/>
        <w:ind w:firstLine="480"/>
      </w:pPr>
      <w:r>
        <w:rPr/>
        <w:t xml:space="preserve"> （六）向采购人、代理机构、财政部门或者其他监督部门报告非法干预评审工作的行为；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6.3.1审查磋商文件和停止评审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（一）磋商文件的规定存在歧义、重大缺陷，导致评审无法进行的；</w:t>
      </w:r>
    </w:p>
    <w:p>
      <w:pPr>
        <w:pStyle w:val="null3"/>
        <w:ind w:firstLine="480"/>
      </w:pPr>
      <w:r>
        <w:rPr/>
        <w:t xml:space="preserve"> （二）磋商文件明显以不合理条件对供应商实行差别待遇或者歧视待遇的；</w:t>
      </w:r>
    </w:p>
    <w:p>
      <w:pPr>
        <w:pStyle w:val="null3"/>
        <w:ind w:firstLine="480"/>
      </w:pPr>
      <w:r>
        <w:rPr/>
        <w:t xml:space="preserve"> （三）采购项目属于国家规定的优先、强制采购范围，但是磋商文件未依法体现优先、强制采购相关规定的；</w:t>
      </w:r>
    </w:p>
    <w:p>
      <w:pPr>
        <w:pStyle w:val="null3"/>
        <w:ind w:firstLine="480"/>
      </w:pPr>
      <w:r>
        <w:rPr/>
        <w:t xml:space="preserve"> （四）采购项目属于政府采购促进中小企业发展的范围，但是磋商文件未依法体现促进中小企业发展相关规定的；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sz w:val="24"/>
          <w:b/>
        </w:rPr>
        <w:t>6.3.2符合性审查</w:t>
      </w:r>
    </w:p>
    <w:p>
      <w:pPr>
        <w:pStyle w:val="null3"/>
        <w:ind w:firstLine="480"/>
      </w:pPr>
      <w:r>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t xml:space="preserve"> 二、在符合性审查过程中，如果出现磋商小组成员意见不一致的情况，按照少数服从多数的原则确定，但不得违背政府采购基本原则和磋商文件规定。</w:t>
      </w:r>
    </w:p>
    <w:p>
      <w:pPr>
        <w:pStyle w:val="null3"/>
        <w:ind w:firstLine="480"/>
      </w:pPr>
      <w:r>
        <w:rPr/>
        <w:t>三、磋商小组对所有响应文件进行审查后，确定参加磋商的供应商名单。</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标的清单 报价表</w:t>
            </w:r>
          </w:p>
        </w:tc>
      </w:tr>
    </w:tbl>
    <w:p>
      <w:pPr>
        <w:pStyle w:val="null3"/>
        <w:outlineLvl w:val="3"/>
      </w:pPr>
      <w:r>
        <w:rPr>
          <w:sz w:val="24"/>
          <w:b/>
        </w:rPr>
        <w:t>6.3.3磋商</w:t>
      </w:r>
    </w:p>
    <w:p>
      <w:pPr>
        <w:pStyle w:val="null3"/>
        <w:ind w:firstLine="480"/>
      </w:pPr>
      <w:r>
        <w:rPr/>
        <w:t xml:space="preserve"> 一、磋商小组按照磋商文件的规定与邀请参加磋商的供应商分别进行磋商，磋商顺序由磋商小组确定。磋商过程中，磋商小组可以根据磋商情况调整磋商轮次。</w:t>
      </w:r>
    </w:p>
    <w:p>
      <w:pPr>
        <w:pStyle w:val="null3"/>
        <w:ind w:firstLine="480"/>
      </w:pPr>
      <w:r>
        <w:rPr/>
        <w:t xml:space="preserve"> 二、磋商小组所有成员集中与单一供应商对技术、服务、合同条款等内容分别进行一轮或多轮的磋商。在磋商中，磋商的任何一方不得透露与磋商有关的其他供应商的技术资料、价格和其他信息。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t xml:space="preserve"> 四、对磋商文件作出的实质性变动是磋商文件的有效组成部分，磋商小组应通过项目电子化交易系统，将变动情况同时通知所有参加磋商的供应商。磋商过程中，磋商小组可以根据磋商情况调整磋商轮次。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 xml:space="preserve"> 六、经最终磋商后，响应文件仍有下列情况之一的，应按照无效响应处理：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 xml:space="preserve"> 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t xml:space="preserve"> 二、磋商小组开启报价后，供应商应随时关注项目电子化交易系统信息或短信提醒，登录项目电子化交易系统，通过“等候大厅”进行报价并签章后提交。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pPr>
      <w:r>
        <w:rPr/>
        <w:t xml:space="preserve"> 五、供应商未在响应文件提交截止时间内提交报价或未按要求进行报价的，视为无效响应，由供应商自行承担不利后果。</w:t>
      </w:r>
    </w:p>
    <w:p>
      <w:pPr>
        <w:pStyle w:val="null3"/>
        <w:ind w:firstLine="480"/>
      </w:pPr>
      <w:r>
        <w:rPr/>
        <w:t xml:space="preserve"> 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 xml:space="preserve"> （二）单价金额小数点或者百分比有明显错位的，应以总价为准，并修改单价；</w:t>
      </w:r>
    </w:p>
    <w:p>
      <w:pPr>
        <w:pStyle w:val="null3"/>
        <w:ind w:firstLine="480"/>
      </w:pPr>
      <w:r>
        <w:rPr/>
        <w:t xml:space="preserve"> （三）总价金额与按单价汇总金额不一致的，以单价汇总金额计算结果为准；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 xml:space="preserve"> （一）供应商响应文件中不响应磋商文件规定的技术参数指标和商务应答；</w:t>
      </w:r>
    </w:p>
    <w:p>
      <w:pPr>
        <w:pStyle w:val="null3"/>
        <w:ind w:firstLine="480"/>
      </w:pPr>
      <w:r>
        <w:rPr/>
        <w:t xml:space="preserve"> （二）供应商响应文件中未提供的证明其是否符合磋商文件资格、符合性规定要求的相关材料。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 xml:space="preserve"> 四、响应文件报价出现前后不一致的情形，按照本章前述规定予以处理，不需要供应商澄清。</w:t>
      </w:r>
    </w:p>
    <w:p>
      <w:pPr>
        <w:pStyle w:val="null3"/>
        <w:ind w:firstLine="480"/>
      </w:pPr>
      <w:r>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sz w:val="24"/>
          <w:b/>
        </w:rPr>
        <w:t>6.3.6比较与评价</w:t>
      </w:r>
    </w:p>
    <w:p>
      <w:pPr>
        <w:pStyle w:val="null3"/>
        <w:ind w:firstLine="480"/>
      </w:pPr>
      <w:r>
        <w:rPr/>
        <w:t xml:space="preserve"> 磋商小组应当按照磋商文件规定的评标细则及标准，对符合性检查合格的响应文件进行商务和技术评估，综合比较和评价。</w:t>
      </w:r>
    </w:p>
    <w:p>
      <w:pPr>
        <w:pStyle w:val="null3"/>
        <w:outlineLvl w:val="3"/>
      </w:pPr>
      <w:r>
        <w:rPr>
          <w:sz w:val="24"/>
          <w:b/>
        </w:rPr>
        <w:t>6.3.7复核</w:t>
      </w:r>
    </w:p>
    <w:p>
      <w:pPr>
        <w:pStyle w:val="null3"/>
        <w:ind w:firstLine="480"/>
      </w:pPr>
      <w:r>
        <w:rPr/>
        <w:t xml:space="preserve"> 评审结束后，磋商小组应当进行复核，特别要对拟推荐为成交候选供应商的、报价最低的、响应文件被认定为无效的进行重点复核。</w:t>
      </w:r>
    </w:p>
    <w:p>
      <w:pPr>
        <w:pStyle w:val="null3"/>
        <w:ind w:firstLine="480"/>
      </w:pPr>
      <w:r>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sz w:val="24"/>
          <w:b/>
        </w:rPr>
        <w:t>6.3.8推荐成交候选供应商</w:t>
      </w:r>
    </w:p>
    <w:p>
      <w:pPr>
        <w:pStyle w:val="null3"/>
        <w:ind w:firstLine="480"/>
      </w:pPr>
      <w:r>
        <w:rPr/>
        <w:t xml:space="preserve"> 磋商小组应当根据综合评分情况，按照评审得分由高到低顺序推荐如下成交候选供应商，并编写磋商报告。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sz w:val="24"/>
          <w:b/>
        </w:rPr>
        <w:t>6.3.9编写磋商报告</w:t>
      </w:r>
    </w:p>
    <w:p>
      <w:pPr>
        <w:pStyle w:val="null3"/>
        <w:ind w:firstLine="480"/>
      </w:pPr>
      <w:r>
        <w:rPr/>
        <w:t xml:space="preserve"> 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 xml:space="preserve"> （四）评审情况记录和说明，包括对供应商响应文件审查情况、磋商情况、报价情况等；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sz w:val="24"/>
          <w:b/>
        </w:rPr>
        <w:t>6.3.10评审争议处理规则</w:t>
      </w:r>
    </w:p>
    <w:p>
      <w:pPr>
        <w:pStyle w:val="null3"/>
        <w:ind w:firstLine="480"/>
      </w:pPr>
      <w:r>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sz w:val="28"/>
          <w:b/>
        </w:rPr>
        <w:t>6.4评审办法及标准</w:t>
      </w:r>
    </w:p>
    <w:p>
      <w:pPr>
        <w:pStyle w:val="null3"/>
        <w:ind w:firstLine="480"/>
      </w:pPr>
      <w:r>
        <w:rPr/>
        <w:t xml:space="preserve"> 一、磋商小组只对通过资格审查的响应文件，根据磋商文件的要求采用相同的评审程序、评分办法及标准进行评价和比较。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sz w:val="24"/>
          <w:b/>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sz w:val="24"/>
          <w:b/>
        </w:rPr>
        <w:t>6.4.2评分标准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详细评审70.0000分</w:t>
            </w:r>
          </w:p>
          <w:p>
            <w:pPr>
              <w:pStyle w:val="null3"/>
            </w:pPr>
            <w:r>
              <w:rPr/>
              <w:t>报价得分30.0000分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供货方案</w:t>
            </w:r>
          </w:p>
        </w:tc>
        <w:tc>
          <w:tcPr>
            <w:tcW w:type="dxa" w:w="2492"/>
          </w:tcPr>
          <w:p>
            <w:pPr>
              <w:pStyle w:val="null3"/>
            </w:pPr>
            <w:r>
              <w:rPr/>
              <w:t>有完善的供货组织方案、产品安装和调试的主要技术保证措施，能够保证项目按期保质保量完成得11-20分，组织方案和各项技术保证措施有但不够详实完善得6-10分，方案及技术措施不完全的得1-5分。未提供的不得分。</w:t>
            </w:r>
          </w:p>
        </w:tc>
        <w:tc>
          <w:tcPr>
            <w:tcW w:type="dxa" w:w="831"/>
          </w:tcPr>
          <w:p>
            <w:pPr>
              <w:pStyle w:val="null3"/>
              <w:jc w:val="right"/>
            </w:pPr>
            <w:r>
              <w:rPr/>
              <w:t>20.0000</w:t>
            </w:r>
          </w:p>
        </w:tc>
        <w:tc>
          <w:tcPr>
            <w:tcW w:type="dxa" w:w="831"/>
          </w:tcPr>
          <w:p>
            <w:pPr>
              <w:pStyle w:val="null3"/>
            </w:pPr>
            <w:r>
              <w:rPr/>
              <w:t>主观</w:t>
            </w:r>
          </w:p>
        </w:tc>
        <w:tc>
          <w:tcPr>
            <w:tcW w:type="dxa" w:w="1661"/>
          </w:tcPr>
          <w:p>
            <w:pPr>
              <w:pStyle w:val="null3"/>
            </w:pPr>
            <w:r>
              <w:rPr/>
              <w:t>产品技术参数表</w:t>
            </w:r>
          </w:p>
          <w:p>
            <w:pPr>
              <w:pStyle w:val="null3"/>
            </w:pPr>
            <w:r>
              <w:rPr/>
              <w:t>商务应答表</w:t>
            </w:r>
          </w:p>
        </w:tc>
      </w:tr>
      <w:tr>
        <w:tc>
          <w:tcPr>
            <w:tcW w:type="dxa" w:w="831"/>
            <w:vMerge/>
          </w:tcPr>
          <w:p/>
        </w:tc>
        <w:tc>
          <w:tcPr>
            <w:tcW w:type="dxa" w:w="1661"/>
          </w:tcPr>
          <w:p>
            <w:pPr>
              <w:pStyle w:val="null3"/>
            </w:pPr>
            <w:r>
              <w:rPr/>
              <w:t>质量保障</w:t>
            </w:r>
          </w:p>
        </w:tc>
        <w:tc>
          <w:tcPr>
            <w:tcW w:type="dxa" w:w="2492"/>
          </w:tcPr>
          <w:p>
            <w:pPr>
              <w:pStyle w:val="null3"/>
            </w:pPr>
            <w:r>
              <w:rPr/>
              <w:t>1、投标产品供货渠道正常，产品符合国家行业标准，质量有保证。（提供合法来源渠道证明：包括但不限于销售协议、代理协议、授权等）。有完整证明材料及质量保障措施，并能够提供详细说明的计11-15分；有完整证明材料及质量保障措施并提供基本说明的的计6-10分；产品来源渠道证明资料不齐全的计1-5分。 投标文件中需提供相关证明材料（在有效期内）复印件并加盖公章，否则不得分。 2、配件保障措施：易损件、零配件在主体设备寿命极限的保障情况，根据承诺情况：配件在主体设备寿命极限内完全保障，并有明确的保障数量计3-5 分。承诺配件在主体设备寿命极限内基本能保障，保障数量不明计1-2分。不提供不得分。</w:t>
            </w:r>
          </w:p>
        </w:tc>
        <w:tc>
          <w:tcPr>
            <w:tcW w:type="dxa" w:w="831"/>
          </w:tcPr>
          <w:p>
            <w:pPr>
              <w:pStyle w:val="null3"/>
              <w:jc w:val="right"/>
            </w:pPr>
            <w:r>
              <w:rPr/>
              <w:t>20.0000</w:t>
            </w:r>
          </w:p>
        </w:tc>
        <w:tc>
          <w:tcPr>
            <w:tcW w:type="dxa" w:w="831"/>
          </w:tcPr>
          <w:p>
            <w:pPr>
              <w:pStyle w:val="null3"/>
            </w:pPr>
            <w:r>
              <w:rPr/>
              <w:t>主观</w:t>
            </w:r>
          </w:p>
        </w:tc>
        <w:tc>
          <w:tcPr>
            <w:tcW w:type="dxa" w:w="1661"/>
          </w:tcPr>
          <w:p>
            <w:pPr>
              <w:pStyle w:val="null3"/>
            </w:pPr>
            <w:r>
              <w:rPr/>
              <w:t>产品技术参数表</w:t>
            </w:r>
          </w:p>
          <w:p>
            <w:pPr>
              <w:pStyle w:val="null3"/>
            </w:pPr>
            <w:r>
              <w:rPr/>
              <w:t>商务应答表</w:t>
            </w:r>
          </w:p>
        </w:tc>
      </w:tr>
      <w:tr>
        <w:tc>
          <w:tcPr>
            <w:tcW w:type="dxa" w:w="831"/>
            <w:vMerge/>
          </w:tcPr>
          <w:p/>
        </w:tc>
        <w:tc>
          <w:tcPr>
            <w:tcW w:type="dxa" w:w="1661"/>
          </w:tcPr>
          <w:p>
            <w:pPr>
              <w:pStyle w:val="null3"/>
            </w:pPr>
            <w:r>
              <w:rPr/>
              <w:t>售后服务及实施方案</w:t>
            </w:r>
          </w:p>
        </w:tc>
        <w:tc>
          <w:tcPr>
            <w:tcW w:type="dxa" w:w="2492"/>
          </w:tcPr>
          <w:p>
            <w:pPr>
              <w:pStyle w:val="null3"/>
            </w:pPr>
            <w:r>
              <w:rPr/>
              <w:t>1、针对本项目有完整的售后服务方案，包括售后服务方式、售后服务工作机制、人员配备等内容。方案合理、可行，满足采购要求，有利于产品售后实施的得6-10分 ；方案不全面或可行性不强得1-5分。不提供不得分。 2、设备发生故障后的补救措施：设备发生故障后，维修服务响应时限等售后服务，有明确的承诺且具体、切实可行，计 3-5分，有相关承诺，但内容简单或未明确响应时间计1-2分；不提供不得分。 3、质量保证期内及质量保证期期满之后保障措施：详细说明质量保证期内及质量保证期期满之后的各项售后服务承诺以及质量保修承诺，包括售后服务响应、维修及质保期满后维修的收费情况等服务项目承诺，根据内容完整程度计1-5分；不提供不得分。</w:t>
            </w:r>
          </w:p>
        </w:tc>
        <w:tc>
          <w:tcPr>
            <w:tcW w:type="dxa" w:w="831"/>
          </w:tcPr>
          <w:p>
            <w:pPr>
              <w:pStyle w:val="null3"/>
              <w:jc w:val="right"/>
            </w:pPr>
            <w:r>
              <w:rPr/>
              <w:t>20.0000</w:t>
            </w:r>
          </w:p>
        </w:tc>
        <w:tc>
          <w:tcPr>
            <w:tcW w:type="dxa" w:w="831"/>
          </w:tcPr>
          <w:p>
            <w:pPr>
              <w:pStyle w:val="null3"/>
            </w:pPr>
            <w:r>
              <w:rPr/>
              <w:t>主观</w:t>
            </w:r>
          </w:p>
        </w:tc>
        <w:tc>
          <w:tcPr>
            <w:tcW w:type="dxa" w:w="1661"/>
          </w:tcPr>
          <w:p>
            <w:pPr>
              <w:pStyle w:val="null3"/>
            </w:pPr>
            <w:r>
              <w:rPr/>
              <w:t>产品技术参数表</w:t>
            </w:r>
          </w:p>
          <w:p>
            <w:pPr>
              <w:pStyle w:val="null3"/>
            </w:pPr>
            <w:r>
              <w:rPr/>
              <w:t>商务应答表</w:t>
            </w:r>
          </w:p>
        </w:tc>
      </w:tr>
      <w:tr>
        <w:tc>
          <w:tcPr>
            <w:tcW w:type="dxa" w:w="831"/>
            <w:vMerge/>
          </w:tcPr>
          <w:p/>
        </w:tc>
        <w:tc>
          <w:tcPr>
            <w:tcW w:type="dxa" w:w="1661"/>
          </w:tcPr>
          <w:p>
            <w:pPr>
              <w:pStyle w:val="null3"/>
            </w:pPr>
            <w:r>
              <w:rPr/>
              <w:t>培训措施</w:t>
            </w:r>
          </w:p>
        </w:tc>
        <w:tc>
          <w:tcPr>
            <w:tcW w:type="dxa" w:w="2492"/>
          </w:tcPr>
          <w:p>
            <w:pPr>
              <w:pStyle w:val="null3"/>
            </w:pPr>
            <w:r>
              <w:rPr/>
              <w:t>提供详尽的培训方案及培训计划，并列出培训的具体内容及方式，确保使用人员能够独立熟练操作、维护和正常使用，根据内容完整程度计 1-5分。不提供不得分。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产品技术参数表</w:t>
            </w:r>
          </w:p>
          <w:p>
            <w:pPr>
              <w:pStyle w:val="null3"/>
            </w:pPr>
            <w:r>
              <w:rPr/>
              <w:t>商务应答表</w:t>
            </w:r>
          </w:p>
        </w:tc>
      </w:tr>
      <w:tr>
        <w:tc>
          <w:tcPr>
            <w:tcW w:type="dxa" w:w="831"/>
            <w:vMerge/>
          </w:tcPr>
          <w:p/>
        </w:tc>
        <w:tc>
          <w:tcPr>
            <w:tcW w:type="dxa" w:w="1661"/>
          </w:tcPr>
          <w:p>
            <w:pPr>
              <w:pStyle w:val="null3"/>
            </w:pPr>
            <w:r>
              <w:rPr/>
              <w:t>业绩</w:t>
            </w:r>
          </w:p>
        </w:tc>
        <w:tc>
          <w:tcPr>
            <w:tcW w:type="dxa" w:w="2492"/>
          </w:tcPr>
          <w:p>
            <w:pPr>
              <w:pStyle w:val="null3"/>
            </w:pPr>
            <w:r>
              <w:rPr/>
              <w:t>提供2022年 1 月 1 日至今完成的同类型项目业绩，需提供加盖供应商公章的合同复印件，每份计1分，最多5 分。</w:t>
            </w:r>
          </w:p>
        </w:tc>
        <w:tc>
          <w:tcPr>
            <w:tcW w:type="dxa" w:w="831"/>
          </w:tcPr>
          <w:p>
            <w:pPr>
              <w:pStyle w:val="null3"/>
              <w:jc w:val="right"/>
            </w:pPr>
            <w:r>
              <w:rPr/>
              <w:t>5.0000</w:t>
            </w:r>
          </w:p>
        </w:tc>
        <w:tc>
          <w:tcPr>
            <w:tcW w:type="dxa" w:w="831"/>
          </w:tcPr>
          <w:p>
            <w:pPr>
              <w:pStyle w:val="null3"/>
            </w:pPr>
            <w:r>
              <w:rPr/>
              <w:t>客观</w:t>
            </w:r>
          </w:p>
        </w:tc>
        <w:tc>
          <w:tcPr>
            <w:tcW w:type="dxa" w:w="1661"/>
          </w:tcPr>
          <w:p>
            <w:pPr>
              <w:pStyle w:val="null3"/>
            </w:pPr>
            <w:r>
              <w:rPr/>
              <w:t>产品技术参数表</w:t>
            </w:r>
          </w:p>
          <w:p>
            <w:pPr>
              <w:pStyle w:val="null3"/>
            </w:pPr>
            <w:r>
              <w:rPr/>
              <w:t>商务应答表</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价格分采用低价优先法计算，即满足磋商文件要求且最终投标价格最低的投标报价为评标基准价，其价格分为满分。 投标报价得分=（评标基准价/投标报价）×30% ×100（保留小数点后两位，小数点后第三位“四舍五入”）。</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报价表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outlineLvl w:val="2"/>
      </w:pPr>
      <w:r>
        <w:rPr>
          <w:sz w:val="28"/>
          <w:b/>
        </w:rPr>
        <w:t>6.5终止采购活动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t>（四）法律法规规定的其他情形。</w:t>
      </w:r>
    </w:p>
    <w:p>
      <w:pPr>
        <w:pStyle w:val="null3"/>
        <w:outlineLvl w:val="2"/>
      </w:pPr>
      <w:r>
        <w:rPr>
          <w:sz w:val="28"/>
          <w:b/>
        </w:rPr>
        <w:t>6.6确定成交供应商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6.7评审专家在政府采购活动中承担以下义务</w:t>
      </w:r>
    </w:p>
    <w:p>
      <w:pPr>
        <w:pStyle w:val="null3"/>
        <w:ind w:firstLine="480"/>
      </w:pPr>
      <w:r>
        <w:rPr/>
        <w:t>（一）遵守评审工作纪律；</w:t>
      </w:r>
    </w:p>
    <w:p>
      <w:pPr>
        <w:pStyle w:val="null3"/>
        <w:ind w:firstLine="480"/>
      </w:pPr>
      <w:r>
        <w:rPr/>
        <w:t xml:space="preserve"> （二）按照客观、公正、审慎的原则，根据采购文件规定的评审程序、评审方法和评审标准进行独立评审；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 xml:space="preserve"> 6.8评审专家在政府采购活动中应当遵守以下工作纪律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 xml:space="preserve"> （二）评审前，应当将通讯工具或者相关电子设备交由采购组织单位统一保管。</w:t>
      </w:r>
    </w:p>
    <w:p>
      <w:pPr>
        <w:pStyle w:val="null3"/>
        <w:ind w:firstLine="480"/>
      </w:pPr>
      <w:r>
        <w:rPr/>
        <w:t xml:space="preserve"> （三）评审过程中，不得与外界联系，因发生不可预见情况，确实需要与外界联系的， 应当在监督人员监督之下办理。</w:t>
      </w:r>
    </w:p>
    <w:p>
      <w:pPr>
        <w:pStyle w:val="null3"/>
        <w:ind w:firstLine="480"/>
      </w:pPr>
      <w:r>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 xml:space="preserve"> （六）服从评审现场采购组织单位的现场秩序管理，接受评审现场监督人员的合法监督。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ind w:firstLine="480"/>
      </w:pPr>
      <w:r>
        <w:rPr/>
        <w:t>一、本章所制响应文件格式，除格式中明确将该格式作为实质性要求的，不具有强制性。</w:t>
      </w:r>
    </w:p>
    <w:p>
      <w:pPr>
        <w:pStyle w:val="null3"/>
        <w:ind w:firstLine="480"/>
      </w:pPr>
      <w:r>
        <w:rPr/>
        <w:t>二、本章所制响应文件格式有关表格中的备注栏，由供应商根据自身响应情况作解释性说明，不作为必填项。</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详见附件：供应商应提交的相关资格证明材料</w:t>
      </w:r>
    </w:p>
    <w:p>
      <w:pPr>
        <w:pStyle w:val="null3"/>
        <w:ind w:firstLine="960"/>
      </w:pPr>
      <w:r>
        <w:rPr/>
        <w:t>详见附件：产品技术参数表</w:t>
      </w:r>
    </w:p>
    <w:p>
      <w:pPr>
        <w:pStyle w:val="null3"/>
        <w:ind w:firstLine="960"/>
      </w:pPr>
      <w:r>
        <w:rPr/>
        <w:t>详见附件：商务应答表</w:t>
      </w:r>
    </w:p>
    <w:p>
      <w:pPr>
        <w:pStyle w:val="null3"/>
        <w:ind w:firstLine="960"/>
      </w:pPr>
      <w:r>
        <w:rPr/>
        <w:t>详见附件：报价表</w:t>
      </w:r>
    </w:p>
    <w:p>
      <w:pPr>
        <w:pStyle w:val="null3"/>
        <w:ind w:firstLine="960"/>
      </w:pPr>
      <w:r>
        <w:rPr/>
        <w:t>详见附件：标的清单</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详见附件：合同文本.docx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