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版本号：YJZB-2025-020120250224001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关于采购洗涤（被服）采购项目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YJZB-2025-0201</w:t>
      </w:r>
      <w:r>
        <w:br/>
      </w:r>
      <w:r>
        <w:br/>
      </w:r>
      <w:r>
        <w:br/>
      </w:r>
    </w:p>
    <w:p>
      <w:pPr>
        <w:pStyle w:val="null3"/>
        <w:jc w:val="center"/>
        <w:outlineLvl w:val="2"/>
      </w:pPr>
      <w:r>
        <w:rPr>
          <w:rFonts w:ascii="仿宋_GB2312" w:hAnsi="仿宋_GB2312" w:cs="仿宋_GB2312" w:eastAsia="仿宋_GB2312"/>
          <w:sz w:val="28"/>
          <w:b/>
        </w:rPr>
        <w:t>铜川市耀州区人民医院</w:t>
      </w:r>
    </w:p>
    <w:p>
      <w:pPr>
        <w:pStyle w:val="null3"/>
        <w:jc w:val="center"/>
        <w:outlineLvl w:val="2"/>
      </w:pPr>
      <w:r>
        <w:rPr>
          <w:rFonts w:ascii="仿宋_GB2312" w:hAnsi="仿宋_GB2312" w:cs="仿宋_GB2312" w:eastAsia="仿宋_GB2312"/>
          <w:sz w:val="28"/>
          <w:b/>
        </w:rPr>
        <w:t>陕西云界招标管理有限公司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陕西云界招标管理有限公司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铜川市耀州区人民医院</w:t>
      </w:r>
      <w:r>
        <w:rPr>
          <w:rFonts w:ascii="仿宋_GB2312" w:hAnsi="仿宋_GB2312" w:cs="仿宋_GB2312" w:eastAsia="仿宋_GB2312"/>
        </w:rPr>
        <w:t>委托，拟对</w:t>
      </w:r>
      <w:r>
        <w:rPr>
          <w:rFonts w:ascii="仿宋_GB2312" w:hAnsi="仿宋_GB2312" w:cs="仿宋_GB2312" w:eastAsia="仿宋_GB2312"/>
        </w:rPr>
        <w:t>关于采购洗涤（被服）采购项目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YJZB-2025-0201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关于采购洗涤（被服）采购项目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采购包1（关于采购洗涤（被服）采购项目）：采购包预算金额：370,000.00元。 采购包最高限价：370,000.00元。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采购包1（关于采购洗涤（被服）采购项目）：属于专门面向中小企业采购。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 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 权他人参加投标的，须提供法定代表人授权委托书。采购文件中凡是需要 法定代表人盖章之 处，非法人单位的负责人均参照执行。</w:t>
      </w:r>
    </w:p>
    <w:p>
      <w:pPr>
        <w:pStyle w:val="null3"/>
      </w:pPr>
      <w:r>
        <w:rPr>
          <w:rFonts w:ascii="仿宋_GB2312" w:hAnsi="仿宋_GB2312" w:cs="仿宋_GB2312" w:eastAsia="仿宋_GB2312"/>
        </w:rPr>
        <w:t>3、财务状况报告：提供2023年度经审计的财务报告（包括三表一注，成立时间至提交响应文件截止时间不足一 年的可提供成立后任意时段的资产负债表) , 或其开标前三个月内基本存款账户开户银行出具 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w:t>
      </w:r>
    </w:p>
    <w:p>
      <w:pPr>
        <w:pStyle w:val="null3"/>
      </w:pPr>
      <w:r>
        <w:rPr>
          <w:rFonts w:ascii="仿宋_GB2312" w:hAnsi="仿宋_GB2312" w:cs="仿宋_GB2312" w:eastAsia="仿宋_GB2312"/>
        </w:rPr>
        <w:t>7、企业信誉：供应商应具备良好的商业信誉，提供参加政府采购活动前3年内在经营活动中没有重大违法记录的书面声明。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8、信用中国：未在“信用中国” 网站（www.creditchina.gov.cn）、“ 中国政府采购网”（ccgp .gov.cn）列入失信被执行人、重大税收违法案件当事人名单、政府采购严重违法失信行为记录名单。</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10、本项目不接受联合体投标：本项目不接受联合体投标（提供书面声明材料）。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铜川市耀州区华原路中段北侧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18691916117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陕西云界招标管理有限公司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陕西省西安市浐灞生态区东二环与矿山路十字UPARK国际-U创空间5层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13772529819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代理服务费收费标准：成交服务费参照《国家计委关于印发&lt;招标代理服务收费管理暂行办法&gt; 的通知》（计价格[2002]1980号）和国家发展改革委员会办公厅颁发的《关于招标代理服务收费 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铜川市耀州区人民医院</w:t>
      </w:r>
      <w:r>
        <w:rPr>
          <w:rFonts w:ascii="仿宋_GB2312" w:hAnsi="仿宋_GB2312" w:cs="仿宋_GB2312" w:eastAsia="仿宋_GB2312"/>
        </w:rPr>
        <w:t>和</w:t>
      </w:r>
      <w:r>
        <w:rPr>
          <w:rFonts w:ascii="仿宋_GB2312" w:hAnsi="仿宋_GB2312" w:cs="仿宋_GB2312" w:eastAsia="仿宋_GB2312"/>
        </w:rPr>
        <w:t>陕西云界招标管理有限公司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陕西云界招标管理有限公司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陕西云界招标管理有限公司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1、国家相应的标准、规范；2、采购文件、响应文件、澄清表（函）；3、合同及合同附件。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联系人：段工</w:t>
      </w:r>
    </w:p>
    <w:p>
      <w:pPr>
        <w:pStyle w:val="null3"/>
      </w:pPr>
      <w:r>
        <w:rPr>
          <w:rFonts w:ascii="仿宋_GB2312" w:hAnsi="仿宋_GB2312" w:cs="仿宋_GB2312" w:eastAsia="仿宋_GB2312"/>
        </w:rPr>
        <w:t>联系电话：13772529819</w:t>
      </w:r>
    </w:p>
    <w:p>
      <w:pPr>
        <w:pStyle w:val="null3"/>
      </w:pPr>
      <w:r>
        <w:rPr>
          <w:rFonts w:ascii="仿宋_GB2312" w:hAnsi="仿宋_GB2312" w:cs="仿宋_GB2312" w:eastAsia="仿宋_GB2312"/>
        </w:rPr>
        <w:t>地址： 陕西省西安市市本级浐灞生态区东二环与矿山路十字UPARK国际-U创空间5层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采购包1（关于采购洗涤（被服）采购项目）：采购包预算金额：370,000.00元 。 采购包最高限价：370,000.00元 。</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区人民医院关于采购洗涤（被服）采购项目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标的名称：区人民医院关于采购洗涤（被服）采购项目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color w:val="000000"/>
              </w:rPr>
              <w:t>一、服务内容：</w:t>
            </w:r>
          </w:p>
          <w:tbl>
            <w:tblPr>
              <w:tblInd w:type="dxa" w:w="135"/>
              <w:tblBorders>
                <w:top w:val="none" w:color="000000" w:sz="4"/>
                <w:left w:val="none" w:color="000000" w:sz="4"/>
                <w:bottom w:val="none" w:color="000000" w:sz="4"/>
                <w:right w:val="none" w:color="000000" w:sz="4"/>
                <w:insideH w:val="none"/>
                <w:insideV w:val="none"/>
              </w:tblBorders>
            </w:tblPr>
            <w:tblGrid>
              <w:gridCol w:w="208"/>
              <w:gridCol w:w="719"/>
              <w:gridCol w:w="497"/>
              <w:gridCol w:w="427"/>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项目明细</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数量（条</w:t>
                  </w:r>
                  <w:r>
                    <w:rPr>
                      <w:rFonts w:ascii="仿宋_GB2312" w:hAnsi="仿宋_GB2312" w:cs="仿宋_GB2312" w:eastAsia="仿宋_GB2312"/>
                      <w:sz w:val="21"/>
                      <w:b/>
                      <w:color w:val="000000"/>
                    </w:rPr>
                    <w:t>/件/天）</w:t>
                  </w:r>
                </w:p>
              </w:tc>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最高单价（元）</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床单（含折旧）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被套（含折旧）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3.2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枕套（含折旧）</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病号服上</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1.25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病号服下</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1.25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拆洗棉被</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拆洗褥子</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工作服上</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2.5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工作服下</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2.5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手术衣</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洗手衣</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洗手裤</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治疗巾</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包布</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洞巾</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0.6</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窗帘</w:t>
                  </w:r>
                  <w:r>
                    <w:rPr>
                      <w:rFonts w:ascii="仿宋_GB2312" w:hAnsi="仿宋_GB2312" w:cs="仿宋_GB2312" w:eastAsia="仿宋_GB2312"/>
                      <w:sz w:val="21"/>
                      <w:color w:val="000000"/>
                    </w:rPr>
                    <w:t>/隔帘</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8</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沙发套</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3</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枕芯</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床罩</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3.2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台布</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3.5</w:t>
                  </w:r>
                </w:p>
              </w:tc>
            </w:tr>
          </w:tbl>
          <w:p>
            <w:pPr>
              <w:pStyle w:val="null3"/>
              <w:jc w:val="both"/>
            </w:pPr>
            <w:r>
              <w:rPr>
                <w:rFonts w:ascii="仿宋_GB2312" w:hAnsi="仿宋_GB2312" w:cs="仿宋_GB2312" w:eastAsia="仿宋_GB2312"/>
                <w:sz w:val="24"/>
              </w:rPr>
              <w:t>备注：</w:t>
            </w:r>
          </w:p>
          <w:p>
            <w:pPr>
              <w:pStyle w:val="null3"/>
              <w:jc w:val="both"/>
            </w:pPr>
            <w:r>
              <w:rPr>
                <w:rFonts w:ascii="仿宋_GB2312" w:hAnsi="仿宋_GB2312" w:cs="仿宋_GB2312" w:eastAsia="仿宋_GB2312"/>
                <w:sz w:val="21"/>
              </w:rPr>
              <w:t>1、供应商应按照上述被服洗涤数量、单价进行报价。单价一次包死，单价包括完成单项服务所涉及到的洗涤用品、人工，运输、保险及伴随货物服务等所有费用。如有遗漏，视为已包含在内。</w:t>
            </w:r>
          </w:p>
          <w:p>
            <w:pPr>
              <w:pStyle w:val="null3"/>
              <w:jc w:val="both"/>
            </w:pPr>
            <w:r>
              <w:rPr>
                <w:rFonts w:ascii="仿宋_GB2312" w:hAnsi="仿宋_GB2312" w:cs="仿宋_GB2312" w:eastAsia="仿宋_GB2312"/>
                <w:sz w:val="21"/>
              </w:rPr>
              <w:t>2、供应商分项报价不得超过各分项所列示的单项最高单价限价，否则按无效处理。</w:t>
            </w:r>
          </w:p>
          <w:p>
            <w:pPr>
              <w:pStyle w:val="null3"/>
              <w:jc w:val="both"/>
            </w:pPr>
            <w:r>
              <w:rPr>
                <w:rFonts w:ascii="仿宋_GB2312" w:hAnsi="仿宋_GB2312" w:cs="仿宋_GB2312" w:eastAsia="仿宋_GB2312"/>
                <w:sz w:val="21"/>
              </w:rPr>
              <w:t>3、表中未列物品洗涤单价参照表中类似尺寸、材质物品洗涤单价执行结算。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报损标准：</w:t>
            </w:r>
          </w:p>
          <w:p>
            <w:pPr>
              <w:pStyle w:val="null3"/>
              <w:jc w:val="both"/>
            </w:pPr>
            <w:r>
              <w:rPr>
                <w:rFonts w:ascii="仿宋_GB2312" w:hAnsi="仿宋_GB2312" w:cs="仿宋_GB2312" w:eastAsia="仿宋_GB2312"/>
                <w:sz w:val="21"/>
              </w:rPr>
              <w:t>①布草出现破洞，我司应该及时缝补，除去有严重破损外，补丁个数不得超过3处，且每处不得超过2平方厘米。</w:t>
            </w:r>
          </w:p>
          <w:p>
            <w:pPr>
              <w:pStyle w:val="null3"/>
              <w:jc w:val="both"/>
            </w:pPr>
            <w:r>
              <w:rPr>
                <w:rFonts w:ascii="仿宋_GB2312" w:hAnsi="仿宋_GB2312" w:cs="仿宋_GB2312" w:eastAsia="仿宋_GB2312"/>
                <w:sz w:val="21"/>
              </w:rPr>
              <w:t>②有重污染污渍经多次处理无效的；</w:t>
            </w:r>
          </w:p>
          <w:p>
            <w:pPr>
              <w:pStyle w:val="null3"/>
              <w:jc w:val="both"/>
            </w:pPr>
            <w:r>
              <w:rPr>
                <w:rFonts w:ascii="仿宋_GB2312" w:hAnsi="仿宋_GB2312" w:cs="仿宋_GB2312" w:eastAsia="仿宋_GB2312"/>
                <w:sz w:val="21"/>
              </w:rPr>
              <w:t>③布草烂边情况，即布草边缘线头整体断裂，破烂严重的；</w:t>
            </w:r>
          </w:p>
          <w:p>
            <w:pPr>
              <w:pStyle w:val="null3"/>
              <w:jc w:val="both"/>
            </w:pPr>
            <w:r>
              <w:rPr>
                <w:rFonts w:ascii="仿宋_GB2312" w:hAnsi="仿宋_GB2312" w:cs="仿宋_GB2312" w:eastAsia="仿宋_GB2312"/>
                <w:sz w:val="21"/>
              </w:rPr>
              <w:t>(注：出现以上三种情况，供应商需立即做报废处理，并且对应更换全新布草)</w:t>
            </w:r>
          </w:p>
          <w:p>
            <w:pPr>
              <w:pStyle w:val="null3"/>
              <w:spacing w:after="120"/>
              <w:jc w:val="both"/>
            </w:pPr>
            <w:r>
              <w:rPr>
                <w:rFonts w:ascii="仿宋_GB2312" w:hAnsi="仿宋_GB2312" w:cs="仿宋_GB2312" w:eastAsia="仿宋_GB2312"/>
                <w:sz w:val="24"/>
                <w:b/>
              </w:rPr>
              <w:t>二、洗涤服务标准</w:t>
            </w:r>
          </w:p>
          <w:p>
            <w:pPr>
              <w:pStyle w:val="null3"/>
              <w:spacing w:after="120"/>
              <w:ind w:firstLine="480"/>
              <w:jc w:val="both"/>
            </w:pPr>
            <w:r>
              <w:rPr>
                <w:rFonts w:ascii="仿宋_GB2312" w:hAnsi="仿宋_GB2312" w:cs="仿宋_GB2312" w:eastAsia="仿宋_GB2312"/>
                <w:sz w:val="24"/>
              </w:rPr>
              <w:t>洗涤效果必须达到国家卫生部《消毒技术规范》相关规定、国家卫生标准、医院布草洗涤行业标准（包含但不限于下列规定和标准）。</w:t>
            </w:r>
          </w:p>
          <w:p>
            <w:pPr>
              <w:pStyle w:val="null3"/>
              <w:spacing w:after="120"/>
              <w:jc w:val="both"/>
            </w:pPr>
            <w:r>
              <w:rPr>
                <w:rFonts w:ascii="仿宋_GB2312" w:hAnsi="仿宋_GB2312" w:cs="仿宋_GB2312" w:eastAsia="仿宋_GB2312"/>
                <w:sz w:val="24"/>
              </w:rPr>
              <w:t>《医疗机构消毒技术规范》</w:t>
            </w:r>
          </w:p>
          <w:p>
            <w:pPr>
              <w:pStyle w:val="null3"/>
              <w:spacing w:after="120"/>
              <w:jc w:val="both"/>
            </w:pPr>
            <w:r>
              <w:rPr>
                <w:rFonts w:ascii="仿宋_GB2312" w:hAnsi="仿宋_GB2312" w:cs="仿宋_GB2312" w:eastAsia="仿宋_GB2312"/>
                <w:sz w:val="24"/>
              </w:rPr>
              <w:t>《医院消毒卫生标准》</w:t>
            </w:r>
          </w:p>
          <w:p>
            <w:pPr>
              <w:pStyle w:val="null3"/>
              <w:spacing w:after="120"/>
              <w:jc w:val="both"/>
            </w:pPr>
            <w:r>
              <w:rPr>
                <w:rFonts w:ascii="仿宋_GB2312" w:hAnsi="仿宋_GB2312" w:cs="仿宋_GB2312" w:eastAsia="仿宋_GB2312"/>
                <w:sz w:val="24"/>
              </w:rPr>
              <w:t>《医院感染管理办法》</w:t>
            </w:r>
          </w:p>
          <w:p>
            <w:pPr>
              <w:pStyle w:val="null3"/>
              <w:spacing w:after="120"/>
              <w:jc w:val="both"/>
            </w:pPr>
            <w:r>
              <w:rPr>
                <w:rFonts w:ascii="仿宋_GB2312" w:hAnsi="仿宋_GB2312" w:cs="仿宋_GB2312" w:eastAsia="仿宋_GB2312"/>
                <w:sz w:val="24"/>
              </w:rPr>
              <w:t>《医疗废物管理条例》</w:t>
            </w:r>
          </w:p>
          <w:p>
            <w:pPr>
              <w:pStyle w:val="null3"/>
              <w:spacing w:after="120"/>
              <w:jc w:val="both"/>
            </w:pPr>
            <w:r>
              <w:rPr>
                <w:rFonts w:ascii="仿宋_GB2312" w:hAnsi="仿宋_GB2312" w:cs="仿宋_GB2312" w:eastAsia="仿宋_GB2312"/>
                <w:sz w:val="24"/>
              </w:rPr>
              <w:t>《医院医用织物洗涤消毒技术规范》</w:t>
            </w:r>
            <w:r>
              <w:rPr>
                <w:rFonts w:ascii="仿宋_GB2312" w:hAnsi="仿宋_GB2312" w:cs="仿宋_GB2312" w:eastAsia="仿宋_GB2312"/>
                <w:sz w:val="24"/>
              </w:rPr>
              <w:t>WS/t508-2016</w:t>
            </w:r>
          </w:p>
          <w:p>
            <w:pPr>
              <w:pStyle w:val="null3"/>
              <w:spacing w:after="120"/>
              <w:jc w:val="both"/>
            </w:pPr>
            <w:r>
              <w:rPr>
                <w:rFonts w:ascii="仿宋_GB2312" w:hAnsi="仿宋_GB2312" w:cs="仿宋_GB2312" w:eastAsia="仿宋_GB2312"/>
                <w:sz w:val="24"/>
              </w:rPr>
              <w:t>《工业企业厂界环境噪声排放标准》（</w:t>
            </w:r>
            <w:r>
              <w:rPr>
                <w:rFonts w:ascii="仿宋_GB2312" w:hAnsi="仿宋_GB2312" w:cs="仿宋_GB2312" w:eastAsia="仿宋_GB2312"/>
                <w:sz w:val="24"/>
              </w:rPr>
              <w:t>GB12348-2008）中的3类标准；</w:t>
            </w:r>
          </w:p>
          <w:p>
            <w:pPr>
              <w:pStyle w:val="null3"/>
              <w:spacing w:after="120"/>
              <w:jc w:val="both"/>
            </w:pPr>
            <w:r>
              <w:rPr>
                <w:rFonts w:ascii="仿宋_GB2312" w:hAnsi="仿宋_GB2312" w:cs="仿宋_GB2312" w:eastAsia="仿宋_GB2312"/>
                <w:sz w:val="24"/>
              </w:rPr>
              <w:t>生产废水执行《医疗机构水污染物排放标准》（</w:t>
            </w:r>
            <w:r>
              <w:rPr>
                <w:rFonts w:ascii="仿宋_GB2312" w:hAnsi="仿宋_GB2312" w:cs="仿宋_GB2312" w:eastAsia="仿宋_GB2312"/>
                <w:sz w:val="24"/>
              </w:rPr>
              <w:t>GB18466-2005）预处理标准要求（粪大肠菌群数、COD、SS、阴离子表面活性剂（LAS））和《黄河流域（陕西段）污水综合排放标准》（DB61/224-2011）中的二级标准（氨氮）；办公废水执行《黄河流域（陕西段）污水综合排放标准》（DB61/224-2011）中的二级标准（COD、氨氮）和《污水综合排放标准》（GB8978-1996）中的三级标准（SS）；均以最新版本为准。</w:t>
            </w:r>
          </w:p>
          <w:p>
            <w:pPr>
              <w:pStyle w:val="null3"/>
              <w:spacing w:after="120"/>
              <w:jc w:val="both"/>
            </w:pPr>
            <w:r>
              <w:rPr>
                <w:rFonts w:ascii="仿宋_GB2312" w:hAnsi="仿宋_GB2312" w:cs="仿宋_GB2312" w:eastAsia="仿宋_GB2312"/>
                <w:sz w:val="24"/>
                <w:b/>
              </w:rPr>
              <w:t>三、洗涤服务要求</w:t>
            </w:r>
          </w:p>
          <w:p>
            <w:pPr>
              <w:pStyle w:val="null3"/>
              <w:spacing w:after="120"/>
              <w:jc w:val="both"/>
            </w:pPr>
            <w:r>
              <w:rPr>
                <w:rFonts w:ascii="仿宋_GB2312" w:hAnsi="仿宋_GB2312" w:cs="仿宋_GB2312" w:eastAsia="仿宋_GB2312"/>
                <w:sz w:val="24"/>
              </w:rPr>
              <w:t>1、洗衣房要求：（1）洗涤公司应有合法的洗涤工作场所，保证洗涤物品的连续性，（除不可抗拒外）。内部布局合理，分污染区、半污染区、清洁区。区域划分清楚，并有明显标志。</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2）所有污染区与洁净区采用半密封或全密封隔离墙等材料进行隔离。</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3）污染区为病人污衣物分检清点、处理、清洗间。半污染区为医务人员污衣物分检清点、处理、清洗间。清洁区为洗净衣物晾、哄干、缝补、熨烫、折叠储存、发送间。</w:t>
            </w:r>
          </w:p>
          <w:p>
            <w:pPr>
              <w:pStyle w:val="null3"/>
              <w:spacing w:after="120"/>
              <w:jc w:val="both"/>
            </w:pPr>
            <w:r>
              <w:rPr>
                <w:rFonts w:ascii="仿宋_GB2312" w:hAnsi="仿宋_GB2312" w:cs="仿宋_GB2312" w:eastAsia="仿宋_GB2312"/>
                <w:sz w:val="24"/>
              </w:rPr>
              <w:t>2、设备要求：洗涤设备除要符合国家卫计委消毒技术规范外，洗涤设备数量要充足，可为医务人员及病人提供专机进行清洗。人员要求：管理人员需具备洗医师执业资格证书，工作人员具有健康证。</w:t>
            </w:r>
          </w:p>
          <w:p>
            <w:pPr>
              <w:pStyle w:val="null3"/>
              <w:spacing w:after="120"/>
              <w:jc w:val="both"/>
            </w:pPr>
            <w:r>
              <w:rPr>
                <w:rFonts w:ascii="仿宋_GB2312" w:hAnsi="仿宋_GB2312" w:cs="仿宋_GB2312" w:eastAsia="仿宋_GB2312"/>
                <w:sz w:val="24"/>
              </w:rPr>
              <w:t>3、时间要求：洗涤公司必须按照医院规定时间，每天到招标人指定地点收送被服等物品（含双休日、节假日），每次将待洗物品和洗净物品按照医院要求进行收送，清点登记。如不及时送达，影响医院正常工作，洗涤公司应按成交总额的5%向院方支付违约金。</w:t>
            </w:r>
          </w:p>
          <w:p>
            <w:pPr>
              <w:pStyle w:val="null3"/>
              <w:spacing w:after="120"/>
              <w:jc w:val="both"/>
            </w:pPr>
            <w:r>
              <w:rPr>
                <w:rFonts w:ascii="仿宋_GB2312" w:hAnsi="仿宋_GB2312" w:cs="仿宋_GB2312" w:eastAsia="仿宋_GB2312"/>
                <w:sz w:val="24"/>
              </w:rPr>
              <w:t>4、卫生要求：洗涤公司应根据医用被服物品的特点，选择适合洗涤的工艺标准，科学安排洗涤工序，保障洗涤质量，医院有权对洗涤公司送回所洗被服物品干净度进行检查和验收，对未清洗干净的被服物品医院要求洗涤公司返回重新反洗，（反洗污物不能重复计入洗涤总数量）。</w:t>
            </w:r>
          </w:p>
          <w:p>
            <w:pPr>
              <w:pStyle w:val="null3"/>
              <w:spacing w:after="120"/>
              <w:jc w:val="both"/>
            </w:pPr>
            <w:r>
              <w:rPr>
                <w:rFonts w:ascii="仿宋_GB2312" w:hAnsi="仿宋_GB2312" w:cs="仿宋_GB2312" w:eastAsia="仿宋_GB2312"/>
                <w:sz w:val="24"/>
              </w:rPr>
              <w:t>5、清洁织物微生物指标:细菌菌落总数/（CFU/100 cm²） ≤200，大肠杆菌、金黄色葡萄菌不得检出。</w:t>
            </w:r>
          </w:p>
          <w:p>
            <w:pPr>
              <w:pStyle w:val="null3"/>
              <w:spacing w:after="120"/>
              <w:jc w:val="both"/>
            </w:pPr>
            <w:r>
              <w:rPr>
                <w:rFonts w:ascii="仿宋_GB2312" w:hAnsi="仿宋_GB2312" w:cs="仿宋_GB2312" w:eastAsia="仿宋_GB2312"/>
                <w:sz w:val="24"/>
              </w:rPr>
              <w:t>6、质量要求：①感官指标，清洁织物外观应整洁、干燥、无异味、异物、破损，送回院方的干净布草要求：整洁、干燥、无污渍、无异味。②物理指标：PH值6.5-7.5。供应商对清洁织物每批次进行感官指标检查，每月进行物理指标和微生物指标的检测。</w:t>
            </w:r>
          </w:p>
          <w:p>
            <w:pPr>
              <w:pStyle w:val="null3"/>
              <w:spacing w:after="120"/>
              <w:ind w:firstLine="480"/>
              <w:jc w:val="both"/>
            </w:pPr>
            <w:r>
              <w:rPr>
                <w:rFonts w:ascii="仿宋_GB2312" w:hAnsi="仿宋_GB2312" w:cs="仿宋_GB2312" w:eastAsia="仿宋_GB2312"/>
                <w:sz w:val="24"/>
              </w:rPr>
              <w:t>因洗涤公司原因造成送洗被服遗失破损，洗涤公司应按价照常赔偿；医院提供的被服物品，若顽渍太多，多次清洗仍未效果，洗涤公司应向医院说明，医院负责处理或另做他用。</w:t>
            </w:r>
            <w:r>
              <w:rPr>
                <w:rFonts w:ascii="仿宋_GB2312" w:hAnsi="仿宋_GB2312" w:cs="仿宋_GB2312" w:eastAsia="仿宋_GB2312"/>
                <w:sz w:val="24"/>
              </w:rPr>
              <w:t xml:space="preserve">    </w:t>
            </w:r>
          </w:p>
          <w:p>
            <w:pPr>
              <w:pStyle w:val="null3"/>
              <w:spacing w:after="120"/>
              <w:jc w:val="both"/>
            </w:pPr>
            <w:r>
              <w:rPr>
                <w:rFonts w:ascii="仿宋_GB2312" w:hAnsi="仿宋_GB2312" w:cs="仿宋_GB2312" w:eastAsia="仿宋_GB2312"/>
                <w:sz w:val="24"/>
              </w:rPr>
              <w:t>7、感控要求：对于传染病人的医用被服物品和卫生防疫部门要求的特殊医用物品在医院按相关规定完成初步消毒，医院需将清洗的被服物品用袋子装好，并在袋子外面贴上消毒标签，确保洗涤交叉感染。</w:t>
            </w:r>
          </w:p>
          <w:p>
            <w:pPr>
              <w:pStyle w:val="null3"/>
              <w:spacing w:after="120"/>
              <w:jc w:val="both"/>
            </w:pPr>
            <w:r>
              <w:rPr>
                <w:rFonts w:ascii="仿宋_GB2312" w:hAnsi="仿宋_GB2312" w:cs="仿宋_GB2312" w:eastAsia="仿宋_GB2312"/>
                <w:sz w:val="24"/>
              </w:rPr>
              <w:t>8、缝补要求：洗涤完的被服、工服等物品，若出现脱线、破洞、纽扣掉等由洗涤公司缝补后在送往医院被服中心，不得出现未经缝补的洗涤物品送入使用科室。</w:t>
            </w:r>
          </w:p>
          <w:p>
            <w:pPr>
              <w:pStyle w:val="null3"/>
              <w:spacing w:after="120"/>
              <w:jc w:val="both"/>
            </w:pPr>
            <w:r>
              <w:rPr>
                <w:rFonts w:ascii="仿宋_GB2312" w:hAnsi="仿宋_GB2312" w:cs="仿宋_GB2312" w:eastAsia="仿宋_GB2312"/>
                <w:sz w:val="24"/>
              </w:rPr>
              <w:t>9、运输车辆由洗涤公司自行提供，运输车量必须按照一车一用一消毒的程序严格执行，医院不负责提供相应的运输交通工具。</w:t>
            </w:r>
          </w:p>
          <w:p>
            <w:pPr>
              <w:pStyle w:val="null3"/>
              <w:spacing w:after="120"/>
              <w:jc w:val="both"/>
            </w:pPr>
            <w:r>
              <w:rPr>
                <w:rFonts w:ascii="仿宋_GB2312" w:hAnsi="仿宋_GB2312" w:cs="仿宋_GB2312" w:eastAsia="仿宋_GB2312"/>
                <w:sz w:val="24"/>
              </w:rPr>
              <w:t>10、洗涤公司每月应向医院相关部门提交各部门及科室被服物品清洗数量分类汇总表。由被服中心进行核对并交付总务科。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1.有完善的项目实施团队及管理方案，团队人员必须是供应商单位在职人员。 2.拟投入本项目人员满足项目实施要求，人员安排具体、分工责任明确，管理方案合理。详见服务内容及服务要求。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有完成本项目服务所需的设备，所提供设备能够满足服务需求。详见服务内容及服务要求。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1、现行的国家标准或国家行政部门颁布的法律法规、规章制度。没有国家标准的，可以参考行业标准。 2、采购文件、 响应文件、澄清表（函）。 3、合同及合同附件。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违约责任与解决争议的方法：按《中华人民共和国政府采购法》第七十三条、《中华人民共和国民法典》第五百 七十七条中的相关条款执行。未按合同或采购文件要求提供的产品或者服务，服务不能满足采购人技术要求，采购单位有权终止合同，甚至对供应商违约行为进行追究。本合同在履行过程中发生的争议，由双方当事人协商解决，协商不成的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 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 权他人参加投标的，须提供法定代表人授权委托书。采购文件中凡是需要 法定代表人盖章之 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提供2023年度经审计的财务报告（包括三表一注，成立时间至提交响应文件截止时间不足一 年的可提供成立后任意时段的资产负债表) , 或其开标前三个月内基本存款账户开户银行出具 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网站（www.creditchina.gov.cn）、“ 中国政府采购网”（ccgp .gov.cn）列入失信被执行人、重大税收违法案件当事人名单、政府采购严重违法失信行为记录名单。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整性和响应程度进行审查。出现下列情况之一（但不限于）不得进入评审环节：（1）响应文件未按照竞争性采购文件的要求编写；（2）响应文件未按采购文件要求签字、盖章；（3）供应商的投标报价超过采购预算或最高限价的；（4）无投标有效期或有效期达不到采购文件要求的；（5）响应文件未实质性响应采购文件要求的；（6）响应文件附加了采购人难以接受的条件或条款的； （7）不符合法律、法规和采购文件中规定的其他实质性要求的。</w:t>
            </w:r>
          </w:p>
        </w:tc>
        <w:tc>
          <w:tcPr>
            <w:tcW w:type="dxa" w:w="1661"/>
          </w:tcPr>
          <w:p>
            <w:pPr>
              <w:pStyle w:val="null3"/>
            </w:pPr>
            <w:r>
              <w:rPr>
                <w:rFonts w:ascii="仿宋_GB2312" w:hAnsi="仿宋_GB2312" w:cs="仿宋_GB2312" w:eastAsia="仿宋_GB2312"/>
              </w:rPr>
              <w:t>中小企业声明函 服务响应方案.docx 报价表 商务条款应答表.docx 响应文件封面 分项报价表.docx 供应商应提交的相关资格证明材料.docx 残疾人福利性单位声明函 标的清单 服务内容及服务要求应答表.docx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针对本项目总体服务方案：包含洗涤工序、被服分类、消毒流程、熨烫、折叠、缝补、配送内容，详细列出服务工作计划，并按照标准化实施服务管理，能提供相关资料。以服务定位准确清晰、目标明确、工作计划全面、科学、可操作性强为赋分原则。 ①服务方案内容清晰、完整，措施有效明确，管理责任清晰，计[6-10]分； ②服务方案完整，措施可行，管理责任清晰，计[3-6）分； ③服务方案不够完整，措施不可行，管理责任模糊，计[1-3）分； ④未提供不计分。 2、应急预案：提供针对本项目的应急方案（不限于停电、停水、停气、机器故障、医院紧急通知、车辆紧急需求等），方案内容合理可行，根据响应情况赋[1-3]分，未提供不计分。 3、公共突发传染事件应对方案：针对突发性传染事件的特殊情况下，对医院洗涤物品的消毒杀菌提出服务方案，内容合理可行，根据响应情况赋[1-2]分，未提供不计分。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具有独立的合法的工作场所，并提供厂区平面图，场所内部布局合理，分区明确。有符合规范要求的净污分离划分、物流不交叉、无逆流并提供相关证明资料（以供应商附相关房产持有或租赁有效证明，房产证或租赁合同复印件、厂房照片、近半年污水处理排放质检报告等符合国家相关相关安全生产规范要求的证明材料为依据）。供应商提供完整详细具体的履约能力描述得 [7-10]分。 供应商提供的履约能力描述较完整，所提供的方案及相关证明资料能够保障项目的实施得[3-7)分。 供应商提供的履约能力一般，描述不能保证项目实施或未提供得 [0-3)分。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提供具体可行的质量保证措施及服务承诺，根据措施内容及承诺事项详细、完整、可行程度综合评定赋分： ①实施及承诺内容详细全面、合理、具体可行的，计[8-10]分 ②实施及承诺具有一定的可操作性，内容较为全面、合理的，计[5-8）分； ③实施及承诺内容缺乏完整性和合理性的，计[3-5）分；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项目组织管理机构人员名单及人员分工安排、职责划分、人员从业经验等证明材料。人员配备，包含但不限于专业人员、洗涤人员、消毒人员、熨烫人员、折叠人员、缝补人员、配送人员等。根据人员数量、分工安排、职责划分、人员从业经验等方面综合评比。 ①人员配备充足，可充分满足项目需求，人员分工及职责划分详细全面、合理的，人员工作经验丰富的，计[5-7]分； ②人员配备基本满足项目需求，人员分工及职责划分较为详细全面、较为合理的，人员具有工作经验的，计[3-5）分； ③人员配备勉强满足项目需求，人员分工及职责划分不够详细全面、不够合理的，人员无工作经验的，计[1-3）分； 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洗涤设备</w:t>
            </w:r>
          </w:p>
        </w:tc>
        <w:tc>
          <w:tcPr>
            <w:tcW w:type="dxa" w:w="2492"/>
          </w:tcPr>
          <w:p>
            <w:pPr>
              <w:pStyle w:val="null3"/>
            </w:pPr>
            <w:r>
              <w:rPr>
                <w:rFonts w:ascii="仿宋_GB2312" w:hAnsi="仿宋_GB2312" w:cs="仿宋_GB2312" w:eastAsia="仿宋_GB2312"/>
              </w:rPr>
              <w:t>根据供应商拟投入使用的医用织物、工作服专业洗涤设备的数量和种类进行综合赋分，采购人的采购需求为包括但不限于隧道式洗衣机、自动布展机、烫平机、全自动折叠机、全自动烘干机等； 其中设备种类齐全，数量完全满足采购人的采购需求的计[6-9]；设备种类合理，数量基本满足采购人的采购需求的计[3-6）； 设备种类不全，数量不能满足采购人的采购需求的计[1-3）。 提供设备清单，设备现场图片。</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消毒设备</w:t>
            </w:r>
          </w:p>
        </w:tc>
        <w:tc>
          <w:tcPr>
            <w:tcW w:type="dxa" w:w="2492"/>
          </w:tcPr>
          <w:p>
            <w:pPr>
              <w:pStyle w:val="null3"/>
            </w:pPr>
            <w:r>
              <w:rPr>
                <w:rFonts w:ascii="仿宋_GB2312" w:hAnsi="仿宋_GB2312" w:cs="仿宋_GB2312" w:eastAsia="仿宋_GB2312"/>
              </w:rPr>
              <w:t>1.供应商具有人员风淋消毒通道及设施，得2分，其他消毒设施得1分，没有不得分； 2.供应商具有运输车辆消毒通道设施，得2分，其他消毒设施得1分，没有不得分。 上述消毒设施应提供相关证明材料，否则不得分。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车辆配置</w:t>
            </w:r>
          </w:p>
        </w:tc>
        <w:tc>
          <w:tcPr>
            <w:tcW w:type="dxa" w:w="2492"/>
          </w:tcPr>
          <w:p>
            <w:pPr>
              <w:pStyle w:val="null3"/>
            </w:pPr>
            <w:r>
              <w:rPr>
                <w:rFonts w:ascii="仿宋_GB2312" w:hAnsi="仿宋_GB2312" w:cs="仿宋_GB2312" w:eastAsia="仿宋_GB2312"/>
              </w:rPr>
              <w:t>供应商具有较好的配送能力，具有一定数量的医用被服专业配送车辆（提供相关证明材料），每提供1辆计1分，满分3分，未提供的不得分。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感控措施方案</w:t>
            </w:r>
          </w:p>
        </w:tc>
        <w:tc>
          <w:tcPr>
            <w:tcW w:type="dxa" w:w="2492"/>
          </w:tcPr>
          <w:p>
            <w:pPr>
              <w:pStyle w:val="null3"/>
            </w:pPr>
            <w:r>
              <w:rPr>
                <w:rFonts w:ascii="仿宋_GB2312" w:hAnsi="仿宋_GB2312" w:cs="仿宋_GB2312" w:eastAsia="仿宋_GB2312"/>
              </w:rPr>
              <w:t>供应商提供完整详细的符合国家相关规定的感控措施，并且具备相关专业人员，提供丰富的相关证明资料，得[4-6]分。 供应商提供的符合国家相关规定的感控措施较完整，得[1-4)分。 供应商提供的感控措施不符合国家相关规定或未提供相关内容得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供应商提供2022年1月至今的类似项目业绩，每提供1份计2分，最高得6分；（需提供相关业绩合同及结算发票并提供有客户公章的服务评价的扫描件加盖公章）提供不完整的、未提供的均不计分。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 价格分=(评标 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详见附件：服务响应方案.docx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