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版本号：ZCSP-耀州区-2025-00004、XHLJZC-TC2025-00320250121002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铜川市耀州区公共卫生应急指挥中心及区疾控中心能力提升建设项目设计编制服务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ZCSP-耀州区-2025-00004、XHLJZC-TC2025-003</w:t>
      </w:r>
      <w:r>
        <w:br/>
      </w:r>
      <w:r>
        <w:br/>
      </w:r>
      <w:r>
        <w:br/>
      </w:r>
    </w:p>
    <w:p>
      <w:pPr>
        <w:pStyle w:val="null3"/>
        <w:jc w:val="center"/>
        <w:outlineLvl w:val="2"/>
      </w:pPr>
      <w:r>
        <w:rPr>
          <w:rFonts w:ascii="仿宋_GB2312" w:hAnsi="仿宋_GB2312" w:cs="仿宋_GB2312" w:eastAsia="仿宋_GB2312"/>
          <w:sz w:val="28"/>
          <w:b/>
        </w:rPr>
        <w:t>铜川市耀州区疾病预防控制中心</w:t>
      </w:r>
    </w:p>
    <w:p>
      <w:pPr>
        <w:pStyle w:val="null3"/>
        <w:jc w:val="center"/>
        <w:outlineLvl w:val="2"/>
      </w:pPr>
      <w:r>
        <w:rPr>
          <w:rFonts w:ascii="仿宋_GB2312" w:hAnsi="仿宋_GB2312" w:cs="仿宋_GB2312" w:eastAsia="仿宋_GB2312"/>
          <w:sz w:val="28"/>
          <w:b/>
        </w:rPr>
        <w:t>西安欣华联建工程咨询有限公司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2025年01月21日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西安欣华联建工程咨询有限公司</w:t>
      </w:r>
      <w:r>
        <w:rPr>
          <w:rFonts w:ascii="仿宋_GB2312" w:hAnsi="仿宋_GB2312" w:cs="仿宋_GB2312" w:eastAsia="仿宋_GB2312"/>
        </w:rPr>
        <w:t>（以下简称“代理机构”）受</w:t>
      </w:r>
      <w:r>
        <w:rPr>
          <w:rFonts w:ascii="仿宋_GB2312" w:hAnsi="仿宋_GB2312" w:cs="仿宋_GB2312" w:eastAsia="仿宋_GB2312"/>
        </w:rPr>
        <w:t>铜川市耀州区疾病预防控制中心</w:t>
      </w:r>
      <w:r>
        <w:rPr>
          <w:rFonts w:ascii="仿宋_GB2312" w:hAnsi="仿宋_GB2312" w:cs="仿宋_GB2312" w:eastAsia="仿宋_GB2312"/>
        </w:rPr>
        <w:t>委托，拟对</w:t>
      </w:r>
      <w:r>
        <w:rPr>
          <w:rFonts w:ascii="仿宋_GB2312" w:hAnsi="仿宋_GB2312" w:cs="仿宋_GB2312" w:eastAsia="仿宋_GB2312"/>
        </w:rPr>
        <w:t>铜川市耀州区公共卫生应急指挥中心及区疾控中心能力提升建设项目设计编制服务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ZCSP-耀州区-2025-00004、XHLJZC-TC2025-003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铜川市耀州区公共卫生应急指挥中心及区疾控中心能力提升建设项目设计编制服务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铜川市耀州区公共卫生应急指挥中心及区疾控中心能力提升建设项目设计编制服务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供应商应具有独立承担民事责任的能力且具备向采购人提供相关服务的企业法人、事业法人、其他组织或者自然人,企业法人应提供统一社会信用代码的营业执照；事业法人应提供统一社会信用代码的事业单位法人证；其他组织应提供合法证明文件；自然人提供身份证明文件。</w:t>
      </w:r>
    </w:p>
    <w:p>
      <w:pPr>
        <w:pStyle w:val="null3"/>
      </w:pPr>
      <w:r>
        <w:rPr>
          <w:rFonts w:ascii="仿宋_GB2312" w:hAnsi="仿宋_GB2312" w:cs="仿宋_GB2312" w:eastAsia="仿宋_GB2312"/>
        </w:rPr>
        <w:t>2、供应商授权合法的人员参加投标全过程：法定代表人授权委托书（附法定代表人身份证复印件）及被授权委托人身份证（法定代表人参加磋商只须提供法定代表人身份证）。</w:t>
      </w:r>
    </w:p>
    <w:p>
      <w:pPr>
        <w:pStyle w:val="null3"/>
      </w:pPr>
      <w:r>
        <w:rPr>
          <w:rFonts w:ascii="仿宋_GB2312" w:hAnsi="仿宋_GB2312" w:cs="仿宋_GB2312" w:eastAsia="仿宋_GB2312"/>
        </w:rPr>
        <w:t>3、具有良好的商业信誉和健全的财务会计制度：提供2023年度经审计的财务报告或开标前六个月内其基本账户银行出具的资信证明或财政部门认可的政府采购专业担保机构出具的担保函。</w:t>
      </w:r>
    </w:p>
    <w:p>
      <w:pPr>
        <w:pStyle w:val="null3"/>
      </w:pPr>
      <w:r>
        <w:rPr>
          <w:rFonts w:ascii="仿宋_GB2312" w:hAnsi="仿宋_GB2312" w:cs="仿宋_GB2312" w:eastAsia="仿宋_GB2312"/>
        </w:rPr>
        <w:t>4、有依法缴纳税收和社会保障资金的良好记录：提供2024年1月以来任意3个月依法缴纳税收和社会保险的相关证明材料；注：依法免税或不需要缴纳社会保险的供应商提供相关部门出具的证明文件。</w:t>
      </w:r>
    </w:p>
    <w:p>
      <w:pPr>
        <w:pStyle w:val="null3"/>
      </w:pPr>
      <w:r>
        <w:rPr>
          <w:rFonts w:ascii="仿宋_GB2312" w:hAnsi="仿宋_GB2312" w:cs="仿宋_GB2312" w:eastAsia="仿宋_GB2312"/>
        </w:rPr>
        <w:t>5、具有履行合同所必需的设备和专业技术能力：提供具有履行合同所必需的设备和专业技术能力的承诺。</w:t>
      </w:r>
    </w:p>
    <w:p>
      <w:pPr>
        <w:pStyle w:val="null3"/>
      </w:pPr>
      <w:r>
        <w:rPr>
          <w:rFonts w:ascii="仿宋_GB2312" w:hAnsi="仿宋_GB2312" w:cs="仿宋_GB2312" w:eastAsia="仿宋_GB2312"/>
        </w:rPr>
        <w:t>6、参加政府采购活动前三年内，在经营活动中没有重大违法记录：提供参加政府采购活动前3年内在经营活动中没有重大违法记录的书面声明。</w:t>
      </w:r>
    </w:p>
    <w:p>
      <w:pPr>
        <w:pStyle w:val="null3"/>
      </w:pPr>
      <w:r>
        <w:rPr>
          <w:rFonts w:ascii="仿宋_GB2312" w:hAnsi="仿宋_GB2312" w:cs="仿宋_GB2312" w:eastAsia="仿宋_GB2312"/>
        </w:rPr>
        <w:t>7、投标承诺：单位负责人为同一人或者存在直接控股、管理关系的不同供应商，不得参加同一合同项下的政府采购活动。</w:t>
      </w:r>
    </w:p>
    <w:p>
      <w:pPr>
        <w:pStyle w:val="null3"/>
      </w:pPr>
      <w:r>
        <w:rPr>
          <w:rFonts w:ascii="仿宋_GB2312" w:hAnsi="仿宋_GB2312" w:cs="仿宋_GB2312" w:eastAsia="仿宋_GB2312"/>
        </w:rPr>
        <w:t>8、资质要求：供应商应具备建设主管部门颁发的工程设计综合资质甲级或建筑行业工程设计乙级及以上资质或建筑行业（建筑工程）乙级及以上资质。</w:t>
      </w:r>
    </w:p>
    <w:p>
      <w:pPr>
        <w:pStyle w:val="null3"/>
      </w:pPr>
      <w:r>
        <w:rPr>
          <w:rFonts w:ascii="仿宋_GB2312" w:hAnsi="仿宋_GB2312" w:cs="仿宋_GB2312" w:eastAsia="仿宋_GB2312"/>
        </w:rPr>
        <w:t>9、项目负责人要求：拟派项目负责人具备二级注册建筑师及以上或注册结构工程师执业资格，且在本单位注册。</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铜川市耀州区疾病预防控制中心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耀县水泥厂工人村内</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0919-6995306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西安欣华联建工程咨询有限公司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陕西省西安市高新区科技二路71号竹园天寰国际14层1404室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采购代理机构贾静雯</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029-82528801、029-89182232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铜川市耀州区政府采购管理股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郭伟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0919-6602227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采购包1：320,000.00元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参照原《国家计委关于印发&lt;招标代理服务收费管理暂行办法&gt;的通知》（计价格〔2002〕1980号）、《国家发展和改革委员会办公厅关于招标代理服务收费有关问题的通知》（发改办价格〔2003〕857号）的规定标准执行，按差额定率累进法收取费用，100万以下按1.5%收取，100万-500万按0.8%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铜川市耀州区疾病预防控制中心</w:t>
      </w:r>
      <w:r>
        <w:rPr>
          <w:rFonts w:ascii="仿宋_GB2312" w:hAnsi="仿宋_GB2312" w:cs="仿宋_GB2312" w:eastAsia="仿宋_GB2312"/>
        </w:rPr>
        <w:t>和</w:t>
      </w:r>
      <w:r>
        <w:rPr>
          <w:rFonts w:ascii="仿宋_GB2312" w:hAnsi="仿宋_GB2312" w:cs="仿宋_GB2312" w:eastAsia="仿宋_GB2312"/>
        </w:rPr>
        <w:t>西安欣华联建工程咨询有限公司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铜川市耀州区疾病预防控制中心</w:t>
      </w:r>
      <w:r>
        <w:rPr>
          <w:rFonts w:ascii="仿宋_GB2312" w:hAnsi="仿宋_GB2312" w:cs="仿宋_GB2312" w:eastAsia="仿宋_GB2312"/>
        </w:rPr>
        <w:t>负责解释。除上述磋商文件内容，其他内容由</w:t>
      </w:r>
      <w:r>
        <w:rPr>
          <w:rFonts w:ascii="仿宋_GB2312" w:hAnsi="仿宋_GB2312" w:cs="仿宋_GB2312" w:eastAsia="仿宋_GB2312"/>
        </w:rPr>
        <w:t>西安欣华联建工程咨询有限公司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铜川市耀州区疾病预防控制中心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西安欣华联建工程咨询有限公司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符合国家相关标准、行业标准、地方标准。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西安欣华联建工程咨询有限公司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西安欣华联建工程咨询有限公司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西安欣华联建工程咨询有限公司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联系人：采购代理机构贾静雯</w:t>
      </w:r>
    </w:p>
    <w:p>
      <w:pPr>
        <w:pStyle w:val="null3"/>
      </w:pPr>
      <w:r>
        <w:rPr>
          <w:rFonts w:ascii="仿宋_GB2312" w:hAnsi="仿宋_GB2312" w:cs="仿宋_GB2312" w:eastAsia="仿宋_GB2312"/>
        </w:rPr>
        <w:t>联系电话：029-82528801、029-89182232</w:t>
      </w:r>
    </w:p>
    <w:p>
      <w:pPr>
        <w:pStyle w:val="null3"/>
      </w:pPr>
      <w:r>
        <w:rPr>
          <w:rFonts w:ascii="仿宋_GB2312" w:hAnsi="仿宋_GB2312" w:cs="仿宋_GB2312" w:eastAsia="仿宋_GB2312"/>
        </w:rPr>
        <w:t>地址：陕西省西安市高新区科技二路71号竹园天寰国际14层1404室</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铜川市耀州区公共卫生应急指挥中心及区疾控中心能力提升建设项目设计编制服务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320,000.00</w:t>
      </w:r>
    </w:p>
    <w:p>
      <w:pPr>
        <w:pStyle w:val="null3"/>
      </w:pPr>
      <w:r>
        <w:rPr>
          <w:rFonts w:ascii="仿宋_GB2312" w:hAnsi="仿宋_GB2312" w:cs="仿宋_GB2312" w:eastAsia="仿宋_GB2312"/>
        </w:rPr>
        <w:t>采购包最高限价（元）: 320,000.00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铜川市耀州区公共卫生应急指挥中心及区疾控中心能力提升建设项目设计编制服务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320,000.00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标的名称：铜川市耀州区公共卫生应急指挥中心及区疾控中心能力提升建设项目设计编制服务</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ind w:firstLine="420"/>
              <w:jc w:val="both"/>
            </w:pPr>
            <w:r>
              <w:rPr>
                <w:rFonts w:ascii="仿宋_GB2312" w:hAnsi="仿宋_GB2312" w:cs="仿宋_GB2312" w:eastAsia="仿宋_GB2312"/>
                <w:sz w:val="21"/>
                <w:b/>
              </w:rPr>
              <w:t>一、项目概况</w:t>
            </w:r>
          </w:p>
          <w:p>
            <w:pPr>
              <w:pStyle w:val="null3"/>
              <w:ind w:firstLine="560"/>
            </w:pPr>
            <w:r>
              <w:rPr>
                <w:rFonts w:ascii="仿宋_GB2312" w:hAnsi="仿宋_GB2312" w:cs="仿宋_GB2312" w:eastAsia="仿宋_GB2312"/>
                <w:sz w:val="21"/>
              </w:rPr>
              <w:t>规划新建1栋地下1层、地上5层钢筋混凝土框架结构双面综合楼，综合楼建筑面积4600平方米，室外辅助用房150平方米，项目总建筑面积4750平方米。同时配套建设室外大门、围墙、道路及停车场硬化、绿化、照明等室外环境工程和给排水、污水处理、供电、供热基础设施工程。具体功能为地下一层为配套站房、区卫生应急物资储备库及疫苗冷链储藏库房，一层为区公共卫生应急指挥中心办公用房、二、三层为区疾控中心办公及业务用房，四、五层为符合国家二级生物安全标准的微生物实验室和理化实验室。项目拟建锦阳新城锦安路与华丰路交界处东南侧，使用面积3319平方米。</w:t>
            </w:r>
          </w:p>
          <w:p>
            <w:pPr>
              <w:pStyle w:val="null3"/>
              <w:ind w:firstLine="420"/>
            </w:pPr>
            <w:r>
              <w:rPr>
                <w:rFonts w:ascii="仿宋_GB2312" w:hAnsi="仿宋_GB2312" w:cs="仿宋_GB2312" w:eastAsia="仿宋_GB2312"/>
                <w:sz w:val="21"/>
                <w:b/>
              </w:rPr>
              <w:t>二、设计内容</w:t>
            </w:r>
          </w:p>
          <w:p>
            <w:pPr>
              <w:pStyle w:val="null3"/>
              <w:ind w:firstLine="560"/>
            </w:pPr>
            <w:r>
              <w:rPr>
                <w:rFonts w:ascii="仿宋_GB2312" w:hAnsi="仿宋_GB2312" w:cs="仿宋_GB2312" w:eastAsia="仿宋_GB2312"/>
                <w:sz w:val="21"/>
              </w:rPr>
              <w:t>设计编制服务设计工作分方案设计、初步设计及施工图设计三个阶段。</w:t>
            </w:r>
          </w:p>
          <w:p>
            <w:pPr>
              <w:pStyle w:val="null3"/>
              <w:ind w:firstLine="560"/>
            </w:pPr>
            <w:r>
              <w:rPr>
                <w:rFonts w:ascii="仿宋_GB2312" w:hAnsi="仿宋_GB2312" w:cs="仿宋_GB2312" w:eastAsia="仿宋_GB2312"/>
                <w:sz w:val="21"/>
              </w:rPr>
              <w:t>方案阶段主要内容为总平面图、单体平立剖面图、效果图及必要的设计说明、设计分析和投资估算。协助方案报建工作，提供用于规划设计方案报批审查的各项设计文件和资料。</w:t>
            </w:r>
          </w:p>
          <w:p>
            <w:pPr>
              <w:pStyle w:val="null3"/>
              <w:ind w:firstLine="560"/>
            </w:pPr>
            <w:r>
              <w:rPr>
                <w:rFonts w:ascii="仿宋_GB2312" w:hAnsi="仿宋_GB2312" w:cs="仿宋_GB2312" w:eastAsia="仿宋_GB2312"/>
                <w:sz w:val="21"/>
              </w:rPr>
              <w:t>初步设计阶段主要内容为初步设计文件及投资概算。</w:t>
            </w:r>
          </w:p>
          <w:p>
            <w:pPr>
              <w:pStyle w:val="null3"/>
              <w:ind w:firstLine="560"/>
            </w:pPr>
            <w:r>
              <w:rPr>
                <w:rFonts w:ascii="仿宋_GB2312" w:hAnsi="仿宋_GB2312" w:cs="仿宋_GB2312" w:eastAsia="仿宋_GB2312"/>
                <w:sz w:val="21"/>
              </w:rPr>
              <w:t>施工图设计阶段主要内容为红线范围内建筑、结构、给排水、暖通、强弱电、消防等各项施工图设计工作，以及施工图后阶段技术服务工作，包含各类答疑、交底、验收及相关资料归档。</w:t>
            </w:r>
          </w:p>
          <w:p>
            <w:pPr>
              <w:pStyle w:val="null3"/>
            </w:pPr>
            <w:r>
              <w:rPr>
                <w:rFonts w:ascii="仿宋_GB2312" w:hAnsi="仿宋_GB2312" w:cs="仿宋_GB2312" w:eastAsia="仿宋_GB2312"/>
                <w:sz w:val="21"/>
                <w:b/>
              </w:rPr>
              <w:t xml:space="preserve">  三</w:t>
            </w:r>
            <w:r>
              <w:rPr>
                <w:rFonts w:ascii="仿宋_GB2312" w:hAnsi="仿宋_GB2312" w:cs="仿宋_GB2312" w:eastAsia="仿宋_GB2312"/>
                <w:sz w:val="21"/>
                <w:b/>
              </w:rPr>
              <w:t>、设计依据</w:t>
            </w:r>
          </w:p>
          <w:p>
            <w:pPr>
              <w:pStyle w:val="null3"/>
              <w:ind w:firstLine="556"/>
            </w:pPr>
            <w:r>
              <w:rPr>
                <w:rFonts w:ascii="仿宋_GB2312" w:hAnsi="仿宋_GB2312" w:cs="仿宋_GB2312" w:eastAsia="仿宋_GB2312"/>
                <w:sz w:val="21"/>
              </w:rPr>
              <w:t>国家、行业和建设行政主管部门有关建筑设计规范以及国家现行有关强制性标准的规定等文件要求。</w:t>
            </w:r>
          </w:p>
          <w:p>
            <w:pPr>
              <w:pStyle w:val="null3"/>
            </w:pPr>
            <w:r>
              <w:rPr>
                <w:rFonts w:ascii="仿宋_GB2312" w:hAnsi="仿宋_GB2312" w:cs="仿宋_GB2312" w:eastAsia="仿宋_GB2312"/>
                <w:sz w:val="21"/>
                <w:b/>
              </w:rPr>
              <w:t xml:space="preserve">  四</w:t>
            </w:r>
            <w:r>
              <w:rPr>
                <w:rFonts w:ascii="仿宋_GB2312" w:hAnsi="仿宋_GB2312" w:cs="仿宋_GB2312" w:eastAsia="仿宋_GB2312"/>
                <w:sz w:val="21"/>
                <w:b/>
              </w:rPr>
              <w:t>、规划指标</w:t>
            </w:r>
          </w:p>
          <w:p>
            <w:pPr>
              <w:pStyle w:val="null3"/>
              <w:ind w:firstLine="560"/>
            </w:pPr>
            <w:r>
              <w:rPr>
                <w:rFonts w:ascii="仿宋_GB2312" w:hAnsi="仿宋_GB2312" w:cs="仿宋_GB2312" w:eastAsia="仿宋_GB2312"/>
                <w:sz w:val="21"/>
              </w:rPr>
              <w:t>1、建筑设计要求：与周边建筑、环境相协调，体现现代气息。</w:t>
            </w:r>
          </w:p>
          <w:p>
            <w:pPr>
              <w:pStyle w:val="null3"/>
              <w:ind w:firstLine="560"/>
            </w:pPr>
            <w:r>
              <w:rPr>
                <w:rFonts w:ascii="仿宋_GB2312" w:hAnsi="仿宋_GB2312" w:cs="仿宋_GB2312" w:eastAsia="仿宋_GB2312"/>
                <w:sz w:val="21"/>
              </w:rPr>
              <w:t>2、建筑限高：以规划部门审批为准。</w:t>
            </w:r>
          </w:p>
          <w:p>
            <w:pPr>
              <w:pStyle w:val="null3"/>
              <w:ind w:firstLine="560"/>
            </w:pPr>
            <w:r>
              <w:rPr>
                <w:rFonts w:ascii="仿宋_GB2312" w:hAnsi="仿宋_GB2312" w:cs="仿宋_GB2312" w:eastAsia="仿宋_GB2312"/>
                <w:sz w:val="21"/>
              </w:rPr>
              <w:t>3、容 积 率：以规划部门审批为准。</w:t>
            </w:r>
          </w:p>
          <w:p>
            <w:pPr>
              <w:pStyle w:val="null3"/>
              <w:ind w:firstLine="560"/>
            </w:pPr>
            <w:r>
              <w:rPr>
                <w:rFonts w:ascii="仿宋_GB2312" w:hAnsi="仿宋_GB2312" w:cs="仿宋_GB2312" w:eastAsia="仿宋_GB2312"/>
                <w:sz w:val="21"/>
              </w:rPr>
              <w:t>4、其它条件据规划行政许可部门要求另行确定。</w:t>
            </w:r>
          </w:p>
          <w:p>
            <w:pPr>
              <w:pStyle w:val="null3"/>
            </w:pPr>
            <w:r>
              <w:rPr>
                <w:rFonts w:ascii="仿宋_GB2312" w:hAnsi="仿宋_GB2312" w:cs="仿宋_GB2312" w:eastAsia="仿宋_GB2312"/>
                <w:sz w:val="21"/>
                <w:b/>
              </w:rPr>
              <w:t xml:space="preserve">  五、施工图成果要求</w:t>
            </w:r>
          </w:p>
          <w:p>
            <w:pPr>
              <w:pStyle w:val="null3"/>
              <w:ind w:firstLine="560"/>
            </w:pPr>
            <w:r>
              <w:rPr>
                <w:rFonts w:ascii="仿宋_GB2312" w:hAnsi="仿宋_GB2312" w:cs="仿宋_GB2312" w:eastAsia="仿宋_GB2312"/>
                <w:sz w:val="21"/>
              </w:rPr>
              <w:t>1、成果文件的组成：设计图纸、计算书等。</w:t>
            </w:r>
          </w:p>
          <w:p>
            <w:pPr>
              <w:pStyle w:val="null3"/>
              <w:ind w:firstLine="560"/>
            </w:pPr>
            <w:r>
              <w:rPr>
                <w:rFonts w:ascii="仿宋_GB2312" w:hAnsi="仿宋_GB2312" w:cs="仿宋_GB2312" w:eastAsia="仿宋_GB2312"/>
                <w:sz w:val="21"/>
              </w:rPr>
              <w:t>2、成果文件深度：符合国家相关设计规范要求。</w:t>
            </w:r>
          </w:p>
          <w:p>
            <w:pPr>
              <w:pStyle w:val="null3"/>
              <w:ind w:firstLine="560"/>
            </w:pPr>
            <w:r>
              <w:rPr>
                <w:rFonts w:ascii="仿宋_GB2312" w:hAnsi="仿宋_GB2312" w:cs="仿宋_GB2312" w:eastAsia="仿宋_GB2312"/>
                <w:sz w:val="21"/>
              </w:rPr>
              <w:t>3、成果文件的格式要求：纸质版及电子版。</w:t>
            </w:r>
          </w:p>
          <w:p>
            <w:pPr>
              <w:pStyle w:val="null3"/>
              <w:ind w:firstLine="560"/>
            </w:pPr>
            <w:r>
              <w:rPr>
                <w:rFonts w:ascii="仿宋_GB2312" w:hAnsi="仿宋_GB2312" w:cs="仿宋_GB2312" w:eastAsia="仿宋_GB2312"/>
                <w:sz w:val="21"/>
              </w:rPr>
              <w:t>4、成果文件的份数要求：施工图设计文件8份。</w:t>
            </w:r>
          </w:p>
          <w:p>
            <w:pPr>
              <w:pStyle w:val="null3"/>
              <w:ind w:firstLine="560"/>
            </w:pPr>
            <w:r>
              <w:rPr>
                <w:rFonts w:ascii="仿宋_GB2312" w:hAnsi="仿宋_GB2312" w:cs="仿宋_GB2312" w:eastAsia="仿宋_GB2312"/>
                <w:sz w:val="21"/>
              </w:rPr>
              <w:t>5、成果文件的载体要求：</w:t>
            </w:r>
          </w:p>
          <w:p>
            <w:pPr>
              <w:pStyle w:val="null3"/>
              <w:ind w:firstLine="560"/>
            </w:pPr>
            <w:r>
              <w:rPr>
                <w:rFonts w:ascii="仿宋_GB2312" w:hAnsi="仿宋_GB2312" w:cs="仿宋_GB2312" w:eastAsia="仿宋_GB2312"/>
                <w:sz w:val="21"/>
              </w:rPr>
              <w:t>（1）纸质版的要求：按招标人要求提交审查通过的施工图蓝图并盖章。</w:t>
            </w:r>
          </w:p>
          <w:p>
            <w:pPr>
              <w:pStyle w:val="null3"/>
              <w:ind w:firstLine="560"/>
            </w:pPr>
            <w:r>
              <w:rPr>
                <w:rFonts w:ascii="仿宋_GB2312" w:hAnsi="仿宋_GB2312" w:cs="仿宋_GB2312" w:eastAsia="仿宋_GB2312"/>
                <w:sz w:val="21"/>
              </w:rPr>
              <w:t>（2）电子版的要求：图纸：CAD 格式；报告：word 格式。</w:t>
            </w:r>
          </w:p>
          <w:p>
            <w:pPr>
              <w:pStyle w:val="null3"/>
              <w:ind w:firstLine="560"/>
              <w:jc w:val="both"/>
            </w:pP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详见竞争性磋商文件第六章磋商办法</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供应商按照采购需求可能涉及的设施设备在响应文件中自行列出。</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合同签订后90日历日内完成</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铜川市耀州区疾病预防控制中心</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符合国家相关标准、行业标准、地方标准。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初步设计完成并通过评审后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施工图完成并通过合格后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工程竣工验收通过</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双方本着友好合作的态度,对合同履行过程中发生的纠纷应及时协商解决，协商不成的，向甲方所在地有管辖权的人民法院诉讼解决。</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供应商资格声明文件 响应函 供应商资格证明文件</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供应商应具有独立承担民事责任的能力且具备向采购人提供相关服务的企业法人、事业法人、其他组织或者自然人,企业法人应提供统一社会信用代码的营业执照；事业法人应提供统一社会信用代码的事业单位法人证；其他组织应提供合法证明文件；自然人提供身份证明文件。</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供应商授权合法的人员参加投标全过程</w:t>
            </w:r>
          </w:p>
        </w:tc>
        <w:tc>
          <w:tcPr>
            <w:tcW w:type="dxa" w:w="3322"/>
          </w:tcPr>
          <w:p>
            <w:pPr>
              <w:pStyle w:val="null3"/>
            </w:pPr>
            <w:r>
              <w:rPr>
                <w:rFonts w:ascii="仿宋_GB2312" w:hAnsi="仿宋_GB2312" w:cs="仿宋_GB2312" w:eastAsia="仿宋_GB2312"/>
              </w:rPr>
              <w:t>法定代表人授权委托书（附法定代表人身份证复印件）及被授权委托人身份证（法定代表人参加磋商只须提供法定代表人身份证）。</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具有良好的商业信誉和健全的财务会计制度</w:t>
            </w:r>
          </w:p>
        </w:tc>
        <w:tc>
          <w:tcPr>
            <w:tcW w:type="dxa" w:w="3322"/>
          </w:tcPr>
          <w:p>
            <w:pPr>
              <w:pStyle w:val="null3"/>
            </w:pPr>
            <w:r>
              <w:rPr>
                <w:rFonts w:ascii="仿宋_GB2312" w:hAnsi="仿宋_GB2312" w:cs="仿宋_GB2312" w:eastAsia="仿宋_GB2312"/>
              </w:rPr>
              <w:t>提供2023年度经审计的财务报告或开标前六个月内其基本账户银行出具的资信证明或财政部门认可的政府采购专业担保机构出具的担保函。</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有依法缴纳税收和社会保障资金的良好记录</w:t>
            </w:r>
          </w:p>
        </w:tc>
        <w:tc>
          <w:tcPr>
            <w:tcW w:type="dxa" w:w="3322"/>
          </w:tcPr>
          <w:p>
            <w:pPr>
              <w:pStyle w:val="null3"/>
            </w:pPr>
            <w:r>
              <w:rPr>
                <w:rFonts w:ascii="仿宋_GB2312" w:hAnsi="仿宋_GB2312" w:cs="仿宋_GB2312" w:eastAsia="仿宋_GB2312"/>
              </w:rPr>
              <w:t>提供2024年1月以来任意3个月依法缴纳税收和社会保险的相关证明材料；注：依法免税或不需要缴纳社会保险的供应商提供相关部门出具的证明文件。</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参加政府采购活动前三年内，在经营活动中没有重大违法记录</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投标承诺</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供应商应具备建设主管部门颁发的工程设计综合资质甲级或建筑行业工程设计乙级及以上资质或建筑行业（建筑工程）乙级及以上资质。</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项目负责人要求</w:t>
            </w:r>
          </w:p>
        </w:tc>
        <w:tc>
          <w:tcPr>
            <w:tcW w:type="dxa" w:w="3322"/>
          </w:tcPr>
          <w:p>
            <w:pPr>
              <w:pStyle w:val="null3"/>
            </w:pPr>
            <w:r>
              <w:rPr>
                <w:rFonts w:ascii="仿宋_GB2312" w:hAnsi="仿宋_GB2312" w:cs="仿宋_GB2312" w:eastAsia="仿宋_GB2312"/>
              </w:rPr>
              <w:t>拟派项目负责人具备二级注册建筑师及以上或注册结构工程师执业资格，且在本单位注册。</w:t>
            </w:r>
          </w:p>
        </w:tc>
        <w:tc>
          <w:tcPr>
            <w:tcW w:type="dxa" w:w="1661"/>
          </w:tcPr>
          <w:p>
            <w:pPr>
              <w:pStyle w:val="null3"/>
            </w:pPr>
            <w:r>
              <w:rPr>
                <w:rFonts w:ascii="仿宋_GB2312" w:hAnsi="仿宋_GB2312" w:cs="仿宋_GB2312" w:eastAsia="仿宋_GB2312"/>
              </w:rPr>
              <w:t>供应商资格证明文件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响应文件签章</w:t>
            </w:r>
          </w:p>
        </w:tc>
        <w:tc>
          <w:tcPr>
            <w:tcW w:type="dxa" w:w="3322"/>
          </w:tcPr>
          <w:p>
            <w:pPr>
              <w:pStyle w:val="null3"/>
            </w:pPr>
            <w:r>
              <w:rPr>
                <w:rFonts w:ascii="仿宋_GB2312" w:hAnsi="仿宋_GB2312" w:cs="仿宋_GB2312" w:eastAsia="仿宋_GB2312"/>
              </w:rPr>
              <w:t>响应文件、响应函加盖单位公章、经法定代表人或被授权委托人签字或盖章</w:t>
            </w:r>
          </w:p>
        </w:tc>
        <w:tc>
          <w:tcPr>
            <w:tcW w:type="dxa" w:w="1661"/>
          </w:tcPr>
          <w:p>
            <w:pPr>
              <w:pStyle w:val="null3"/>
            </w:pPr>
            <w:r>
              <w:rPr>
                <w:rFonts w:ascii="仿宋_GB2312" w:hAnsi="仿宋_GB2312" w:cs="仿宋_GB2312" w:eastAsia="仿宋_GB2312"/>
              </w:rPr>
              <w:t>中小企业声明函 技术要求响应表 报价表 商务要求响应表 响应文件封面 政府采购供应商拒绝政府采购领域商业贿赂承诺书 残疾人福利性单位声明函 供应商资格声明文件 标的清单 供应商承诺书 响应函 业绩证明文件 供应商资格证明文件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从提交竞争性磋商响应文件的截止之日起不少于90日历日</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（1）报价未超过本项目预算金额（2）未出现选择性报价</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文件响应情况</w:t>
            </w:r>
          </w:p>
        </w:tc>
        <w:tc>
          <w:tcPr>
            <w:tcW w:type="dxa" w:w="3322"/>
          </w:tcPr>
          <w:p>
            <w:pPr>
              <w:pStyle w:val="null3"/>
            </w:pPr>
            <w:r>
              <w:rPr>
                <w:rFonts w:ascii="仿宋_GB2312" w:hAnsi="仿宋_GB2312" w:cs="仿宋_GB2312" w:eastAsia="仿宋_GB2312"/>
              </w:rPr>
              <w:t>（1）符合商务、技术要求，不存在重大负偏离 （2）未附有采购人不能接受的条件 （3）符合磋商文件规定的其他实质性要求 （4）未违反《中华人民共和国政府采购法》和其他相关法律、法规的规定</w:t>
            </w:r>
          </w:p>
        </w:tc>
        <w:tc>
          <w:tcPr>
            <w:tcW w:type="dxa" w:w="1661"/>
          </w:tcPr>
          <w:p>
            <w:pPr>
              <w:pStyle w:val="null3"/>
            </w:pPr>
            <w:r>
              <w:rPr>
                <w:rFonts w:ascii="仿宋_GB2312" w:hAnsi="仿宋_GB2312" w:cs="仿宋_GB2312" w:eastAsia="仿宋_GB2312"/>
              </w:rPr>
              <w:t>磋商方案说明 技术要求响应表 商务要求响应表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详细评审90.0000分</w:t>
            </w:r>
          </w:p>
          <w:p>
            <w:pPr>
              <w:pStyle w:val="null3"/>
            </w:pPr>
            <w:r>
              <w:rPr>
                <w:rFonts w:ascii="仿宋_GB2312" w:hAnsi="仿宋_GB2312" w:cs="仿宋_GB2312" w:eastAsia="仿宋_GB2312"/>
              </w:rPr>
              <w:t>报价得分10.0000分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商务要求</w:t>
            </w:r>
          </w:p>
        </w:tc>
        <w:tc>
          <w:tcPr>
            <w:tcW w:type="dxa" w:w="2492"/>
          </w:tcPr>
          <w:p>
            <w:pPr>
              <w:pStyle w:val="null3"/>
            </w:pPr>
            <w:r>
              <w:rPr>
                <w:rFonts w:ascii="仿宋_GB2312" w:hAnsi="仿宋_GB2312" w:cs="仿宋_GB2312" w:eastAsia="仿宋_GB2312"/>
              </w:rPr>
              <w:t>通过资格和符合性审查的供应商，对商务要求完全响应竞争性磋商文件要求的得2分。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商务要求响应表</w:t>
            </w:r>
          </w:p>
          <w:p>
            <w:pPr>
              <w:pStyle w:val="null3"/>
            </w:pPr>
            <w:r>
              <w:rPr>
                <w:rFonts w:ascii="仿宋_GB2312" w:hAnsi="仿宋_GB2312" w:cs="仿宋_GB2312" w:eastAsia="仿宋_GB2312"/>
              </w:rPr>
              <w:t>磋商方案说明</w:t>
            </w:r>
          </w:p>
        </w:tc>
      </w:tr>
      <w:tr>
        <w:tc>
          <w:tcPr>
            <w:tcW w:type="dxa" w:w="831"/>
            <w:vMerge/>
          </w:tcPr>
          <w:p/>
        </w:tc>
        <w:tc>
          <w:tcPr>
            <w:tcW w:type="dxa" w:w="1661"/>
          </w:tcPr>
          <w:p>
            <w:pPr>
              <w:pStyle w:val="null3"/>
            </w:pPr>
            <w:r>
              <w:rPr>
                <w:rFonts w:ascii="仿宋_GB2312" w:hAnsi="仿宋_GB2312" w:cs="仿宋_GB2312" w:eastAsia="仿宋_GB2312"/>
              </w:rPr>
              <w:t>项目理解</w:t>
            </w:r>
          </w:p>
        </w:tc>
        <w:tc>
          <w:tcPr>
            <w:tcW w:type="dxa" w:w="2492"/>
          </w:tcPr>
          <w:p>
            <w:pPr>
              <w:pStyle w:val="null3"/>
            </w:pPr>
            <w:r>
              <w:rPr>
                <w:rFonts w:ascii="仿宋_GB2312" w:hAnsi="仿宋_GB2312" w:cs="仿宋_GB2312" w:eastAsia="仿宋_GB2312"/>
              </w:rPr>
              <w:t>对本项目服务范围、服务内容、服务要求有明确的理解，能够结合本项目特点提出合理化建议： 项目理解透彻、解决方案切实可行，满足采购需求，计6.1～8分； 项目较理解深入、分析较合理、解决方案能够满足采购需求，计3.1～6分； 项目理解肤浅、方案内容缺乏完整性，计1～3分；未提供不计分。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w:t>
            </w:r>
          </w:p>
        </w:tc>
      </w:tr>
      <w:tr>
        <w:tc>
          <w:tcPr>
            <w:tcW w:type="dxa" w:w="831"/>
            <w:vMerge/>
          </w:tcPr>
          <w:p/>
        </w:tc>
        <w:tc>
          <w:tcPr>
            <w:tcW w:type="dxa" w:w="1661"/>
          </w:tcPr>
          <w:p>
            <w:pPr>
              <w:pStyle w:val="null3"/>
            </w:pPr>
            <w:r>
              <w:rPr>
                <w:rFonts w:ascii="仿宋_GB2312" w:hAnsi="仿宋_GB2312" w:cs="仿宋_GB2312" w:eastAsia="仿宋_GB2312"/>
              </w:rPr>
              <w:t>针对本项目的总体设计方案</w:t>
            </w:r>
          </w:p>
        </w:tc>
        <w:tc>
          <w:tcPr>
            <w:tcW w:type="dxa" w:w="2492"/>
          </w:tcPr>
          <w:p>
            <w:pPr>
              <w:pStyle w:val="null3"/>
            </w:pPr>
            <w:r>
              <w:rPr>
                <w:rFonts w:ascii="仿宋_GB2312" w:hAnsi="仿宋_GB2312" w:cs="仿宋_GB2312" w:eastAsia="仿宋_GB2312"/>
              </w:rPr>
              <w:t>针对本项目的总体设计方案。 所提供的设计方案，符合使用者的特点，思路清晰明确，方案内容完整，计6.1～8分； 服务方案较完整、思路较清晰，计3.1～6分； 方案不完整、成果目标欠缺，计1～3分；未提供不计分。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w:t>
            </w:r>
          </w:p>
        </w:tc>
      </w:tr>
      <w:tr>
        <w:tc>
          <w:tcPr>
            <w:tcW w:type="dxa" w:w="831"/>
            <w:vMerge/>
          </w:tcPr>
          <w:p/>
        </w:tc>
        <w:tc>
          <w:tcPr>
            <w:tcW w:type="dxa" w:w="1661"/>
          </w:tcPr>
          <w:p>
            <w:pPr>
              <w:pStyle w:val="null3"/>
            </w:pPr>
            <w:r>
              <w:rPr>
                <w:rFonts w:ascii="仿宋_GB2312" w:hAnsi="仿宋_GB2312" w:cs="仿宋_GB2312" w:eastAsia="仿宋_GB2312"/>
              </w:rPr>
              <w:t>拟派本项目工作人员组成情况</w:t>
            </w:r>
          </w:p>
        </w:tc>
        <w:tc>
          <w:tcPr>
            <w:tcW w:type="dxa" w:w="2492"/>
          </w:tcPr>
          <w:p>
            <w:pPr>
              <w:pStyle w:val="null3"/>
            </w:pPr>
            <w:r>
              <w:rPr>
                <w:rFonts w:ascii="仿宋_GB2312" w:hAnsi="仿宋_GB2312" w:cs="仿宋_GB2312" w:eastAsia="仿宋_GB2312"/>
              </w:rPr>
              <w:t>提供拟派本项目工作人员组成情况（有具体成员名单，包括姓名、工作经验、工作职责、联系方式等）。 人员配置齐全、结构合理、分工明确，计6.1～8分； 人员分工较明确、配置较齐全，计3.1～6分； 人员分工不明确、配置不齐全，计1～3分；未提供不计分。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w:t>
            </w:r>
          </w:p>
        </w:tc>
      </w:tr>
      <w:tr>
        <w:tc>
          <w:tcPr>
            <w:tcW w:type="dxa" w:w="831"/>
            <w:vMerge/>
          </w:tcPr>
          <w:p/>
        </w:tc>
        <w:tc>
          <w:tcPr>
            <w:tcW w:type="dxa" w:w="1661"/>
          </w:tcPr>
          <w:p>
            <w:pPr>
              <w:pStyle w:val="null3"/>
            </w:pPr>
            <w:r>
              <w:rPr>
                <w:rFonts w:ascii="仿宋_GB2312" w:hAnsi="仿宋_GB2312" w:cs="仿宋_GB2312" w:eastAsia="仿宋_GB2312"/>
              </w:rPr>
              <w:t>确保本项目质量的技术组织措施</w:t>
            </w:r>
          </w:p>
        </w:tc>
        <w:tc>
          <w:tcPr>
            <w:tcW w:type="dxa" w:w="2492"/>
          </w:tcPr>
          <w:p>
            <w:pPr>
              <w:pStyle w:val="null3"/>
            </w:pPr>
            <w:r>
              <w:rPr>
                <w:rFonts w:ascii="仿宋_GB2312" w:hAnsi="仿宋_GB2312" w:cs="仿宋_GB2312" w:eastAsia="仿宋_GB2312"/>
              </w:rPr>
              <w:t>提供确保本项目质量的技术组织措施。 技术组织措施内容完整，计6.1～8分； 技术组织措施内容一般，计3.1～6分； 技术组织措施内容不完整，计1～3分；未提供不计分。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w:t>
            </w:r>
          </w:p>
        </w:tc>
      </w:tr>
      <w:tr>
        <w:tc>
          <w:tcPr>
            <w:tcW w:type="dxa" w:w="831"/>
            <w:vMerge/>
          </w:tcPr>
          <w:p/>
        </w:tc>
        <w:tc>
          <w:tcPr>
            <w:tcW w:type="dxa" w:w="1661"/>
          </w:tcPr>
          <w:p>
            <w:pPr>
              <w:pStyle w:val="null3"/>
            </w:pPr>
            <w:r>
              <w:rPr>
                <w:rFonts w:ascii="仿宋_GB2312" w:hAnsi="仿宋_GB2312" w:cs="仿宋_GB2312" w:eastAsia="仿宋_GB2312"/>
              </w:rPr>
              <w:t>确保本项目进度的技术组织措施</w:t>
            </w:r>
          </w:p>
        </w:tc>
        <w:tc>
          <w:tcPr>
            <w:tcW w:type="dxa" w:w="2492"/>
          </w:tcPr>
          <w:p>
            <w:pPr>
              <w:pStyle w:val="null3"/>
            </w:pPr>
            <w:r>
              <w:rPr>
                <w:rFonts w:ascii="仿宋_GB2312" w:hAnsi="仿宋_GB2312" w:cs="仿宋_GB2312" w:eastAsia="仿宋_GB2312"/>
              </w:rPr>
              <w:t>提供确保本项目进度的技术组织措施。 技术组织措施内容完整，计6.1～8分； 技术组织措施内容一般，计3.1～6分； 技术组织措施内容不完整，计1～3分；未提供不计分。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w:t>
            </w:r>
          </w:p>
        </w:tc>
      </w:tr>
      <w:tr>
        <w:tc>
          <w:tcPr>
            <w:tcW w:type="dxa" w:w="831"/>
            <w:vMerge/>
          </w:tcPr>
          <w:p/>
        </w:tc>
        <w:tc>
          <w:tcPr>
            <w:tcW w:type="dxa" w:w="1661"/>
          </w:tcPr>
          <w:p>
            <w:pPr>
              <w:pStyle w:val="null3"/>
            </w:pPr>
            <w:r>
              <w:rPr>
                <w:rFonts w:ascii="仿宋_GB2312" w:hAnsi="仿宋_GB2312" w:cs="仿宋_GB2312" w:eastAsia="仿宋_GB2312"/>
              </w:rPr>
              <w:t>限额设计控制措施</w:t>
            </w:r>
          </w:p>
        </w:tc>
        <w:tc>
          <w:tcPr>
            <w:tcW w:type="dxa" w:w="2492"/>
          </w:tcPr>
          <w:p>
            <w:pPr>
              <w:pStyle w:val="null3"/>
            </w:pPr>
            <w:r>
              <w:rPr>
                <w:rFonts w:ascii="仿宋_GB2312" w:hAnsi="仿宋_GB2312" w:cs="仿宋_GB2312" w:eastAsia="仿宋_GB2312"/>
              </w:rPr>
              <w:t>提供限额设计控制措施。 限额控制措施内容完整，计6.1～8分； 限额控制措施施内容一般，计3.1～6分； 限额控制措施内容不完整，计1～3分；未提供不计分。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w:t>
            </w:r>
          </w:p>
        </w:tc>
      </w:tr>
      <w:tr>
        <w:tc>
          <w:tcPr>
            <w:tcW w:type="dxa" w:w="831"/>
            <w:vMerge/>
          </w:tcPr>
          <w:p/>
        </w:tc>
        <w:tc>
          <w:tcPr>
            <w:tcW w:type="dxa" w:w="1661"/>
          </w:tcPr>
          <w:p>
            <w:pPr>
              <w:pStyle w:val="null3"/>
            </w:pPr>
            <w:r>
              <w:rPr>
                <w:rFonts w:ascii="仿宋_GB2312" w:hAnsi="仿宋_GB2312" w:cs="仿宋_GB2312" w:eastAsia="仿宋_GB2312"/>
              </w:rPr>
              <w:t>服务过程中工作配合措施</w:t>
            </w:r>
          </w:p>
        </w:tc>
        <w:tc>
          <w:tcPr>
            <w:tcW w:type="dxa" w:w="2492"/>
          </w:tcPr>
          <w:p>
            <w:pPr>
              <w:pStyle w:val="null3"/>
            </w:pPr>
            <w:r>
              <w:rPr>
                <w:rFonts w:ascii="仿宋_GB2312" w:hAnsi="仿宋_GB2312" w:cs="仿宋_GB2312" w:eastAsia="仿宋_GB2312"/>
              </w:rPr>
              <w:t>提供服务过程中工作配合措施（包括但不限于与前期设计单位的协调配合、后期施工承包人的配合以及后续施工技术服务等其他附随服务）。 配合措施内容完整，计6.1～8分； 配合措施内容一般，计3.1～6分； 配合措施内容不完整，计1～3分；未提供不计分。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w:t>
            </w:r>
          </w:p>
        </w:tc>
      </w:tr>
      <w:tr>
        <w:tc>
          <w:tcPr>
            <w:tcW w:type="dxa" w:w="831"/>
            <w:vMerge/>
          </w:tcPr>
          <w:p/>
        </w:tc>
        <w:tc>
          <w:tcPr>
            <w:tcW w:type="dxa" w:w="1661"/>
          </w:tcPr>
          <w:p>
            <w:pPr>
              <w:pStyle w:val="null3"/>
            </w:pPr>
            <w:r>
              <w:rPr>
                <w:rFonts w:ascii="仿宋_GB2312" w:hAnsi="仿宋_GB2312" w:cs="仿宋_GB2312" w:eastAsia="仿宋_GB2312"/>
              </w:rPr>
              <w:t>针对本项目重难点的分析及应对措施</w:t>
            </w:r>
          </w:p>
        </w:tc>
        <w:tc>
          <w:tcPr>
            <w:tcW w:type="dxa" w:w="2492"/>
          </w:tcPr>
          <w:p>
            <w:pPr>
              <w:pStyle w:val="null3"/>
            </w:pPr>
            <w:r>
              <w:rPr>
                <w:rFonts w:ascii="仿宋_GB2312" w:hAnsi="仿宋_GB2312" w:cs="仿宋_GB2312" w:eastAsia="仿宋_GB2312"/>
              </w:rPr>
              <w:t>提供针对本项目重难点的分析及应对措施。 重难点的分析及应对措施内容完整，计6.1～8分； 技术组织措施内容一般，计3.1～6分； 技术组织措施内容不完整，计1～3分；未提供不计分。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w:t>
            </w:r>
          </w:p>
        </w:tc>
      </w:tr>
      <w:tr>
        <w:tc>
          <w:tcPr>
            <w:tcW w:type="dxa" w:w="831"/>
            <w:vMerge/>
          </w:tcPr>
          <w:p/>
        </w:tc>
        <w:tc>
          <w:tcPr>
            <w:tcW w:type="dxa" w:w="1661"/>
          </w:tcPr>
          <w:p>
            <w:pPr>
              <w:pStyle w:val="null3"/>
            </w:pPr>
            <w:r>
              <w:rPr>
                <w:rFonts w:ascii="仿宋_GB2312" w:hAnsi="仿宋_GB2312" w:cs="仿宋_GB2312" w:eastAsia="仿宋_GB2312"/>
              </w:rPr>
              <w:t>应急预案及措施</w:t>
            </w:r>
          </w:p>
        </w:tc>
        <w:tc>
          <w:tcPr>
            <w:tcW w:type="dxa" w:w="2492"/>
          </w:tcPr>
          <w:p>
            <w:pPr>
              <w:pStyle w:val="null3"/>
            </w:pPr>
            <w:r>
              <w:rPr>
                <w:rFonts w:ascii="仿宋_GB2312" w:hAnsi="仿宋_GB2312" w:cs="仿宋_GB2312" w:eastAsia="仿宋_GB2312"/>
              </w:rPr>
              <w:t>针对本项目服务过程中可能出现的突发事件、人员调配等特殊或突发事件等有相应的应急预案及补救措施。 措施内容完整，计4.1～6分； 措施内容一般，计2.1～4分； 措施内容不完整，计1～2分；未提供不计分。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w:t>
            </w:r>
          </w:p>
        </w:tc>
      </w:tr>
      <w:tr>
        <w:tc>
          <w:tcPr>
            <w:tcW w:type="dxa" w:w="831"/>
            <w:vMerge/>
          </w:tcPr>
          <w:p/>
        </w:tc>
        <w:tc>
          <w:tcPr>
            <w:tcW w:type="dxa" w:w="1661"/>
          </w:tcPr>
          <w:p>
            <w:pPr>
              <w:pStyle w:val="null3"/>
            </w:pPr>
            <w:r>
              <w:rPr>
                <w:rFonts w:ascii="仿宋_GB2312" w:hAnsi="仿宋_GB2312" w:cs="仿宋_GB2312" w:eastAsia="仿宋_GB2312"/>
              </w:rPr>
              <w:t>严格的保密、廉洁措施</w:t>
            </w:r>
          </w:p>
        </w:tc>
        <w:tc>
          <w:tcPr>
            <w:tcW w:type="dxa" w:w="2492"/>
          </w:tcPr>
          <w:p>
            <w:pPr>
              <w:pStyle w:val="null3"/>
            </w:pPr>
            <w:r>
              <w:rPr>
                <w:rFonts w:ascii="仿宋_GB2312" w:hAnsi="仿宋_GB2312" w:cs="仿宋_GB2312" w:eastAsia="仿宋_GB2312"/>
              </w:rPr>
              <w:t>针对本项目有严格的保密、廉洁措施。 措施内容完整，计4.1～6分； 措施内容一般，计2.1～4分； 措施内容不完整，计1～2分；未提供不计分。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w:t>
            </w:r>
          </w:p>
        </w:tc>
      </w:tr>
      <w:tr>
        <w:tc>
          <w:tcPr>
            <w:tcW w:type="dxa" w:w="831"/>
            <w:vMerge/>
          </w:tcPr>
          <w:p/>
        </w:tc>
        <w:tc>
          <w:tcPr>
            <w:tcW w:type="dxa" w:w="1661"/>
          </w:tcPr>
          <w:p>
            <w:pPr>
              <w:pStyle w:val="null3"/>
            </w:pPr>
            <w:r>
              <w:rPr>
                <w:rFonts w:ascii="仿宋_GB2312" w:hAnsi="仿宋_GB2312" w:cs="仿宋_GB2312" w:eastAsia="仿宋_GB2312"/>
              </w:rPr>
              <w:t>业绩证明</w:t>
            </w:r>
          </w:p>
        </w:tc>
        <w:tc>
          <w:tcPr>
            <w:tcW w:type="dxa" w:w="2492"/>
          </w:tcPr>
          <w:p>
            <w:pPr>
              <w:pStyle w:val="null3"/>
            </w:pPr>
            <w:r>
              <w:rPr>
                <w:rFonts w:ascii="仿宋_GB2312" w:hAnsi="仿宋_GB2312" w:cs="仿宋_GB2312" w:eastAsia="仿宋_GB2312"/>
              </w:rPr>
              <w:t>提供2022年1月1日以来供应商类似项目的业绩合同（以合同签订日期为准），附业绩合同复印件加盖公章，每份2分，满分8分；未提供不计分。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业绩证明文件</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服务承诺，根据本项目的采购需求，需要配合采购人调整、完善服务时，所提供的响应时间及服务等。 承诺内容完善、合理、可行性强，计2.1～4分； 承诺内容一般，可行性一般，计1～2分；未提供不计分。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价格分采用低价优先法计算，即满足磋商文件要求且投标价格最低的投标报价为评标基准价，其价格分为满分。其他投标人的价格分统一按照下列公式计算： 磋商报价得分=（磋商基准价/最终磋商报价）×权重（10%）×100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详见附件：供应商资格声明文件</w:t>
      </w:r>
    </w:p>
    <w:p>
      <w:pPr>
        <w:pStyle w:val="null3"/>
        <w:ind w:firstLine="960"/>
      </w:pPr>
      <w:r>
        <w:rPr>
          <w:rFonts w:ascii="仿宋_GB2312" w:hAnsi="仿宋_GB2312" w:cs="仿宋_GB2312" w:eastAsia="仿宋_GB2312"/>
        </w:rPr>
        <w:t>详见附件：供应商资格证明文件</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详见附件：商务要求响应表</w:t>
      </w:r>
    </w:p>
    <w:p>
      <w:pPr>
        <w:pStyle w:val="null3"/>
        <w:ind w:firstLine="960"/>
      </w:pPr>
      <w:r>
        <w:rPr>
          <w:rFonts w:ascii="仿宋_GB2312" w:hAnsi="仿宋_GB2312" w:cs="仿宋_GB2312" w:eastAsia="仿宋_GB2312"/>
        </w:rPr>
        <w:t>详见附件：技术要求响应表</w:t>
      </w:r>
    </w:p>
    <w:p>
      <w:pPr>
        <w:pStyle w:val="null3"/>
        <w:ind w:firstLine="960"/>
      </w:pPr>
      <w:r>
        <w:rPr>
          <w:rFonts w:ascii="仿宋_GB2312" w:hAnsi="仿宋_GB2312" w:cs="仿宋_GB2312" w:eastAsia="仿宋_GB2312"/>
        </w:rPr>
        <w:t>详见附件：业绩证明文件</w:t>
      </w:r>
    </w:p>
    <w:p>
      <w:pPr>
        <w:pStyle w:val="null3"/>
        <w:ind w:firstLine="960"/>
      </w:pPr>
      <w:r>
        <w:rPr>
          <w:rFonts w:ascii="仿宋_GB2312" w:hAnsi="仿宋_GB2312" w:cs="仿宋_GB2312" w:eastAsia="仿宋_GB2312"/>
        </w:rPr>
        <w:t>详见附件：供应商承诺书</w:t>
      </w:r>
    </w:p>
    <w:p>
      <w:pPr>
        <w:pStyle w:val="null3"/>
        <w:ind w:firstLine="960"/>
      </w:pPr>
      <w:r>
        <w:rPr>
          <w:rFonts w:ascii="仿宋_GB2312" w:hAnsi="仿宋_GB2312" w:cs="仿宋_GB2312" w:eastAsia="仿宋_GB2312"/>
        </w:rPr>
        <w:t>详见附件：磋商方案说明</w:t>
      </w:r>
    </w:p>
    <w:p>
      <w:pPr>
        <w:pStyle w:val="null3"/>
        <w:ind w:firstLine="960"/>
      </w:pPr>
      <w:r>
        <w:rPr>
          <w:rFonts w:ascii="仿宋_GB2312" w:hAnsi="仿宋_GB2312" w:cs="仿宋_GB2312" w:eastAsia="仿宋_GB2312"/>
        </w:rPr>
        <w:t>详见附件：政府采购供应商拒绝政府采购领域商业贿赂承诺书</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