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16146"/>
      <w:bookmarkStart w:id="1" w:name="_Toc20972"/>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3"/>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7DC040F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408E066E">
      <w:pPr>
        <w:pStyle w:val="12"/>
        <w:numPr>
          <w:ilvl w:val="0"/>
          <w:numId w:val="0"/>
        </w:numPr>
        <w:spacing w:after="0" w:line="360" w:lineRule="auto"/>
        <w:jc w:val="center"/>
        <w:outlineLvl w:val="3"/>
        <w:rPr>
          <w:rFonts w:hint="eastAsia" w:ascii="仿宋" w:hAnsi="仿宋" w:cs="仿宋"/>
          <w:b/>
          <w:bCs/>
          <w:kern w:val="2"/>
          <w:sz w:val="28"/>
          <w:szCs w:val="28"/>
          <w:highlight w:val="none"/>
          <w:lang w:val="en-US" w:eastAsia="zh-CN"/>
        </w:rPr>
      </w:pPr>
      <w:r>
        <w:rPr>
          <w:rFonts w:hint="eastAsia" w:ascii="仿宋" w:hAnsi="仿宋" w:cs="仿宋"/>
          <w:b/>
          <w:bCs/>
          <w:sz w:val="28"/>
          <w:szCs w:val="28"/>
          <w:highlight w:val="none"/>
        </w:rPr>
        <w:br w:type="page"/>
      </w:r>
      <w:bookmarkEnd w:id="8"/>
      <w:r>
        <w:rPr>
          <w:rFonts w:hint="eastAsia" w:ascii="仿宋" w:hAnsi="仿宋" w:cs="仿宋"/>
          <w:b/>
          <w:bCs/>
          <w:sz w:val="28"/>
          <w:szCs w:val="28"/>
          <w:highlight w:val="none"/>
          <w:lang w:val="en-US" w:eastAsia="zh-CN"/>
        </w:rPr>
        <w:t>8</w:t>
      </w:r>
      <w:r>
        <w:rPr>
          <w:rFonts w:hint="eastAsia" w:ascii="仿宋" w:hAnsi="仿宋" w:cs="仿宋"/>
          <w:b/>
          <w:bCs/>
          <w:kern w:val="2"/>
          <w:sz w:val="28"/>
          <w:szCs w:val="28"/>
          <w:highlight w:val="none"/>
          <w:lang w:val="en-US" w:eastAsia="zh-CN"/>
        </w:rPr>
        <w:t>、</w:t>
      </w:r>
      <w:r>
        <w:rPr>
          <w:rFonts w:hint="eastAsia" w:ascii="仿宋" w:hAnsi="仿宋" w:eastAsia="仿宋" w:cs="仿宋"/>
          <w:b/>
          <w:bCs/>
          <w:sz w:val="28"/>
          <w:szCs w:val="28"/>
          <w:highlight w:val="none"/>
          <w:lang w:val="en-US" w:eastAsia="zh-CN"/>
        </w:rPr>
        <w:t>资质</w:t>
      </w:r>
      <w:r>
        <w:rPr>
          <w:rFonts w:hint="eastAsia" w:ascii="仿宋" w:hAnsi="仿宋" w:cs="仿宋"/>
          <w:b/>
          <w:bCs/>
          <w:sz w:val="28"/>
          <w:szCs w:val="28"/>
          <w:highlight w:val="none"/>
          <w:lang w:val="en-US" w:eastAsia="zh-CN"/>
        </w:rPr>
        <w:t>要求</w:t>
      </w:r>
    </w:p>
    <w:p w14:paraId="5B78D4A7">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cs="仿宋"/>
          <w:b w:val="0"/>
          <w:bCs w:val="0"/>
          <w:kern w:val="0"/>
          <w:sz w:val="28"/>
          <w:szCs w:val="28"/>
          <w:highlight w:val="none"/>
          <w:lang w:val="en-US" w:eastAsia="zh-CN" w:bidi="ar-SA"/>
        </w:rPr>
      </w:pPr>
      <w:r>
        <w:rPr>
          <w:rFonts w:hint="eastAsia" w:ascii="仿宋" w:hAnsi="仿宋" w:eastAsia="仿宋" w:cs="仿宋"/>
          <w:b w:val="0"/>
          <w:bCs w:val="0"/>
          <w:kern w:val="0"/>
          <w:sz w:val="28"/>
          <w:szCs w:val="28"/>
          <w:highlight w:val="none"/>
          <w:lang w:val="en-US" w:eastAsia="zh-CN" w:bidi="ar-SA"/>
        </w:rPr>
        <w:t>供应商应具备建设主管部门颁发的工程设计综合资质甲级或建筑行业工程设计乙级及以上资质或建筑行业（建筑工程）乙级及以上资质。</w:t>
      </w:r>
    </w:p>
    <w:p w14:paraId="4F9DA165">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275F2EB">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0A3365B">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8F6C7E3">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0EAEA37">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63F0B22">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4E73D3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D016EE">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7F3790">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1AFFDA8C">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BB293F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58A6C42E">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132042B9">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6B9872A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5E7B598">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6EFE659B">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9D8F37E">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88177E5">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225FE574">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CDEE340">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2C330DA">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3F108A4">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53042565">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5460B1D1">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43C1672">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s="仿宋"/>
          <w:b/>
          <w:bCs/>
          <w:kern w:val="0"/>
          <w:sz w:val="28"/>
          <w:szCs w:val="28"/>
          <w:highlight w:val="none"/>
          <w:lang w:val="en-US" w:eastAsia="zh-CN" w:bidi="ar-SA"/>
        </w:rPr>
      </w:pPr>
    </w:p>
    <w:p w14:paraId="77B11DDF"/>
    <w:p w14:paraId="434505D0">
      <w:pPr>
        <w:numPr>
          <w:ilvl w:val="0"/>
          <w:numId w:val="0"/>
        </w:numPr>
        <w:jc w:val="center"/>
        <w:outlineLvl w:val="3"/>
        <w:rPr>
          <w:rFonts w:hint="eastAsia" w:ascii="仿宋" w:hAnsi="仿宋" w:eastAsia="仿宋" w:cs="仿宋"/>
          <w:b/>
          <w:bCs/>
          <w:sz w:val="28"/>
          <w:szCs w:val="28"/>
          <w:lang w:val="en-US" w:eastAsia="zh-CN"/>
        </w:rPr>
      </w:pPr>
      <w:r>
        <w:rPr>
          <w:rFonts w:hint="eastAsia" w:ascii="仿宋" w:hAnsi="仿宋" w:eastAsia="仿宋" w:cs="仿宋"/>
          <w:b/>
          <w:bCs/>
          <w:kern w:val="2"/>
          <w:sz w:val="28"/>
          <w:szCs w:val="28"/>
          <w:lang w:val="en-US" w:eastAsia="zh-CN" w:bidi="ar-SA"/>
        </w:rPr>
        <w:t>9、项目负责人要求</w:t>
      </w:r>
    </w:p>
    <w:p w14:paraId="43B0545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拟派项目负责人具备二级注册建筑师及以上或注册结构工程师执业资格，且在本单位注册。</w:t>
      </w:r>
      <w:bookmarkStart w:id="9" w:name="_GoBack"/>
      <w:bookmarkEnd w:id="9"/>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875004"/>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2">
    <w:name w:val="heading 2"/>
    <w:basedOn w:val="1"/>
    <w:next w:val="3"/>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4"/>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508</Words>
  <Characters>512</Characters>
  <Lines>0</Lines>
  <Paragraphs>0</Paragraphs>
  <TotalTime>1</TotalTime>
  <ScaleCrop>false</ScaleCrop>
  <LinksUpToDate>false</LinksUpToDate>
  <CharactersWithSpaces>1092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2025-01-20T09:42:10Z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