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版本号：240909003</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耀州区庙湾镇庙湾村农事服务中心建设项目</w:t>
      </w:r>
    </w:p>
    <w:p>
      <w:pPr>
        <w:pStyle w:val="null3"/>
        <w:jc w:val="center"/>
        <w:outlineLvl w:val="2"/>
      </w:pPr>
      <w:r>
        <w:rPr>
          <w:sz w:val="28"/>
          <w:b/>
        </w:rPr>
        <w:t>采购项目编号：</w:t>
      </w:r>
      <w:r>
        <w:rPr>
          <w:sz w:val="28"/>
          <w:b/>
        </w:rPr>
        <w:t>ZJTC2024-0051</w:t>
      </w:r>
      <w:r>
        <w:br/>
      </w:r>
      <w:r>
        <w:br/>
      </w:r>
      <w:r>
        <w:br/>
      </w:r>
    </w:p>
    <w:p>
      <w:pPr>
        <w:pStyle w:val="null3"/>
        <w:jc w:val="center"/>
        <w:outlineLvl w:val="2"/>
      </w:pPr>
      <w:r>
        <w:rPr>
          <w:sz w:val="28"/>
          <w:b/>
        </w:rPr>
        <w:t>铜川市耀州区庙湾镇人民政府</w:t>
      </w:r>
    </w:p>
    <w:p>
      <w:pPr>
        <w:pStyle w:val="null3"/>
        <w:jc w:val="center"/>
        <w:outlineLvl w:val="2"/>
      </w:pPr>
      <w:r>
        <w:rPr>
          <w:sz w:val="28"/>
          <w:b/>
        </w:rPr>
        <w:t>陕西至简天成项目管理有限公司</w:t>
      </w:r>
      <w:r>
        <w:rPr>
          <w:sz w:val="28"/>
          <w:b/>
        </w:rPr>
        <w:t>共同编制</w:t>
      </w:r>
    </w:p>
    <w:p>
      <w:pPr>
        <w:pStyle w:val="null3"/>
        <w:jc w:val="center"/>
        <w:outlineLvl w:val="2"/>
      </w:pPr>
      <w:r>
        <w:rPr>
          <w:sz w:val="28"/>
          <w:b/>
        </w:rPr>
        <w:t>2024年09月09日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陕西至简天成项目管理有限公司</w:t>
      </w:r>
      <w:r>
        <w:rPr/>
        <w:t>（以下简称“代理机构”）受</w:t>
      </w:r>
      <w:r>
        <w:rPr/>
        <w:t>铜川市耀州区庙湾镇人民政府</w:t>
      </w:r>
      <w:r>
        <w:rPr/>
        <w:t>委托，拟对</w:t>
      </w:r>
      <w:r>
        <w:rPr/>
        <w:t>耀州区庙湾镇庙湾村农事服务中心建设项目</w:t>
      </w:r>
      <w:r>
        <w:rPr/>
        <w:t>采用竞争性磋商采购方式进行采购，兹邀请供应商参加本项目的竞争性磋商。</w:t>
      </w:r>
    </w:p>
    <w:p>
      <w:pPr>
        <w:pStyle w:val="null3"/>
        <w:outlineLvl w:val="2"/>
      </w:pPr>
      <w:r>
        <w:rPr>
          <w:sz w:val="28"/>
          <w:b/>
        </w:rPr>
        <w:t>一、项目编号：</w:t>
      </w:r>
      <w:r>
        <w:rPr>
          <w:sz w:val="28"/>
          <w:b/>
        </w:rPr>
        <w:t>ZJTC2024-0051</w:t>
      </w:r>
    </w:p>
    <w:p>
      <w:pPr>
        <w:pStyle w:val="null3"/>
        <w:outlineLvl w:val="2"/>
      </w:pPr>
      <w:r>
        <w:rPr>
          <w:sz w:val="28"/>
          <w:b/>
        </w:rPr>
        <w:t>二、项目名称：</w:t>
      </w:r>
      <w:r>
        <w:rPr>
          <w:sz w:val="28"/>
          <w:b/>
        </w:rPr>
        <w:t>耀州区庙湾镇庙湾村农事服务中心建设项目</w:t>
      </w:r>
    </w:p>
    <w:p>
      <w:pPr>
        <w:pStyle w:val="null3"/>
        <w:outlineLvl w:val="2"/>
      </w:pPr>
      <w:r>
        <w:rPr>
          <w:sz w:val="28"/>
          <w:b/>
        </w:rPr>
        <w:t>三、磋商项目简介</w:t>
      </w:r>
    </w:p>
    <w:p>
      <w:pPr>
        <w:pStyle w:val="null3"/>
        <w:ind w:firstLine="480"/>
      </w:pPr>
      <w:r>
        <w:rPr/>
        <w:t>“十四五”规划和2035年远景目标纲要提出，要“深化农村集体产权制度改革，发展新型农村集体经济”。庙湾镇政府现决定购入一批新型农用机械用于提高农业生产效率，夺取玉米丰收，减少和降低因玉米秸秆引发的田间山林火灾，保障人民群众生命财产安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采购包1（耀州区庙湾镇庙湾村农事服务中心建设项目）：属于专门面向小微企业采购。</w:t>
      </w:r>
    </w:p>
    <w:p>
      <w:pPr>
        <w:pStyle w:val="null3"/>
        <w:ind w:firstLine="480"/>
      </w:pPr>
      <w:r>
        <w:rPr/>
        <w:t>（三）本项目的特定资格要求：</w:t>
      </w:r>
    </w:p>
    <w:p>
      <w:pPr>
        <w:pStyle w:val="null3"/>
      </w:pPr>
      <w:r>
        <w:rPr/>
        <w:t>采购包1：</w:t>
      </w:r>
    </w:p>
    <w:p>
      <w:pPr>
        <w:pStyle w:val="null3"/>
      </w:pPr>
      <w:r>
        <w:rPr/>
        <w:t>1、营业执照：供应商应是独立承担民事责任能力的法人、其他组织或自然人，法人、其他组织须提供合法有效的营业执照（或事业单位法人证书）等证明资料，自然人须提供身份证明；</w:t>
      </w:r>
    </w:p>
    <w:p>
      <w:pPr>
        <w:pStyle w:val="null3"/>
      </w:pPr>
      <w:r>
        <w:rPr/>
        <w:t>2、财务状况报告：提供2023年度财务审计报告（至少包括资产负债表和利润表，成立时间至提交响应文件截止时间不足一年的可提供成立后任意时段的资产负债表），或其基本存款账户开户银行出具的开标日期前六个月内资信证明及基本存款账户开户许可证（基本存款账户信息）；</w:t>
      </w:r>
    </w:p>
    <w:p>
      <w:pPr>
        <w:pStyle w:val="null3"/>
      </w:pPr>
      <w:r>
        <w:rPr/>
        <w:t>3、税收缴纳凭证：供应商须提供2023年至今已缴存的至少一个月的纳税证明或完税证明（任意税种），依法免税的单位应提供相关证明材料；</w:t>
      </w:r>
    </w:p>
    <w:p>
      <w:pPr>
        <w:pStyle w:val="null3"/>
      </w:pPr>
      <w:r>
        <w:rPr/>
        <w:t>4、社会保险缴纳凭证：供应商须提供2023年至今已缴存的至少一个月的社会保障资金缴存单据或社保机构开具的社会保险参保缴费情况证明，依法不需要缴纳社会保障资金的单位应提供相关证明材料；</w:t>
      </w:r>
    </w:p>
    <w:p>
      <w:pPr>
        <w:pStyle w:val="null3"/>
      </w:pPr>
      <w:r>
        <w:rPr/>
        <w:t>5、承诺：提供具有履行合同所必需的设备和专业技术能力的承诺；</w:t>
      </w:r>
    </w:p>
    <w:p>
      <w:pPr>
        <w:pStyle w:val="null3"/>
      </w:pPr>
      <w:r>
        <w:rPr/>
        <w:t>6、书面声明：参加政府采购活动前三年内，在经营活动中没有重大违法记录的书面声明；</w:t>
      </w:r>
    </w:p>
    <w:p>
      <w:pPr>
        <w:pStyle w:val="null3"/>
      </w:pPr>
      <w:r>
        <w:rPr/>
        <w:t>7、授权委托书：法定代表人参加磋商的，提供法定代表人身份证复印件；法定代表人授权他人参加磋商的，提供法定代表人授权委托书（附法定代表人身份证复印件及被授权委托人身份证复印件）；</w:t>
      </w:r>
    </w:p>
    <w:p>
      <w:pPr>
        <w:pStyle w:val="null3"/>
      </w:pPr>
      <w:r>
        <w:rPr/>
        <w:t>8、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t>9、关联关系证明：单位负责人为同一人或者存在直接控股、管理关系的不同投标人，不得参加同一合同项下的政府采购活动；</w:t>
      </w:r>
    </w:p>
    <w:p>
      <w:pPr>
        <w:pStyle w:val="null3"/>
      </w:pPr>
      <w:r>
        <w:rPr/>
        <w:t>10、联合体：本项目不接受联合体投标；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铜川市耀州区庙湾镇人民政府</w:t>
      </w:r>
    </w:p>
    <w:p>
      <w:pPr>
        <w:pStyle w:val="null3"/>
      </w:pPr>
      <w:r>
        <w:rPr/>
        <w:t xml:space="preserve"> 地址： </w:t>
      </w:r>
      <w:r>
        <w:rPr/>
        <w:t>陕西省铜川市耀州区庙湾镇街道</w:t>
      </w:r>
    </w:p>
    <w:p>
      <w:pPr>
        <w:pStyle w:val="null3"/>
      </w:pPr>
      <w:r>
        <w:rPr/>
        <w:t xml:space="preserve"> 邮编： </w:t>
      </w:r>
      <w:r>
        <w:rPr/>
        <w:t>727102</w:t>
      </w:r>
    </w:p>
    <w:p>
      <w:pPr>
        <w:pStyle w:val="null3"/>
      </w:pPr>
      <w:r>
        <w:rPr/>
        <w:t xml:space="preserve"> 联系人： </w:t>
      </w:r>
      <w:r>
        <w:rPr/>
        <w:t>铜川市耀州区庙湾镇人民政府经办</w:t>
      </w:r>
    </w:p>
    <w:p>
      <w:pPr>
        <w:pStyle w:val="null3"/>
      </w:pPr>
      <w:r>
        <w:rPr/>
        <w:t xml:space="preserve"> 联系电话： </w:t>
      </w:r>
      <w:r>
        <w:rPr/>
        <w:t>17709191515</w:t>
      </w:r>
    </w:p>
    <w:p>
      <w:pPr>
        <w:pStyle w:val="null3"/>
        <w:outlineLvl w:val="3"/>
      </w:pPr>
      <w:r>
        <w:rPr>
          <w:sz w:val="24"/>
          <w:b/>
        </w:rPr>
        <w:t>代理机构：</w:t>
      </w:r>
      <w:r>
        <w:rPr>
          <w:sz w:val="24"/>
          <w:b/>
        </w:rPr>
        <w:t>陕西至简天成项目管理有限公司</w:t>
      </w:r>
    </w:p>
    <w:p>
      <w:pPr>
        <w:pStyle w:val="null3"/>
      </w:pPr>
      <w:r>
        <w:rPr/>
        <w:t xml:space="preserve"> 地址： </w:t>
      </w:r>
      <w:r>
        <w:rPr/>
        <w:t>西安市莲湖区土门十字西二环南段10号艺腾国际商务大厦503室</w:t>
      </w:r>
    </w:p>
    <w:p>
      <w:pPr>
        <w:pStyle w:val="null3"/>
      </w:pPr>
      <w:r>
        <w:rPr/>
        <w:t xml:space="preserve"> 邮编： </w:t>
      </w:r>
      <w:r>
        <w:rPr/>
        <w:t>710000</w:t>
      </w:r>
    </w:p>
    <w:p>
      <w:pPr>
        <w:pStyle w:val="null3"/>
      </w:pPr>
      <w:r>
        <w:rPr/>
        <w:t xml:space="preserve"> 联系人： </w:t>
      </w:r>
      <w:r>
        <w:rPr/>
        <w:t>苏工</w:t>
      </w:r>
    </w:p>
    <w:p>
      <w:pPr>
        <w:pStyle w:val="null3"/>
      </w:pPr>
      <w:r>
        <w:rPr/>
        <w:t xml:space="preserve"> 联系电话： </w:t>
      </w:r>
      <w:r>
        <w:rPr/>
        <w:t>17629052930</w:t>
      </w:r>
    </w:p>
    <w:p>
      <w:pPr>
        <w:pStyle w:val="null3"/>
        <w:outlineLvl w:val="3"/>
      </w:pPr>
      <w:r>
        <w:rPr>
          <w:sz w:val="24"/>
          <w:b/>
        </w:rPr>
        <w:t>采购监督机构：</w:t>
      </w:r>
      <w:r>
        <w:rPr>
          <w:sz w:val="24"/>
          <w:b/>
        </w:rPr>
        <w:t>铜川市耀州区政府采购管理股</w:t>
      </w:r>
    </w:p>
    <w:p>
      <w:pPr>
        <w:pStyle w:val="null3"/>
        <w:ind w:firstLine="480"/>
      </w:pPr>
      <w:r>
        <w:rPr/>
        <w:t>联系人：</w:t>
      </w:r>
      <w:r>
        <w:rPr/>
        <w:t>郭老师</w:t>
      </w:r>
    </w:p>
    <w:p>
      <w:pPr>
        <w:pStyle w:val="null3"/>
        <w:ind w:firstLine="480"/>
      </w:pPr>
      <w:r>
        <w:rPr/>
        <w:t>联系电话：</w:t>
      </w:r>
      <w:r>
        <w:rPr/>
        <w:t>0919-6602227</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lt;招标代理服务收费管理暂行办法&gt;的通知》（计价格[2002]1980号）和（发改办价格[2003]857号）中的收费标准计取。按上述标准计算的代理服务费低于8000元的，代理服务费按8000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铜川市耀州区庙湾镇人民政府</w:t>
      </w:r>
      <w:r>
        <w:rPr/>
        <w:t>和</w:t>
      </w:r>
      <w:r>
        <w:rPr/>
        <w:t>陕西至简天成项目管理有限公司</w:t>
      </w:r>
      <w:r>
        <w:rPr/>
        <w:t>享有。对磋商文件中供应商参加本次政府采购活动应当具备的条件，磋商项目技术、服务、商务及其他要求，评审细则及标准由</w:t>
      </w:r>
      <w:r>
        <w:rPr/>
        <w:t>铜川市耀州区庙湾镇人民政府</w:t>
      </w:r>
      <w:r>
        <w:rPr/>
        <w:t>负责解释。除上述磋商文件内容，其他内容由</w:t>
      </w:r>
      <w:r>
        <w:rPr/>
        <w:t>陕西至简天成项目管理有限公司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陕西至简天成项目管理有限公司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现行的国家标准或国家行政部门颁布的法律法规、规章制度等。没有国家标准的，可以参考行业标准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陕西至简天成项目管理有限公司</w:t>
      </w:r>
      <w:r>
        <w:rPr/>
        <w:t xml:space="preserve"> 负责答复；供应商对采购过程的询问、质疑由</w:t>
      </w:r>
      <w:r>
        <w:rPr/>
        <w:t>陕西至简天成项目管理有限公司</w:t>
      </w:r>
      <w:r>
        <w:rPr/>
        <w:t xml:space="preserve"> 负责答复；供应商对采购结果的询问、质疑由 </w:t>
      </w:r>
      <w:r>
        <w:rPr/>
        <w:t>陕西至简天成项目管理有限公司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联系人：苏工</w:t>
      </w:r>
    </w:p>
    <w:p>
      <w:pPr>
        <w:pStyle w:val="null3"/>
      </w:pPr>
      <w:r>
        <w:rPr/>
        <w:t>联系电话：17629052930</w:t>
      </w:r>
    </w:p>
    <w:p>
      <w:pPr>
        <w:pStyle w:val="null3"/>
      </w:pPr>
      <w:r>
        <w:rPr/>
        <w:t>地址：西安市莲湖区土门十字西二环南段10号艺腾国际商务大厦503室</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十四五”规划和2035年远景目标纲要提出，要“深化农村集体产权制度改革，发展新型农村集体经济”。庙湾镇政府现决定购入一批新型农用机械用于提高农业生产效率，夺取玉米丰收，减少和降低因玉米秸秆引发的田间山林火灾，保障人民群众生命财产安全。</w:t>
      </w:r>
    </w:p>
    <w:p>
      <w:pPr>
        <w:pStyle w:val="null3"/>
        <w:outlineLvl w:val="2"/>
      </w:pPr>
      <w:r>
        <w:rPr>
          <w:sz w:val="28"/>
          <w:b/>
        </w:rPr>
        <w:t>3.2采购内容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玉米茎穗机兼收机3台，四驱农用拖拉机2台，旋耕机2台，玉米播种机2台，深翻犁2台</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元</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标的名称：玉米茎穗机兼收机3台，四驱农用拖拉机2台，旋耕机2台，玉米播种机2台，深翻犁2台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仿宋" w:hAnsi="仿宋" w:cs="仿宋" w:eastAsia="仿宋"/>
                <w:sz w:val="28"/>
              </w:rPr>
              <w:t>采购清单：</w:t>
            </w:r>
          </w:p>
          <w:tbl>
            <w:tblPr>
              <w:tblBorders>
                <w:top w:val="single"/>
                <w:left w:val="single"/>
                <w:bottom w:val="single"/>
                <w:right w:val="single"/>
                <w:insideH w:val="single"/>
                <w:insideV w:val="single"/>
              </w:tblBorders>
            </w:tblPr>
            <w:tblGrid>
              <w:gridCol w:w="335"/>
              <w:gridCol w:w="542"/>
              <w:gridCol w:w="825"/>
              <w:gridCol w:w="851"/>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序号</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名称</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数量</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预算金额</w:t>
                  </w:r>
                </w:p>
                <w:p>
                  <w:pPr>
                    <w:pStyle w:val="null3"/>
                    <w:jc w:val="center"/>
                  </w:pPr>
                  <w:r>
                    <w:rPr>
                      <w:rFonts w:ascii="仿宋" w:hAnsi="仿宋" w:cs="仿宋" w:eastAsia="仿宋"/>
                      <w:sz w:val="24"/>
                    </w:rPr>
                    <w:t>(</w:t>
                  </w:r>
                  <w:r>
                    <w:rPr>
                      <w:rFonts w:ascii="仿宋" w:hAnsi="仿宋" w:cs="仿宋" w:eastAsia="仿宋"/>
                      <w:sz w:val="24"/>
                    </w:rPr>
                    <w:t>万元)</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深翻犁</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75"/>
                    <w:jc w:val="center"/>
                  </w:pPr>
                  <w:r>
                    <w:rPr>
                      <w:rFonts w:ascii="仿宋" w:hAnsi="仿宋" w:cs="仿宋" w:eastAsia="仿宋"/>
                      <w:sz w:val="24"/>
                    </w:rPr>
                    <w:t>2</w:t>
                  </w:r>
                  <w:r>
                    <w:rPr>
                      <w:rFonts w:ascii="仿宋" w:hAnsi="仿宋" w:cs="仿宋" w:eastAsia="仿宋"/>
                      <w:sz w:val="24"/>
                    </w:rPr>
                    <w:t>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2</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玉米播种机</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75"/>
                    <w:jc w:val="center"/>
                  </w:pPr>
                  <w:r>
                    <w:rPr>
                      <w:rFonts w:ascii="仿宋" w:hAnsi="仿宋" w:cs="仿宋" w:eastAsia="仿宋"/>
                      <w:sz w:val="24"/>
                    </w:rPr>
                    <w:t>2</w:t>
                  </w:r>
                  <w:r>
                    <w:rPr>
                      <w:rFonts w:ascii="仿宋" w:hAnsi="仿宋" w:cs="仿宋" w:eastAsia="仿宋"/>
                      <w:sz w:val="24"/>
                    </w:rPr>
                    <w:t>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2</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 w:hAnsi="仿宋" w:cs="仿宋" w:eastAsia="仿宋"/>
                      <w:sz w:val="24"/>
                    </w:rPr>
                    <w:t>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旋耕机</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75"/>
                    <w:jc w:val="center"/>
                  </w:pPr>
                  <w:r>
                    <w:rPr>
                      <w:rFonts w:ascii="仿宋" w:hAnsi="仿宋" w:cs="仿宋" w:eastAsia="仿宋"/>
                      <w:sz w:val="24"/>
                    </w:rPr>
                    <w:t>2</w:t>
                  </w:r>
                  <w:r>
                    <w:rPr>
                      <w:rFonts w:ascii="仿宋" w:hAnsi="仿宋" w:cs="仿宋" w:eastAsia="仿宋"/>
                      <w:sz w:val="24"/>
                    </w:rPr>
                    <w:t>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2</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四驱农用拖拉机</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75"/>
                    <w:jc w:val="center"/>
                  </w:pPr>
                  <w:r>
                    <w:rPr>
                      <w:rFonts w:ascii="仿宋" w:hAnsi="仿宋" w:cs="仿宋" w:eastAsia="仿宋"/>
                      <w:sz w:val="24"/>
                    </w:rPr>
                    <w:t>2</w:t>
                  </w:r>
                  <w:r>
                    <w:rPr>
                      <w:rFonts w:ascii="仿宋" w:hAnsi="仿宋" w:cs="仿宋" w:eastAsia="仿宋"/>
                      <w:sz w:val="24"/>
                    </w:rPr>
                    <w:t>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32</w:t>
                  </w:r>
                </w:p>
              </w:tc>
            </w:tr>
            <w:tr>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4"/>
                    </w:rPr>
                    <w:t>玉米茎穗机兼收机</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75"/>
                    <w:jc w:val="center"/>
                  </w:pPr>
                  <w:r>
                    <w:rPr>
                      <w:rFonts w:ascii="仿宋" w:hAnsi="仿宋" w:cs="仿宋" w:eastAsia="仿宋"/>
                      <w:sz w:val="24"/>
                    </w:rPr>
                    <w:t>3</w:t>
                  </w:r>
                  <w:r>
                    <w:rPr>
                      <w:rFonts w:ascii="仿宋" w:hAnsi="仿宋" w:cs="仿宋" w:eastAsia="仿宋"/>
                      <w:sz w:val="24"/>
                    </w:rPr>
                    <w:t>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4"/>
                    </w:rPr>
                    <w:t>112</w:t>
                  </w:r>
                </w:p>
              </w:tc>
            </w:tr>
          </w:tbl>
          <w:p/>
        </w:tc>
      </w:tr>
      <w:tr>
        <w:tc>
          <w:tcPr>
            <w:tcW w:type="dxa" w:w="2769"/>
          </w:tcPr>
          <w:p/>
        </w:tc>
        <w:tc>
          <w:tcPr>
            <w:tcW w:type="dxa" w:w="2769"/>
          </w:tcPr>
          <w:p>
            <w:pPr>
              <w:pStyle w:val="null3"/>
            </w:pPr>
            <w:r>
              <w:rPr/>
              <w:t>2</w:t>
            </w:r>
          </w:p>
        </w:tc>
        <w:tc>
          <w:tcPr>
            <w:tcW w:type="dxa" w:w="2769"/>
          </w:tcPr>
          <w:tbl>
            <w:tblPr>
              <w:tblInd w:type="dxa" w:w="135"/>
              <w:tblBorders>
                <w:top w:val="single"/>
                <w:left w:val="single"/>
                <w:bottom w:val="single"/>
                <w:right w:val="single"/>
                <w:insideH w:val="single"/>
                <w:insideV w:val="single"/>
              </w:tblBorders>
            </w:tblPr>
            <w:tblGrid>
              <w:gridCol w:w="247"/>
              <w:gridCol w:w="388"/>
              <w:gridCol w:w="1386"/>
              <w:gridCol w:w="264"/>
              <w:gridCol w:w="264"/>
              <w:gridCol w:w="0"/>
            </w:tblGrid>
            <w:tr>
              <w:tc>
                <w:tcPr>
                  <w:tcW w:type="dxa" w:w="24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序号</w:t>
                  </w:r>
                </w:p>
              </w:tc>
              <w:tc>
                <w:tcPr>
                  <w:tcW w:type="dxa" w:w="38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名称</w:t>
                  </w:r>
                </w:p>
              </w:tc>
              <w:tc>
                <w:tcPr>
                  <w:tcW w:type="dxa" w:w="13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参数</w:t>
                  </w:r>
                </w:p>
              </w:tc>
              <w:tc>
                <w:tcPr>
                  <w:tcW w:type="dxa" w:w="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单位</w:t>
                  </w:r>
                </w:p>
              </w:tc>
              <w:tc>
                <w:tcPr>
                  <w:tcW w:type="dxa" w:w="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数量</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vMerge/>
                  <w:tcBorders>
                    <w:top w:val="single" w:color="000000" w:sz="4"/>
                    <w:left w:val="single" w:color="000000" w:sz="4"/>
                    <w:bottom w:val="single" w:color="000000" w:sz="4"/>
                    <w:right w:val="single" w:color="000000" w:sz="4"/>
                  </w:tcBorders>
                </w:tcPr>
                <w:p/>
              </w:tc>
              <w:tc>
                <w:tcPr>
                  <w:tcW w:type="dxa" w:w="388"/>
                  <w:vMerge/>
                  <w:tcBorders>
                    <w:top w:val="single" w:color="000000" w:sz="4"/>
                    <w:left w:val="none" w:color="000000" w:sz="4"/>
                    <w:bottom w:val="single" w:color="000000" w:sz="4"/>
                    <w:right w:val="single" w:color="000000" w:sz="4"/>
                  </w:tcBorders>
                </w:tcPr>
                <w:p/>
              </w:tc>
              <w:tc>
                <w:tcPr>
                  <w:tcW w:type="dxa" w:w="1386"/>
                  <w:vMerge/>
                  <w:tcBorders>
                    <w:top w:val="single" w:color="000000" w:sz="4"/>
                    <w:left w:val="none" w:color="000000" w:sz="4"/>
                    <w:bottom w:val="single" w:color="000000" w:sz="4"/>
                    <w:right w:val="single" w:color="000000" w:sz="4"/>
                  </w:tcBorders>
                </w:tcPr>
                <w:p/>
              </w:tc>
              <w:tc>
                <w:tcPr>
                  <w:tcW w:type="dxa" w:w="264"/>
                  <w:vMerge/>
                  <w:tcBorders>
                    <w:top w:val="single" w:color="000000" w:sz="4"/>
                    <w:left w:val="none" w:color="000000" w:sz="4"/>
                    <w:bottom w:val="single" w:color="000000" w:sz="4"/>
                    <w:right w:val="single" w:color="000000" w:sz="4"/>
                  </w:tcBorders>
                </w:tcPr>
                <w:p/>
              </w:tc>
              <w:tc>
                <w:tcPr>
                  <w:tcW w:type="dxa" w:w="264"/>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arial&quot;, sans-serif" w:hAnsi="&quot;arial&quot;, sans-serif" w:cs="&quot;arial&quot;, sans-serif" w:eastAsia="&quot;arial&quot;, sans-serif"/>
                      <w:sz w:val="2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深翻犁</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配套动力范围（KW）：80.8-102.9；外形尺寸（工作状态，长×宽×高）（mm）：3550×1850×1750；结构质量（kg）：960；犁体数量（个）：3×2；翻转机构型式：液压翻转</w:t>
                  </w:r>
                </w:p>
                <w:p>
                  <w:pPr>
                    <w:pStyle w:val="null3"/>
                    <w:jc w:val="center"/>
                  </w:pPr>
                  <w:r>
                    <w:rPr>
                      <w:rFonts w:ascii="宋体" w:hAnsi="宋体" w:cs="宋体" w:eastAsia="宋体"/>
                      <w:sz w:val="24"/>
                      <w:color w:val="000000"/>
                    </w:rPr>
                    <w:t>≧3铧</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464445"/>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arial&quot;, sans-serif" w:hAnsi="&quot;arial&quot;, sans-serif" w:cs="&quot;arial&quot;, sans-serif" w:eastAsia="&quot;arial&quot;, sans-serif"/>
                      <w:sz w:val="2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玉米播种机</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配套动力范围 kW 29.4~58.8</w:t>
                  </w:r>
                </w:p>
                <w:p>
                  <w:pPr>
                    <w:pStyle w:val="null3"/>
                    <w:jc w:val="left"/>
                  </w:pPr>
                  <w:r>
                    <w:rPr>
                      <w:rFonts w:ascii="宋体" w:hAnsi="宋体" w:cs="宋体" w:eastAsia="宋体"/>
                      <w:sz w:val="24"/>
                      <w:color w:val="000000"/>
                    </w:rPr>
                    <w:t>播种行数：≧4行；</w:t>
                  </w:r>
                  <w:r>
                    <w:br/>
                  </w:r>
                  <w:r>
                    <w:rPr>
                      <w:rFonts w:ascii="宋体" w:hAnsi="宋体" w:cs="宋体" w:eastAsia="宋体"/>
                      <w:sz w:val="24"/>
                      <w:color w:val="000000"/>
                    </w:rPr>
                    <w:t xml:space="preserve"> 工作幅宽 cm 240</w:t>
                  </w:r>
                  <w:r>
                    <w:br/>
                  </w:r>
                  <w:r>
                    <w:rPr>
                      <w:rFonts w:ascii="宋体" w:hAnsi="宋体" w:cs="宋体" w:eastAsia="宋体"/>
                      <w:sz w:val="24"/>
                      <w:color w:val="000000"/>
                    </w:rPr>
                    <w:t xml:space="preserve"> 行距 cm 60</w:t>
                  </w:r>
                  <w:r>
                    <w:br/>
                  </w:r>
                  <w:r>
                    <w:rPr>
                      <w:rFonts w:ascii="宋体" w:hAnsi="宋体" w:cs="宋体" w:eastAsia="宋体"/>
                      <w:sz w:val="24"/>
                      <w:color w:val="000000"/>
                    </w:rPr>
                    <w:t xml:space="preserve"> 工作行数 行 4</w:t>
                  </w:r>
                  <w:r>
                    <w:br/>
                  </w:r>
                  <w:r>
                    <w:rPr>
                      <w:rFonts w:ascii="宋体" w:hAnsi="宋体" w:cs="宋体" w:eastAsia="宋体"/>
                      <w:sz w:val="24"/>
                      <w:color w:val="000000"/>
                    </w:rPr>
                    <w:t xml:space="preserve"> 排种器型式/勺轮式(金属材料) 排种器数量个4</w:t>
                  </w:r>
                  <w:r>
                    <w:br/>
                  </w:r>
                  <w:r>
                    <w:rPr>
                      <w:rFonts w:ascii="宋体" w:hAnsi="宋体" w:cs="宋体" w:eastAsia="宋体"/>
                      <w:sz w:val="24"/>
                      <w:color w:val="000000"/>
                    </w:rPr>
                    <w:t xml:space="preserve"> 排肥器数量 个 4</w:t>
                  </w:r>
                  <w:r>
                    <w:br/>
                  </w:r>
                  <w:r>
                    <w:rPr>
                      <w:rFonts w:ascii="宋体" w:hAnsi="宋体" w:cs="宋体" w:eastAsia="宋体"/>
                      <w:sz w:val="24"/>
                      <w:color w:val="000000"/>
                    </w:rPr>
                    <w:t xml:space="preserve"> 排种开沟器数量 个 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464445"/>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arial&quot;, sans-serif" w:hAnsi="&quot;arial&quot;, sans-serif" w:cs="&quot;arial&quot;, sans-serif" w:eastAsia="&quot;arial&quot;, sans-serif"/>
                      <w:sz w:val="20"/>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br/>
                  </w:r>
                  <w:r>
                    <w:rPr>
                      <w:rFonts w:ascii="宋体" w:hAnsi="宋体" w:cs="宋体" w:eastAsia="宋体"/>
                      <w:sz w:val="24"/>
                    </w:rPr>
                    <w:t>旋耕机</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结构型式：框架型；2.3米型；整机外形尺寸：(长×宽×高)1520×2620×1200（允许偏差3%)单位：mm；</w:t>
                  </w:r>
                  <w:r>
                    <w:br/>
                  </w:r>
                  <w:r>
                    <w:rPr>
                      <w:rFonts w:ascii="宋体" w:hAnsi="宋体" w:cs="宋体" w:eastAsia="宋体"/>
                      <w:sz w:val="24"/>
                      <w:color w:val="000000"/>
                    </w:rPr>
                    <w:t xml:space="preserve"> 工作幅宽：230cm（允许偏差3%）；刀轴型式：单轴型；刀轴连接型式：花键式；传动型式：中间传动；运输方式：普通型；</w:t>
                  </w:r>
                  <w:r>
                    <w:br/>
                  </w:r>
                  <w:r>
                    <w:rPr>
                      <w:rFonts w:ascii="宋体" w:hAnsi="宋体" w:cs="宋体" w:eastAsia="宋体"/>
                      <w:sz w:val="24"/>
                      <w:color w:val="000000"/>
                    </w:rPr>
                    <w:t xml:space="preserve"> 刀棍转速：265/287 r/min；</w:t>
                  </w:r>
                  <w:r>
                    <w:br/>
                  </w:r>
                  <w:r>
                    <w:rPr>
                      <w:rFonts w:ascii="宋体" w:hAnsi="宋体" w:cs="宋体" w:eastAsia="宋体"/>
                      <w:sz w:val="24"/>
                      <w:color w:val="000000"/>
                    </w:rPr>
                    <w:t xml:space="preserve"> 刀棍最大回转半径：245mm（允许偏差2%）；刀总安装刀数：64把</w:t>
                  </w:r>
                  <w:r>
                    <w:br/>
                  </w:r>
                  <w:r>
                    <w:rPr>
                      <w:rFonts w:ascii="宋体" w:hAnsi="宋体" w:cs="宋体" w:eastAsia="宋体"/>
                      <w:sz w:val="24"/>
                      <w:color w:val="000000"/>
                    </w:rPr>
                    <w:t xml:space="preserve"> 旋耕刀型号：IT245；限深装置型式：限深板；镇压型式：拖板</w:t>
                  </w:r>
                  <w:r>
                    <w:br/>
                  </w:r>
                  <w:r>
                    <w:rPr>
                      <w:rFonts w:ascii="宋体" w:hAnsi="宋体" w:cs="宋体" w:eastAsia="宋体"/>
                      <w:sz w:val="24"/>
                      <w:color w:val="000000"/>
                    </w:rPr>
                    <w:t xml:space="preserve"> 配套拖拉机标定功率：（73.5～110.3）kW</w:t>
                  </w:r>
                  <w:r>
                    <w:br/>
                  </w:r>
                  <w:r>
                    <w:rPr>
                      <w:rFonts w:ascii="宋体" w:hAnsi="宋体" w:cs="宋体" w:eastAsia="宋体"/>
                      <w:sz w:val="24"/>
                      <w:color w:val="000000"/>
                    </w:rPr>
                    <w:t xml:space="preserve"> 配套拖拉机动力输出轴转速：720/780 r/min</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464445"/>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arial&quot;, sans-serif" w:hAnsi="&quot;arial&quot;, sans-serif" w:cs="&quot;arial&quot;, sans-serif" w:eastAsia="&quot;arial&quot;, sans-serif"/>
                      <w:sz w:val="20"/>
                    </w:rPr>
                    <w:t>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四驱农用拖拉机</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功率（马力）：120（国四）；</w:t>
                  </w:r>
                  <w:r>
                    <w:br/>
                  </w:r>
                  <w:r>
                    <w:rPr>
                      <w:rFonts w:ascii="宋体" w:hAnsi="宋体" w:cs="宋体" w:eastAsia="宋体"/>
                      <w:sz w:val="24"/>
                      <w:color w:val="000000"/>
                    </w:rPr>
                    <w:t xml:space="preserve"> 整机型式：轮式；整机驱动型式：四驱；1204型；</w:t>
                  </w:r>
                  <w:r>
                    <w:br/>
                  </w:r>
                  <w:r>
                    <w:rPr>
                      <w:rFonts w:ascii="宋体" w:hAnsi="宋体" w:cs="宋体" w:eastAsia="宋体"/>
                      <w:sz w:val="24"/>
                      <w:color w:val="000000"/>
                    </w:rPr>
                    <w:t xml:space="preserve"> 整机外廓尺寸(长×宽×高及部位)：（4600×2200×2950）mm（安全架顶</w:t>
                  </w:r>
                  <w:r>
                    <w:br/>
                  </w:r>
                  <w:r>
                    <w:rPr>
                      <w:rFonts w:ascii="宋体" w:hAnsi="宋体" w:cs="宋体" w:eastAsia="宋体"/>
                      <w:sz w:val="24"/>
                      <w:color w:val="000000"/>
                    </w:rPr>
                    <w:t xml:space="preserve"> 部)；轴距或履带接地长：2240mm；常用轮距(前轮/后轮)或轨距：1750/1710 mm；</w:t>
                  </w:r>
                  <w:r>
                    <w:br/>
                  </w:r>
                  <w:r>
                    <w:rPr>
                      <w:rFonts w:ascii="宋体" w:hAnsi="宋体" w:cs="宋体" w:eastAsia="宋体"/>
                      <w:sz w:val="24"/>
                      <w:color w:val="000000"/>
                    </w:rPr>
                    <w:t xml:space="preserve"> 最小离地间隙及部位：430mm（前桥底部）；离合器壳体前端面至后驱动轴轴心线的水平距离：1310mm；变速箱齿轮副轴孔中心距：118mm；</w:t>
                  </w:r>
                  <w:r>
                    <w:br/>
                  </w:r>
                  <w:r>
                    <w:rPr>
                      <w:rFonts w:ascii="宋体" w:hAnsi="宋体" w:cs="宋体" w:eastAsia="宋体"/>
                      <w:sz w:val="24"/>
                      <w:color w:val="000000"/>
                    </w:rPr>
                    <w:t xml:space="preserve"> 最小使用质量：4220kg（±%5）；标准配重(前/后)：400/160 kg（±5%）；最小使用比质量：47.7kg/kW；挡位数（前进/倒退）：16/8；主变速挡位数：4 ；副变速挡位数：2×（2+1）；</w:t>
                  </w:r>
                  <w:r>
                    <w:br/>
                  </w:r>
                  <w:r>
                    <w:rPr>
                      <w:rFonts w:ascii="宋体" w:hAnsi="宋体" w:cs="宋体" w:eastAsia="宋体"/>
                      <w:sz w:val="24"/>
                      <w:color w:val="000000"/>
                    </w:rPr>
                    <w:t xml:space="preserve"> 最高设计理论速度：≤35km/h；发动机与主离合联接方式：直联；</w:t>
                  </w:r>
                  <w:r>
                    <w:br/>
                  </w:r>
                  <w:r>
                    <w:rPr>
                      <w:rFonts w:ascii="宋体" w:hAnsi="宋体" w:cs="宋体" w:eastAsia="宋体"/>
                      <w:sz w:val="24"/>
                      <w:color w:val="000000"/>
                    </w:rPr>
                    <w:t xml:space="preserve"> 翻倾防护装置（驾驶室或安全框架）型式：封闭驾驶室；发动机结构型式：立式、直列、四冲程；发动机进气方式：增压中冷；</w:t>
                  </w:r>
                  <w:r>
                    <w:br/>
                  </w:r>
                  <w:r>
                    <w:rPr>
                      <w:rFonts w:ascii="宋体" w:hAnsi="宋体" w:cs="宋体" w:eastAsia="宋体"/>
                      <w:sz w:val="24"/>
                      <w:color w:val="000000"/>
                    </w:rPr>
                    <w:t xml:space="preserve"> 发动机标定功率：≧88.3kW；发动机频定净功率：≧95.6kW；</w:t>
                  </w:r>
                  <w:r>
                    <w:br/>
                  </w:r>
                  <w:r>
                    <w:rPr>
                      <w:rFonts w:ascii="宋体" w:hAnsi="宋体" w:cs="宋体" w:eastAsia="宋体"/>
                      <w:sz w:val="24"/>
                      <w:color w:val="000000"/>
                    </w:rPr>
                    <w:t xml:space="preserve"> 发动机标定转读：2200r/min；发动机冷却方式：水冷  空气滤清器型式： 干式；</w:t>
                  </w:r>
                  <w:r>
                    <w:br/>
                  </w:r>
                  <w:r>
                    <w:rPr>
                      <w:rFonts w:ascii="宋体" w:hAnsi="宋体" w:cs="宋体" w:eastAsia="宋体"/>
                      <w:sz w:val="24"/>
                      <w:color w:val="000000"/>
                    </w:rPr>
                    <w:t xml:space="preserve"> 转向系型式：全液压；转向系转向操纵机构：方向盘；副变速换挡方式：机械有级挡</w:t>
                  </w:r>
                  <w:r>
                    <w:br/>
                  </w:r>
                  <w:r>
                    <w:rPr>
                      <w:rFonts w:ascii="宋体" w:hAnsi="宋体" w:cs="宋体" w:eastAsia="宋体"/>
                      <w:sz w:val="24"/>
                      <w:color w:val="000000"/>
                    </w:rPr>
                    <w:t xml:space="preserve"> 轮胎型号（前轮/后轮）：13.6-24/16.9-34；轮胎数量(前轮/后轮)：2/2个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464445"/>
                    </w:rPr>
                    <w:t>2</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quot;arial&quot;, sans-serif" w:hAnsi="&quot;arial&quot;, sans-serif" w:cs="&quot;arial&quot;, sans-serif" w:eastAsia="&quot;arial&quot;, sans-serif"/>
                      <w:sz w:val="20"/>
                    </w:rPr>
                    <w:t>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玉米茎穗机兼收机</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结构型式：轮式、摘穗、剥皮、秸秆还田、秸秆回收；</w:t>
                  </w:r>
                </w:p>
                <w:p>
                  <w:pPr>
                    <w:pStyle w:val="null3"/>
                    <w:jc w:val="left"/>
                  </w:pPr>
                  <w:r>
                    <w:rPr>
                      <w:rFonts w:ascii="宋体" w:hAnsi="宋体" w:cs="宋体" w:eastAsia="宋体"/>
                      <w:sz w:val="24"/>
                      <w:color w:val="000000"/>
                    </w:rPr>
                    <w:t>三行自走式</w:t>
                  </w:r>
                </w:p>
                <w:p>
                  <w:pPr>
                    <w:pStyle w:val="null3"/>
                    <w:jc w:val="left"/>
                  </w:pPr>
                  <w:r>
                    <w:rPr>
                      <w:rFonts w:ascii="宋体" w:hAnsi="宋体" w:cs="宋体" w:eastAsia="宋体"/>
                      <w:sz w:val="24"/>
                      <w:color w:val="000000"/>
                    </w:rPr>
                    <w:t>配套发动机额定功率：≥147kW（非道路移动机械，中国第四阶段排放标准）</w:t>
                  </w:r>
                  <w:r>
                    <w:br/>
                  </w:r>
                  <w:r>
                    <w:rPr>
                      <w:rFonts w:ascii="宋体" w:hAnsi="宋体" w:cs="宋体" w:eastAsia="宋体"/>
                      <w:sz w:val="24"/>
                      <w:color w:val="000000"/>
                    </w:rPr>
                    <w:t xml:space="preserve"> 整机外形尺寸：(长×宽×高)（7600×2060×3550）mm（±5%）；</w:t>
                  </w:r>
                  <w:r>
                    <w:br/>
                  </w:r>
                  <w:r>
                    <w:rPr>
                      <w:rFonts w:ascii="宋体" w:hAnsi="宋体" w:cs="宋体" w:eastAsia="宋体"/>
                      <w:sz w:val="24"/>
                      <w:color w:val="000000"/>
                    </w:rPr>
                    <w:t xml:space="preserve"> 工作行数：3行；行距：560mm；工作幅宽：1900mm；最小离地间隙：≥200mm</w:t>
                  </w:r>
                  <w:r>
                    <w:br/>
                  </w:r>
                  <w:r>
                    <w:rPr>
                      <w:rFonts w:ascii="宋体" w:hAnsi="宋体" w:cs="宋体" w:eastAsia="宋体"/>
                      <w:sz w:val="24"/>
                      <w:color w:val="000000"/>
                    </w:rPr>
                    <w:t xml:space="preserve"> 果穗升运器布置位置：右置；剥皮机构型式：橡胶棍；</w:t>
                  </w:r>
                  <w:r>
                    <w:br/>
                  </w:r>
                  <w:r>
                    <w:rPr>
                      <w:rFonts w:ascii="宋体" w:hAnsi="宋体" w:cs="宋体" w:eastAsia="宋体"/>
                      <w:sz w:val="24"/>
                      <w:color w:val="000000"/>
                    </w:rPr>
                    <w:t xml:space="preserve"> 割刀型式：往复式割刀；秸秆粉碎还田机构型式：甩刀式；秸秆粉碎还田机构位置：中置；</w:t>
                  </w:r>
                  <w:r>
                    <w:br/>
                  </w:r>
                  <w:r>
                    <w:rPr>
                      <w:rFonts w:ascii="宋体" w:hAnsi="宋体" w:cs="宋体" w:eastAsia="宋体"/>
                      <w:sz w:val="24"/>
                      <w:color w:val="000000"/>
                    </w:rPr>
                    <w:t xml:space="preserve"> 秸秆粉碎还田机构工作幅宽：1800mm；秸秆切碎回收</w:t>
                  </w:r>
                  <w:r>
                    <w:rPr>
                      <w:rFonts w:ascii="宋体" w:hAnsi="宋体" w:cs="宋体" w:eastAsia="宋体"/>
                      <w:sz w:val="24"/>
                    </w:rPr>
                    <w:t>机构型</w:t>
                  </w:r>
                  <w:r>
                    <w:rPr>
                      <w:rFonts w:ascii="宋体" w:hAnsi="宋体" w:cs="宋体" w:eastAsia="宋体"/>
                      <w:sz w:val="24"/>
                      <w:color w:val="000000"/>
                    </w:rPr>
                    <w:t>式：滚筒式切碎器；</w:t>
                  </w:r>
                  <w:r>
                    <w:rPr>
                      <w:rFonts w:ascii="宋体" w:hAnsi="宋体" w:cs="宋体" w:eastAsia="宋体"/>
                      <w:sz w:val="24"/>
                    </w:rPr>
                    <w:t>秸秆切</w:t>
                  </w:r>
                  <w:r>
                    <w:rPr>
                      <w:rFonts w:ascii="宋体" w:hAnsi="宋体" w:cs="宋体" w:eastAsia="宋体"/>
                      <w:sz w:val="24"/>
                      <w:color w:val="000000"/>
                    </w:rPr>
                    <w:t>碎回收机构位置：割台后方；秸秆切碎回收机构工作</w:t>
                  </w:r>
                  <w:r>
                    <w:rPr>
                      <w:rFonts w:ascii="宋体" w:hAnsi="宋体" w:cs="宋体" w:eastAsia="宋体"/>
                      <w:sz w:val="24"/>
                    </w:rPr>
                    <w:t>幅宽</w:t>
                  </w:r>
                  <w:r>
                    <w:rPr>
                      <w:rFonts w:ascii="宋体" w:hAnsi="宋体" w:cs="宋体" w:eastAsia="宋体"/>
                      <w:sz w:val="24"/>
                      <w:color w:val="000000"/>
                    </w:rPr>
                    <w:t>：500mm（±10%）；</w:t>
                  </w:r>
                  <w:r>
                    <w:br/>
                  </w:r>
                  <w:r>
                    <w:rPr>
                      <w:rFonts w:ascii="宋体" w:hAnsi="宋体" w:cs="宋体" w:eastAsia="宋体"/>
                      <w:sz w:val="24"/>
                      <w:color w:val="000000"/>
                    </w:rPr>
                    <w:t xml:space="preserve"> 驾驶室型式：普通式；</w:t>
                  </w:r>
                  <w:r>
                    <w:br/>
                  </w:r>
                  <w:r>
                    <w:rPr>
                      <w:rFonts w:ascii="宋体" w:hAnsi="宋体" w:cs="宋体" w:eastAsia="宋体"/>
                      <w:sz w:val="24"/>
                    </w:rPr>
                    <w:t xml:space="preserve"> 变速机构型</w:t>
                  </w:r>
                  <w:r>
                    <w:rPr>
                      <w:rFonts w:ascii="宋体" w:hAnsi="宋体" w:cs="宋体" w:eastAsia="宋体"/>
                      <w:sz w:val="24"/>
                      <w:color w:val="000000"/>
                    </w:rPr>
                    <w:t>式：静液压+机械变速箱；</w:t>
                  </w:r>
                  <w:r>
                    <w:br/>
                  </w:r>
                  <w:r>
                    <w:rPr>
                      <w:rFonts w:ascii="宋体" w:hAnsi="宋体" w:cs="宋体" w:eastAsia="宋体"/>
                      <w:sz w:val="24"/>
                      <w:color w:val="000000"/>
                    </w:rPr>
                    <w:t xml:space="preserve"> 驱动型式 ：两驱；驱动方式（前/后）：前：机械+液压  驱动/后：无；</w:t>
                  </w:r>
                  <w:r>
                    <w:br/>
                  </w:r>
                  <w:r>
                    <w:rPr>
                      <w:rFonts w:ascii="宋体" w:hAnsi="宋体" w:cs="宋体" w:eastAsia="宋体"/>
                      <w:sz w:val="24"/>
                      <w:color w:val="000000"/>
                    </w:rPr>
                    <w:t xml:space="preserve"> 制动器型式（前/后）：前：制动盘式/后：制动鼓式；</w:t>
                  </w:r>
                  <w:r>
                    <w:br/>
                  </w:r>
                  <w:r>
                    <w:rPr>
                      <w:rFonts w:ascii="宋体" w:hAnsi="宋体" w:cs="宋体" w:eastAsia="宋体"/>
                      <w:sz w:val="24"/>
                      <w:color w:val="000000"/>
                    </w:rPr>
                    <w:t xml:space="preserve"> 轴距：3000mm（±5%）；导向轮轮距：1450mm（±5%）；驱动轮轮距：1630mm（±5%）；</w:t>
                  </w:r>
                  <w:r>
                    <w:br/>
                  </w:r>
                  <w:r>
                    <w:rPr>
                      <w:rFonts w:ascii="宋体" w:hAnsi="宋体" w:cs="宋体" w:eastAsia="宋体"/>
                      <w:sz w:val="24"/>
                      <w:color w:val="000000"/>
                    </w:rPr>
                    <w:t xml:space="preserve"> 导向轮轮胎规格：10/75-15.3；驱动轮轮胎规格：15.5/80-24；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464445"/>
                    </w:rPr>
                    <w:t>3</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quot;微软雅黑&quot;, sans-serif" w:hAnsi="&quot;微软雅黑&quot;, sans-serif" w:cs="&quot;微软雅黑&quot;, sans-serif" w:eastAsia="&quot;微软雅黑&quot;, sans-serif"/>
                <w:sz w:val="21"/>
              </w:rPr>
              <w:t>商务要求</w:t>
            </w:r>
          </w:p>
          <w:p>
            <w:pPr>
              <w:pStyle w:val="null3"/>
              <w:jc w:val="both"/>
            </w:pPr>
            <w:r>
              <w:rPr>
                <w:rFonts w:ascii="&quot;times new roman&quot;, serif" w:hAnsi="&quot;times new roman&quot;, serif" w:cs="&quot;times new roman&quot;, serif" w:eastAsia="&quot;times new roman&quot;, serif"/>
                <w:sz w:val="21"/>
              </w:rPr>
              <w:t>1</w:t>
            </w:r>
            <w:r>
              <w:rPr>
                <w:rFonts w:ascii="&quot;arial unicode ms&quot;, sans-serif" w:hAnsi="&quot;arial unicode ms&quot;, sans-serif" w:cs="&quot;arial unicode ms&quot;, sans-serif" w:eastAsia="&quot;arial unicode ms&quot;, sans-serif"/>
                <w:sz w:val="21"/>
              </w:rPr>
              <w:t>、</w:t>
            </w:r>
            <w:r>
              <w:rPr>
                <w:rFonts w:ascii="&quot;微软雅黑&quot;, sans-serif" w:hAnsi="&quot;微软雅黑&quot;, sans-serif" w:cs="&quot;微软雅黑&quot;, sans-serif" w:eastAsia="&quot;微软雅黑&quot;, sans-serif"/>
                <w:sz w:val="21"/>
              </w:rPr>
              <w:t>交货期</w:t>
            </w:r>
            <w:r>
              <w:rPr>
                <w:rFonts w:ascii="&quot;malgun gothic semilight&quot;, sans-serif" w:hAnsi="&quot;malgun gothic semilight&quot;, sans-serif" w:cs="&quot;malgun gothic semilight&quot;, sans-serif" w:eastAsia="&quot;malgun gothic semilight&quot;, sans-serif"/>
                <w:sz w:val="21"/>
              </w:rPr>
              <w:t>：</w:t>
            </w:r>
            <w:r>
              <w:rPr>
                <w:rFonts w:ascii="&quot;微软雅黑&quot;, sans-serif" w:hAnsi="&quot;微软雅黑&quot;, sans-serif" w:cs="&quot;微软雅黑&quot;, sans-serif" w:eastAsia="&quot;微软雅黑&quot;, sans-serif"/>
                <w:sz w:val="21"/>
              </w:rPr>
              <w:t>自合同签订之日起</w:t>
            </w:r>
            <w:r>
              <w:rPr>
                <w:rFonts w:ascii="&quot;times new roman&quot;, serif" w:hAnsi="&quot;times new roman&quot;, serif" w:cs="&quot;times new roman&quot;, serif" w:eastAsia="&quot;times new roman&quot;, serif"/>
                <w:sz w:val="21"/>
              </w:rPr>
              <w:t>10</w:t>
            </w:r>
            <w:r>
              <w:rPr>
                <w:rFonts w:ascii="&quot;微软雅黑&quot;, sans-serif" w:hAnsi="&quot;微软雅黑&quot;, sans-serif" w:cs="&quot;微软雅黑&quot;, sans-serif" w:eastAsia="&quot;微软雅黑&quot;, sans-serif"/>
                <w:sz w:val="21"/>
              </w:rPr>
              <w:t>个日历日完成全部项目内容</w:t>
            </w:r>
            <w:r>
              <w:rPr>
                <w:rFonts w:ascii="&quot;malgun gothic semilight&quot;, sans-serif" w:hAnsi="&quot;malgun gothic semilight&quot;, sans-serif" w:cs="&quot;malgun gothic semilight&quot;, sans-serif" w:eastAsia="&quot;malgun gothic semilight&quot;, sans-serif"/>
                <w:sz w:val="21"/>
              </w:rPr>
              <w:t>，</w:t>
            </w:r>
            <w:r>
              <w:rPr>
                <w:rFonts w:ascii="&quot;微软雅黑&quot;, sans-serif" w:hAnsi="&quot;微软雅黑&quot;, sans-serif" w:cs="&quot;微软雅黑&quot;, sans-serif" w:eastAsia="&quot;微软雅黑&quot;, sans-serif"/>
                <w:sz w:val="21"/>
              </w:rPr>
              <w:t>并交付采购人验收合格</w:t>
            </w:r>
            <w:r>
              <w:rPr>
                <w:rFonts w:ascii="&quot;malgun gothic semilight&quot;, sans-serif" w:hAnsi="&quot;malgun gothic semilight&quot;, sans-serif" w:cs="&quot;malgun gothic semilight&quot;, sans-serif" w:eastAsia="&quot;malgun gothic semilight&quot;, sans-serif"/>
                <w:sz w:val="21"/>
              </w:rPr>
              <w:t>；</w:t>
            </w:r>
          </w:p>
          <w:p>
            <w:pPr>
              <w:pStyle w:val="null3"/>
              <w:jc w:val="both"/>
            </w:pPr>
            <w:r>
              <w:rPr>
                <w:rFonts w:ascii="&quot;times new roman&quot;, serif" w:hAnsi="&quot;times new roman&quot;, serif" w:cs="&quot;times new roman&quot;, serif" w:eastAsia="&quot;times new roman&quot;, serif"/>
                <w:sz w:val="21"/>
              </w:rPr>
              <w:t>2</w:t>
            </w:r>
            <w:r>
              <w:rPr>
                <w:rFonts w:ascii="&quot;arial unicode ms&quot;, sans-serif" w:hAnsi="&quot;arial unicode ms&quot;, sans-serif" w:cs="&quot;arial unicode ms&quot;, sans-serif" w:eastAsia="&quot;arial unicode ms&quot;, sans-serif"/>
                <w:sz w:val="21"/>
              </w:rPr>
              <w:t>、</w:t>
            </w:r>
            <w:r>
              <w:rPr>
                <w:rFonts w:ascii="&quot;微软雅黑&quot;, sans-serif" w:hAnsi="&quot;微软雅黑&quot;, sans-serif" w:cs="&quot;微软雅黑&quot;, sans-serif" w:eastAsia="&quot;微软雅黑&quot;, sans-serif"/>
                <w:sz w:val="21"/>
              </w:rPr>
              <w:t>款项结算</w:t>
            </w:r>
            <w:r>
              <w:rPr>
                <w:rFonts w:ascii="&quot;malgun gothic semilight&quot;, sans-serif" w:hAnsi="&quot;malgun gothic semilight&quot;, sans-serif" w:cs="&quot;malgun gothic semilight&quot;, sans-serif" w:eastAsia="&quot;malgun gothic semilight&quot;, sans-serif"/>
                <w:sz w:val="21"/>
              </w:rPr>
              <w:t>：</w:t>
            </w:r>
            <w:r>
              <w:rPr>
                <w:rFonts w:ascii="&quot;微软雅黑&quot;, sans-serif" w:hAnsi="&quot;微软雅黑&quot;, sans-serif" w:cs="&quot;微软雅黑&quot;, sans-serif" w:eastAsia="&quot;微软雅黑&quot;, sans-serif"/>
                <w:sz w:val="21"/>
              </w:rPr>
              <w:t>全部设备提供调试完成后</w:t>
            </w:r>
            <w:r>
              <w:rPr>
                <w:rFonts w:ascii="&quot;malgun gothic semilight&quot;, sans-serif" w:hAnsi="&quot;malgun gothic semilight&quot;, sans-serif" w:cs="&quot;malgun gothic semilight&quot;, sans-serif" w:eastAsia="&quot;malgun gothic semilight&quot;, sans-serif"/>
                <w:sz w:val="21"/>
              </w:rPr>
              <w:t>，</w:t>
            </w:r>
            <w:r>
              <w:rPr>
                <w:rFonts w:ascii="&quot;微软雅黑&quot;, sans-serif" w:hAnsi="&quot;微软雅黑&quot;, sans-serif" w:cs="&quot;微软雅黑&quot;, sans-serif" w:eastAsia="&quot;微软雅黑&quot;, sans-serif"/>
                <w:sz w:val="21"/>
              </w:rPr>
              <w:t>经相关负责人验收合格后甲方向乙方支付合同总价款的</w:t>
            </w:r>
            <w:r>
              <w:rPr>
                <w:rFonts w:ascii="&quot;times new roman&quot;, serif" w:hAnsi="&quot;times new roman&quot;, serif" w:cs="&quot;times new roman&quot;, serif" w:eastAsia="&quot;times new roman&quot;, serif"/>
                <w:sz w:val="21"/>
              </w:rPr>
              <w:t>100%</w:t>
            </w:r>
            <w:r>
              <w:rPr>
                <w:rFonts w:ascii="&quot;arial unicode ms&quot;, sans-serif" w:hAnsi="&quot;arial unicode ms&quot;, sans-serif" w:cs="&quot;arial unicode ms&quot;, sans-serif" w:eastAsia="&quot;arial unicode ms&quot;, sans-serif"/>
                <w:sz w:val="21"/>
              </w:rPr>
              <w:t>；</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自合同签订之日起10个日历日完成全部项目内容，并交付采购人验收合格。</w:t>
      </w:r>
    </w:p>
    <w:p>
      <w:pPr>
        <w:pStyle w:val="null3"/>
        <w:outlineLvl w:val="3"/>
      </w:pPr>
      <w:r>
        <w:rPr>
          <w:sz w:val="24"/>
          <w:b/>
        </w:rPr>
        <w:t>3.4.2交货地点和方式</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全部设备安装调试完成后，并经相关专家验收合格后甲方向乙方支付合同总价款的100％。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现行的国家标准或国家行政部门颁布的法律法规、规章制度等。没有国家标准的，可以参考行业标准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合同签订之日起一年</w:t>
      </w:r>
    </w:p>
    <w:p>
      <w:pPr>
        <w:pStyle w:val="null3"/>
        <w:outlineLvl w:val="3"/>
      </w:pPr>
      <w:r>
        <w:rPr>
          <w:sz w:val="24"/>
          <w:b/>
        </w:rPr>
        <w:t>3.4.8违约责任与解决争议的方法</w:t>
      </w:r>
    </w:p>
    <w:p>
      <w:pPr>
        <w:pStyle w:val="null3"/>
      </w:pPr>
      <w:r>
        <w:rPr/>
        <w:t>采购包1：</w:t>
      </w:r>
    </w:p>
    <w:p>
      <w:pPr>
        <w:pStyle w:val="null3"/>
      </w:pPr>
      <w:r>
        <w:rPr/>
        <w:t>按《中华人民共和国政府采购法》、《中华人民共和国民法典》中的相关条款执行</w:t>
      </w:r>
    </w:p>
    <w:p>
      <w:pPr>
        <w:pStyle w:val="null3"/>
        <w:jc w:val="left"/>
        <w:outlineLvl w:val="2"/>
      </w:pPr>
      <w:r>
        <w:rPr>
          <w:sz w:val="28"/>
          <w:b/>
        </w:rPr>
        <w:t>3.5其他要求</w:t>
      </w:r>
    </w:p>
    <w:p>
      <w:pPr>
        <w:pStyle w:val="null3"/>
      </w:pPr>
      <w:r>
        <w:rPr/>
        <w:t>为保障政府采购电子化交易平台项目实施，供应商需要在线提交所有通过电子化交易平台实施的政府采购项目的响应文件，同时，线下提交响应文件正本壹套、副本贰套、电子版壹套（U盘一套标明供应商名称，单独密封）。若电子响应文件与纸质响应文件不一致的，以纸质响应文件为准；若正本和副本不符，以正本为准。线下递交文件时间：详见本项目竞争性谈判公告文件截止时间；线下递交文件地点：陕西省西安市莲湖区土门十字西二环南段10号艺腾国际商务大厦503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参与的供应商（联合体）提供的货物全部由符合政策要求的小微企业制造。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财务审计报告（至少包括资产负债表和利润表，成立时间至提交响应文件截止时间不足一年的可提供成立后任意时段的资产负债表），或其基本存款账户开户银行出具的开标日期前六个月内资信证明及基本存款账户开户许可证（基本存款账户信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税收缴纳凭证</w:t>
            </w:r>
          </w:p>
        </w:tc>
        <w:tc>
          <w:tcPr>
            <w:tcW w:type="dxa" w:w="3322"/>
          </w:tcPr>
          <w:p>
            <w:pPr>
              <w:pStyle w:val="null3"/>
            </w:pPr>
            <w:r>
              <w:rPr/>
              <w:t>供应商须提供2023年至今已缴存的至少一个月的纳税证明或完税证明（任意税种），依法免税的单位应提供相关证明材料；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社会保险缴纳凭证</w:t>
            </w:r>
          </w:p>
        </w:tc>
        <w:tc>
          <w:tcPr>
            <w:tcW w:type="dxa" w:w="3322"/>
          </w:tcPr>
          <w:p>
            <w:pPr>
              <w:pStyle w:val="null3"/>
            </w:pPr>
            <w:r>
              <w:rPr/>
              <w:t>供应商须提供2023年至今已缴存的至少一个月的社会保障资金缴存单据或社保机构开具的社会保险参保缴费情况证明，依法不需要缴纳社会保障资金的单位应提供相关证明材料；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承诺</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授权委托书</w:t>
            </w:r>
          </w:p>
        </w:tc>
        <w:tc>
          <w:tcPr>
            <w:tcW w:type="dxa" w:w="3322"/>
          </w:tcPr>
          <w:p>
            <w:pPr>
              <w:pStyle w:val="null3"/>
            </w:pPr>
            <w:r>
              <w:rPr/>
              <w:t>法定代表人参加磋商的，提供法定代表人身份证复印件；法定代表人授权他人参加磋商的，提供法定代表人授权委托书（附法定代表人身份证复印件及被授权委托人身份证复印件）；</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信誉要求</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关联关系证明</w:t>
            </w:r>
          </w:p>
        </w:tc>
        <w:tc>
          <w:tcPr>
            <w:tcW w:type="dxa" w:w="3322"/>
          </w:tcPr>
          <w:p>
            <w:pPr>
              <w:pStyle w:val="null3"/>
            </w:pPr>
            <w:r>
              <w:rPr/>
              <w:t>单位负责人为同一人或者存在直接控股、管理关系的不同投标人，不得参加同一合同项下的政府采购活动；</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联合体</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响应文件封面 产品技术参数表 响应分项报价表 供应商参加政府采购活动承诺书 商务应答表 标的清单 报价表 响应函 磋商方案</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产品技术参数表 响应分项报价表 供应商参加政府采购活动承诺书 商务应答表 标的清单 报价表 响应函 磋商方案</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响应文件封面 响应分项报价表 报价表</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磋商响应文件内容齐全、无遗漏（除评审因素外）</w:t>
            </w:r>
          </w:p>
        </w:tc>
        <w:tc>
          <w:tcPr>
            <w:tcW w:type="dxa" w:w="1661"/>
          </w:tcPr>
          <w:p>
            <w:pPr>
              <w:pStyle w:val="null3"/>
            </w:pPr>
            <w:r>
              <w:rPr/>
              <w:t>响应文件封面 产品技术参数表 响应分项报价表 供应商参加政府采购活动承诺书 商务应答表 标的清单 报价表 响应函 磋商方案</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产品技术参数表 响应分项报价表 供应商参加政府采购活动承诺书 商务应答表 标的清单 报价表 磋商方案</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响应文件封面 商务应答表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响应文件封面 商务应答表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备货、供货进度及保证措施，拟投入本项目的人员安排及责任制度，安全保障措施。 实施方案详细、完善、可行性强，得10-15（不含10分）分； 实施方案较详细、较完善、基本可行，得6-10分（不含6分）； 实施方案较差或未提供，得0-6分。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技术参数评审</w:t>
            </w:r>
          </w:p>
        </w:tc>
        <w:tc>
          <w:tcPr>
            <w:tcW w:type="dxa" w:w="2492"/>
          </w:tcPr>
          <w:p>
            <w:pPr>
              <w:pStyle w:val="null3"/>
            </w:pPr>
            <w:r>
              <w:rPr/>
              <w:t>完全满足技术参数要求的，得15分，负偏离一项扣1分，扣完为止。供应商需提供有效证明材料(包括但不限于测试报告、官网和功能截图等)。</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产品质量保证</w:t>
            </w:r>
          </w:p>
        </w:tc>
        <w:tc>
          <w:tcPr>
            <w:tcW w:type="dxa" w:w="2492"/>
          </w:tcPr>
          <w:p>
            <w:pPr>
              <w:pStyle w:val="null3"/>
            </w:pPr>
            <w:r>
              <w:rPr/>
              <w:t>所投产品供应渠道正规，质量有保证，并符合相关标准及行业要求，提供来源渠道合法的证明文件（包括但不限于销售协议、代理协议、原厂授权等）。 所投产品质量措施完整、详尽，证明文件齐全，得8-12分（不含8分）； 所投产品质量措施、证明文件基本完善，得4-8分（不含4分）； 所投产品质量措施不够完善、证明文件不全，得0-4分。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退换货方案</w:t>
            </w:r>
          </w:p>
        </w:tc>
        <w:tc>
          <w:tcPr>
            <w:tcW w:type="dxa" w:w="2492"/>
          </w:tcPr>
          <w:p>
            <w:pPr>
              <w:pStyle w:val="null3"/>
            </w:pPr>
            <w:r>
              <w:rPr/>
              <w:t>针对特殊应急情况及产品质量问题退换货方案及服务承诺： 特殊应急情况措施全面、详细，出现产品质量问题退换货方案科学合理，高效可行的，得3-5（不含3分）分； 特殊应急情况措施一般,退换货方案一般的，得1-3（不含1分）分； 特殊应急情况措施较差,退换货方案较差的，得0-1分。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验收方案</w:t>
            </w:r>
          </w:p>
        </w:tc>
        <w:tc>
          <w:tcPr>
            <w:tcW w:type="dxa" w:w="2492"/>
          </w:tcPr>
          <w:p>
            <w:pPr>
              <w:pStyle w:val="null3"/>
            </w:pPr>
            <w:r>
              <w:rPr/>
              <w:t>验收方案包括验收依据和相关的技术 标准、验收的组织形式、程序、注意事项、验收环节和内容： 针对本项目验收方案全面完善、计划保障可行性高，得3-5（不含3分）分； 针对本项目验收方案一般、计划保障可行性一般的，得1-3（不含1分）分； 针对本项目验收方案简单、计划保障可行性差的，得0-1分。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售后服务能力</w:t>
            </w:r>
          </w:p>
        </w:tc>
        <w:tc>
          <w:tcPr>
            <w:tcW w:type="dxa" w:w="2492"/>
          </w:tcPr>
          <w:p>
            <w:pPr>
              <w:pStyle w:val="null3"/>
            </w:pPr>
            <w:r>
              <w:rPr/>
              <w:t>供应商提供售后服务的能力，服务便利性、及时性及保证性等： 具有完善的售后服务计划及内容，能够为采购方后期服务提供强有力的保障，得5-8分（不含5分）； 售后服务计划及内容一般,保障力度一般的,得2-5分（不含2分）； 售后服务计划及内容较差,保障力度较差的,得0-2分。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企业实力</w:t>
            </w:r>
          </w:p>
        </w:tc>
        <w:tc>
          <w:tcPr>
            <w:tcW w:type="dxa" w:w="2492"/>
          </w:tcPr>
          <w:p>
            <w:pPr>
              <w:pStyle w:val="null3"/>
            </w:pPr>
            <w:r>
              <w:rPr/>
              <w:t>具有所投产品相关配件专利证书的，每提供一个得 2 分，最高得8分。 须在磋商响应文件中提供复印件加盖公司公章。弄虚 作假者，取消其成交资格。</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供应商2021年01月01日至今类似项目业绩，每提供1份得1分，最高得2分； 业绩证明（以合同（协议）或中标（成交）通知书为准，须在磋商响应文件中附合同（协议）或中标（成交）通知书的扫描件加盖单位公章，原件备查）弄虚作假者，取消其成交资格。</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2.满足磋商文件实质性要求且最终报价最低的供应商的价格为磋商基准价，其价格分30分。 3.磋商报价得分=（磋商基准价/最终磋商报价）×30的公式计算得分。 4.磋商报价不完整的，不进入磋商基准价的计算，本项得0分。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详见附件：响应分项报价表</w:t>
      </w:r>
    </w:p>
    <w:p>
      <w:pPr>
        <w:pStyle w:val="null3"/>
        <w:ind w:firstLine="960"/>
      </w:pPr>
      <w:r>
        <w:rPr/>
        <w:t>详见附件：供应商参加政府采购活动承诺书</w:t>
      </w:r>
    </w:p>
    <w:p>
      <w:pPr>
        <w:pStyle w:val="null3"/>
        <w:ind w:firstLine="960"/>
      </w:pPr>
      <w:r>
        <w:rPr/>
        <w:t>详见附件：磋商方案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