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铜川市耀州区历史建筑测绘建档项目</w:t>
      </w:r>
    </w:p>
    <w:p>
      <w:pPr>
        <w:pStyle w:val="null3"/>
        <w:jc w:val="center"/>
        <w:outlineLvl w:val="2"/>
      </w:pPr>
      <w:r>
        <w:rPr>
          <w:sz w:val="28"/>
          <w:b/>
        </w:rPr>
        <w:t>采购项目编号：</w:t>
      </w:r>
      <w:r>
        <w:rPr>
          <w:sz w:val="28"/>
          <w:b/>
        </w:rPr>
        <w:t>SXDY-2024-148</w:t>
      </w:r>
      <w:r>
        <w:br/>
      </w:r>
      <w:r>
        <w:br/>
      </w:r>
      <w:r>
        <w:br/>
      </w:r>
    </w:p>
    <w:p>
      <w:pPr>
        <w:pStyle w:val="null3"/>
        <w:jc w:val="center"/>
        <w:outlineLvl w:val="2"/>
      </w:pPr>
      <w:r>
        <w:rPr>
          <w:sz w:val="28"/>
          <w:b/>
        </w:rPr>
        <w:t>铜川市耀州区住房和城乡建设局</w:t>
      </w:r>
    </w:p>
    <w:p>
      <w:pPr>
        <w:pStyle w:val="null3"/>
        <w:jc w:val="center"/>
        <w:outlineLvl w:val="2"/>
      </w:pPr>
      <w:r>
        <w:rPr>
          <w:sz w:val="28"/>
          <w:b/>
        </w:rPr>
        <w:t>陕西大用项目管理有限公司</w:t>
      </w:r>
      <w:r>
        <w:rPr>
          <w:sz w:val="28"/>
          <w:b/>
        </w:rPr>
        <w:t>共同编制</w:t>
      </w:r>
    </w:p>
    <w:p>
      <w:pPr>
        <w:pStyle w:val="null3"/>
        <w:jc w:val="center"/>
        <w:outlineLvl w:val="2"/>
      </w:pPr>
      <w:r>
        <w:rPr>
          <w:sz w:val="28"/>
          <w:b/>
        </w:rPr>
        <w:t>2024年10月16日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陕西大用项目管理有限公司</w:t>
      </w:r>
      <w:r>
        <w:rPr/>
        <w:t>（以下简称“代理机构”）受</w:t>
      </w:r>
      <w:r>
        <w:rPr/>
        <w:t>铜川市耀州区住房和城乡建设局</w:t>
      </w:r>
      <w:r>
        <w:rPr/>
        <w:t>委托，拟对</w:t>
      </w:r>
      <w:r>
        <w:rPr/>
        <w:t>铜川市耀州区历史建筑测绘建档项目</w:t>
      </w:r>
      <w:r>
        <w:rPr/>
        <w:t>采用竞争性磋商采购方式进行采购，兹邀请供应商参加本项目的竞争性磋商。</w:t>
      </w:r>
    </w:p>
    <w:p>
      <w:pPr>
        <w:pStyle w:val="null3"/>
        <w:outlineLvl w:val="2"/>
      </w:pPr>
      <w:r>
        <w:rPr>
          <w:sz w:val="28"/>
          <w:b/>
        </w:rPr>
        <w:t>一、项目编号：</w:t>
      </w:r>
      <w:r>
        <w:rPr>
          <w:sz w:val="28"/>
          <w:b/>
        </w:rPr>
        <w:t>SXDY-2024-148</w:t>
      </w:r>
    </w:p>
    <w:p>
      <w:pPr>
        <w:pStyle w:val="null3"/>
        <w:outlineLvl w:val="2"/>
      </w:pPr>
      <w:r>
        <w:rPr>
          <w:sz w:val="28"/>
          <w:b/>
        </w:rPr>
        <w:t>二、项目名称：</w:t>
      </w:r>
      <w:r>
        <w:rPr>
          <w:sz w:val="28"/>
          <w:b/>
        </w:rPr>
        <w:t>铜川市耀州区历史建筑测绘建档项目</w:t>
      </w:r>
    </w:p>
    <w:p>
      <w:pPr>
        <w:pStyle w:val="null3"/>
        <w:outlineLvl w:val="2"/>
      </w:pPr>
      <w:r>
        <w:rPr>
          <w:sz w:val="28"/>
          <w:b/>
        </w:rPr>
        <w:t>三、磋商项目简介</w:t>
      </w:r>
    </w:p>
    <w:p>
      <w:pPr>
        <w:pStyle w:val="null3"/>
        <w:ind w:firstLine="480"/>
      </w:pPr>
      <w:r>
        <w:rPr/>
        <w:t>1.全面完成耀州区21处历史建筑的测绘工作，建立准确、完整的历史建筑测绘档案。2、构建历史建筑信息管理系统，实现历史建筑数据的信息化管理和共享。3、建立历史建筑测绘建档工作长效机制，定期对历史建筑进行监测和维护。</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采购包1（铜川市耀州区历史建筑测绘建档项目）：属于专门面向小微企业采购。</w:t>
      </w:r>
    </w:p>
    <w:p>
      <w:pPr>
        <w:pStyle w:val="null3"/>
        <w:ind w:firstLine="480"/>
      </w:pPr>
      <w:r>
        <w:rPr/>
        <w:t>（三）本项目的特定资格要求：</w:t>
      </w:r>
    </w:p>
    <w:p>
      <w:pPr>
        <w:pStyle w:val="null3"/>
      </w:pPr>
      <w:r>
        <w:rPr/>
        <w:t>采购包1：</w:t>
      </w:r>
    </w:p>
    <w:p>
      <w:pPr>
        <w:pStyle w:val="null3"/>
      </w:pPr>
      <w:r>
        <w:rPr/>
        <w:t>1、营业执照：供应商应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pPr>
        <w:pStyle w:val="null3"/>
      </w:pPr>
      <w:r>
        <w:rPr/>
        <w:t>2、财务审计报告：提供2023年度经审计的供应商财务会计报告（包括审计报告、资产负债表、利润表、现金流量表、所有者权益变动表及其附注，成立时间至提交响应文件截止时间不足1年的可提供成立后任意时段的资产负债表），或其提交响应文件截止时间前3个月其基本账户开户银行出具的资信证明（附基本存款账户信息）；公益类事业单位无需提供财务审计报告；（以上形式的资料提供任何一种即可）。</w:t>
      </w:r>
    </w:p>
    <w:p>
      <w:pPr>
        <w:pStyle w:val="null3"/>
      </w:pPr>
      <w:r>
        <w:rPr/>
        <w:t xml:space="preserve">3、单位资质：供应商具有行政主管部门颁发的乙级及以上测绘资质； </w:t>
      </w:r>
    </w:p>
    <w:p>
      <w:pPr>
        <w:pStyle w:val="null3"/>
      </w:pPr>
      <w:r>
        <w:rPr/>
        <w:t>4、专业技术能力承诺函：提供具有履行合同所必需的设备和专业技术能力的承诺函</w:t>
      </w:r>
    </w:p>
    <w:p>
      <w:pPr>
        <w:pStyle w:val="null3"/>
      </w:pPr>
      <w:r>
        <w:rPr/>
        <w:t>5、税收缴纳证明：提供2023年9月至今至少一个月的纳税证明或完税证明（时间以税款所属日期为准），依法免税的单位应提供相关证明材料；</w:t>
      </w:r>
    </w:p>
    <w:p>
      <w:pPr>
        <w:pStyle w:val="null3"/>
      </w:pPr>
      <w:r>
        <w:rPr/>
        <w:t>6、社会保障资金缴纳证明：提供2023年9月至今至少一个月的社会保障资金缴存单据或社保机构开具的社会保险参保缴费情况证明，依法不需要缴纳社会保障资金的单位应提供相关证明材料；</w:t>
      </w:r>
    </w:p>
    <w:p>
      <w:pPr>
        <w:pStyle w:val="null3"/>
      </w:pPr>
      <w:r>
        <w:rPr/>
        <w:t>7、无违法犯罪记录声明：提供供应商参加政府采购活动前三年内在经营活动中没有重大违法或不良记录的书面声明函</w:t>
      </w:r>
    </w:p>
    <w:p>
      <w:pPr>
        <w:pStyle w:val="null3"/>
      </w:pPr>
      <w:r>
        <w:rPr/>
        <w:t>8、控股关系：单位负责人为同一人或者存在直接控股、管理关系的不同单位，不得参加同一项下的政府采购活动。</w:t>
      </w:r>
    </w:p>
    <w:p>
      <w:pPr>
        <w:pStyle w:val="null3"/>
      </w:pPr>
      <w:r>
        <w:rPr/>
        <w:t>9、合法授权或法人身份证明：法定代表人（或负责人）授权委托书及被授权人身份证件；（法定代表人（或负责人）直接参加时，只须出示法定代表人（或负责人）身份证件）；</w:t>
      </w:r>
    </w:p>
    <w:p>
      <w:pPr>
        <w:pStyle w:val="null3"/>
      </w:pPr>
      <w:r>
        <w:rPr/>
        <w:t>10、信用信息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铜川市耀州区住房和城乡建设局</w:t>
      </w:r>
    </w:p>
    <w:p>
      <w:pPr>
        <w:pStyle w:val="null3"/>
      </w:pPr>
      <w:r>
        <w:rPr/>
        <w:t xml:space="preserve"> 地址： </w:t>
      </w:r>
      <w:r>
        <w:rPr/>
        <w:t>铜川市耀州区文营西路31号</w:t>
      </w:r>
    </w:p>
    <w:p>
      <w:pPr>
        <w:pStyle w:val="null3"/>
      </w:pPr>
      <w:r>
        <w:rPr/>
        <w:t xml:space="preserve"> 邮编： </w:t>
      </w:r>
      <w:r>
        <w:rPr/>
        <w:t>727100</w:t>
      </w:r>
    </w:p>
    <w:p>
      <w:pPr>
        <w:pStyle w:val="null3"/>
      </w:pPr>
      <w:r>
        <w:rPr/>
        <w:t xml:space="preserve"> 联系人： </w:t>
      </w:r>
      <w:r>
        <w:rPr/>
        <w:t>樊琦</w:t>
      </w:r>
    </w:p>
    <w:p>
      <w:pPr>
        <w:pStyle w:val="null3"/>
      </w:pPr>
      <w:r>
        <w:rPr/>
        <w:t xml:space="preserve"> 联系电话： </w:t>
      </w:r>
      <w:r>
        <w:rPr/>
        <w:t>13571565880</w:t>
      </w:r>
    </w:p>
    <w:p>
      <w:pPr>
        <w:pStyle w:val="null3"/>
        <w:outlineLvl w:val="3"/>
      </w:pPr>
      <w:r>
        <w:rPr>
          <w:sz w:val="24"/>
          <w:b/>
        </w:rPr>
        <w:t>代理机构：</w:t>
      </w:r>
      <w:r>
        <w:rPr>
          <w:sz w:val="24"/>
          <w:b/>
        </w:rPr>
        <w:t>陕西大用项目管理有限公司</w:t>
      </w:r>
    </w:p>
    <w:p>
      <w:pPr>
        <w:pStyle w:val="null3"/>
      </w:pPr>
      <w:r>
        <w:rPr/>
        <w:t xml:space="preserve"> 地址： </w:t>
      </w:r>
      <w:r>
        <w:rPr/>
        <w:t>西安市朱雀大街南段汇成天玺酒店C座11层</w:t>
      </w:r>
    </w:p>
    <w:p>
      <w:pPr>
        <w:pStyle w:val="null3"/>
      </w:pPr>
      <w:r>
        <w:rPr/>
        <w:t xml:space="preserve"> 邮编： </w:t>
      </w:r>
      <w:r>
        <w:rPr/>
        <w:t>710061</w:t>
      </w:r>
    </w:p>
    <w:p>
      <w:pPr>
        <w:pStyle w:val="null3"/>
      </w:pPr>
      <w:r>
        <w:rPr/>
        <w:t xml:space="preserve"> 联系人： </w:t>
      </w:r>
      <w:r>
        <w:rPr/>
        <w:t>余雪儿</w:t>
      </w:r>
    </w:p>
    <w:p>
      <w:pPr>
        <w:pStyle w:val="null3"/>
      </w:pPr>
      <w:r>
        <w:rPr/>
        <w:t xml:space="preserve"> 联系电话： </w:t>
      </w:r>
      <w:r>
        <w:rPr/>
        <w:t>17792395227</w:t>
      </w:r>
    </w:p>
    <w:p>
      <w:pPr>
        <w:pStyle w:val="null3"/>
        <w:outlineLvl w:val="3"/>
      </w:pPr>
      <w:r>
        <w:rPr>
          <w:sz w:val="24"/>
          <w:b/>
        </w:rPr>
        <w:t>采购监督机构：</w:t>
      </w:r>
      <w:r>
        <w:rPr>
          <w:sz w:val="24"/>
          <w:b/>
        </w:rPr>
        <w:t>铜川市耀州区政府采购管理股</w:t>
      </w:r>
    </w:p>
    <w:p>
      <w:pPr>
        <w:pStyle w:val="null3"/>
        <w:ind w:firstLine="480"/>
      </w:pPr>
      <w:r>
        <w:rPr/>
        <w:t>联系人：</w:t>
      </w:r>
      <w:r>
        <w:rPr/>
        <w:t>郭伟</w:t>
      </w:r>
    </w:p>
    <w:p>
      <w:pPr>
        <w:pStyle w:val="null3"/>
        <w:ind w:firstLine="480"/>
      </w:pPr>
      <w:r>
        <w:rPr/>
        <w:t>联系电话：</w:t>
      </w:r>
      <w:r>
        <w:rPr/>
        <w:t>0919-6602227</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采购包1：864,712.00元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及《关于进一步放开建设项目专项业务服务价格的通知》（发改价格〔2015〕299号）规定的标准收取，不足捌仟圆按捌仟圆收取，具体收费金额将在成交公告中公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铜川市耀州区住房和城乡建设局</w:t>
      </w:r>
      <w:r>
        <w:rPr/>
        <w:t>和</w:t>
      </w:r>
      <w:r>
        <w:rPr/>
        <w:t>陕西大用项目管理有限公司</w:t>
      </w:r>
      <w:r>
        <w:rPr/>
        <w:t>享有。对磋商文件中供应商参加本次政府采购活动应当具备的条件，磋商项目技术、服务、商务及其他要求，评审细则及标准由</w:t>
      </w:r>
      <w:r>
        <w:rPr/>
        <w:t>铜川市耀州区住房和城乡建设局</w:t>
      </w:r>
      <w:r>
        <w:rPr/>
        <w:t>负责解释。除上述磋商文件内容，其他内容由</w:t>
      </w:r>
      <w:r>
        <w:rPr/>
        <w:t>陕西大用项目管理有限公司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铜川市耀州区住房和城乡建设局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陕西大用项目管理有限公司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符合国家相关规定</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陕西大用项目管理有限公司</w:t>
      </w:r>
      <w:r>
        <w:rPr/>
        <w:t xml:space="preserve"> 负责答复；供应商对除采购需求外的采购文件的询问、质疑由</w:t>
      </w:r>
      <w:r>
        <w:rPr/>
        <w:t>陕西大用项目管理有限公司</w:t>
      </w:r>
      <w:r>
        <w:rPr/>
        <w:t xml:space="preserve"> 负责答复；供应商对采购过程、采购结果的询问、质疑由 </w:t>
      </w:r>
      <w:r>
        <w:rPr/>
        <w:t>陕西大用项目管理有限公司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联系人：余雪儿</w:t>
      </w:r>
    </w:p>
    <w:p>
      <w:pPr>
        <w:pStyle w:val="null3"/>
      </w:pPr>
      <w:r>
        <w:rPr/>
        <w:t>联系电话：17792395227</w:t>
      </w:r>
    </w:p>
    <w:p>
      <w:pPr>
        <w:pStyle w:val="null3"/>
      </w:pPr>
      <w:r>
        <w:rPr/>
        <w:t>地址：西安市朱雀大街南段汇成天玺酒店C座11层</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1.全面完成耀州区21处历史建筑的测绘工作，建立准确、完整的历史建筑测绘档案。 2、构建历史建筑信息管理系统，实现历史建筑数据的信息化管理和共享。 3、建立历史建筑测绘建档工作长效机制，定期对历史建筑进行监测和维护。</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864,712.00</w:t>
      </w:r>
    </w:p>
    <w:p>
      <w:pPr>
        <w:pStyle w:val="null3"/>
      </w:pPr>
      <w:r>
        <w:rPr/>
        <w:t>采购包最高限价（元）: 864,712.00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864712</w:t>
            </w:r>
          </w:p>
        </w:tc>
        <w:tc>
          <w:tcPr>
            <w:tcW w:type="dxa" w:w="831"/>
          </w:tcPr>
          <w:p>
            <w:pPr>
              <w:pStyle w:val="null3"/>
              <w:jc w:val="right"/>
            </w:pPr>
            <w:r>
              <w:rPr/>
              <w:t>1.00</w:t>
            </w:r>
          </w:p>
        </w:tc>
        <w:tc>
          <w:tcPr>
            <w:tcW w:type="dxa" w:w="831"/>
          </w:tcPr>
          <w:p>
            <w:pPr>
              <w:pStyle w:val="null3"/>
              <w:jc w:val="right"/>
            </w:pPr>
            <w:r>
              <w:rPr/>
              <w:t>864,712.00</w:t>
            </w:r>
          </w:p>
        </w:tc>
        <w:tc>
          <w:tcPr>
            <w:tcW w:type="dxa" w:w="831"/>
          </w:tcPr>
          <w:p>
            <w:pPr>
              <w:pStyle w:val="null3"/>
            </w:pPr>
            <w:r>
              <w:rPr/>
              <w:t>个</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标的名称：864712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b/>
              </w:rPr>
              <w:t>一、</w:t>
            </w:r>
            <w:r>
              <w:rPr>
                <w:rFonts w:ascii="宋体" w:hAnsi="宋体" w:cs="宋体" w:eastAsia="宋体"/>
                <w:b/>
              </w:rPr>
              <w:t>项目内容：</w:t>
            </w:r>
          </w:p>
          <w:p>
            <w:pPr>
              <w:pStyle w:val="null3"/>
              <w:ind w:firstLine="480"/>
            </w:pPr>
            <w:r>
              <w:rPr>
                <w:rFonts w:ascii="calibri" w:hAnsi="calibri" w:cs="calibri" w:eastAsia="calibri"/>
              </w:rPr>
              <w:t>1.</w:t>
            </w:r>
            <w:r>
              <w:rPr>
                <w:rFonts w:ascii="宋体" w:hAnsi="宋体" w:cs="宋体" w:eastAsia="宋体"/>
              </w:rPr>
              <w:t>全面完成耀州区</w:t>
            </w:r>
            <w:r>
              <w:rPr>
                <w:rFonts w:ascii="calibri" w:hAnsi="calibri" w:cs="calibri" w:eastAsia="calibri"/>
              </w:rPr>
              <w:t>21</w:t>
            </w:r>
            <w:r>
              <w:rPr>
                <w:rFonts w:ascii="宋体" w:hAnsi="宋体" w:cs="宋体" w:eastAsia="宋体"/>
              </w:rPr>
              <w:t>处历史建筑的测绘工作，建立准确、完整的历史建筑测绘档案。</w:t>
            </w:r>
            <w:r>
              <w:rPr>
                <w:rFonts w:ascii="calibri" w:hAnsi="calibri" w:cs="calibri" w:eastAsia="calibri"/>
              </w:rPr>
              <w:t>2</w:t>
            </w:r>
            <w:r>
              <w:rPr>
                <w:rFonts w:ascii="宋体" w:hAnsi="宋体" w:cs="宋体" w:eastAsia="宋体"/>
              </w:rPr>
              <w:t>、构建历史建筑信息管理系统，实现历史建筑数据的信息化管理和共享。</w:t>
            </w:r>
            <w:r>
              <w:rPr>
                <w:rFonts w:ascii="calibri" w:hAnsi="calibri" w:cs="calibri" w:eastAsia="calibri"/>
              </w:rPr>
              <w:t>3</w:t>
            </w:r>
            <w:r>
              <w:rPr>
                <w:rFonts w:ascii="宋体" w:hAnsi="宋体" w:cs="宋体" w:eastAsia="宋体"/>
              </w:rPr>
              <w:t>、建立历史建筑测绘建档工作长效机制，定期对历史建筑进行监测和维护。</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b/>
              </w:rPr>
              <w:t>二、工作任务</w:t>
            </w:r>
          </w:p>
          <w:p>
            <w:pPr>
              <w:pStyle w:val="null3"/>
            </w:pPr>
            <w:r>
              <w:rPr>
                <w:rFonts w:ascii="calibri" w:hAnsi="calibri" w:cs="calibri" w:eastAsia="calibri"/>
              </w:rPr>
              <w:t>(</w:t>
            </w:r>
            <w:r>
              <w:rPr>
                <w:rFonts w:ascii="宋体" w:hAnsi="宋体" w:cs="宋体" w:eastAsia="宋体"/>
              </w:rPr>
              <w:t>一</w:t>
            </w:r>
            <w:r>
              <w:rPr>
                <w:rFonts w:ascii="calibri" w:hAnsi="calibri" w:cs="calibri" w:eastAsia="calibri"/>
              </w:rPr>
              <w:t>)</w:t>
            </w:r>
            <w:r>
              <w:rPr>
                <w:rFonts w:ascii="宋体" w:hAnsi="宋体" w:cs="宋体" w:eastAsia="宋体"/>
              </w:rPr>
              <w:t>现场考察</w:t>
            </w:r>
            <w:r>
              <w:rPr>
                <w:rFonts w:ascii="calibri" w:hAnsi="calibri" w:cs="calibri" w:eastAsia="calibri"/>
              </w:rPr>
              <w:t>:</w:t>
            </w:r>
            <w:r>
              <w:rPr>
                <w:rFonts w:ascii="宋体" w:hAnsi="宋体" w:cs="宋体" w:eastAsia="宋体"/>
              </w:rPr>
              <w:t>根据成果应用需求确定测绘类型，明确测绘范围、测绘目标、测绘步骤，确定测绘工作量及工作时间周期。</w:t>
            </w:r>
          </w:p>
          <w:p>
            <w:pPr>
              <w:pStyle w:val="null3"/>
            </w:pPr>
            <w:r>
              <w:rPr>
                <w:rFonts w:ascii="calibri" w:hAnsi="calibri" w:cs="calibri" w:eastAsia="calibri"/>
              </w:rPr>
              <w:t>(</w:t>
            </w:r>
            <w:r>
              <w:rPr>
                <w:rFonts w:ascii="宋体" w:hAnsi="宋体" w:cs="宋体" w:eastAsia="宋体"/>
              </w:rPr>
              <w:t>二</w:t>
            </w:r>
            <w:r>
              <w:rPr>
                <w:rFonts w:ascii="calibri" w:hAnsi="calibri" w:cs="calibri" w:eastAsia="calibri"/>
              </w:rPr>
              <w:t>)</w:t>
            </w:r>
            <w:r>
              <w:rPr>
                <w:rFonts w:ascii="宋体" w:hAnsi="宋体" w:cs="宋体" w:eastAsia="宋体"/>
              </w:rPr>
              <w:t>数据采集</w:t>
            </w:r>
            <w:r>
              <w:rPr>
                <w:rFonts w:ascii="calibri" w:hAnsi="calibri" w:cs="calibri" w:eastAsia="calibri"/>
              </w:rPr>
              <w:t>:</w:t>
            </w:r>
            <w:r>
              <w:rPr>
                <w:rFonts w:ascii="宋体" w:hAnsi="宋体" w:cs="宋体" w:eastAsia="宋体"/>
              </w:rPr>
              <w:t>测绘工作组采用先进的测绘技术，对</w:t>
            </w:r>
            <w:r>
              <w:rPr>
                <w:rFonts w:ascii="calibri" w:hAnsi="calibri" w:cs="calibri" w:eastAsia="calibri"/>
              </w:rPr>
              <w:t>21</w:t>
            </w:r>
            <w:r>
              <w:rPr>
                <w:rFonts w:ascii="宋体" w:hAnsi="宋体" w:cs="宋体" w:eastAsia="宋体"/>
              </w:rPr>
              <w:t>处历史建筑进行实地测绘，包含地理位置、平面布局、立面形态、结构构造等进行详细测量和记录，包括绘制平面图、剖面图、立面图、大样图等。</w:t>
            </w:r>
          </w:p>
          <w:p>
            <w:pPr>
              <w:pStyle w:val="null3"/>
            </w:pPr>
            <w:r>
              <w:rPr>
                <w:rFonts w:ascii="calibri" w:hAnsi="calibri" w:cs="calibri" w:eastAsia="calibri"/>
              </w:rPr>
              <w:t>(</w:t>
            </w:r>
            <w:r>
              <w:rPr>
                <w:rFonts w:ascii="宋体" w:hAnsi="宋体" w:cs="宋体" w:eastAsia="宋体"/>
              </w:rPr>
              <w:t>三</w:t>
            </w:r>
            <w:r>
              <w:rPr>
                <w:rFonts w:ascii="calibri" w:hAnsi="calibri" w:cs="calibri" w:eastAsia="calibri"/>
              </w:rPr>
              <w:t>)</w:t>
            </w:r>
            <w:r>
              <w:rPr>
                <w:rFonts w:ascii="宋体" w:hAnsi="宋体" w:cs="宋体" w:eastAsia="宋体"/>
              </w:rPr>
              <w:t>资料整理</w:t>
            </w:r>
            <w:r>
              <w:rPr>
                <w:rFonts w:ascii="calibri" w:hAnsi="calibri" w:cs="calibri" w:eastAsia="calibri"/>
              </w:rPr>
              <w:t>:</w:t>
            </w:r>
            <w:r>
              <w:rPr>
                <w:rFonts w:ascii="宋体" w:hAnsi="宋体" w:cs="宋体" w:eastAsia="宋体"/>
              </w:rPr>
              <w:t>收集历史建筑的历史背景、建筑风格、建造年代、使用功能等相关资料，与测绘数据一起进行整理和归档，建立历史建筑档案。</w:t>
            </w:r>
          </w:p>
          <w:p>
            <w:pPr>
              <w:pStyle w:val="null3"/>
              <w:jc w:val="both"/>
            </w:pPr>
            <w:r>
              <w:rPr>
                <w:rFonts w:ascii="times new roman, times, serif" w:hAnsi="times new roman, times, serif" w:cs="times new roman, times, serif" w:eastAsia="times new roman, times, serif"/>
                <w:sz w:val="21"/>
              </w:rPr>
              <w:t>(</w:t>
            </w:r>
            <w:r>
              <w:rPr>
                <w:rFonts w:ascii="宋体" w:hAnsi="宋体" w:cs="宋体" w:eastAsia="宋体"/>
                <w:sz w:val="21"/>
              </w:rPr>
              <w:t>四</w:t>
            </w:r>
            <w:r>
              <w:rPr>
                <w:rFonts w:ascii="times new roman, times, serif" w:hAnsi="times new roman, times, serif" w:cs="times new roman, times, serif" w:eastAsia="times new roman, times, serif"/>
                <w:sz w:val="21"/>
              </w:rPr>
              <w:t>)</w:t>
            </w:r>
            <w:r>
              <w:rPr>
                <w:rFonts w:ascii="宋体" w:hAnsi="宋体" w:cs="宋体" w:eastAsia="宋体"/>
                <w:sz w:val="21"/>
              </w:rPr>
              <w:t>信息管理系统建设</w:t>
            </w:r>
            <w:r>
              <w:rPr>
                <w:rFonts w:ascii="times new roman, times, serif" w:hAnsi="times new roman, times, serif" w:cs="times new roman, times, serif" w:eastAsia="times new roman, times, serif"/>
                <w:sz w:val="21"/>
              </w:rPr>
              <w:t>:</w:t>
            </w:r>
            <w:r>
              <w:rPr>
                <w:rFonts w:ascii="宋体" w:hAnsi="宋体" w:cs="宋体" w:eastAsia="宋体"/>
                <w:sz w:val="21"/>
              </w:rPr>
              <w:t>开发历史建筑信息管理系统将测绘档案和相关资料录入系统，实现历史建筑数据的信息化管理和查询。</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b/>
              </w:rPr>
              <w:t>三、测绘实施内容</w:t>
            </w:r>
          </w:p>
          <w:p>
            <w:pPr>
              <w:pStyle w:val="null3"/>
            </w:pPr>
            <w:r>
              <w:rPr>
                <w:rFonts w:ascii="calibri" w:hAnsi="calibri" w:cs="calibri" w:eastAsia="calibri"/>
              </w:rPr>
              <w:t>1</w:t>
            </w:r>
            <w:r>
              <w:rPr>
                <w:rFonts w:ascii="宋体" w:hAnsi="宋体" w:cs="宋体" w:eastAsia="宋体"/>
              </w:rPr>
              <w:t>、铜川市耀州区小丘镇移村</w:t>
            </w:r>
            <w:r>
              <w:rPr>
                <w:rFonts w:ascii="calibri" w:hAnsi="calibri" w:cs="calibri" w:eastAsia="calibri"/>
              </w:rPr>
              <w:t>1</w:t>
            </w:r>
            <w:r>
              <w:rPr>
                <w:rFonts w:ascii="宋体" w:hAnsi="宋体" w:cs="宋体" w:eastAsia="宋体"/>
              </w:rPr>
              <w:t>号</w:t>
            </w:r>
            <w:r>
              <w:rPr>
                <w:rFonts w:ascii="calibri" w:hAnsi="calibri" w:cs="calibri" w:eastAsia="calibri"/>
              </w:rPr>
              <w:t>-14</w:t>
            </w:r>
            <w:r>
              <w:rPr>
                <w:rFonts w:ascii="宋体" w:hAnsi="宋体" w:cs="宋体" w:eastAsia="宋体"/>
              </w:rPr>
              <w:t>号地进行全面测绘，采用全站仪、数字近景摄影测量、无人机斜摄影及传统手工勘察测绘方法。</w:t>
            </w:r>
          </w:p>
          <w:p>
            <w:pPr>
              <w:pStyle w:val="null3"/>
            </w:pPr>
            <w:r>
              <w:rPr>
                <w:rFonts w:ascii="calibri" w:hAnsi="calibri" w:cs="calibri" w:eastAsia="calibri"/>
              </w:rPr>
              <w:t>2</w:t>
            </w:r>
            <w:r>
              <w:rPr>
                <w:rFonts w:ascii="宋体" w:hAnsi="宋体" w:cs="宋体" w:eastAsia="宋体"/>
              </w:rPr>
              <w:t xml:space="preserve">、对西仓巷 </w:t>
            </w:r>
            <w:r>
              <w:rPr>
                <w:rFonts w:ascii="calibri" w:hAnsi="calibri" w:cs="calibri" w:eastAsia="calibri"/>
              </w:rPr>
              <w:t>11</w:t>
            </w:r>
            <w:r>
              <w:rPr>
                <w:rFonts w:ascii="宋体" w:hAnsi="宋体" w:cs="宋体" w:eastAsia="宋体"/>
              </w:rPr>
              <w:t>号传统民居、城隍巷</w:t>
            </w:r>
            <w:r>
              <w:rPr>
                <w:rFonts w:ascii="calibri" w:hAnsi="calibri" w:cs="calibri" w:eastAsia="calibri"/>
              </w:rPr>
              <w:t>36</w:t>
            </w:r>
            <w:r>
              <w:rPr>
                <w:rFonts w:ascii="宋体" w:hAnsi="宋体" w:cs="宋体" w:eastAsia="宋体"/>
              </w:rPr>
              <w:t>号传统民居、怀新巷</w:t>
            </w:r>
            <w:r>
              <w:rPr>
                <w:rFonts w:ascii="calibri" w:hAnsi="calibri" w:cs="calibri" w:eastAsia="calibri"/>
              </w:rPr>
              <w:t>4</w:t>
            </w:r>
            <w:r>
              <w:rPr>
                <w:rFonts w:ascii="宋体" w:hAnsi="宋体" w:cs="宋体" w:eastAsia="宋体"/>
              </w:rPr>
              <w:t>号传统民居、渠岸巷</w:t>
            </w:r>
            <w:r>
              <w:rPr>
                <w:rFonts w:ascii="calibri" w:hAnsi="calibri" w:cs="calibri" w:eastAsia="calibri"/>
              </w:rPr>
              <w:t>40</w:t>
            </w:r>
            <w:r>
              <w:rPr>
                <w:rFonts w:ascii="宋体" w:hAnsi="宋体" w:cs="宋体" w:eastAsia="宋体"/>
              </w:rPr>
              <w:t>号传统民居四处耀州区传统民居类历史建筑现场全面测绘，采用数字近景摄影测量、无人机倾斜摄影及传统手工勘察测绘方法。</w:t>
            </w:r>
          </w:p>
          <w:p>
            <w:pPr>
              <w:pStyle w:val="null3"/>
            </w:pPr>
            <w:r>
              <w:rPr>
                <w:rFonts w:ascii="calibri" w:hAnsi="calibri" w:cs="calibri" w:eastAsia="calibri"/>
              </w:rPr>
              <w:t>3</w:t>
            </w:r>
            <w:r>
              <w:rPr>
                <w:rFonts w:ascii="宋体" w:hAnsi="宋体" w:cs="宋体" w:eastAsia="宋体"/>
              </w:rPr>
              <w:t>、铜川市耀州区陕西省耀县水泥</w:t>
            </w:r>
          </w:p>
          <w:p>
            <w:pPr>
              <w:pStyle w:val="null3"/>
            </w:pPr>
            <w:r>
              <w:rPr>
                <w:rFonts w:ascii="宋体" w:hAnsi="宋体" w:cs="宋体" w:eastAsia="宋体"/>
              </w:rPr>
              <w:t>厂工人俱乐部、阿姑社大队旧址、苏家店村白纪荣民窑三处历史建筑进行现场全面测绘，采用数字近景摄影测量、无人机倾斜摄影及传统手工勘察测绘方法。</w:t>
            </w:r>
          </w:p>
          <w:p>
            <w:pPr>
              <w:pStyle w:val="null3"/>
            </w:pPr>
            <w:r>
              <w:rPr>
                <w:rFonts w:ascii="calibri" w:hAnsi="calibri" w:cs="calibri" w:eastAsia="calibri"/>
              </w:rPr>
              <w:t>4</w:t>
            </w:r>
            <w:r>
              <w:rPr>
                <w:rFonts w:ascii="宋体" w:hAnsi="宋体" w:cs="宋体" w:eastAsia="宋体"/>
              </w:rPr>
              <w:t>、数据处理与测绘成果分类归档。</w:t>
            </w:r>
          </w:p>
          <w:p>
            <w:pPr>
              <w:pStyle w:val="null3"/>
            </w:pPr>
            <w:r>
              <w:rPr>
                <w:rFonts w:ascii="宋体" w:hAnsi="宋体" w:cs="宋体" w:eastAsia="宋体"/>
              </w:rPr>
              <w:t>将实地测绘的数据进行整理和分析，完成数字化测绘成果的绘制和历史建筑测绘各项成果分类归档。归档工作执行标准严格按照《陕西省历史建筑测绘建档三年行动方案</w:t>
            </w:r>
            <w:r>
              <w:rPr>
                <w:rFonts w:ascii="calibri" w:hAnsi="calibri" w:cs="calibri" w:eastAsia="calibri"/>
              </w:rPr>
              <w:t>(2019-2021)</w:t>
            </w:r>
            <w:r>
              <w:rPr>
                <w:rFonts w:ascii="宋体" w:hAnsi="宋体" w:cs="宋体" w:eastAsia="宋体"/>
              </w:rPr>
              <w:t>》中历史建筑测绘成果归档要求的标准执行。</w:t>
            </w:r>
          </w:p>
          <w:p>
            <w:pPr>
              <w:pStyle w:val="null3"/>
            </w:pPr>
            <w:r>
              <w:rPr>
                <w:rFonts w:ascii="宋体" w:hAnsi="宋体" w:cs="宋体" w:eastAsia="宋体"/>
              </w:rPr>
              <w:t>测绘内容包含总平面现状测绘图、平面现状测绘图、立面现状测绘图、剖面现状测绘图、典型构件大样图。</w:t>
            </w:r>
          </w:p>
          <w:p>
            <w:pPr>
              <w:pStyle w:val="null3"/>
            </w:pPr>
            <w:r>
              <w:rPr>
                <w:rFonts w:ascii="calibri" w:hAnsi="calibri" w:cs="calibri" w:eastAsia="calibri"/>
              </w:rPr>
              <w:t>5</w:t>
            </w:r>
            <w:r>
              <w:rPr>
                <w:rFonts w:ascii="宋体" w:hAnsi="宋体" w:cs="宋体" w:eastAsia="宋体"/>
              </w:rPr>
              <w:t>、</w:t>
            </w:r>
            <w:r>
              <w:rPr>
                <w:rFonts w:ascii="宋体" w:hAnsi="宋体" w:cs="宋体" w:eastAsia="宋体"/>
              </w:rPr>
              <w:t>验收与总结</w:t>
            </w:r>
          </w:p>
          <w:p>
            <w:pPr>
              <w:pStyle w:val="null3"/>
            </w:pPr>
            <w:r>
              <w:rPr>
                <w:rFonts w:ascii="calibri" w:hAnsi="calibri" w:cs="calibri" w:eastAsia="calibri"/>
              </w:rPr>
              <w:t>1</w:t>
            </w:r>
            <w:r>
              <w:rPr>
                <w:rFonts w:ascii="宋体" w:hAnsi="宋体" w:cs="宋体" w:eastAsia="宋体"/>
              </w:rPr>
              <w:t>、对历史建筑测绘建档工作进行验收，检查工作质量和完成情况。</w:t>
            </w:r>
          </w:p>
          <w:p>
            <w:pPr>
              <w:pStyle w:val="null3"/>
            </w:pPr>
            <w:r>
              <w:rPr>
                <w:rFonts w:ascii="calibri" w:hAnsi="calibri" w:cs="calibri" w:eastAsia="calibri"/>
              </w:rPr>
              <w:t>2</w:t>
            </w:r>
            <w:r>
              <w:rPr>
                <w:rFonts w:ascii="宋体" w:hAnsi="宋体" w:cs="宋体" w:eastAsia="宋体"/>
              </w:rPr>
              <w:t>、总结工作经验和成果，形成工作报告和技术报告</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、建立历史建筑测绘建档工作长效机制，定期对历史建筑进行监测和维护。</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rFonts w:ascii="宋体" w:hAnsi="宋体" w:cs="宋体" w:eastAsia="宋体"/>
                <w:b/>
              </w:rPr>
              <w:t>四、总体要求</w:t>
            </w:r>
            <w:r>
              <w:rPr>
                <w:rFonts w:ascii="calibri" w:hAnsi="calibri" w:cs="calibri" w:eastAsia="calibri"/>
                <w:b/>
              </w:rPr>
              <w:t>:</w:t>
            </w:r>
          </w:p>
          <w:p>
            <w:pPr>
              <w:pStyle w:val="null3"/>
            </w:pPr>
            <w:r>
              <w:rPr>
                <w:rFonts w:ascii="calibri" w:hAnsi="calibri" w:cs="calibri" w:eastAsia="calibri"/>
              </w:rPr>
              <w:t>1</w:t>
            </w:r>
            <w:r>
              <w:rPr>
                <w:rFonts w:ascii="宋体" w:hAnsi="宋体" w:cs="宋体" w:eastAsia="宋体"/>
              </w:rPr>
              <w:t>、全面准确地反映历史建筑的现状情况。测绘内容主要包括总平面、平面、立面、剖面、典型构件等。</w:t>
            </w:r>
          </w:p>
          <w:p>
            <w:pPr>
              <w:pStyle w:val="null3"/>
            </w:pPr>
            <w:r>
              <w:rPr>
                <w:rFonts w:ascii="calibri" w:hAnsi="calibri" w:cs="calibri" w:eastAsia="calibri"/>
              </w:rPr>
              <w:t>2</w:t>
            </w:r>
            <w:r>
              <w:rPr>
                <w:rFonts w:ascii="宋体" w:hAnsi="宋体" w:cs="宋体" w:eastAsia="宋体"/>
              </w:rPr>
              <w:t>、遵循“从整体到局部，先控制后细部”的测量原则。宜通过目测步量，把握测量对象的整体比例和各部分、构件的相互比例和对位关系，</w:t>
            </w:r>
          </w:p>
          <w:p>
            <w:pPr>
              <w:pStyle w:val="null3"/>
            </w:pPr>
            <w:r>
              <w:rPr>
                <w:rFonts w:ascii="calibri" w:hAnsi="calibri" w:cs="calibri" w:eastAsia="calibri"/>
              </w:rPr>
              <w:t>3</w:t>
            </w:r>
            <w:r>
              <w:rPr>
                <w:rFonts w:ascii="宋体" w:hAnsi="宋体" w:cs="宋体" w:eastAsia="宋体"/>
              </w:rPr>
              <w:t>、对建筑方正、对称、平整情况进行测量并验证。</w:t>
            </w:r>
          </w:p>
          <w:p>
            <w:pPr>
              <w:pStyle w:val="null3"/>
            </w:pPr>
            <w:r>
              <w:rPr>
                <w:rFonts w:ascii="calibri" w:hAnsi="calibri" w:cs="calibri" w:eastAsia="calibri"/>
              </w:rPr>
              <w:t>4</w:t>
            </w:r>
            <w:r>
              <w:rPr>
                <w:rFonts w:ascii="宋体" w:hAnsi="宋体" w:cs="宋体" w:eastAsia="宋体"/>
              </w:rPr>
              <w:t>、确保测绘数据的真实性、准确表达建筑的比例、结构和做法。</w:t>
            </w:r>
          </w:p>
          <w:p>
            <w:pPr>
              <w:pStyle w:val="null3"/>
            </w:pPr>
            <w:r>
              <w:rPr>
                <w:rFonts w:ascii="calibri" w:hAnsi="calibri" w:cs="calibri" w:eastAsia="calibri"/>
              </w:rPr>
              <w:t>5</w:t>
            </w:r>
            <w:r>
              <w:rPr>
                <w:rFonts w:ascii="宋体" w:hAnsi="宋体" w:cs="宋体" w:eastAsia="宋体"/>
              </w:rPr>
              <w:t>、可用间接方法推算部分数据。</w:t>
            </w:r>
          </w:p>
          <w:p>
            <w:pPr>
              <w:pStyle w:val="null3"/>
            </w:pPr>
            <w:r>
              <w:rPr>
                <w:rFonts w:ascii="calibri" w:hAnsi="calibri" w:cs="calibri" w:eastAsia="calibri"/>
              </w:rPr>
              <w:t>6</w:t>
            </w:r>
            <w:r>
              <w:rPr>
                <w:rFonts w:ascii="宋体" w:hAnsi="宋体" w:cs="宋体" w:eastAsia="宋体"/>
              </w:rPr>
              <w:t>、由于居民尚未完全搬迁等特殊情况而暂时无法测绘的历史建筑，应先完成建筑立面、周边环境等公共部分测绘并于房屋完全腾空后进行补测。</w:t>
            </w:r>
          </w:p>
          <w:p>
            <w:pPr>
              <w:pStyle w:val="null3"/>
            </w:pPr>
            <w:r>
              <w:rPr>
                <w:rFonts w:ascii="calibri" w:hAnsi="calibri" w:cs="calibri" w:eastAsia="calibri"/>
              </w:rPr>
              <w:t>7</w:t>
            </w:r>
            <w:r>
              <w:rPr>
                <w:rFonts w:ascii="宋体" w:hAnsi="宋体" w:cs="宋体" w:eastAsia="宋体"/>
              </w:rPr>
              <w:t>、总平面图、平面图、立面图、剖面图、典型构件测绘工作开展流程包含利用测距仪、测量绘图工具、无人机等全面测量数据、勾画测绘草图、复测校核数据、整理测稿、计算机制图建档等步骤。</w:t>
            </w:r>
          </w:p>
          <w:p>
            <w:pPr>
              <w:pStyle w:val="null3"/>
            </w:pPr>
            <w:r>
              <w:rPr>
                <w:rFonts w:ascii="calibri" w:hAnsi="calibri" w:cs="calibri" w:eastAsia="calibri"/>
              </w:rPr>
              <w:t>(</w:t>
            </w:r>
            <w:r>
              <w:rPr>
                <w:rFonts w:ascii="宋体" w:hAnsi="宋体" w:cs="宋体" w:eastAsia="宋体"/>
              </w:rPr>
              <w:t>二</w:t>
            </w:r>
            <w:r>
              <w:rPr>
                <w:rFonts w:ascii="calibri" w:hAnsi="calibri" w:cs="calibri" w:eastAsia="calibri"/>
              </w:rPr>
              <w:t>)</w:t>
            </w:r>
            <w:r>
              <w:rPr>
                <w:rFonts w:ascii="宋体" w:hAnsi="宋体" w:cs="宋体" w:eastAsia="宋体"/>
              </w:rPr>
              <w:t>测绘图的电子文件要求</w:t>
            </w:r>
            <w:r>
              <w:rPr>
                <w:rFonts w:ascii="calibri" w:hAnsi="calibri" w:cs="calibri" w:eastAsia="calibri"/>
              </w:rPr>
              <w:t>:</w:t>
            </w:r>
          </w:p>
          <w:p>
            <w:pPr>
              <w:pStyle w:val="null3"/>
            </w:pPr>
            <w:r>
              <w:rPr>
                <w:rFonts w:ascii="calibri" w:hAnsi="calibri" w:cs="calibri" w:eastAsia="calibri"/>
              </w:rPr>
              <w:t>1</w:t>
            </w:r>
            <w:r>
              <w:rPr>
                <w:rFonts w:ascii="宋体" w:hAnsi="宋体" w:cs="宋体" w:eastAsia="宋体"/>
              </w:rPr>
              <w:t>、每处历史建筑的所有测绘图应保存为一个单独的电子文件。文件命名格式应为“历史建筑编号</w:t>
            </w:r>
            <w:r>
              <w:rPr>
                <w:u w:val="single"/>
              </w:rPr>
              <w:t xml:space="preserve"> </w:t>
            </w:r>
            <w:r>
              <w:rPr>
                <w:rFonts w:ascii="宋体" w:hAnsi="宋体" w:cs="宋体" w:eastAsia="宋体"/>
              </w:rPr>
              <w:t>历史建筑名称</w:t>
            </w:r>
            <w:r>
              <w:rPr>
                <w:u w:val="single"/>
              </w:rPr>
              <w:t xml:space="preserve"> </w:t>
            </w:r>
            <w:r>
              <w:rPr>
                <w:rFonts w:ascii="宋体" w:hAnsi="宋体" w:cs="宋体" w:eastAsia="宋体"/>
              </w:rPr>
              <w:t>绘图完成年月日</w:t>
            </w:r>
            <w:r>
              <w:rPr>
                <w:rFonts w:ascii="宋体" w:hAnsi="宋体" w:cs="宋体" w:eastAsia="宋体"/>
              </w:rPr>
              <w:t>”</w:t>
            </w:r>
            <w:r>
              <w:rPr>
                <w:rFonts w:ascii="calibri" w:hAnsi="calibri" w:cs="calibri" w:eastAsia="calibri"/>
              </w:rPr>
              <w:t>;</w:t>
            </w:r>
            <w:r>
              <w:rPr>
                <w:rFonts w:ascii="宋体" w:hAnsi="宋体" w:cs="宋体" w:eastAsia="宋体"/>
              </w:rPr>
              <w:t>历史建筑编号和名称应与政府公布的历史建筑名录保持一致，图纸应按“目录、总平面、平面、立面、剖面和详图”的顺序编制。</w:t>
            </w:r>
          </w:p>
          <w:p>
            <w:pPr>
              <w:pStyle w:val="null3"/>
            </w:pPr>
            <w:r>
              <w:rPr>
                <w:rFonts w:ascii="calibri" w:hAnsi="calibri" w:cs="calibri" w:eastAsia="calibri"/>
              </w:rPr>
              <w:t>2</w:t>
            </w:r>
            <w:r>
              <w:rPr>
                <w:rFonts w:ascii="宋体" w:hAnsi="宋体" w:cs="宋体" w:eastAsia="宋体"/>
              </w:rPr>
              <w:t>、图纸的图名命名格式应为“历史建筑编号</w:t>
            </w:r>
            <w:r>
              <w:rPr>
                <w:u w:val="single"/>
              </w:rPr>
              <w:t xml:space="preserve"> </w:t>
            </w:r>
            <w:r>
              <w:rPr>
                <w:rFonts w:ascii="宋体" w:hAnsi="宋体" w:cs="宋体" w:eastAsia="宋体"/>
              </w:rPr>
              <w:t>历史建筑名称</w:t>
            </w:r>
            <w:r>
              <w:rPr>
                <w:u w:val="single"/>
              </w:rPr>
              <w:t xml:space="preserve"> </w:t>
            </w:r>
            <w:r>
              <w:rPr>
                <w:rFonts w:ascii="宋体" w:hAnsi="宋体" w:cs="宋体" w:eastAsia="宋体"/>
              </w:rPr>
              <w:t>图纸内容</w:t>
            </w:r>
            <w:r>
              <w:rPr>
                <w:rFonts w:ascii="宋体" w:hAnsi="宋体" w:cs="宋体" w:eastAsia="宋体"/>
              </w:rPr>
              <w:t>”，历史建筑编号和名称应与政府公布的历史建筑名录保持一致。</w:t>
            </w:r>
          </w:p>
          <w:p>
            <w:pPr>
              <w:pStyle w:val="null3"/>
            </w:pPr>
            <w:r>
              <w:rPr>
                <w:rFonts w:ascii="calibri" w:hAnsi="calibri" w:cs="calibri" w:eastAsia="calibri"/>
              </w:rPr>
              <w:t>3</w:t>
            </w:r>
            <w:r>
              <w:rPr>
                <w:rFonts w:ascii="宋体" w:hAnsi="宋体" w:cs="宋体" w:eastAsia="宋体"/>
              </w:rPr>
              <w:t>、图纸编号应满足下列编制要求</w:t>
            </w:r>
            <w:r>
              <w:rPr>
                <w:rFonts w:ascii="calibri" w:hAnsi="calibri" w:cs="calibri" w:eastAsia="calibri"/>
              </w:rPr>
              <w:t>:</w:t>
            </w:r>
            <w:r>
              <w:rPr>
                <w:rFonts w:ascii="宋体" w:hAnsi="宋体" w:cs="宋体" w:eastAsia="宋体"/>
              </w:rPr>
              <w:t>图纸目录编号为“测绘</w:t>
            </w:r>
            <w:r>
              <w:rPr>
                <w:rFonts w:ascii="calibri" w:hAnsi="calibri" w:cs="calibri" w:eastAsia="calibri"/>
              </w:rPr>
              <w:t>00-00</w:t>
            </w:r>
            <w:r>
              <w:rPr>
                <w:rFonts w:ascii="宋体" w:hAnsi="宋体" w:cs="宋体" w:eastAsia="宋体"/>
              </w:rPr>
              <w:t>”</w:t>
            </w:r>
            <w:r>
              <w:rPr>
                <w:rFonts w:ascii="calibri" w:hAnsi="calibri" w:cs="calibri" w:eastAsia="calibri"/>
              </w:rPr>
              <w:t>;</w:t>
            </w:r>
            <w:r>
              <w:rPr>
                <w:rFonts w:ascii="宋体" w:hAnsi="宋体" w:cs="宋体" w:eastAsia="宋体"/>
              </w:rPr>
              <w:t xml:space="preserve">平面从“测绘 </w:t>
            </w:r>
            <w:r>
              <w:rPr>
                <w:rFonts w:ascii="calibri" w:hAnsi="calibri" w:cs="calibri" w:eastAsia="calibri"/>
              </w:rPr>
              <w:t>01-01</w:t>
            </w:r>
            <w:r>
              <w:rPr>
                <w:rFonts w:ascii="宋体" w:hAnsi="宋体" w:cs="宋体" w:eastAsia="宋体"/>
              </w:rPr>
              <w:t>”依次编号</w:t>
            </w:r>
            <w:r>
              <w:rPr>
                <w:rFonts w:ascii="calibri" w:hAnsi="calibri" w:cs="calibri" w:eastAsia="calibri"/>
              </w:rPr>
              <w:t>;</w:t>
            </w:r>
            <w:r>
              <w:rPr>
                <w:rFonts w:ascii="宋体" w:hAnsi="宋体" w:cs="宋体" w:eastAsia="宋体"/>
              </w:rPr>
              <w:t>立面从“测绘</w:t>
            </w:r>
            <w:r>
              <w:rPr>
                <w:rFonts w:ascii="calibri" w:hAnsi="calibri" w:cs="calibri" w:eastAsia="calibri"/>
              </w:rPr>
              <w:t>02-01</w:t>
            </w:r>
            <w:r>
              <w:rPr>
                <w:rFonts w:ascii="宋体" w:hAnsi="宋体" w:cs="宋体" w:eastAsia="宋体"/>
              </w:rPr>
              <w:t>”依次编号</w:t>
            </w:r>
            <w:r>
              <w:rPr>
                <w:rFonts w:ascii="calibri" w:hAnsi="calibri" w:cs="calibri" w:eastAsia="calibri"/>
              </w:rPr>
              <w:t>;</w:t>
            </w:r>
            <w:r>
              <w:rPr>
                <w:rFonts w:ascii="宋体" w:hAnsi="宋体" w:cs="宋体" w:eastAsia="宋体"/>
              </w:rPr>
              <w:t xml:space="preserve">剖面从“测绘 </w:t>
            </w:r>
            <w:r>
              <w:rPr>
                <w:rFonts w:ascii="calibri" w:hAnsi="calibri" w:cs="calibri" w:eastAsia="calibri"/>
              </w:rPr>
              <w:t>03-01</w:t>
            </w:r>
            <w:r>
              <w:rPr>
                <w:rFonts w:ascii="宋体" w:hAnsi="宋体" w:cs="宋体" w:eastAsia="宋体"/>
              </w:rPr>
              <w:t>”依次编号</w:t>
            </w:r>
            <w:r>
              <w:rPr>
                <w:rFonts w:ascii="calibri" w:hAnsi="calibri" w:cs="calibri" w:eastAsia="calibri"/>
              </w:rPr>
              <w:t>;</w:t>
            </w:r>
            <w:r>
              <w:rPr>
                <w:rFonts w:ascii="宋体" w:hAnsi="宋体" w:cs="宋体" w:eastAsia="宋体"/>
              </w:rPr>
              <w:t xml:space="preserve">详图从“测绘 </w:t>
            </w:r>
            <w:r>
              <w:rPr>
                <w:rFonts w:ascii="calibri" w:hAnsi="calibri" w:cs="calibri" w:eastAsia="calibri"/>
              </w:rPr>
              <w:t>04-01</w:t>
            </w:r>
            <w:r>
              <w:rPr>
                <w:rFonts w:ascii="宋体" w:hAnsi="宋体" w:cs="宋体" w:eastAsia="宋体"/>
              </w:rPr>
              <w:t>”依次编号</w:t>
            </w:r>
            <w:r>
              <w:rPr>
                <w:rFonts w:ascii="calibri" w:hAnsi="calibri" w:cs="calibri" w:eastAsia="calibri"/>
              </w:rPr>
              <w:t>;</w:t>
            </w:r>
            <w:r>
              <w:rPr>
                <w:rFonts w:ascii="宋体" w:hAnsi="宋体" w:cs="宋体" w:eastAsia="宋体"/>
              </w:rPr>
              <w:t>平面图应按总平面、各层平面、屋顶平面和仰视平面的顺序依次排列。</w:t>
            </w:r>
          </w:p>
          <w:p>
            <w:pPr>
              <w:pStyle w:val="null3"/>
            </w:pPr>
            <w:r>
              <w:rPr>
                <w:rFonts w:ascii="calibri" w:hAnsi="calibri" w:cs="calibri" w:eastAsia="calibri"/>
              </w:rPr>
              <w:t>4</w:t>
            </w:r>
            <w:r>
              <w:rPr>
                <w:rFonts w:ascii="宋体" w:hAnsi="宋体" w:cs="宋体" w:eastAsia="宋体"/>
              </w:rPr>
              <w:t>、图签应包含测绘单位、项目名称、项目负责、测量人员、绘图人员、校对、审核、审定、图名、日期、图号、版本号和相关文字说明。</w:t>
            </w:r>
          </w:p>
          <w:p>
            <w:pPr>
              <w:pStyle w:val="null3"/>
            </w:pPr>
            <w:r>
              <w:rPr>
                <w:rFonts w:ascii="calibri" w:hAnsi="calibri" w:cs="calibri" w:eastAsia="calibri"/>
              </w:rPr>
              <w:t>5</w:t>
            </w:r>
            <w:r>
              <w:rPr>
                <w:rFonts w:ascii="宋体" w:hAnsi="宋体" w:cs="宋体" w:eastAsia="宋体"/>
              </w:rPr>
              <w:t>、测绘图比例应满足以下要求：</w:t>
            </w:r>
          </w:p>
          <w:tbl>
            <w:tblPr>
              <w:tblInd w:type="dxa" w:w="120"/>
              <w:tblBorders>
                <w:top w:val="none" w:color="000000" w:sz="4"/>
                <w:left w:val="none" w:color="000000" w:sz="4"/>
                <w:bottom w:val="none" w:color="000000" w:sz="4"/>
                <w:right w:val="none" w:color="000000" w:sz="4"/>
                <w:insideH w:val="none"/>
                <w:insideV w:val="none"/>
              </w:tblBorders>
            </w:tblPr>
            <w:tblGrid>
              <w:gridCol w:w="417"/>
              <w:gridCol w:w="629"/>
              <w:gridCol w:w="1507"/>
            </w:tblGrid>
            <w:tr>
              <w:tc>
                <w:tcPr>
                  <w:tcW w:type="dxa" w:w="4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图纸分类</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图纸类型</w:t>
                  </w:r>
                </w:p>
              </w:tc>
              <w:tc>
                <w:tcPr>
                  <w:tcW w:type="dxa" w:w="1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绘图比例要求</w:t>
                  </w:r>
                </w:p>
              </w:tc>
            </w:tr>
            <w:tr>
              <w:tc>
                <w:tcPr>
                  <w:tcW w:type="dxa" w:w="4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全面测绘</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总平面图</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19"/>
                    </w:rPr>
                    <w:t>1:200</w:t>
                  </w:r>
                  <w:r>
                    <w:rPr>
                      <w:rFonts w:ascii="宋体" w:hAnsi="宋体" w:cs="宋体" w:eastAsia="宋体"/>
                      <w:sz w:val="19"/>
                    </w:rPr>
                    <w:t>或</w:t>
                  </w:r>
                  <w:r>
                    <w:rPr>
                      <w:rFonts w:ascii="calibri" w:hAnsi="calibri" w:cs="calibri" w:eastAsia="calibri"/>
                      <w:sz w:val="19"/>
                    </w:rPr>
                    <w:t>1:250</w:t>
                  </w:r>
                </w:p>
              </w:tc>
            </w:tr>
            <w:tr>
              <w:tc>
                <w:tcPr>
                  <w:tcW w:type="dxa" w:w="417"/>
                  <w:vMerge/>
                  <w:tcBorders>
                    <w:top w:val="none" w:color="000000" w:sz="4"/>
                    <w:left w:val="single" w:color="000000" w:sz="4"/>
                    <w:bottom w:val="single" w:color="000000" w:sz="4"/>
                    <w:right w:val="single" w:color="000000" w:sz="4"/>
                  </w:tcBorders>
                </w:tc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平、立、剖面图</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19"/>
                    </w:rPr>
                    <w:t>1:100</w:t>
                  </w:r>
                  <w:r>
                    <w:rPr>
                      <w:rFonts w:ascii="宋体" w:hAnsi="宋体" w:cs="宋体" w:eastAsia="宋体"/>
                      <w:sz w:val="19"/>
                    </w:rPr>
                    <w:t>或</w:t>
                  </w:r>
                  <w:r>
                    <w:rPr>
                      <w:rFonts w:ascii="calibri" w:hAnsi="calibri" w:cs="calibri" w:eastAsia="calibri"/>
                      <w:sz w:val="19"/>
                    </w:rPr>
                    <w:t>1:150</w:t>
                  </w:r>
                </w:p>
              </w:tc>
            </w:tr>
            <w:tr>
              <w:tc>
                <w:tcPr>
                  <w:tcW w:type="dxa" w:w="417"/>
                  <w:vMerge/>
                  <w:tcBorders>
                    <w:top w:val="none" w:color="000000" w:sz="4"/>
                    <w:left w:val="single" w:color="000000" w:sz="4"/>
                    <w:bottom w:val="single" w:color="000000" w:sz="4"/>
                    <w:right w:val="single" w:color="000000" w:sz="4"/>
                  </w:tcBorders>
                </w:tc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详图</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19"/>
                    </w:rPr>
                    <w:t>1:1</w:t>
                  </w:r>
                  <w:r>
                    <w:rPr>
                      <w:rFonts w:ascii="宋体" w:hAnsi="宋体" w:cs="宋体" w:eastAsia="宋体"/>
                      <w:sz w:val="19"/>
                    </w:rPr>
                    <w:t>、</w:t>
                  </w:r>
                  <w:r>
                    <w:rPr>
                      <w:rFonts w:ascii="calibri" w:hAnsi="calibri" w:cs="calibri" w:eastAsia="calibri"/>
                      <w:sz w:val="19"/>
                    </w:rPr>
                    <w:t>1:5</w:t>
                  </w:r>
                  <w:r>
                    <w:rPr>
                      <w:rFonts w:ascii="宋体" w:hAnsi="宋体" w:cs="宋体" w:eastAsia="宋体"/>
                      <w:sz w:val="19"/>
                    </w:rPr>
                    <w:t>、</w:t>
                  </w:r>
                  <w:r>
                    <w:rPr>
                      <w:rFonts w:ascii="calibri" w:hAnsi="calibri" w:cs="calibri" w:eastAsia="calibri"/>
                      <w:sz w:val="19"/>
                    </w:rPr>
                    <w:t>1:10</w:t>
                  </w:r>
                  <w:r>
                    <w:rPr>
                      <w:rFonts w:ascii="宋体" w:hAnsi="宋体" w:cs="宋体" w:eastAsia="宋体"/>
                      <w:sz w:val="19"/>
                    </w:rPr>
                    <w:t>、</w:t>
                  </w:r>
                  <w:r>
                    <w:rPr>
                      <w:rFonts w:ascii="calibri" w:hAnsi="calibri" w:cs="calibri" w:eastAsia="calibri"/>
                      <w:sz w:val="19"/>
                    </w:rPr>
                    <w:t>1:15</w:t>
                  </w:r>
                  <w:r>
                    <w:rPr>
                      <w:rFonts w:ascii="宋体" w:hAnsi="宋体" w:cs="宋体" w:eastAsia="宋体"/>
                      <w:sz w:val="19"/>
                    </w:rPr>
                    <w:t>、</w:t>
                  </w:r>
                  <w:r>
                    <w:rPr>
                      <w:rFonts w:ascii="calibri" w:hAnsi="calibri" w:cs="calibri" w:eastAsia="calibri"/>
                      <w:sz w:val="19"/>
                    </w:rPr>
                    <w:t>1:20</w:t>
                  </w:r>
                  <w:r>
                    <w:rPr>
                      <w:rFonts w:ascii="宋体" w:hAnsi="宋体" w:cs="宋体" w:eastAsia="宋体"/>
                      <w:sz w:val="19"/>
                    </w:rPr>
                    <w:t>、</w:t>
                  </w:r>
                  <w:r>
                    <w:rPr>
                      <w:rFonts w:ascii="calibri" w:hAnsi="calibri" w:cs="calibri" w:eastAsia="calibri"/>
                      <w:sz w:val="19"/>
                    </w:rPr>
                    <w:t>1:25</w:t>
                  </w:r>
                  <w:r>
                    <w:rPr>
                      <w:rFonts w:ascii="宋体" w:hAnsi="宋体" w:cs="宋体" w:eastAsia="宋体"/>
                      <w:sz w:val="19"/>
                    </w:rPr>
                    <w:t>、</w:t>
                  </w:r>
                  <w:r>
                    <w:rPr>
                      <w:rFonts w:ascii="calibri" w:hAnsi="calibri" w:cs="calibri" w:eastAsia="calibri"/>
                      <w:sz w:val="19"/>
                    </w:rPr>
                    <w:t>1:30</w:t>
                  </w:r>
                </w:p>
              </w:tc>
            </w:tr>
            <w:tr>
              <w:tc>
                <w:tcPr>
                  <w:tcW w:type="dxa" w:w="4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典型测绘</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总平面图</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1:250</w:t>
                  </w:r>
                  <w:r>
                    <w:rPr>
                      <w:rFonts w:ascii="宋体" w:hAnsi="宋体" w:cs="宋体" w:eastAsia="宋体"/>
                      <w:sz w:val="19"/>
                    </w:rPr>
                    <w:t>或</w:t>
                  </w:r>
                  <w:r>
                    <w:rPr>
                      <w:rFonts w:ascii="calibri" w:hAnsi="calibri" w:cs="calibri" w:eastAsia="calibri"/>
                      <w:sz w:val="19"/>
                    </w:rPr>
                    <w:t>1:300</w:t>
                  </w:r>
                </w:p>
              </w:tc>
            </w:tr>
            <w:tr>
              <w:tc>
                <w:tcPr>
                  <w:tcW w:type="dxa" w:w="417"/>
                  <w:vMerge/>
                  <w:tcBorders>
                    <w:top w:val="none" w:color="000000" w:sz="4"/>
                    <w:left w:val="single" w:color="000000" w:sz="4"/>
                    <w:bottom w:val="single" w:color="000000" w:sz="4"/>
                    <w:right w:val="single" w:color="000000" w:sz="4"/>
                  </w:tcBorders>
                </w:tc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平、立、剖面图</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1:100</w:t>
                  </w:r>
                  <w:r>
                    <w:rPr>
                      <w:rFonts w:ascii="宋体" w:hAnsi="宋体" w:cs="宋体" w:eastAsia="宋体"/>
                      <w:sz w:val="19"/>
                    </w:rPr>
                    <w:t>、</w:t>
                  </w:r>
                  <w:r>
                    <w:rPr>
                      <w:rFonts w:ascii="calibri" w:hAnsi="calibri" w:cs="calibri" w:eastAsia="calibri"/>
                      <w:sz w:val="19"/>
                    </w:rPr>
                    <w:t>1:150</w:t>
                  </w:r>
                  <w:r>
                    <w:rPr>
                      <w:rFonts w:ascii="宋体" w:hAnsi="宋体" w:cs="宋体" w:eastAsia="宋体"/>
                      <w:sz w:val="19"/>
                    </w:rPr>
                    <w:t>或</w:t>
                  </w:r>
                  <w:r>
                    <w:rPr>
                      <w:rFonts w:ascii="calibri" w:hAnsi="calibri" w:cs="calibri" w:eastAsia="calibri"/>
                      <w:sz w:val="19"/>
                    </w:rPr>
                    <w:t>1:200</w:t>
                  </w:r>
                </w:p>
              </w:tc>
            </w:tr>
            <w:tr>
              <w:tc>
                <w:tcPr>
                  <w:tcW w:type="dxa" w:w="417"/>
                  <w:vMerge/>
                  <w:tcBorders>
                    <w:top w:val="none" w:color="000000" w:sz="4"/>
                    <w:left w:val="single" w:color="000000" w:sz="4"/>
                    <w:bottom w:val="single" w:color="000000" w:sz="4"/>
                    <w:right w:val="single" w:color="000000" w:sz="4"/>
                  </w:tcBorders>
                </w:tc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详图</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1:5</w:t>
                  </w:r>
                  <w:r>
                    <w:rPr>
                      <w:rFonts w:ascii="宋体" w:hAnsi="宋体" w:cs="宋体" w:eastAsia="宋体"/>
                      <w:sz w:val="19"/>
                    </w:rPr>
                    <w:t>、</w:t>
                  </w:r>
                  <w:r>
                    <w:rPr>
                      <w:rFonts w:ascii="calibri" w:hAnsi="calibri" w:cs="calibri" w:eastAsia="calibri"/>
                      <w:sz w:val="19"/>
                    </w:rPr>
                    <w:t>1:10</w:t>
                  </w:r>
                  <w:r>
                    <w:rPr>
                      <w:rFonts w:ascii="宋体" w:hAnsi="宋体" w:cs="宋体" w:eastAsia="宋体"/>
                      <w:sz w:val="19"/>
                    </w:rPr>
                    <w:t>、</w:t>
                  </w:r>
                  <w:r>
                    <w:rPr>
                      <w:rFonts w:ascii="calibri" w:hAnsi="calibri" w:cs="calibri" w:eastAsia="calibri"/>
                      <w:sz w:val="19"/>
                    </w:rPr>
                    <w:t>1:15</w:t>
                  </w:r>
                  <w:r>
                    <w:rPr>
                      <w:rFonts w:ascii="宋体" w:hAnsi="宋体" w:cs="宋体" w:eastAsia="宋体"/>
                      <w:sz w:val="19"/>
                    </w:rPr>
                    <w:t>、</w:t>
                  </w:r>
                  <w:r>
                    <w:rPr>
                      <w:rFonts w:ascii="calibri" w:hAnsi="calibri" w:cs="calibri" w:eastAsia="calibri"/>
                      <w:sz w:val="19"/>
                    </w:rPr>
                    <w:t>1:20</w:t>
                  </w:r>
                  <w:r>
                    <w:rPr>
                      <w:rFonts w:ascii="宋体" w:hAnsi="宋体" w:cs="宋体" w:eastAsia="宋体"/>
                      <w:sz w:val="19"/>
                    </w:rPr>
                    <w:t>、</w:t>
                  </w:r>
                  <w:r>
                    <w:rPr>
                      <w:rFonts w:ascii="calibri" w:hAnsi="calibri" w:cs="calibri" w:eastAsia="calibri"/>
                      <w:sz w:val="19"/>
                    </w:rPr>
                    <w:t>1:25</w:t>
                  </w:r>
                  <w:r>
                    <w:rPr>
                      <w:rFonts w:ascii="宋体" w:hAnsi="宋体" w:cs="宋体" w:eastAsia="宋体"/>
                      <w:sz w:val="19"/>
                    </w:rPr>
                    <w:t>、</w:t>
                  </w:r>
                  <w:r>
                    <w:rPr>
                      <w:rFonts w:ascii="calibri" w:hAnsi="calibri" w:cs="calibri" w:eastAsia="calibri"/>
                      <w:sz w:val="19"/>
                    </w:rPr>
                    <w:t>1:30</w:t>
                  </w:r>
                </w:p>
              </w:tc>
            </w:tr>
            <w:tr>
              <w:tc>
                <w:tcPr>
                  <w:tcW w:type="dxa" w:w="4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简略测绘</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总平面图</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1:300</w:t>
                  </w:r>
                  <w:r>
                    <w:rPr>
                      <w:rFonts w:ascii="宋体" w:hAnsi="宋体" w:cs="宋体" w:eastAsia="宋体"/>
                      <w:sz w:val="19"/>
                    </w:rPr>
                    <w:t>或</w:t>
                  </w:r>
                  <w:r>
                    <w:rPr>
                      <w:rFonts w:ascii="calibri" w:hAnsi="calibri" w:cs="calibri" w:eastAsia="calibri"/>
                      <w:sz w:val="19"/>
                    </w:rPr>
                    <w:t>1:500</w:t>
                  </w:r>
                </w:p>
              </w:tc>
            </w:tr>
            <w:tr>
              <w:tc>
                <w:tcPr>
                  <w:tcW w:type="dxa" w:w="417"/>
                  <w:vMerge/>
                  <w:tcBorders>
                    <w:top w:val="none" w:color="000000" w:sz="4"/>
                    <w:left w:val="single" w:color="000000" w:sz="4"/>
                    <w:bottom w:val="single" w:color="000000" w:sz="4"/>
                    <w:right w:val="single" w:color="000000" w:sz="4"/>
                  </w:tcBorders>
                </w:tc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平、立、剖面图</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1:200</w:t>
                  </w:r>
                  <w:r>
                    <w:rPr>
                      <w:rFonts w:ascii="宋体" w:hAnsi="宋体" w:cs="宋体" w:eastAsia="宋体"/>
                      <w:sz w:val="19"/>
                    </w:rPr>
                    <w:t>或</w:t>
                  </w:r>
                  <w:r>
                    <w:rPr>
                      <w:rFonts w:ascii="calibri" w:hAnsi="calibri" w:cs="calibri" w:eastAsia="calibri"/>
                      <w:sz w:val="19"/>
                    </w:rPr>
                    <w:t>1:250</w:t>
                  </w:r>
                </w:p>
              </w:tc>
            </w:tr>
            <w:tr>
              <w:tc>
                <w:tcPr>
                  <w:tcW w:type="dxa" w:w="417"/>
                  <w:vMerge/>
                  <w:tcBorders>
                    <w:top w:val="none" w:color="000000" w:sz="4"/>
                    <w:left w:val="single" w:color="000000" w:sz="4"/>
                    <w:bottom w:val="single" w:color="000000" w:sz="4"/>
                    <w:right w:val="single" w:color="000000" w:sz="4"/>
                  </w:tcBorders>
                </w:tc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详图</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19"/>
                    </w:rPr>
                    <w:t>1:15</w:t>
                  </w:r>
                  <w:r>
                    <w:rPr>
                      <w:rFonts w:ascii="宋体" w:hAnsi="宋体" w:cs="宋体" w:eastAsia="宋体"/>
                      <w:sz w:val="19"/>
                    </w:rPr>
                    <w:t>、</w:t>
                  </w:r>
                  <w:r>
                    <w:rPr>
                      <w:rFonts w:ascii="calibri" w:hAnsi="calibri" w:cs="calibri" w:eastAsia="calibri"/>
                      <w:sz w:val="19"/>
                    </w:rPr>
                    <w:t>1:20</w:t>
                  </w:r>
                  <w:r>
                    <w:rPr>
                      <w:rFonts w:ascii="宋体" w:hAnsi="宋体" w:cs="宋体" w:eastAsia="宋体"/>
                      <w:sz w:val="19"/>
                    </w:rPr>
                    <w:t>、</w:t>
                  </w:r>
                  <w:r>
                    <w:rPr>
                      <w:rFonts w:ascii="calibri" w:hAnsi="calibri" w:cs="calibri" w:eastAsia="calibri"/>
                      <w:sz w:val="19"/>
                    </w:rPr>
                    <w:t>1:25</w:t>
                  </w:r>
                  <w:r>
                    <w:rPr>
                      <w:rFonts w:ascii="宋体" w:hAnsi="宋体" w:cs="宋体" w:eastAsia="宋体"/>
                      <w:sz w:val="19"/>
                    </w:rPr>
                    <w:t>、</w:t>
                  </w:r>
                  <w:r>
                    <w:rPr>
                      <w:rFonts w:ascii="calibri" w:hAnsi="calibri" w:cs="calibri" w:eastAsia="calibri"/>
                      <w:sz w:val="19"/>
                    </w:rPr>
                    <w:t>1:30</w:t>
                  </w:r>
                  <w:r>
                    <w:rPr>
                      <w:rFonts w:ascii="宋体" w:hAnsi="宋体" w:cs="宋体" w:eastAsia="宋体"/>
                      <w:sz w:val="19"/>
                    </w:rPr>
                    <w:t>、</w:t>
                  </w:r>
                  <w:r>
                    <w:rPr>
                      <w:rFonts w:ascii="calibri" w:hAnsi="calibri" w:cs="calibri" w:eastAsia="calibri"/>
                      <w:sz w:val="19"/>
                    </w:rPr>
                    <w:t>1:50</w:t>
                  </w:r>
                </w:p>
              </w:tc>
            </w:tr>
          </w:tbl>
          <w:p>
            <w:pPr>
              <w:pStyle w:val="null3"/>
              <w:jc w:val="both"/>
            </w:pPr>
            <w:r>
              <w:rPr>
                <w:rFonts w:ascii="times new roman, times, serif" w:hAnsi="times new roman, times, serif" w:cs="times new roman, times, serif" w:eastAsia="times new roman, times, serif"/>
                <w:sz w:val="21"/>
              </w:rPr>
              <w:t>6</w:t>
            </w:r>
            <w:r>
              <w:rPr>
                <w:rFonts w:ascii="宋体" w:hAnsi="宋体" w:cs="宋体" w:eastAsia="宋体"/>
                <w:sz w:val="21"/>
              </w:rPr>
              <w:t>、历史建筑的测绘图绘制应符合现行国家标准《房屋建筑制图统一标准》</w:t>
            </w:r>
            <w:r>
              <w:rPr>
                <w:rFonts w:ascii="times new roman, times, serif" w:hAnsi="times new roman, times, serif" w:cs="times new roman, times, serif" w:eastAsia="times new roman, times, serif"/>
                <w:sz w:val="21"/>
              </w:rPr>
              <w:t>GB/T50001</w:t>
            </w:r>
            <w:r>
              <w:rPr>
                <w:rFonts w:ascii="宋体" w:hAnsi="宋体" w:cs="宋体" w:eastAsia="宋体"/>
                <w:sz w:val="21"/>
              </w:rPr>
              <w:t>、《建筑制图标准》</w:t>
            </w:r>
            <w:r>
              <w:rPr>
                <w:rFonts w:ascii="times new roman, times, serif" w:hAnsi="times new roman, times, serif" w:cs="times new roman, times, serif" w:eastAsia="times new roman, times, serif"/>
                <w:sz w:val="21"/>
              </w:rPr>
              <w:t>GB/T50104</w:t>
            </w:r>
            <w:r>
              <w:rPr>
                <w:rFonts w:ascii="宋体" w:hAnsi="宋体" w:cs="宋体" w:eastAsia="宋体"/>
                <w:sz w:val="21"/>
              </w:rPr>
              <w:t>《总图制图标准》</w:t>
            </w:r>
            <w:r>
              <w:rPr>
                <w:rFonts w:ascii="times new roman, times, serif" w:hAnsi="times new roman, times, serif" w:cs="times new roman, times, serif" w:eastAsia="times new roman, times, serif"/>
                <w:sz w:val="21"/>
              </w:rPr>
              <w:t xml:space="preserve">GB/T50103 </w:t>
            </w:r>
            <w:r>
              <w:rPr>
                <w:rFonts w:ascii="宋体" w:hAnsi="宋体" w:cs="宋体" w:eastAsia="宋体"/>
                <w:sz w:val="21"/>
              </w:rPr>
              <w:t>的有关规定。</w:t>
            </w:r>
          </w:p>
        </w:tc>
      </w:tr>
    </w:tbl>
    <w:p>
      <w:pPr>
        <w:pStyle w:val="null3"/>
        <w:outlineLvl w:val="2"/>
      </w:pPr>
      <w:r>
        <w:rPr>
          <w:sz w:val="28"/>
          <w:b/>
        </w:rPr>
        <w:t>3.2.3人员配置要求</w:t>
      </w:r>
    </w:p>
    <w:p>
      <w:pPr>
        <w:pStyle w:val="null3"/>
      </w:pPr>
      <w:r>
        <w:rPr/>
        <w:t>采购包1：</w:t>
      </w:r>
    </w:p>
    <w:p>
      <w:pPr>
        <w:pStyle w:val="null3"/>
      </w:pPr>
      <w:r>
        <w:rPr/>
        <w:t>按本项目服务要求，实行标准规范化组织与管理，投入经过严格培训，能够胜任项目工作任务的相关人员，保证项目顺利实施。</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合同签订之日起30个日历日。</w:t>
      </w:r>
    </w:p>
    <w:p>
      <w:pPr>
        <w:pStyle w:val="null3"/>
        <w:outlineLvl w:val="3"/>
      </w:pPr>
      <w:r>
        <w:rPr>
          <w:sz w:val="24"/>
          <w:b/>
        </w:rPr>
        <w:t>3.3.2服务地点</w:t>
      </w:r>
    </w:p>
    <w:p>
      <w:pPr>
        <w:pStyle w:val="null3"/>
      </w:pPr>
      <w:r>
        <w:rPr/>
        <w:t>采购包1：</w:t>
      </w:r>
    </w:p>
    <w:p>
      <w:pPr>
        <w:pStyle w:val="null3"/>
      </w:pPr>
      <w:r>
        <w:rPr/>
        <w:t>铜川市耀州区</w:t>
      </w:r>
    </w:p>
    <w:p>
      <w:pPr>
        <w:pStyle w:val="null3"/>
        <w:outlineLvl w:val="3"/>
      </w:pPr>
      <w:r>
        <w:rPr>
          <w:sz w:val="24"/>
          <w:b/>
        </w:rPr>
        <w:t>3.3.3考核（验收）标准和方法</w:t>
      </w:r>
    </w:p>
    <w:p>
      <w:pPr>
        <w:pStyle w:val="null3"/>
      </w:pPr>
      <w:r>
        <w:rPr/>
        <w:t>采购包1：</w:t>
      </w:r>
    </w:p>
    <w:p>
      <w:pPr>
        <w:pStyle w:val="null3"/>
      </w:pPr>
      <w:r>
        <w:rPr/>
        <w:t>甲方有权根据国家有关服务规范规定，对乙方在服务期内的服务实施情况进行分期考核或检查，乙方须无条件接受甲方的各类考核或检查；若服务质量不符合采购要求，乙方应在一定期限进行整改完善，以甲方要求的标准提供合格服务；若乙方在接受检查整改后，仍不能提供符合采购要求的合格服务，甲方有权按违约予以撤项。</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 xml:space="preserve"> 合同签订后 ，达到付款条件</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经甲方组织相关专家等验收合格后</w:t>
      </w:r>
      <w:r>
        <w:rPr/>
        <w:t xml:space="preserve"> ，达到付款条件起 </w:t>
      </w:r>
      <w:r>
        <w:rPr/>
        <w:t>10</w:t>
      </w:r>
      <w:r>
        <w:rPr/>
        <w:t xml:space="preserve"> 日内，支付合同总金额的 </w:t>
      </w:r>
      <w:r>
        <w:rPr/>
        <w:t>70.00</w:t>
      </w:r>
      <w:r>
        <w:rPr/>
        <w:t>%。</w:t>
      </w:r>
    </w:p>
    <w:p>
      <w:pPr>
        <w:pStyle w:val="null3"/>
        <w:outlineLvl w:val="3"/>
      </w:pPr>
      <w:r>
        <w:rPr>
          <w:sz w:val="24"/>
          <w:b/>
        </w:rPr>
        <w:t>3.3.6违约责任及解决争议的方法</w:t>
      </w:r>
    </w:p>
    <w:p>
      <w:pPr>
        <w:pStyle w:val="null3"/>
      </w:pPr>
      <w:r>
        <w:rPr/>
        <w:t>采购包1：</w:t>
      </w:r>
    </w:p>
    <w:p>
      <w:pPr>
        <w:pStyle w:val="null3"/>
      </w:pPr>
      <w:r>
        <w:rPr/>
        <w:t>详见合同条款内容</w:t>
      </w:r>
    </w:p>
    <w:p>
      <w:pPr>
        <w:pStyle w:val="null3"/>
        <w:outlineLvl w:val="2"/>
      </w:pPr>
      <w:r>
        <w:rPr>
          <w:sz w:val="28"/>
          <w:b/>
        </w:rPr>
        <w:t>3.4其他要求</w:t>
      </w:r>
    </w:p>
    <w:p>
      <w:pPr>
        <w:pStyle w:val="null3"/>
      </w:pPr>
      <w:r>
        <w:rPr/>
        <w:t>一、供应商的磋商报价是供应商响应磋商项目要求的全部工作内容的价格体现，包括供应商完成本项目所需的直接费、间接费、利润、税金及其它相关的一切费用；包括但不限于：人工费、维护费、设备费、管理费、验收费、采购代理服务费、利润和税金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朱雀大街南段汇成天玺酒店C座11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供应商需在项目电子化交易系统中按要求填写《响应函》完成承诺并进行电子签章,并按磋商文件中的附件“资格证明部分”格式要求提供相关证明资料。</w:t>
            </w:r>
          </w:p>
        </w:tc>
        <w:tc>
          <w:tcPr>
            <w:tcW w:type="dxa" w:w="1661"/>
          </w:tcPr>
          <w:p>
            <w:pPr>
              <w:pStyle w:val="null3"/>
            </w:pPr>
            <w:r>
              <w:rPr/>
              <w:t>资格证明部分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供应商财务会计报告（包括审计报告、资产负债表、利润表、现金流量表、所有者权益变动表及其附注，成立时间至提交响应文件截止时间不足1年的可提供成立后任意时段的资产负债表），或其提交响应文件截止时间前3个月其基本账户开户银行出具的资信证明（附基本存款账户信息）；公益类事业单位无需提供财务审计报告；（以上形式的资料提供任何一种即可），供应商需在项目电子化交易系统中按要求上传相应证明文件并进行电子签章。</w:t>
            </w:r>
          </w:p>
        </w:tc>
        <w:tc>
          <w:tcPr>
            <w:tcW w:type="dxa" w:w="1661"/>
          </w:tcPr>
          <w:p>
            <w:pPr>
              <w:pStyle w:val="null3"/>
            </w:pPr>
            <w:r>
              <w:rPr/>
              <w:t>资格证明部分</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资格证明部分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应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tc>
        <w:tc>
          <w:tcPr>
            <w:tcW w:type="dxa" w:w="1661"/>
          </w:tcPr>
          <w:p>
            <w:pPr>
              <w:pStyle w:val="null3"/>
            </w:pPr>
            <w:r>
              <w:rPr/>
              <w:t>资格证明部分</w:t>
            </w:r>
          </w:p>
        </w:tc>
      </w:tr>
      <w:tr>
        <w:tc>
          <w:tcPr>
            <w:tcW w:type="dxa" w:w="831"/>
          </w:tcPr>
          <w:p>
            <w:pPr>
              <w:pStyle w:val="null3"/>
            </w:pPr>
            <w:r>
              <w:rPr/>
              <w:t>2</w:t>
            </w:r>
          </w:p>
        </w:tc>
        <w:tc>
          <w:tcPr>
            <w:tcW w:type="dxa" w:w="2492"/>
          </w:tcPr>
          <w:p>
            <w:pPr>
              <w:pStyle w:val="null3"/>
            </w:pPr>
            <w:r>
              <w:rPr/>
              <w:t>财务审计报告</w:t>
            </w:r>
          </w:p>
        </w:tc>
        <w:tc>
          <w:tcPr>
            <w:tcW w:type="dxa" w:w="3322"/>
          </w:tcPr>
          <w:p>
            <w:pPr>
              <w:pStyle w:val="null3"/>
            </w:pPr>
            <w:r>
              <w:rPr/>
              <w:t>提供2023年度经审计的供应商财务会计报告（包括审计报告、资产负债表、利润表、现金流量表、所有者权益变动表及其附注，成立时间至提交响应文件截止时间不足1年的可提供成立后任意时段的资产负债表），或其提交响应文件截止时间前3个月其基本账户开户银行出具的资信证明（附基本存款账户信息）；公益类事业单位无需提供财务审计报告；（以上形式的资料提供任何一种即可）。</w:t>
            </w:r>
          </w:p>
        </w:tc>
        <w:tc>
          <w:tcPr>
            <w:tcW w:type="dxa" w:w="1661"/>
          </w:tcPr>
          <w:p>
            <w:pPr>
              <w:pStyle w:val="null3"/>
            </w:pPr>
            <w:r>
              <w:rPr/>
              <w:t>资格证明部分</w:t>
            </w:r>
          </w:p>
        </w:tc>
      </w:tr>
      <w:tr>
        <w:tc>
          <w:tcPr>
            <w:tcW w:type="dxa" w:w="831"/>
          </w:tcPr>
          <w:p>
            <w:pPr>
              <w:pStyle w:val="null3"/>
            </w:pPr>
            <w:r>
              <w:rPr/>
              <w:t>3</w:t>
            </w:r>
          </w:p>
        </w:tc>
        <w:tc>
          <w:tcPr>
            <w:tcW w:type="dxa" w:w="2492"/>
          </w:tcPr>
          <w:p>
            <w:pPr>
              <w:pStyle w:val="null3"/>
            </w:pPr>
            <w:r>
              <w:rPr/>
              <w:t>单位资质</w:t>
            </w:r>
          </w:p>
        </w:tc>
        <w:tc>
          <w:tcPr>
            <w:tcW w:type="dxa" w:w="3322"/>
          </w:tcPr>
          <w:p>
            <w:pPr>
              <w:pStyle w:val="null3"/>
            </w:pPr>
            <w:r>
              <w:rPr/>
              <w:t xml:space="preserve">供应商具有行政主管部门颁发的乙级及以上测绘资质； </w:t>
            </w:r>
          </w:p>
        </w:tc>
        <w:tc>
          <w:tcPr>
            <w:tcW w:type="dxa" w:w="1661"/>
          </w:tcPr>
          <w:p>
            <w:pPr>
              <w:pStyle w:val="null3"/>
            </w:pPr>
            <w:r>
              <w:rPr/>
              <w:t>资格证明部分</w:t>
            </w:r>
          </w:p>
        </w:tc>
      </w:tr>
      <w:tr>
        <w:tc>
          <w:tcPr>
            <w:tcW w:type="dxa" w:w="831"/>
          </w:tcPr>
          <w:p>
            <w:pPr>
              <w:pStyle w:val="null3"/>
            </w:pPr>
            <w:r>
              <w:rPr/>
              <w:t>4</w:t>
            </w:r>
          </w:p>
        </w:tc>
        <w:tc>
          <w:tcPr>
            <w:tcW w:type="dxa" w:w="2492"/>
          </w:tcPr>
          <w:p>
            <w:pPr>
              <w:pStyle w:val="null3"/>
            </w:pPr>
            <w:r>
              <w:rPr/>
              <w:t>专业技术能力承诺函</w:t>
            </w:r>
          </w:p>
        </w:tc>
        <w:tc>
          <w:tcPr>
            <w:tcW w:type="dxa" w:w="3322"/>
          </w:tcPr>
          <w:p>
            <w:pPr>
              <w:pStyle w:val="null3"/>
            </w:pPr>
            <w:r>
              <w:rPr/>
              <w:t>提供具有履行合同所必需的设备和专业技术能力的承诺函</w:t>
            </w:r>
          </w:p>
        </w:tc>
        <w:tc>
          <w:tcPr>
            <w:tcW w:type="dxa" w:w="1661"/>
          </w:tcPr>
          <w:p>
            <w:pPr>
              <w:pStyle w:val="null3"/>
            </w:pPr>
            <w:r>
              <w:rPr/>
              <w:t>资格证明部分</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提供2023年9月至今至少一个月的纳税证明或完税证明（时间以税款所属日期为准），依法免税的单位应提供相关证明材料；</w:t>
            </w:r>
          </w:p>
        </w:tc>
        <w:tc>
          <w:tcPr>
            <w:tcW w:type="dxa" w:w="1661"/>
          </w:tcPr>
          <w:p>
            <w:pPr>
              <w:pStyle w:val="null3"/>
            </w:pPr>
            <w:r>
              <w:rPr/>
              <w:t>资格证明部分</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提供2023年9月至今至少一个月的社会保障资金缴存单据或社保机构开具的社会保险参保缴费情况证明，依法不需要缴纳社会保障资金的单位应提供相关证明材料；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资格证明部分</w:t>
            </w:r>
          </w:p>
        </w:tc>
      </w:tr>
      <w:tr>
        <w:tc>
          <w:tcPr>
            <w:tcW w:type="dxa" w:w="831"/>
          </w:tcPr>
          <w:p>
            <w:pPr>
              <w:pStyle w:val="null3"/>
            </w:pPr>
            <w:r>
              <w:rPr/>
              <w:t>7</w:t>
            </w:r>
          </w:p>
        </w:tc>
        <w:tc>
          <w:tcPr>
            <w:tcW w:type="dxa" w:w="2492"/>
          </w:tcPr>
          <w:p>
            <w:pPr>
              <w:pStyle w:val="null3"/>
            </w:pPr>
            <w:r>
              <w:rPr/>
              <w:t>无违法犯罪记录声明</w:t>
            </w:r>
          </w:p>
        </w:tc>
        <w:tc>
          <w:tcPr>
            <w:tcW w:type="dxa" w:w="3322"/>
          </w:tcPr>
          <w:p>
            <w:pPr>
              <w:pStyle w:val="null3"/>
            </w:pPr>
            <w:r>
              <w:rPr/>
              <w:t>提供供应商参加政府采购活动前三年内在经营活动中没有重大违法或不良记录的书面声明函</w:t>
            </w:r>
          </w:p>
        </w:tc>
        <w:tc>
          <w:tcPr>
            <w:tcW w:type="dxa" w:w="1661"/>
          </w:tcPr>
          <w:p>
            <w:pPr>
              <w:pStyle w:val="null3"/>
            </w:pPr>
            <w:r>
              <w:rPr/>
              <w:t>资格证明部分</w:t>
            </w:r>
          </w:p>
        </w:tc>
      </w:tr>
      <w:tr>
        <w:tc>
          <w:tcPr>
            <w:tcW w:type="dxa" w:w="831"/>
          </w:tcPr>
          <w:p>
            <w:pPr>
              <w:pStyle w:val="null3"/>
            </w:pPr>
            <w:r>
              <w:rPr/>
              <w:t>8</w:t>
            </w:r>
          </w:p>
        </w:tc>
        <w:tc>
          <w:tcPr>
            <w:tcW w:type="dxa" w:w="2492"/>
          </w:tcPr>
          <w:p>
            <w:pPr>
              <w:pStyle w:val="null3"/>
            </w:pPr>
            <w:r>
              <w:rPr/>
              <w:t>控股关系</w:t>
            </w:r>
          </w:p>
        </w:tc>
        <w:tc>
          <w:tcPr>
            <w:tcW w:type="dxa" w:w="3322"/>
          </w:tcPr>
          <w:p>
            <w:pPr>
              <w:pStyle w:val="null3"/>
            </w:pPr>
            <w:r>
              <w:rPr/>
              <w:t>单位负责人为同一人或者存在直接控股、管理关系的不同单位，不得参加同一项下的政府采购活动。</w:t>
            </w:r>
          </w:p>
        </w:tc>
        <w:tc>
          <w:tcPr>
            <w:tcW w:type="dxa" w:w="1661"/>
          </w:tcPr>
          <w:p>
            <w:pPr>
              <w:pStyle w:val="null3"/>
            </w:pPr>
            <w:r>
              <w:rPr/>
              <w:t>资格证明部分</w:t>
            </w:r>
          </w:p>
        </w:tc>
      </w:tr>
      <w:tr>
        <w:tc>
          <w:tcPr>
            <w:tcW w:type="dxa" w:w="831"/>
          </w:tcPr>
          <w:p>
            <w:pPr>
              <w:pStyle w:val="null3"/>
            </w:pPr>
            <w:r>
              <w:rPr/>
              <w:t>9</w:t>
            </w:r>
          </w:p>
        </w:tc>
        <w:tc>
          <w:tcPr>
            <w:tcW w:type="dxa" w:w="2492"/>
          </w:tcPr>
          <w:p>
            <w:pPr>
              <w:pStyle w:val="null3"/>
            </w:pPr>
            <w:r>
              <w:rPr/>
              <w:t>合法授权或法人身份证明</w:t>
            </w:r>
          </w:p>
        </w:tc>
        <w:tc>
          <w:tcPr>
            <w:tcW w:type="dxa" w:w="3322"/>
          </w:tcPr>
          <w:p>
            <w:pPr>
              <w:pStyle w:val="null3"/>
            </w:pPr>
            <w:r>
              <w:rPr/>
              <w:t>法定代表人（或负责人）授权委托书及被授权人身份证件；（法定代表人（或负责人）直接参加时，只须出示法定代表人（或负责人）身份证件）；</w:t>
            </w:r>
          </w:p>
        </w:tc>
        <w:tc>
          <w:tcPr>
            <w:tcW w:type="dxa" w:w="1661"/>
          </w:tcPr>
          <w:p>
            <w:pPr>
              <w:pStyle w:val="null3"/>
            </w:pPr>
            <w:r>
              <w:rPr/>
              <w:t>资格证明部分</w:t>
            </w:r>
          </w:p>
        </w:tc>
      </w:tr>
      <w:tr>
        <w:tc>
          <w:tcPr>
            <w:tcW w:type="dxa" w:w="831"/>
          </w:tcPr>
          <w:p>
            <w:pPr>
              <w:pStyle w:val="null3"/>
            </w:pPr>
            <w:r>
              <w:rPr/>
              <w:t>10</w:t>
            </w:r>
          </w:p>
        </w:tc>
        <w:tc>
          <w:tcPr>
            <w:tcW w:type="dxa" w:w="2492"/>
          </w:tcPr>
          <w:p>
            <w:pPr>
              <w:pStyle w:val="null3"/>
            </w:pPr>
            <w:r>
              <w:rPr/>
              <w:t>信用信息查询</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资格证明部分</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中小企业声明函 残疾人福利性单位声明函 商务技术部分 资格证明部分 标的清单 报价表 响应函 监狱企业的证明文件</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符合磋商文件有关签署、盖章要求</w:t>
            </w:r>
          </w:p>
        </w:tc>
        <w:tc>
          <w:tcPr>
            <w:tcW w:type="dxa" w:w="1661"/>
          </w:tcPr>
          <w:p>
            <w:pPr>
              <w:pStyle w:val="null3"/>
            </w:pPr>
            <w:r>
              <w:rPr/>
              <w:t>响应文件封面 中小企业声明函 残疾人福利性单位声明函 商务技术部分 资格证明部分 标的清单 响应函 监狱企业的证明文件</w:t>
            </w:r>
          </w:p>
        </w:tc>
      </w:tr>
      <w:tr>
        <w:tc>
          <w:tcPr>
            <w:tcW w:type="dxa" w:w="831"/>
          </w:tcPr>
          <w:p>
            <w:pPr>
              <w:pStyle w:val="null3"/>
            </w:pPr>
            <w:r>
              <w:rPr/>
              <w:t>3</w:t>
            </w:r>
          </w:p>
        </w:tc>
        <w:tc>
          <w:tcPr>
            <w:tcW w:type="dxa" w:w="2492"/>
          </w:tcPr>
          <w:p>
            <w:pPr>
              <w:pStyle w:val="null3"/>
            </w:pPr>
            <w:r>
              <w:rPr/>
              <w:t>响应文件格式</w:t>
            </w:r>
          </w:p>
        </w:tc>
        <w:tc>
          <w:tcPr>
            <w:tcW w:type="dxa" w:w="3322"/>
          </w:tcPr>
          <w:p>
            <w:pPr>
              <w:pStyle w:val="null3"/>
            </w:pPr>
            <w:r>
              <w:rPr/>
              <w:t>应符合“响应文件格式”要求（不得因文件排序等非实质性的格式、形式问题限制和影响供应商响应)</w:t>
            </w:r>
          </w:p>
        </w:tc>
        <w:tc>
          <w:tcPr>
            <w:tcW w:type="dxa" w:w="1661"/>
          </w:tcPr>
          <w:p>
            <w:pPr>
              <w:pStyle w:val="null3"/>
            </w:pPr>
            <w:r>
              <w:rPr/>
              <w:t>响应文件封面 中小企业声明函 残疾人福利性单位声明函 商务技术部分 资格证明部分 标的清单 响应函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只能有一个有效报价，不得提交选择性报价，且报价不超过第二章“供应商须知”前附表规定的采购预算金额或最高限价</w:t>
            </w:r>
          </w:p>
        </w:tc>
        <w:tc>
          <w:tcPr>
            <w:tcW w:type="dxa" w:w="1661"/>
          </w:tcPr>
          <w:p>
            <w:pPr>
              <w:pStyle w:val="null3"/>
            </w:pPr>
            <w:r>
              <w:rPr/>
              <w:t>响应文件封面 中小企业声明函 残疾人福利性单位声明函 商务技术部分 资格证明部分 标的清单 响应函 监狱企业的证明文件</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t>响应文件封面 中小企业声明函 残疾人福利性单位声明函 商务技术部分 资格证明部分 标的清单 响应函 监狱企业的证明文件</w:t>
            </w:r>
          </w:p>
        </w:tc>
      </w:tr>
      <w:tr>
        <w:tc>
          <w:tcPr>
            <w:tcW w:type="dxa" w:w="831"/>
          </w:tcPr>
          <w:p>
            <w:pPr>
              <w:pStyle w:val="null3"/>
            </w:pPr>
            <w:r>
              <w:rPr/>
              <w:t>6</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响应文件封面 中小企业声明函 残疾人福利性单位声明函 商务技术部分 资格证明部分 标的清单 响应函 监狱企业的证明文件</w:t>
            </w:r>
          </w:p>
        </w:tc>
      </w:tr>
      <w:tr>
        <w:tc>
          <w:tcPr>
            <w:tcW w:type="dxa" w:w="831"/>
          </w:tcPr>
          <w:p>
            <w:pPr>
              <w:pStyle w:val="null3"/>
            </w:pPr>
            <w:r>
              <w:rPr/>
              <w:t>7</w:t>
            </w:r>
          </w:p>
        </w:tc>
        <w:tc>
          <w:tcPr>
            <w:tcW w:type="dxa" w:w="2492"/>
          </w:tcPr>
          <w:p>
            <w:pPr>
              <w:pStyle w:val="null3"/>
            </w:pPr>
            <w:r>
              <w:rPr/>
              <w:t>服务期限</w:t>
            </w:r>
          </w:p>
        </w:tc>
        <w:tc>
          <w:tcPr>
            <w:tcW w:type="dxa" w:w="3322"/>
          </w:tcPr>
          <w:p>
            <w:pPr>
              <w:pStyle w:val="null3"/>
            </w:pPr>
            <w:r>
              <w:rPr/>
              <w:t>应符合磋商文件中采购需求的规定</w:t>
            </w:r>
          </w:p>
        </w:tc>
        <w:tc>
          <w:tcPr>
            <w:tcW w:type="dxa" w:w="1661"/>
          </w:tcPr>
          <w:p>
            <w:pPr>
              <w:pStyle w:val="null3"/>
            </w:pPr>
            <w:r>
              <w:rPr/>
              <w:t>响应文件封面 中小企业声明函 残疾人福利性单位声明函 商务技术部分 资格证明部分 标的清单 响应函 监狱企业的证明文件</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应符合磋商文件中的规定</w:t>
            </w:r>
          </w:p>
        </w:tc>
        <w:tc>
          <w:tcPr>
            <w:tcW w:type="dxa" w:w="1661"/>
          </w:tcPr>
          <w:p>
            <w:pPr>
              <w:pStyle w:val="null3"/>
            </w:pPr>
            <w:r>
              <w:rPr/>
              <w:t>响应文件封面 中小企业声明函 残疾人福利性单位声明函 商务技术部分 资格证明部分 标的清单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技术方案</w:t>
            </w:r>
          </w:p>
        </w:tc>
        <w:tc>
          <w:tcPr>
            <w:tcW w:type="dxa" w:w="2492"/>
          </w:tcPr>
          <w:p>
            <w:pPr>
              <w:pStyle w:val="null3"/>
            </w:pPr>
            <w:r>
              <w:rPr/>
              <w:t>供应商针对本项目提供技术方案，方案内容包括：①项目整体情况概括；②历史建筑保护措施及方案；③具体实施方案；④工作步骤；⑤成果提交。技术方案内容全面、完善、合理可行，针对性强，计12.1-18分；技术方案内容基本全面，有一定针对性，计6.1-12分；技术方案内容有欠缺，针对性不足，计1-6分；不合理或未提供，计0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项目组织结构方案</w:t>
            </w:r>
          </w:p>
        </w:tc>
        <w:tc>
          <w:tcPr>
            <w:tcW w:type="dxa" w:w="2492"/>
          </w:tcPr>
          <w:p>
            <w:pPr>
              <w:pStyle w:val="null3"/>
            </w:pPr>
            <w:r>
              <w:rPr/>
              <w:t>供应商针对本项目提供项目组织结构方案，方案内容包括：①项目管理机构图；②工作职能组织运行图；③项目成员的管理职责及内部管理的职责分工；④日常管理制度；⑤考核办法。项目组织管理机构分工合理、责任明确，针对性强，计12.1-18分；项目组织管理机构分工较合理、责任较明确，有一定针对性的计6.1-12分；项目组织管理机构分工不合理、责任不明确，内容有欠缺，针对性不足，计1-6分；不合理或未提供，计0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保障措施方案</w:t>
            </w:r>
          </w:p>
        </w:tc>
        <w:tc>
          <w:tcPr>
            <w:tcW w:type="dxa" w:w="2492"/>
          </w:tcPr>
          <w:p>
            <w:pPr>
              <w:pStyle w:val="null3"/>
            </w:pPr>
            <w:r>
              <w:rPr/>
              <w:t>供应商针对本项目提供保障措施方案，方案内容包括：①项目进度计划；②进度保障措施；③质量保障措施；④成果保密方案。措施完善、体系健全、安排合理；计10.1-15分；措施较完善、体系健全、工作安排考虑欠缺；计5.1-10分；措施不完善、体系不健全、工作安排考虑欠缺；计1-5分。不合理或未提供，计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售后服务方案</w:t>
            </w:r>
          </w:p>
        </w:tc>
        <w:tc>
          <w:tcPr>
            <w:tcW w:type="dxa" w:w="2492"/>
          </w:tcPr>
          <w:p>
            <w:pPr>
              <w:pStyle w:val="null3"/>
            </w:pPr>
            <w:r>
              <w:rPr/>
              <w:t>供应商针对本项目提供的售后服务方案，方案内容包括：①后期服务人员配置、响应时间；②后期服务承诺；③后期服务联系方式；④ 现场服务支持能力；⑤应急情况处理方式.售后服务承诺完善、合理可行的计5.1-10分；售后服务承诺简单，合理可行的计1-5；不合理或未提供，计0分。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突发事件应急预案及合理化建议</w:t>
            </w:r>
          </w:p>
        </w:tc>
        <w:tc>
          <w:tcPr>
            <w:tcW w:type="dxa" w:w="2492"/>
          </w:tcPr>
          <w:p>
            <w:pPr>
              <w:pStyle w:val="null3"/>
            </w:pPr>
            <w:r>
              <w:rPr/>
              <w:t>突发事件应急预案不限于突发情况、雨雪恶劣天气等方面，突发事件应急预案及合理化建议详细，实用，切实可行得3.1-5分；突发事件应急预案及合理化建议，可行性较差得1-3分；不合理或未提供，计0分。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保密方案</w:t>
            </w:r>
          </w:p>
        </w:tc>
        <w:tc>
          <w:tcPr>
            <w:tcW w:type="dxa" w:w="2492"/>
          </w:tcPr>
          <w:p>
            <w:pPr>
              <w:pStyle w:val="null3"/>
            </w:pPr>
            <w:r>
              <w:rPr/>
              <w:t>具有完善的保密措施和保密方案，从管理、人员、技术、成果文件等各个方面，全面保证采购人数据及相关信息不泄密，保密承诺详细可行得3.1-5分；保密方案简略，可行性较差得1-3；不合理或未提供，计0分。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拟投入设备</w:t>
            </w:r>
          </w:p>
        </w:tc>
        <w:tc>
          <w:tcPr>
            <w:tcW w:type="dxa" w:w="2492"/>
          </w:tcPr>
          <w:p>
            <w:pPr>
              <w:pStyle w:val="null3"/>
            </w:pPr>
            <w:r>
              <w:rPr/>
              <w:t>针对本项目采购需求，提供拟投入的设备机械充足，能较好地满足测绘使用需求得2.1-4分；拟投入设备机械较差，不能较好地满足测绘使用需求得1-2分；不合理或未提供，计0分。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类似业绩</w:t>
            </w:r>
          </w:p>
        </w:tc>
        <w:tc>
          <w:tcPr>
            <w:tcW w:type="dxa" w:w="2492"/>
          </w:tcPr>
          <w:p>
            <w:pPr>
              <w:pStyle w:val="null3"/>
            </w:pPr>
            <w:r>
              <w:rPr/>
              <w:t>供应商自2021年1月1日（含）以来，每具有1个与本项目类似业绩的得2分,本项最多得6分。 注：1、提供中标（成交）通知书或合同复印件并加盖并供应商公章；以合同签订时间为准。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商务技术部分</w:t>
            </w:r>
          </w:p>
        </w:tc>
      </w:tr>
      <w:tr>
        <w:tc>
          <w:tcPr>
            <w:tcW w:type="dxa" w:w="831"/>
            <w:vMerge/>
          </w:tcPr>
          <w:p/>
        </w:tc>
        <w:tc>
          <w:tcPr>
            <w:tcW w:type="dxa" w:w="1661"/>
          </w:tcPr>
          <w:p>
            <w:pPr>
              <w:pStyle w:val="null3"/>
            </w:pPr>
            <w:r>
              <w:rPr/>
              <w:t>人员配置</w:t>
            </w:r>
          </w:p>
        </w:tc>
        <w:tc>
          <w:tcPr>
            <w:tcW w:type="dxa" w:w="2492"/>
          </w:tcPr>
          <w:p>
            <w:pPr>
              <w:pStyle w:val="null3"/>
            </w:pPr>
            <w:r>
              <w:rPr/>
              <w:t>1、项目负责人：具备测绘专业中级及以上技术职称，计1分； 2、拟投入本项目组成员中（除项目负责人外）具备测绘专业中级及以上技术职称每提供1个计1分，满分3分。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商务技术部分</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投标报价得分=(评标基准价／投标报价)×价格权值×100.计算分数时四舍五入取小数点后两位</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标的清单</w:t>
            </w:r>
          </w:p>
          <w:p>
            <w:pPr>
              <w:pStyle w:val="null3"/>
            </w:pPr>
            <w:r>
              <w:rPr/>
              <w:t>报价表</w:t>
            </w:r>
          </w:p>
          <w:p>
            <w:pPr>
              <w:pStyle w:val="null3"/>
            </w:pPr>
            <w:r>
              <w:rPr/>
              <w:t>响应函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详见附件：资格证明部分</w:t>
      </w:r>
    </w:p>
    <w:p>
      <w:pPr>
        <w:pStyle w:val="null3"/>
        <w:ind w:firstLine="960"/>
      </w:pPr>
      <w:r>
        <w:rPr/>
        <w:t>详见附件：商务技术部分</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详见附件：第八章 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