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hint="eastAsia" w:ascii="宋体" w:hAnsi="宋体" w:eastAsia="宋体" w:cs="宋体"/>
          <w:b/>
          <w:bCs/>
          <w:sz w:val="44"/>
          <w:szCs w:val="32"/>
          <w:highlight w:val="none"/>
        </w:rPr>
      </w:pPr>
    </w:p>
    <w:p>
      <w:pPr>
        <w:spacing w:line="720" w:lineRule="exact"/>
        <w:jc w:val="center"/>
        <w:rPr>
          <w:rFonts w:hint="eastAsia" w:ascii="宋体" w:hAnsi="宋体" w:eastAsia="宋体" w:cs="宋体"/>
          <w:b/>
          <w:bCs/>
          <w:sz w:val="44"/>
          <w:szCs w:val="32"/>
          <w:highlight w:val="none"/>
        </w:rPr>
      </w:pPr>
    </w:p>
    <w:p>
      <w:pPr>
        <w:jc w:val="center"/>
        <w:rPr>
          <w:rFonts w:hint="eastAsia" w:ascii="宋体" w:hAnsi="宋体" w:eastAsia="宋体" w:cs="宋体"/>
          <w:b/>
          <w:sz w:val="48"/>
          <w:szCs w:val="48"/>
        </w:rPr>
      </w:pPr>
      <w:r>
        <w:rPr>
          <w:rFonts w:hint="eastAsia" w:ascii="宋体" w:hAnsi="宋体" w:eastAsia="宋体" w:cs="宋体"/>
          <w:b/>
          <w:sz w:val="48"/>
          <w:szCs w:val="48"/>
        </w:rPr>
        <w:t>铜川市公安局耀州分局</w:t>
      </w:r>
    </w:p>
    <w:p>
      <w:pPr>
        <w:jc w:val="center"/>
        <w:rPr>
          <w:rFonts w:hint="eastAsia" w:ascii="宋体" w:hAnsi="宋体" w:eastAsia="宋体" w:cs="宋体"/>
          <w:b/>
          <w:sz w:val="48"/>
          <w:szCs w:val="48"/>
        </w:rPr>
      </w:pPr>
      <w:r>
        <w:rPr>
          <w:rFonts w:hint="eastAsia" w:ascii="宋体" w:hAnsi="宋体" w:eastAsia="宋体" w:cs="宋体"/>
          <w:b/>
          <w:sz w:val="48"/>
          <w:szCs w:val="48"/>
        </w:rPr>
        <w:t xml:space="preserve"> 2024年9月至2026年8月移动警务</w:t>
      </w:r>
    </w:p>
    <w:p>
      <w:pPr>
        <w:jc w:val="center"/>
        <w:rPr>
          <w:rFonts w:hint="eastAsia" w:ascii="宋体" w:hAnsi="宋体" w:eastAsia="宋体" w:cs="宋体"/>
          <w:sz w:val="48"/>
          <w:szCs w:val="48"/>
          <w:highlight w:val="none"/>
        </w:rPr>
      </w:pPr>
      <w:r>
        <w:rPr>
          <w:rFonts w:hint="eastAsia" w:ascii="宋体" w:hAnsi="宋体" w:eastAsia="宋体" w:cs="宋体"/>
          <w:b/>
          <w:sz w:val="48"/>
          <w:szCs w:val="48"/>
        </w:rPr>
        <w:t>信息查询服务项目</w:t>
      </w:r>
    </w:p>
    <w:p>
      <w:pPr>
        <w:spacing w:before="120" w:line="360" w:lineRule="auto"/>
        <w:jc w:val="center"/>
        <w:rPr>
          <w:rFonts w:hint="eastAsia" w:ascii="宋体" w:hAnsi="宋体" w:eastAsia="宋体" w:cs="宋体"/>
          <w:b/>
          <w:bCs/>
          <w:sz w:val="36"/>
          <w:szCs w:val="36"/>
          <w:highlight w:val="none"/>
        </w:rPr>
      </w:pPr>
    </w:p>
    <w:p>
      <w:pPr>
        <w:spacing w:before="120" w:line="360" w:lineRule="auto"/>
        <w:jc w:val="center"/>
        <w:rPr>
          <w:rFonts w:hint="eastAsia" w:ascii="宋体" w:hAnsi="宋体" w:eastAsia="宋体" w:cs="宋体"/>
          <w:b/>
          <w:bCs/>
          <w:sz w:val="36"/>
          <w:szCs w:val="36"/>
          <w:highlight w:val="none"/>
        </w:rPr>
      </w:pPr>
    </w:p>
    <w:p>
      <w:pPr>
        <w:pStyle w:val="4"/>
        <w:rPr>
          <w:rFonts w:hint="eastAsia"/>
        </w:rPr>
      </w:pPr>
    </w:p>
    <w:p>
      <w:pPr>
        <w:spacing w:before="120" w:line="360" w:lineRule="auto"/>
        <w:jc w:val="center"/>
        <w:rPr>
          <w:rFonts w:hint="eastAsia" w:ascii="宋体" w:hAnsi="宋体" w:eastAsia="宋体" w:cs="宋体"/>
          <w:b/>
          <w:bCs/>
          <w:sz w:val="36"/>
          <w:szCs w:val="36"/>
          <w:highlight w:val="none"/>
        </w:rPr>
      </w:pPr>
    </w:p>
    <w:p>
      <w:pPr>
        <w:spacing w:before="120" w:line="360" w:lineRule="auto"/>
        <w:jc w:val="center"/>
        <w:rPr>
          <w:rFonts w:ascii="宋体" w:hAnsi="宋体" w:eastAsia="宋体" w:cs="宋体"/>
          <w:b/>
          <w:bCs/>
          <w:sz w:val="36"/>
          <w:szCs w:val="36"/>
          <w:highlight w:val="none"/>
        </w:rPr>
      </w:pPr>
      <w:r>
        <w:rPr>
          <w:rFonts w:hint="eastAsia" w:ascii="宋体" w:hAnsi="宋体" w:eastAsia="宋体" w:cs="宋体"/>
          <w:b/>
          <w:bCs/>
          <w:sz w:val="36"/>
          <w:szCs w:val="36"/>
          <w:highlight w:val="none"/>
        </w:rPr>
        <w:t>政</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府</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采</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购</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合</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同</w:t>
      </w:r>
    </w:p>
    <w:p>
      <w:pPr>
        <w:spacing w:before="120" w:line="360" w:lineRule="auto"/>
        <w:ind w:firstLine="2530" w:firstLineChars="900"/>
        <w:rPr>
          <w:rFonts w:ascii="宋体" w:hAnsi="宋体" w:eastAsia="宋体" w:cs="宋体"/>
          <w:sz w:val="28"/>
          <w:szCs w:val="28"/>
          <w:highlight w:val="none"/>
        </w:rPr>
      </w:pPr>
      <w:bookmarkStart w:id="0" w:name="_Toc109543216"/>
      <w:bookmarkStart w:id="1" w:name="_Toc109542396"/>
      <w:r>
        <w:rPr>
          <w:rFonts w:hint="eastAsia" w:ascii="宋体" w:hAnsi="宋体" w:eastAsia="宋体" w:cs="宋体"/>
          <w:b/>
          <w:bCs/>
          <w:sz w:val="28"/>
          <w:szCs w:val="28"/>
          <w:highlight w:val="none"/>
        </w:rPr>
        <w:t>合同编号：</w:t>
      </w:r>
      <w:bookmarkEnd w:id="0"/>
      <w:bookmarkEnd w:id="1"/>
      <w:r>
        <w:rPr>
          <w:rFonts w:hint="eastAsia" w:ascii="宋体" w:hAnsi="宋体" w:eastAsia="宋体" w:cs="宋体"/>
          <w:b/>
          <w:bCs/>
          <w:sz w:val="28"/>
          <w:szCs w:val="28"/>
          <w:highlight w:val="none"/>
          <w:lang w:eastAsia="zh-CN"/>
        </w:rPr>
        <w:t>SDZC2024-</w:t>
      </w:r>
      <w:r>
        <w:rPr>
          <w:rFonts w:hint="eastAsia" w:ascii="宋体" w:hAnsi="宋体" w:cs="宋体"/>
          <w:b/>
          <w:bCs/>
          <w:sz w:val="28"/>
          <w:szCs w:val="28"/>
          <w:highlight w:val="none"/>
          <w:lang w:val="en-US" w:eastAsia="zh-CN"/>
        </w:rPr>
        <w:t>171</w:t>
      </w:r>
      <w:r>
        <w:rPr>
          <w:rFonts w:ascii="宋体" w:hAnsi="宋体" w:eastAsia="宋体" w:cs="宋体"/>
          <w:sz w:val="28"/>
          <w:szCs w:val="28"/>
          <w:highlight w:val="none"/>
        </w:rPr>
        <w:t xml:space="preserve">  </w:t>
      </w:r>
    </w:p>
    <w:p>
      <w:pPr>
        <w:spacing w:before="120" w:line="360" w:lineRule="auto"/>
        <w:rPr>
          <w:rFonts w:ascii="宋体" w:hAnsi="宋体" w:eastAsia="宋体" w:cs="宋体"/>
          <w:b/>
          <w:bCs/>
          <w:sz w:val="28"/>
          <w:szCs w:val="28"/>
          <w:highlight w:val="none"/>
        </w:rPr>
      </w:pPr>
      <w:r>
        <w:rPr>
          <w:rFonts w:ascii="宋体" w:hAnsi="宋体" w:eastAsia="宋体" w:cs="宋体"/>
          <w:sz w:val="28"/>
          <w:szCs w:val="28"/>
          <w:highlight w:val="none"/>
        </w:rPr>
        <w:t xml:space="preserve">                        </w:t>
      </w:r>
      <w:r>
        <w:rPr>
          <w:rFonts w:ascii="宋体" w:hAnsi="宋体" w:eastAsia="宋体" w:cs="宋体"/>
          <w:b/>
          <w:bCs/>
          <w:sz w:val="28"/>
          <w:szCs w:val="28"/>
          <w:highlight w:val="none"/>
        </w:rPr>
        <w:t xml:space="preserve">  </w:t>
      </w:r>
    </w:p>
    <w:p>
      <w:pPr>
        <w:spacing w:before="120" w:line="360" w:lineRule="auto"/>
        <w:rPr>
          <w:rFonts w:ascii="宋体" w:hAnsi="宋体" w:eastAsia="宋体" w:cs="宋体"/>
          <w:b/>
          <w:bCs/>
          <w:sz w:val="28"/>
          <w:szCs w:val="28"/>
          <w:highlight w:val="none"/>
        </w:rPr>
      </w:pPr>
    </w:p>
    <w:p>
      <w:pPr>
        <w:spacing w:before="120" w:line="360" w:lineRule="auto"/>
        <w:rPr>
          <w:rFonts w:ascii="宋体" w:hAnsi="宋体" w:eastAsia="宋体" w:cs="宋体"/>
          <w:b/>
          <w:highlight w:val="none"/>
        </w:rPr>
      </w:pPr>
      <w:r>
        <w:rPr>
          <w:rFonts w:ascii="宋体" w:hAnsi="宋体" w:eastAsia="宋体" w:cs="宋体"/>
          <w:b/>
          <w:bCs/>
          <w:sz w:val="28"/>
          <w:szCs w:val="28"/>
          <w:highlight w:val="none"/>
        </w:rPr>
        <w:t xml:space="preserve">     </w:t>
      </w:r>
    </w:p>
    <w:p>
      <w:pPr>
        <w:pStyle w:val="3"/>
        <w:rPr>
          <w:rFonts w:ascii="Times New Roman" w:hAnsi="Times New Roman" w:eastAsia="宋体" w:cs="Times New Roman"/>
          <w:highlight w:val="none"/>
        </w:rPr>
      </w:pPr>
    </w:p>
    <w:p>
      <w:pPr>
        <w:jc w:val="center"/>
        <w:rPr>
          <w:rFonts w:ascii="宋体" w:hAnsi="宋体" w:eastAsia="宋体" w:cs="宋体"/>
          <w:b/>
          <w:highlight w:val="none"/>
        </w:rPr>
      </w:pPr>
    </w:p>
    <w:p>
      <w:pPr>
        <w:rPr>
          <w:rFonts w:ascii="宋体" w:hAnsi="宋体" w:eastAsia="宋体" w:cs="宋体"/>
          <w:b/>
          <w:spacing w:val="20"/>
          <w:sz w:val="28"/>
          <w:highlight w:val="none"/>
        </w:rPr>
      </w:pPr>
      <w:r>
        <w:rPr>
          <w:rFonts w:ascii="宋体" w:hAnsi="宋体" w:eastAsia="宋体" w:cs="宋体"/>
          <w:b/>
          <w:highlight w:val="none"/>
        </w:rPr>
        <w:t xml:space="preserve">            </w:t>
      </w:r>
      <w:r>
        <w:rPr>
          <w:rFonts w:hint="eastAsia" w:ascii="宋体" w:hAnsi="宋体" w:eastAsia="宋体" w:cs="宋体"/>
          <w:b/>
          <w:highlight w:val="none"/>
        </w:rPr>
        <w:t xml:space="preserve">  </w:t>
      </w:r>
      <w:r>
        <w:rPr>
          <w:rFonts w:ascii="宋体" w:hAnsi="宋体" w:eastAsia="宋体" w:cs="宋体"/>
          <w:b/>
          <w:highlight w:val="none"/>
        </w:rPr>
        <w:t xml:space="preserve"> </w:t>
      </w:r>
      <w:r>
        <w:rPr>
          <w:rFonts w:hint="eastAsia" w:ascii="宋体" w:hAnsi="宋体" w:eastAsia="宋体" w:cs="宋体"/>
          <w:b/>
          <w:spacing w:val="20"/>
          <w:sz w:val="28"/>
          <w:highlight w:val="none"/>
        </w:rPr>
        <w:t>甲</w:t>
      </w:r>
      <w:r>
        <w:rPr>
          <w:rFonts w:ascii="宋体" w:hAnsi="宋体" w:eastAsia="宋体" w:cs="宋体"/>
          <w:b/>
          <w:spacing w:val="20"/>
          <w:sz w:val="28"/>
          <w:highlight w:val="none"/>
        </w:rPr>
        <w:t xml:space="preserve">    </w:t>
      </w:r>
      <w:r>
        <w:rPr>
          <w:rFonts w:hint="eastAsia" w:ascii="宋体" w:hAnsi="宋体" w:eastAsia="宋体" w:cs="宋体"/>
          <w:b/>
          <w:spacing w:val="20"/>
          <w:sz w:val="28"/>
          <w:highlight w:val="none"/>
        </w:rPr>
        <w:t>方：铜川市公安局耀州分局</w:t>
      </w:r>
    </w:p>
    <w:p>
      <w:pPr>
        <w:jc w:val="center"/>
        <w:rPr>
          <w:rFonts w:ascii="宋体" w:hAnsi="宋体" w:eastAsia="宋体" w:cs="宋体"/>
          <w:b/>
          <w:spacing w:val="20"/>
          <w:sz w:val="28"/>
          <w:highlight w:val="none"/>
        </w:rPr>
      </w:pPr>
    </w:p>
    <w:p>
      <w:pPr>
        <w:rPr>
          <w:rFonts w:ascii="宋体" w:hAnsi="宋体" w:eastAsia="宋体" w:cs="宋体"/>
          <w:b/>
          <w:spacing w:val="20"/>
          <w:sz w:val="28"/>
          <w:highlight w:val="none"/>
        </w:rPr>
      </w:pPr>
      <w:r>
        <w:rPr>
          <w:rFonts w:ascii="宋体" w:hAnsi="宋体" w:eastAsia="宋体" w:cs="宋体"/>
          <w:b/>
          <w:spacing w:val="20"/>
          <w:sz w:val="28"/>
          <w:highlight w:val="none"/>
        </w:rPr>
        <w:t xml:space="preserve">         </w:t>
      </w:r>
      <w:r>
        <w:rPr>
          <w:rFonts w:hint="eastAsia" w:ascii="宋体" w:hAnsi="宋体" w:eastAsia="宋体" w:cs="宋体"/>
          <w:b/>
          <w:spacing w:val="20"/>
          <w:sz w:val="28"/>
          <w:highlight w:val="none"/>
        </w:rPr>
        <w:t>乙</w:t>
      </w:r>
      <w:r>
        <w:rPr>
          <w:rFonts w:ascii="宋体" w:hAnsi="宋体" w:eastAsia="宋体" w:cs="宋体"/>
          <w:b/>
          <w:spacing w:val="20"/>
          <w:sz w:val="28"/>
          <w:highlight w:val="none"/>
        </w:rPr>
        <w:t xml:space="preserve">    </w:t>
      </w:r>
      <w:r>
        <w:rPr>
          <w:rFonts w:hint="eastAsia" w:ascii="宋体" w:hAnsi="宋体" w:eastAsia="宋体" w:cs="宋体"/>
          <w:b/>
          <w:spacing w:val="20"/>
          <w:sz w:val="28"/>
          <w:highlight w:val="none"/>
        </w:rPr>
        <w:t>方：</w:t>
      </w:r>
      <w:r>
        <w:rPr>
          <w:rFonts w:ascii="宋体" w:hAnsi="宋体" w:eastAsia="宋体" w:cs="宋体"/>
          <w:b/>
          <w:spacing w:val="20"/>
          <w:sz w:val="28"/>
          <w:highlight w:val="none"/>
        </w:rPr>
        <w:t xml:space="preserve">                     </w:t>
      </w:r>
    </w:p>
    <w:p>
      <w:pPr>
        <w:rPr>
          <w:rFonts w:ascii="宋体" w:hAnsi="宋体" w:eastAsia="宋体" w:cs="宋体"/>
          <w:b/>
          <w:spacing w:val="20"/>
          <w:sz w:val="28"/>
          <w:highlight w:val="none"/>
        </w:rPr>
      </w:pPr>
      <w:r>
        <w:rPr>
          <w:rFonts w:ascii="宋体" w:hAnsi="宋体" w:eastAsia="宋体" w:cs="宋体"/>
          <w:b/>
          <w:spacing w:val="20"/>
          <w:sz w:val="28"/>
          <w:highlight w:val="none"/>
        </w:rPr>
        <w:t xml:space="preserve">        </w:t>
      </w:r>
    </w:p>
    <w:p>
      <w:pPr>
        <w:ind w:firstLine="1605" w:firstLineChars="500"/>
        <w:rPr>
          <w:rFonts w:ascii="宋体" w:hAnsi="宋体" w:eastAsia="宋体" w:cs="宋体"/>
          <w:b/>
          <w:spacing w:val="20"/>
          <w:sz w:val="28"/>
          <w:highlight w:val="none"/>
        </w:rPr>
      </w:pPr>
      <w:r>
        <w:rPr>
          <w:rFonts w:hint="eastAsia" w:ascii="宋体" w:hAnsi="宋体" w:eastAsia="宋体" w:cs="宋体"/>
          <w:b/>
          <w:spacing w:val="20"/>
          <w:sz w:val="28"/>
          <w:highlight w:val="none"/>
        </w:rPr>
        <w:t>签订时间：二零二</w:t>
      </w:r>
      <w:r>
        <w:rPr>
          <w:rFonts w:hint="eastAsia" w:ascii="宋体" w:hAnsi="宋体" w:eastAsia="宋体" w:cs="宋体"/>
          <w:b/>
          <w:spacing w:val="20"/>
          <w:sz w:val="28"/>
          <w:highlight w:val="none"/>
          <w:lang w:eastAsia="zh-CN"/>
        </w:rPr>
        <w:t>四</w:t>
      </w:r>
      <w:r>
        <w:rPr>
          <w:rFonts w:hint="eastAsia" w:ascii="宋体" w:hAnsi="宋体" w:eastAsia="宋体" w:cs="宋体"/>
          <w:b/>
          <w:spacing w:val="20"/>
          <w:sz w:val="28"/>
          <w:highlight w:val="none"/>
        </w:rPr>
        <w:t>年</w:t>
      </w:r>
      <w:r>
        <w:rPr>
          <w:rFonts w:ascii="宋体" w:hAnsi="宋体" w:eastAsia="宋体" w:cs="宋体"/>
          <w:b/>
          <w:spacing w:val="20"/>
          <w:sz w:val="28"/>
          <w:highlight w:val="none"/>
        </w:rPr>
        <w:t>X</w:t>
      </w:r>
      <w:r>
        <w:rPr>
          <w:rFonts w:hint="eastAsia" w:ascii="宋体" w:hAnsi="宋体" w:eastAsia="宋体" w:cs="宋体"/>
          <w:b/>
          <w:spacing w:val="20"/>
          <w:sz w:val="28"/>
          <w:highlight w:val="none"/>
        </w:rPr>
        <w:t>月</w:t>
      </w:r>
      <w:r>
        <w:rPr>
          <w:rFonts w:ascii="宋体" w:hAnsi="宋体" w:eastAsia="宋体" w:cs="宋体"/>
          <w:b/>
          <w:spacing w:val="20"/>
          <w:sz w:val="28"/>
          <w:highlight w:val="none"/>
        </w:rPr>
        <w:t>X</w:t>
      </w:r>
      <w:r>
        <w:rPr>
          <w:rFonts w:hint="eastAsia" w:ascii="宋体" w:hAnsi="宋体" w:eastAsia="宋体" w:cs="宋体"/>
          <w:b/>
          <w:spacing w:val="20"/>
          <w:sz w:val="28"/>
          <w:highlight w:val="none"/>
        </w:rPr>
        <w:t>日</w:t>
      </w:r>
    </w:p>
    <w:p>
      <w:pPr>
        <w:keepNext w:val="0"/>
        <w:keepLines w:val="0"/>
        <w:pageBreakBefore w:val="0"/>
        <w:widowControl w:val="0"/>
        <w:kinsoku/>
        <w:wordWrap/>
        <w:overflowPunct/>
        <w:topLinePunct w:val="0"/>
        <w:autoSpaceDE w:val="0"/>
        <w:autoSpaceDN w:val="0"/>
        <w:bidi w:val="0"/>
        <w:adjustRightInd w:val="0"/>
        <w:spacing w:line="500" w:lineRule="exact"/>
        <w:ind w:firstLine="420" w:firstLineChars="200"/>
        <w:jc w:val="left"/>
        <w:textAlignment w:val="auto"/>
        <w:rPr>
          <w:rFonts w:hint="eastAsia" w:ascii="宋体" w:hAnsi="宋体" w:eastAsia="宋体" w:cs="宋体"/>
          <w:sz w:val="24"/>
          <w:highlight w:val="none"/>
        </w:rPr>
      </w:pPr>
      <w:r>
        <w:rPr>
          <w:rFonts w:ascii="宋体" w:hAnsi="宋体" w:eastAsia="宋体" w:cs="宋体"/>
          <w:highlight w:val="none"/>
        </w:rPr>
        <w:br w:type="page"/>
      </w:r>
      <w:r>
        <w:rPr>
          <w:rFonts w:hint="eastAsia" w:ascii="宋体" w:hAnsi="宋体" w:eastAsia="宋体" w:cs="宋体"/>
          <w:sz w:val="24"/>
          <w:highlight w:val="none"/>
        </w:rPr>
        <w:t>依据《</w:t>
      </w:r>
      <w:r>
        <w:rPr>
          <w:rFonts w:hint="eastAsia" w:ascii="宋体" w:hAnsi="宋体" w:eastAsia="宋体" w:cs="宋体"/>
          <w:spacing w:val="-2"/>
          <w:kern w:val="0"/>
          <w:sz w:val="24"/>
          <w:highlight w:val="none"/>
        </w:rPr>
        <w:t>中华人民共和国民法典</w:t>
      </w:r>
      <w:r>
        <w:rPr>
          <w:rFonts w:hint="eastAsia" w:ascii="宋体" w:hAnsi="宋体" w:eastAsia="宋体" w:cs="宋体"/>
          <w:sz w:val="24"/>
          <w:highlight w:val="none"/>
        </w:rPr>
        <w:t>》、《中华人民共和国政府采购法》与项目行业有关的法律法规，以及铜川市公安局耀州分局2024年9月至2026年8月移动警务信息查询服务项目（项目编号：</w:t>
      </w:r>
      <w:r>
        <w:rPr>
          <w:rFonts w:hint="eastAsia" w:ascii="宋体" w:hAnsi="宋体" w:eastAsia="宋体" w:cs="宋体"/>
          <w:sz w:val="24"/>
          <w:highlight w:val="none"/>
          <w:lang w:eastAsia="zh-CN"/>
        </w:rPr>
        <w:t>SDZC2024-</w:t>
      </w:r>
      <w:r>
        <w:rPr>
          <w:rFonts w:hint="eastAsia" w:ascii="宋体" w:hAnsi="宋体" w:cs="宋体"/>
          <w:sz w:val="24"/>
          <w:highlight w:val="none"/>
          <w:lang w:val="en-US" w:eastAsia="zh-CN"/>
        </w:rPr>
        <w:t>171</w:t>
      </w:r>
      <w:r>
        <w:rPr>
          <w:rFonts w:hint="eastAsia" w:ascii="宋体" w:hAnsi="宋体" w:eastAsia="宋体" w:cs="宋体"/>
          <w:sz w:val="24"/>
          <w:highlight w:val="none"/>
        </w:rPr>
        <w:t>）的服务合同，甲、乙双方同意签订本合同。详细技术说明及其他有关合同项目的特定信息由合同附件予以说明，合同、附件及原有《</w:t>
      </w:r>
      <w:r>
        <w:rPr>
          <w:rFonts w:hint="eastAsia" w:ascii="宋体" w:hAnsi="宋体" w:cs="宋体"/>
          <w:sz w:val="24"/>
          <w:highlight w:val="none"/>
          <w:lang w:eastAsia="zh-CN"/>
        </w:rPr>
        <w:t>单一来源采购文件</w:t>
      </w:r>
      <w:r>
        <w:rPr>
          <w:rFonts w:hint="eastAsia" w:ascii="宋体" w:hAnsi="宋体" w:eastAsia="宋体" w:cs="宋体"/>
          <w:sz w:val="24"/>
          <w:highlight w:val="none"/>
        </w:rPr>
        <w:t>》、《</w:t>
      </w:r>
      <w:r>
        <w:rPr>
          <w:rFonts w:hint="eastAsia" w:ascii="宋体" w:hAnsi="宋体" w:cs="宋体"/>
          <w:sz w:val="24"/>
          <w:highlight w:val="none"/>
          <w:lang w:eastAsia="zh-CN"/>
        </w:rPr>
        <w:t>单一来源采购响应</w:t>
      </w:r>
      <w:r>
        <w:rPr>
          <w:rFonts w:hint="eastAsia" w:ascii="宋体" w:hAnsi="宋体" w:eastAsia="宋体" w:cs="宋体"/>
          <w:sz w:val="24"/>
          <w:highlight w:val="none"/>
        </w:rPr>
        <w:t>》、《成交通知书》等均为本合同的组成部分。</w:t>
      </w:r>
    </w:p>
    <w:p>
      <w:pPr>
        <w:keepNext w:val="0"/>
        <w:keepLines w:val="0"/>
        <w:pageBreakBefore w:val="0"/>
        <w:widowControl w:val="0"/>
        <w:kinsoku/>
        <w:wordWrap/>
        <w:overflowPunct/>
        <w:topLinePunct w:val="0"/>
        <w:bidi w:val="0"/>
        <w:spacing w:line="500" w:lineRule="exact"/>
        <w:ind w:firstLine="723" w:firstLineChars="3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甲  方</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采购人</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u w:val="single"/>
        </w:rPr>
        <w:t>铜川市公安局耀州分局</w:t>
      </w:r>
    </w:p>
    <w:p>
      <w:pPr>
        <w:keepNext w:val="0"/>
        <w:keepLines w:val="0"/>
        <w:pageBreakBefore w:val="0"/>
        <w:widowControl w:val="0"/>
        <w:kinsoku/>
        <w:wordWrap/>
        <w:overflowPunct/>
        <w:topLinePunct w:val="0"/>
        <w:bidi w:val="0"/>
        <w:spacing w:line="500" w:lineRule="exact"/>
        <w:ind w:firstLine="723" w:firstLineChars="3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乙  方</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成交人</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w:t>
      </w:r>
      <w:r>
        <w:rPr>
          <w:rFonts w:hint="eastAsia" w:ascii="宋体" w:hAnsi="宋体" w:cs="宋体"/>
          <w:b/>
          <w:bCs/>
          <w:sz w:val="24"/>
          <w:szCs w:val="24"/>
          <w:highlight w:val="none"/>
          <w:u w:val="single"/>
          <w:lang w:eastAsia="zh-CN"/>
        </w:rPr>
        <w:t>成交</w:t>
      </w:r>
      <w:r>
        <w:rPr>
          <w:rFonts w:hint="eastAsia" w:ascii="宋体" w:hAnsi="宋体" w:eastAsia="宋体" w:cs="宋体"/>
          <w:b/>
          <w:bCs/>
          <w:sz w:val="24"/>
          <w:szCs w:val="24"/>
          <w:highlight w:val="none"/>
          <w:u w:val="single"/>
        </w:rPr>
        <w:t>人（全称）</w:t>
      </w:r>
    </w:p>
    <w:p>
      <w:pPr>
        <w:keepNext w:val="0"/>
        <w:keepLines w:val="0"/>
        <w:pageBreakBefore w:val="0"/>
        <w:widowControl w:val="0"/>
        <w:kinsoku/>
        <w:wordWrap/>
        <w:overflowPunct/>
        <w:topLinePunct w:val="0"/>
        <w:autoSpaceDE w:val="0"/>
        <w:autoSpaceDN w:val="0"/>
        <w:bidi w:val="0"/>
        <w:adjustRightInd w:val="0"/>
        <w:spacing w:line="500" w:lineRule="exact"/>
        <w:ind w:firstLine="482" w:firstLineChars="200"/>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
          <w:bCs/>
          <w:sz w:val="24"/>
          <w:szCs w:val="24"/>
          <w:highlight w:val="none"/>
        </w:rPr>
        <w:t>一、合同标的的内容、数量</w:t>
      </w:r>
      <w:r>
        <w:rPr>
          <w:rFonts w:hint="eastAsia" w:ascii="宋体" w:hAnsi="宋体" w:cs="宋体"/>
          <w:sz w:val="24"/>
          <w:szCs w:val="24"/>
          <w:highlight w:val="none"/>
          <w:lang w:val="en-US" w:eastAsia="zh-CN"/>
        </w:rPr>
        <w:t xml:space="preserve"> </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1、提供统一、开放、共享、可持续移动警务应用开发，为公安民警提供更多、更优质的移动警务应用。</w:t>
      </w:r>
      <w:bookmarkStart w:id="3" w:name="_GoBack"/>
      <w:bookmarkEnd w:id="3"/>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2、与省、市移动警务信息查询互联互通及系统一致性和无缝对接。</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3、基本功能有，比对报警、综合查询、GPS定位上传、图像识别、巡逻盘查、快速核查、移动视频会议、警务即时通信、公安新闻、法律法规、辅警移动应用等功能。</w:t>
      </w:r>
    </w:p>
    <w:tbl>
      <w:tblPr>
        <w:tblStyle w:val="5"/>
        <w:tblW w:w="9499"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07"/>
        <w:gridCol w:w="1553"/>
        <w:gridCol w:w="1274"/>
        <w:gridCol w:w="1957"/>
        <w:gridCol w:w="1295"/>
        <w:gridCol w:w="1381"/>
        <w:gridCol w:w="123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04" w:hRule="atLeast"/>
          <w:jc w:val="center"/>
        </w:trPr>
        <w:tc>
          <w:tcPr>
            <w:tcW w:w="80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b/>
                <w:sz w:val="24"/>
              </w:rPr>
              <w:t>序号</w:t>
            </w:r>
          </w:p>
        </w:tc>
        <w:tc>
          <w:tcPr>
            <w:tcW w:w="155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both"/>
            </w:pPr>
            <w:r>
              <w:rPr>
                <w:rFonts w:ascii="宋体" w:hAnsi="宋体" w:eastAsia="宋体" w:cs="宋体"/>
                <w:b/>
                <w:sz w:val="24"/>
              </w:rPr>
              <w:t>名   称</w:t>
            </w:r>
          </w:p>
        </w:tc>
        <w:tc>
          <w:tcPr>
            <w:tcW w:w="127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b/>
                <w:sz w:val="24"/>
              </w:rPr>
              <w:t>数量</w:t>
            </w:r>
          </w:p>
          <w:p>
            <w:pPr>
              <w:pStyle w:val="9"/>
              <w:jc w:val="center"/>
            </w:pPr>
            <w:r>
              <w:rPr>
                <w:rFonts w:ascii="宋体" w:hAnsi="宋体" w:eastAsia="宋体" w:cs="宋体"/>
                <w:b/>
                <w:sz w:val="24"/>
              </w:rPr>
              <w:t>（人、部）</w:t>
            </w:r>
          </w:p>
        </w:tc>
        <w:tc>
          <w:tcPr>
            <w:tcW w:w="195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b/>
                <w:sz w:val="24"/>
              </w:rPr>
              <w:t>移动警务服务费（元/年）</w:t>
            </w:r>
          </w:p>
          <w:p>
            <w:pPr>
              <w:pStyle w:val="9"/>
              <w:jc w:val="center"/>
            </w:pPr>
            <w:r>
              <w:rPr>
                <w:rFonts w:ascii="宋体" w:hAnsi="宋体" w:eastAsia="宋体" w:cs="宋体"/>
                <w:b/>
                <w:sz w:val="24"/>
              </w:rPr>
              <w:t>流量费（元/月）</w:t>
            </w:r>
          </w:p>
        </w:tc>
        <w:tc>
          <w:tcPr>
            <w:tcW w:w="129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b/>
                <w:sz w:val="24"/>
              </w:rPr>
              <w:t>时间</w:t>
            </w:r>
          </w:p>
          <w:p>
            <w:pPr>
              <w:pStyle w:val="9"/>
              <w:jc w:val="center"/>
            </w:pPr>
            <w:r>
              <w:rPr>
                <w:rFonts w:ascii="宋体" w:hAnsi="宋体" w:eastAsia="宋体" w:cs="宋体"/>
                <w:b/>
                <w:sz w:val="24"/>
              </w:rPr>
              <w:t>（年、月）</w:t>
            </w:r>
          </w:p>
        </w:tc>
        <w:tc>
          <w:tcPr>
            <w:tcW w:w="138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b/>
                <w:sz w:val="24"/>
              </w:rPr>
              <w:t>合计</w:t>
            </w:r>
          </w:p>
          <w:p>
            <w:pPr>
              <w:pStyle w:val="9"/>
              <w:jc w:val="center"/>
            </w:pPr>
            <w:r>
              <w:rPr>
                <w:rFonts w:ascii="宋体" w:hAnsi="宋体" w:eastAsia="宋体" w:cs="宋体"/>
                <w:b/>
                <w:sz w:val="24"/>
              </w:rPr>
              <w:t>（元）</w:t>
            </w:r>
          </w:p>
        </w:tc>
        <w:tc>
          <w:tcPr>
            <w:tcW w:w="123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b/>
                <w:sz w:val="24"/>
              </w:rPr>
              <w:t>备  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53" w:hRule="atLeast"/>
          <w:jc w:val="center"/>
        </w:trPr>
        <w:tc>
          <w:tcPr>
            <w:tcW w:w="807"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1</w:t>
            </w:r>
          </w:p>
        </w:tc>
        <w:tc>
          <w:tcPr>
            <w:tcW w:w="155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一类查询服务终端</w:t>
            </w:r>
          </w:p>
          <w:p>
            <w:pPr>
              <w:pStyle w:val="9"/>
              <w:jc w:val="center"/>
            </w:pPr>
            <w:r>
              <w:rPr>
                <w:rFonts w:ascii="宋体" w:hAnsi="宋体" w:eastAsia="宋体" w:cs="宋体"/>
                <w:sz w:val="24"/>
              </w:rPr>
              <w:t>华为Mate60（12+256GB）</w:t>
            </w:r>
          </w:p>
        </w:tc>
        <w:tc>
          <w:tcPr>
            <w:tcW w:w="127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181</w:t>
            </w:r>
          </w:p>
        </w:tc>
        <w:tc>
          <w:tcPr>
            <w:tcW w:w="19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c>
          <w:tcPr>
            <w:tcW w:w="129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2</w:t>
            </w:r>
          </w:p>
        </w:tc>
        <w:tc>
          <w:tcPr>
            <w:tcW w:w="138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c>
          <w:tcPr>
            <w:tcW w:w="123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其中交警大队16人、部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807" w:type="dxa"/>
            <w:vMerge w:val="continue"/>
            <w:tcBorders>
              <w:top w:val="nil"/>
              <w:left w:val="single" w:color="000000" w:sz="4" w:space="0"/>
              <w:bottom w:val="single" w:color="000000" w:sz="4" w:space="0"/>
              <w:right w:val="single" w:color="000000" w:sz="4" w:space="0"/>
            </w:tcBorders>
            <w:vAlign w:val="center"/>
          </w:tcPr>
          <w:p>
            <w:pPr>
              <w:jc w:val="center"/>
            </w:pPr>
          </w:p>
        </w:tc>
        <w:tc>
          <w:tcPr>
            <w:tcW w:w="1553" w:type="dxa"/>
            <w:vMerge w:val="continue"/>
            <w:tcBorders>
              <w:top w:val="nil"/>
              <w:left w:val="single" w:color="000000" w:sz="4" w:space="0"/>
              <w:bottom w:val="single" w:color="000000" w:sz="4" w:space="0"/>
              <w:right w:val="single" w:color="000000" w:sz="4" w:space="0"/>
            </w:tcBorders>
            <w:vAlign w:val="center"/>
          </w:tcPr>
          <w:p>
            <w:pPr>
              <w:jc w:val="center"/>
            </w:pPr>
          </w:p>
        </w:tc>
        <w:tc>
          <w:tcPr>
            <w:tcW w:w="1274" w:type="dxa"/>
            <w:vMerge w:val="continue"/>
            <w:tcBorders>
              <w:top w:val="nil"/>
              <w:left w:val="single" w:color="000000" w:sz="4" w:space="0"/>
              <w:bottom w:val="single" w:color="000000" w:sz="4" w:space="0"/>
              <w:right w:val="single" w:color="000000" w:sz="4" w:space="0"/>
            </w:tcBorders>
            <w:vAlign w:val="center"/>
          </w:tcPr>
          <w:p>
            <w:pPr>
              <w:jc w:val="center"/>
            </w:pPr>
          </w:p>
        </w:tc>
        <w:tc>
          <w:tcPr>
            <w:tcW w:w="19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c>
          <w:tcPr>
            <w:tcW w:w="129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24</w:t>
            </w:r>
          </w:p>
        </w:tc>
        <w:tc>
          <w:tcPr>
            <w:tcW w:w="138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c>
          <w:tcPr>
            <w:tcW w:w="1232" w:type="dxa"/>
            <w:vMerge w:val="continue"/>
            <w:tcBorders>
              <w:top w:val="nil"/>
              <w:left w:val="single" w:color="000000" w:sz="4" w:space="0"/>
              <w:bottom w:val="single" w:color="000000" w:sz="4" w:space="0"/>
              <w:right w:val="single" w:color="000000" w:sz="4" w:space="0"/>
            </w:tcBorders>
            <w:vAlign w:val="center"/>
          </w:tcPr>
          <w:p>
            <w:pPr>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39" w:hRule="atLeast"/>
          <w:jc w:val="center"/>
        </w:trPr>
        <w:tc>
          <w:tcPr>
            <w:tcW w:w="807"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2</w:t>
            </w:r>
          </w:p>
        </w:tc>
        <w:tc>
          <w:tcPr>
            <w:tcW w:w="155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二类查询服务终端</w:t>
            </w:r>
          </w:p>
          <w:p>
            <w:pPr>
              <w:pStyle w:val="9"/>
              <w:jc w:val="center"/>
            </w:pPr>
            <w:r>
              <w:rPr>
                <w:rFonts w:ascii="宋体" w:hAnsi="宋体" w:eastAsia="宋体" w:cs="宋体"/>
                <w:sz w:val="24"/>
              </w:rPr>
              <w:t>华为Mate60（12+256GB）</w:t>
            </w:r>
          </w:p>
        </w:tc>
        <w:tc>
          <w:tcPr>
            <w:tcW w:w="127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31</w:t>
            </w:r>
          </w:p>
        </w:tc>
        <w:tc>
          <w:tcPr>
            <w:tcW w:w="19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c>
          <w:tcPr>
            <w:tcW w:w="129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2</w:t>
            </w:r>
          </w:p>
        </w:tc>
        <w:tc>
          <w:tcPr>
            <w:tcW w:w="138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c>
          <w:tcPr>
            <w:tcW w:w="123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其中交警大队22人、部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74" w:hRule="atLeast"/>
          <w:jc w:val="center"/>
        </w:trPr>
        <w:tc>
          <w:tcPr>
            <w:tcW w:w="807" w:type="dxa"/>
            <w:vMerge w:val="continue"/>
            <w:tcBorders>
              <w:top w:val="nil"/>
              <w:left w:val="single" w:color="000000" w:sz="4" w:space="0"/>
              <w:bottom w:val="single" w:color="000000" w:sz="4" w:space="0"/>
              <w:right w:val="single" w:color="000000" w:sz="4" w:space="0"/>
            </w:tcBorders>
            <w:vAlign w:val="center"/>
          </w:tcPr>
          <w:p>
            <w:pPr>
              <w:jc w:val="center"/>
            </w:pPr>
          </w:p>
        </w:tc>
        <w:tc>
          <w:tcPr>
            <w:tcW w:w="1553" w:type="dxa"/>
            <w:vMerge w:val="continue"/>
            <w:tcBorders>
              <w:top w:val="nil"/>
              <w:left w:val="single" w:color="000000" w:sz="4" w:space="0"/>
              <w:bottom w:val="single" w:color="000000" w:sz="4" w:space="0"/>
              <w:right w:val="single" w:color="000000" w:sz="4" w:space="0"/>
            </w:tcBorders>
            <w:vAlign w:val="center"/>
          </w:tcPr>
          <w:p>
            <w:pPr>
              <w:jc w:val="center"/>
            </w:pPr>
          </w:p>
        </w:tc>
        <w:tc>
          <w:tcPr>
            <w:tcW w:w="1274" w:type="dxa"/>
            <w:vMerge w:val="continue"/>
            <w:tcBorders>
              <w:top w:val="nil"/>
              <w:left w:val="single" w:color="000000" w:sz="4" w:space="0"/>
              <w:bottom w:val="single" w:color="000000" w:sz="4" w:space="0"/>
              <w:right w:val="single" w:color="000000" w:sz="4" w:space="0"/>
            </w:tcBorders>
            <w:vAlign w:val="center"/>
          </w:tcPr>
          <w:p>
            <w:pPr>
              <w:jc w:val="center"/>
            </w:pPr>
          </w:p>
        </w:tc>
        <w:tc>
          <w:tcPr>
            <w:tcW w:w="19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c>
          <w:tcPr>
            <w:tcW w:w="129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24</w:t>
            </w:r>
          </w:p>
        </w:tc>
        <w:tc>
          <w:tcPr>
            <w:tcW w:w="138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c>
          <w:tcPr>
            <w:tcW w:w="1232" w:type="dxa"/>
            <w:vMerge w:val="continue"/>
            <w:tcBorders>
              <w:top w:val="nil"/>
              <w:left w:val="single" w:color="000000" w:sz="4" w:space="0"/>
              <w:bottom w:val="single" w:color="000000" w:sz="4" w:space="0"/>
              <w:right w:val="single" w:color="000000" w:sz="4" w:space="0"/>
            </w:tcBorders>
            <w:vAlign w:val="center"/>
          </w:tcPr>
          <w:p>
            <w:pPr>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236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r>
              <w:rPr>
                <w:rFonts w:ascii="宋体" w:hAnsi="宋体" w:eastAsia="宋体" w:cs="宋体"/>
                <w:sz w:val="24"/>
              </w:rPr>
              <w:t>合       计</w:t>
            </w:r>
          </w:p>
        </w:tc>
        <w:tc>
          <w:tcPr>
            <w:tcW w:w="4526"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both"/>
              <w:rPr>
                <w:rFonts w:hint="eastAsia" w:eastAsiaTheme="minorEastAsia"/>
                <w:lang w:eastAsia="zh-CN"/>
              </w:rPr>
            </w:pPr>
            <w:r>
              <w:rPr>
                <w:rFonts w:hint="eastAsia"/>
                <w:lang w:eastAsia="zh-CN"/>
              </w:rPr>
              <w:t>大写</w:t>
            </w:r>
          </w:p>
        </w:tc>
        <w:tc>
          <w:tcPr>
            <w:tcW w:w="138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both"/>
              <w:rPr>
                <w:rFonts w:hint="eastAsia" w:eastAsiaTheme="minorEastAsia"/>
                <w:lang w:eastAsia="zh-CN"/>
              </w:rPr>
            </w:pPr>
            <w:r>
              <w:rPr>
                <w:rFonts w:hint="eastAsia"/>
                <w:lang w:eastAsia="zh-CN"/>
              </w:rPr>
              <w:t>小写</w:t>
            </w:r>
          </w:p>
        </w:tc>
        <w:tc>
          <w:tcPr>
            <w:tcW w:w="123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9"/>
              <w:jc w:val="center"/>
            </w:pPr>
          </w:p>
        </w:tc>
      </w:tr>
    </w:tbl>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二、合同价款支付</w:t>
      </w:r>
      <w:r>
        <w:rPr>
          <w:rFonts w:hint="eastAsia" w:ascii="宋体" w:hAnsi="宋体" w:eastAsia="宋体" w:cs="宋体"/>
          <w:kern w:val="0"/>
          <w:sz w:val="24"/>
          <w:highlight w:val="none"/>
        </w:rPr>
        <w:t>：</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1、合同履行满一年，达到付款条件起 30 日内，支付合同总金额的 50.00%。</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2、合同履行结束，达到付款条件起 30 日内，支付合同总金额的 50.00%。</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三</w:t>
      </w:r>
      <w:r>
        <w:rPr>
          <w:rFonts w:hint="eastAsia" w:ascii="宋体" w:hAnsi="宋体" w:eastAsia="宋体" w:cs="宋体"/>
          <w:b/>
          <w:bCs/>
          <w:sz w:val="24"/>
          <w:szCs w:val="24"/>
          <w:highlight w:val="none"/>
        </w:rPr>
        <w:t>、</w:t>
      </w:r>
      <w:r>
        <w:rPr>
          <w:rFonts w:hint="eastAsia" w:ascii="宋体" w:hAnsi="宋体" w:cs="宋体"/>
          <w:b/>
          <w:bCs/>
          <w:sz w:val="24"/>
          <w:szCs w:val="24"/>
          <w:highlight w:val="none"/>
          <w:lang w:eastAsia="zh-CN"/>
        </w:rPr>
        <w:t>成交</w:t>
      </w:r>
      <w:r>
        <w:rPr>
          <w:rFonts w:hint="eastAsia" w:ascii="宋体" w:hAnsi="宋体" w:eastAsia="宋体" w:cs="宋体"/>
          <w:b/>
          <w:bCs/>
          <w:sz w:val="24"/>
          <w:szCs w:val="24"/>
          <w:highlight w:val="none"/>
        </w:rPr>
        <w:t>人开户信息</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1、成交人名称：</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2、开户行名称：</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3、账      号：</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4、地      址：</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四</w:t>
      </w:r>
      <w:r>
        <w:rPr>
          <w:rFonts w:hint="eastAsia" w:ascii="宋体" w:hAnsi="宋体" w:eastAsia="宋体" w:cs="宋体"/>
          <w:b/>
          <w:bCs/>
          <w:sz w:val="24"/>
          <w:szCs w:val="24"/>
          <w:highlight w:val="none"/>
        </w:rPr>
        <w:t>、合同履行期限</w:t>
      </w:r>
    </w:p>
    <w:p>
      <w:pPr>
        <w:pStyle w:val="7"/>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rPr>
        <w:t>服务期限</w:t>
      </w:r>
      <w:r>
        <w:rPr>
          <w:rFonts w:hint="eastAsia" w:ascii="宋体" w:hAnsi="宋体" w:eastAsia="宋体" w:cs="宋体"/>
          <w:sz w:val="24"/>
          <w:szCs w:val="24"/>
          <w:highlight w:val="none"/>
        </w:rPr>
        <w:t>：</w:t>
      </w:r>
      <w:r>
        <w:rPr>
          <w:rFonts w:hint="eastAsia" w:cs="宋体"/>
          <w:sz w:val="24"/>
          <w:szCs w:val="24"/>
          <w:highlight w:val="none"/>
          <w:lang w:val="en-US" w:eastAsia="zh-CN"/>
        </w:rPr>
        <w:t xml:space="preserve"> 2024年9月1日至2026年8月31日</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五</w:t>
      </w:r>
      <w:r>
        <w:rPr>
          <w:rFonts w:hint="eastAsia" w:ascii="宋体" w:hAnsi="宋体" w:eastAsia="宋体" w:cs="宋体"/>
          <w:b/>
          <w:bCs/>
          <w:sz w:val="24"/>
          <w:szCs w:val="24"/>
          <w:highlight w:val="none"/>
        </w:rPr>
        <w:t>、合同当事人（甲乙双方）的权利和义务</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1、甲方有权享有乙方按照约定提供的服务。</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szCs w:val="24"/>
          <w:highlight w:val="none"/>
        </w:rPr>
        <w:t>2、甲方有权要求乙方提供符合本项目服务要求的人员，且提供的服务质量达到前述约定标准。如乙方违反协议约定，未达到服务质量要求的，甲方</w:t>
      </w:r>
      <w:r>
        <w:rPr>
          <w:rFonts w:hint="eastAsia" w:ascii="宋体" w:hAnsi="宋体" w:eastAsia="宋体" w:cs="宋体"/>
          <w:kern w:val="0"/>
          <w:sz w:val="24"/>
          <w:highlight w:val="none"/>
        </w:rPr>
        <w:t>有权要求乙方限期改正，逾期未改正的或改正后仍给甲方造成损失的，乙方应承担相应的法律责任；</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4、除本合同约定的服务费用外，乙方不得向甲方及其甲方人员收取其他任何费用，如甲方发现乙方有此类行为，甲方有权要求乙方清退所收费用，</w:t>
      </w:r>
      <w:r>
        <w:rPr>
          <w:rFonts w:hint="eastAsia" w:ascii="宋体" w:hAnsi="宋体" w:eastAsia="宋体" w:cs="宋体"/>
          <w:kern w:val="0"/>
          <w:sz w:val="24"/>
          <w:highlight w:val="none"/>
          <w:lang w:val="en-US" w:eastAsia="zh-CN"/>
        </w:rPr>
        <w:t>支付</w:t>
      </w:r>
      <w:r>
        <w:rPr>
          <w:rFonts w:hint="eastAsia" w:ascii="宋体" w:hAnsi="宋体" w:eastAsia="宋体" w:cs="宋体"/>
          <w:kern w:val="0"/>
          <w:sz w:val="24"/>
          <w:highlight w:val="none"/>
        </w:rPr>
        <w:t>利息</w:t>
      </w:r>
      <w:r>
        <w:rPr>
          <w:rFonts w:hint="eastAsia" w:ascii="宋体" w:hAnsi="宋体" w:eastAsia="宋体" w:cs="宋体"/>
          <w:kern w:val="0"/>
          <w:sz w:val="24"/>
          <w:highlight w:val="none"/>
          <w:lang w:val="en-US" w:eastAsia="zh-CN"/>
        </w:rPr>
        <w:t>以及</w:t>
      </w:r>
      <w:r>
        <w:rPr>
          <w:rFonts w:hint="eastAsia" w:ascii="宋体" w:hAnsi="宋体" w:eastAsia="宋体" w:cs="宋体"/>
          <w:kern w:val="0"/>
          <w:sz w:val="24"/>
          <w:highlight w:val="none"/>
        </w:rPr>
        <w:t>合同总价款5%的违约金；</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对乙方相关服务资料的所有权、使用权的约定：归甲方所有。乙方不得以任何借口留存，否则承担由此产生的一切法律和经济责任。未经甲方允许，乙方不得向其他任何单位和个人转让并允许其使用本项目的相关内容。</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6、在服务实施过程中，甲方应为乙方提供必要的工作便利与指导，配合乙方履行职责。 </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7、甲方不得将本合同的内容向甲乙双方以外的、与签订和履行本合同无关的任何第三方透露，不得泄露乙方的商业秘密（包括本合同及其附件和合同签订前的各项方案） 。履行前述保密义务，不受本合同期满终止、中止或解除等任何情形的影响而被限制或取消,直至相关保密信息通过合法途径为公众所知，或对方书面同意解除此项义务时止。</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8、合同签订后，如乙方擅自中途停止或解除合同，乙方应向甲方双倍返还定金。没有约定定金的，乙方向甲方</w:t>
      </w:r>
      <w:r>
        <w:rPr>
          <w:rFonts w:hint="eastAsia" w:ascii="宋体" w:hAnsi="宋体" w:eastAsia="宋体" w:cs="宋体"/>
          <w:kern w:val="0"/>
          <w:sz w:val="24"/>
          <w:highlight w:val="none"/>
          <w:lang w:val="en-US" w:eastAsia="zh-CN"/>
        </w:rPr>
        <w:t>支付</w:t>
      </w:r>
      <w:r>
        <w:rPr>
          <w:rFonts w:hint="eastAsia" w:ascii="宋体" w:hAnsi="宋体" w:eastAsia="宋体" w:cs="宋体"/>
          <w:kern w:val="0"/>
          <w:sz w:val="24"/>
          <w:highlight w:val="none"/>
        </w:rPr>
        <w:t>合同总价款30%的违约金。</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kern w:val="0"/>
          <w:sz w:val="24"/>
          <w:highlight w:val="none"/>
        </w:rPr>
        <w:t>9、因天气、交通、政府行为、甲方提供的资料不准确等客观原因造成的服务周期</w:t>
      </w:r>
      <w:r>
        <w:rPr>
          <w:rFonts w:hint="eastAsia" w:ascii="宋体" w:hAnsi="宋体" w:eastAsia="宋体" w:cs="宋体"/>
          <w:sz w:val="24"/>
          <w:highlight w:val="none"/>
        </w:rPr>
        <w:t xml:space="preserve">拖期，乙方不承担赔偿责任。 </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10、服务实施过程中，乙方未按投标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11、乙方有责任按甲方要求提交项目资料。如乙方未能按规定的服务周期提供服务，每延误一天，应付合同总价款1%的逾期违约金，（但由于受天气等不可抗力的自然因素影响，则工期顺延）</w:t>
      </w:r>
      <w:r>
        <w:rPr>
          <w:rFonts w:hint="eastAsia" w:ascii="宋体" w:hAnsi="宋体" w:eastAsia="宋体" w:cs="宋体"/>
          <w:sz w:val="24"/>
          <w:highlight w:val="none"/>
          <w:lang w:eastAsia="zh-CN"/>
        </w:rPr>
        <w:t>；</w:t>
      </w:r>
      <w:r>
        <w:rPr>
          <w:rFonts w:hint="eastAsia" w:ascii="宋体" w:hAnsi="宋体" w:eastAsia="宋体" w:cs="宋体"/>
          <w:sz w:val="24"/>
          <w:highlight w:val="none"/>
        </w:rPr>
        <w:t xml:space="preserve">逾期10天以上的，甲方除有权终止履行合同外，乙方应承担因延期造成的损失。同时，甲方有权根据乙方所承担服务的质量是否符合要求而对服务的内容进行调整。 </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12、乙方提供的服务质量不合格的，乙方应当无偿采取补救措施以达到质量要求。因服务最终达不到合同要求造成损害后果时，乙方应当承担赔偿损失等的法律责任，但该损害后果是由甲方提供材料不实等甲方自己原因导致的除外。</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13、乙方不得将本项目的全部或任何部分转包或分包给其他任何单位和个人。若擅自转包或分包本合同标的，甲方有权解除合同，并可要求乙方偿付合同总价款30%的违约金，同时追究其法律责任。  </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cs="宋体"/>
          <w:b/>
          <w:bCs/>
          <w:sz w:val="24"/>
          <w:highlight w:val="none"/>
          <w:lang w:eastAsia="zh-CN"/>
        </w:rPr>
        <w:t>六、</w:t>
      </w:r>
      <w:r>
        <w:rPr>
          <w:rFonts w:hint="eastAsia" w:ascii="宋体" w:hAnsi="宋体" w:eastAsia="宋体" w:cs="宋体"/>
          <w:b/>
          <w:bCs/>
          <w:sz w:val="24"/>
          <w:highlight w:val="none"/>
        </w:rPr>
        <w:t>质量保证</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1.乙方提供的服务必须保证质量可靠，手续齐全，应全面满足</w:t>
      </w:r>
      <w:r>
        <w:rPr>
          <w:rFonts w:hint="eastAsia" w:ascii="宋体" w:hAnsi="宋体" w:cs="宋体"/>
          <w:bCs/>
          <w:sz w:val="24"/>
          <w:highlight w:val="none"/>
          <w:lang w:eastAsia="zh-CN"/>
        </w:rPr>
        <w:t>单一来源采购文件</w:t>
      </w:r>
      <w:r>
        <w:rPr>
          <w:rFonts w:hint="eastAsia" w:ascii="宋体" w:hAnsi="宋体" w:eastAsia="宋体" w:cs="宋体"/>
          <w:bCs/>
          <w:sz w:val="24"/>
          <w:highlight w:val="none"/>
        </w:rPr>
        <w:t>的要求。所供服务质量应严格按国家最新发布的规范标准执行，如发生质量问题由乙方承担全部责任。</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2.服务期内服务内容等指标与合同有任何一项不符，甲方可以以书面形式向乙方提出异议并要求赔偿。同时应向政府采购管理部门报告。</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3.乙方在收到甲方的通知后，应及时免费对服务内容及实施效果的不足或偏差进行补正，并保证达到合同规定应该提供的质量标准。</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lang w:eastAsia="zh-CN"/>
        </w:rPr>
      </w:pPr>
      <w:r>
        <w:rPr>
          <w:rFonts w:hint="eastAsia" w:ascii="宋体" w:hAnsi="宋体" w:cs="宋体"/>
          <w:b/>
          <w:bCs/>
          <w:sz w:val="24"/>
          <w:highlight w:val="none"/>
          <w:lang w:eastAsia="zh-CN"/>
        </w:rPr>
        <w:t>七</w:t>
      </w:r>
      <w:r>
        <w:rPr>
          <w:rFonts w:hint="eastAsia" w:ascii="宋体" w:hAnsi="宋体" w:eastAsia="宋体" w:cs="宋体"/>
          <w:b/>
          <w:bCs/>
          <w:sz w:val="24"/>
          <w:highlight w:val="none"/>
          <w:lang w:eastAsia="zh-CN"/>
        </w:rPr>
        <w:t>、质量验收标准或规范</w:t>
      </w:r>
    </w:p>
    <w:p>
      <w:pPr>
        <w:keepNext w:val="0"/>
        <w:keepLines w:val="0"/>
        <w:pageBreakBefore w:val="0"/>
        <w:widowControl w:val="0"/>
        <w:kinsoku/>
        <w:wordWrap/>
        <w:overflowPunct/>
        <w:topLinePunct w:val="0"/>
        <w:bidi w:val="0"/>
        <w:adjustRightInd w:val="0"/>
        <w:snapToGrid w:val="0"/>
        <w:spacing w:line="500" w:lineRule="exact"/>
        <w:ind w:firstLine="480" w:firstLineChars="200"/>
        <w:jc w:val="left"/>
        <w:textAlignment w:val="auto"/>
        <w:rPr>
          <w:rFonts w:hint="eastAsia" w:ascii="宋体" w:hAnsi="宋体" w:cs="宋体"/>
          <w:b w:val="0"/>
          <w:bCs w:val="0"/>
          <w:sz w:val="24"/>
          <w:highlight w:val="none"/>
          <w:lang w:eastAsia="zh-CN"/>
        </w:rPr>
      </w:pPr>
      <w:r>
        <w:rPr>
          <w:rFonts w:hint="eastAsia" w:ascii="宋体" w:hAnsi="宋体" w:cs="宋体"/>
          <w:b w:val="0"/>
          <w:bCs w:val="0"/>
          <w:sz w:val="24"/>
          <w:highlight w:val="none"/>
          <w:lang w:eastAsia="zh-CN"/>
        </w:rPr>
        <w:t>必须符合国家有关规范和相关政策。及时对出现的故障进行应急处理。</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cs="宋体"/>
          <w:b/>
          <w:bCs/>
          <w:sz w:val="24"/>
          <w:highlight w:val="none"/>
          <w:lang w:eastAsia="zh-CN"/>
        </w:rPr>
        <w:t>八</w:t>
      </w:r>
      <w:r>
        <w:rPr>
          <w:rFonts w:hint="eastAsia" w:ascii="宋体" w:hAnsi="宋体" w:eastAsia="宋体" w:cs="宋体"/>
          <w:b/>
          <w:bCs/>
          <w:sz w:val="24"/>
          <w:highlight w:val="none"/>
        </w:rPr>
        <w:t>、保密</w:t>
      </w:r>
    </w:p>
    <w:p>
      <w:pPr>
        <w:keepNext w:val="0"/>
        <w:keepLines w:val="0"/>
        <w:pageBreakBefore w:val="0"/>
        <w:widowControl w:val="0"/>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因公安系统的安全性和特殊性，供应方应对因履行合同而取得的信息、资料等予以保密。未经</w:t>
      </w:r>
      <w:r>
        <w:rPr>
          <w:rFonts w:hint="eastAsia" w:ascii="宋体" w:hAnsi="宋体" w:eastAsia="宋体" w:cs="宋体"/>
          <w:sz w:val="24"/>
          <w:szCs w:val="24"/>
          <w:highlight w:val="none"/>
          <w:lang w:eastAsia="zh-CN"/>
        </w:rPr>
        <w:t>采购方</w:t>
      </w:r>
      <w:r>
        <w:rPr>
          <w:rFonts w:hint="eastAsia" w:ascii="宋体" w:hAnsi="宋体" w:eastAsia="宋体" w:cs="宋体"/>
          <w:sz w:val="24"/>
          <w:szCs w:val="24"/>
          <w:highlight w:val="none"/>
        </w:rPr>
        <w:t>书面同意，均不得为与履行合同无关的目的使用或向第三方披露</w:t>
      </w:r>
      <w:r>
        <w:rPr>
          <w:rFonts w:hint="eastAsia" w:ascii="宋体" w:hAnsi="宋体" w:eastAsia="宋体" w:cs="宋体"/>
          <w:sz w:val="24"/>
          <w:szCs w:val="24"/>
          <w:highlight w:val="none"/>
          <w:lang w:eastAsia="zh-CN"/>
        </w:rPr>
        <w:t>采购方</w:t>
      </w:r>
      <w:r>
        <w:rPr>
          <w:rFonts w:hint="eastAsia" w:ascii="宋体" w:hAnsi="宋体" w:eastAsia="宋体" w:cs="宋体"/>
          <w:sz w:val="24"/>
          <w:szCs w:val="24"/>
          <w:highlight w:val="none"/>
        </w:rPr>
        <w:t>的信息、资料。项目过程中如需涉及</w:t>
      </w:r>
      <w:r>
        <w:rPr>
          <w:rFonts w:hint="eastAsia" w:ascii="宋体" w:hAnsi="宋体" w:cs="宋体"/>
          <w:sz w:val="24"/>
          <w:szCs w:val="24"/>
          <w:highlight w:val="none"/>
          <w:lang w:eastAsia="zh-CN"/>
        </w:rPr>
        <w:t>铜川市公安局耀州分局</w:t>
      </w:r>
      <w:r>
        <w:rPr>
          <w:rFonts w:hint="eastAsia" w:ascii="宋体" w:hAnsi="宋体" w:eastAsia="宋体" w:cs="宋体"/>
          <w:sz w:val="24"/>
          <w:szCs w:val="24"/>
          <w:highlight w:val="none"/>
        </w:rPr>
        <w:t xml:space="preserve">的数据信息，必须先通过相关负责人的认可，项目工作的数据信息（无论是打印或介质上的数据信息）不得带离工作现场，不得随意复制和传播。 </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lang w:val="en-US" w:eastAsia="zh-CN"/>
        </w:rPr>
      </w:pPr>
      <w:r>
        <w:rPr>
          <w:rFonts w:hint="eastAsia" w:ascii="宋体" w:hAnsi="宋体" w:cs="宋体"/>
          <w:b/>
          <w:bCs/>
          <w:sz w:val="24"/>
          <w:highlight w:val="none"/>
          <w:lang w:eastAsia="zh-CN"/>
        </w:rPr>
        <w:t>九</w:t>
      </w:r>
      <w:r>
        <w:rPr>
          <w:rFonts w:hint="eastAsia" w:ascii="宋体" w:hAnsi="宋体" w:eastAsia="宋体" w:cs="宋体"/>
          <w:b/>
          <w:bCs/>
          <w:sz w:val="24"/>
          <w:highlight w:val="none"/>
        </w:rPr>
        <w:t>、违约责任</w:t>
      </w:r>
    </w:p>
    <w:p>
      <w:pPr>
        <w:pStyle w:val="7"/>
        <w:keepNext w:val="0"/>
        <w:keepLines w:val="0"/>
        <w:pageBreakBefore w:val="0"/>
        <w:widowControl w:val="0"/>
        <w:kinsoku/>
        <w:wordWrap/>
        <w:overflowPunct/>
        <w:topLinePunct w:val="0"/>
        <w:bidi w:val="0"/>
        <w:spacing w:after="0" w:line="500" w:lineRule="exact"/>
        <w:ind w:left="0" w:firstLine="480" w:firstLineChars="200"/>
        <w:jc w:val="left"/>
        <w:textAlignment w:val="auto"/>
        <w:rPr>
          <w:rFonts w:hint="eastAsia" w:ascii="宋体" w:hAnsi="宋体" w:eastAsia="宋体" w:cs="宋体"/>
          <w:bCs/>
          <w:sz w:val="24"/>
          <w:szCs w:val="24"/>
          <w:highlight w:val="none"/>
          <w:lang w:val="en-US" w:bidi="ar-SA"/>
        </w:rPr>
      </w:pPr>
      <w:r>
        <w:rPr>
          <w:rFonts w:hint="eastAsia" w:ascii="宋体" w:hAnsi="宋体" w:eastAsia="宋体" w:cs="宋体"/>
          <w:bCs/>
          <w:sz w:val="24"/>
          <w:szCs w:val="24"/>
          <w:highlight w:val="none"/>
          <w:lang w:val="en-US" w:bidi="ar-SA"/>
        </w:rPr>
        <w:t>1. 如成交人延期提供服务，以每天逾期扣除项目总价款</w:t>
      </w:r>
      <w:r>
        <w:rPr>
          <w:rFonts w:hint="eastAsia" w:ascii="宋体" w:hAnsi="宋体" w:eastAsia="宋体" w:cs="宋体"/>
          <w:bCs/>
          <w:sz w:val="24"/>
          <w:szCs w:val="24"/>
          <w:highlight w:val="none"/>
          <w:lang w:val="en-US" w:eastAsia="zh-CN" w:bidi="ar-SA"/>
        </w:rPr>
        <w:t>千分之五</w:t>
      </w:r>
      <w:r>
        <w:rPr>
          <w:rFonts w:hint="eastAsia" w:ascii="宋体" w:hAnsi="宋体" w:eastAsia="宋体" w:cs="宋体"/>
          <w:bCs/>
          <w:sz w:val="24"/>
          <w:szCs w:val="24"/>
          <w:highlight w:val="none"/>
          <w:lang w:val="en-US" w:bidi="ar-SA"/>
        </w:rPr>
        <w:t>为标准，按延期天数在合同总价款中扣除相应的违约金；但违约金累计不超过逾期交付项目款总额的30%。</w:t>
      </w:r>
    </w:p>
    <w:p>
      <w:pPr>
        <w:pStyle w:val="7"/>
        <w:keepNext w:val="0"/>
        <w:keepLines w:val="0"/>
        <w:pageBreakBefore w:val="0"/>
        <w:widowControl w:val="0"/>
        <w:kinsoku/>
        <w:wordWrap/>
        <w:overflowPunct/>
        <w:topLinePunct w:val="0"/>
        <w:bidi w:val="0"/>
        <w:spacing w:after="0" w:line="500" w:lineRule="exact"/>
        <w:ind w:left="0" w:firstLine="480" w:firstLineChars="200"/>
        <w:jc w:val="left"/>
        <w:textAlignment w:val="auto"/>
        <w:rPr>
          <w:rFonts w:hint="eastAsia" w:ascii="宋体" w:hAnsi="宋体" w:eastAsia="宋体" w:cs="宋体"/>
          <w:bCs/>
          <w:sz w:val="24"/>
          <w:szCs w:val="24"/>
          <w:highlight w:val="none"/>
          <w:lang w:val="en-US" w:bidi="ar-SA"/>
        </w:rPr>
      </w:pPr>
      <w:r>
        <w:rPr>
          <w:rFonts w:hint="eastAsia" w:ascii="宋体" w:hAnsi="宋体" w:eastAsia="宋体" w:cs="宋体"/>
          <w:bCs/>
          <w:sz w:val="24"/>
          <w:szCs w:val="24"/>
          <w:highlight w:val="none"/>
          <w:lang w:val="en-US" w:bidi="ar-SA"/>
        </w:rPr>
        <w:t>2. 不可抗力事件应根据《中华人民共和国民法典》的要求进行处理。</w:t>
      </w:r>
    </w:p>
    <w:p>
      <w:pPr>
        <w:pStyle w:val="7"/>
        <w:keepNext w:val="0"/>
        <w:keepLines w:val="0"/>
        <w:pageBreakBefore w:val="0"/>
        <w:widowControl w:val="0"/>
        <w:kinsoku/>
        <w:wordWrap/>
        <w:overflowPunct/>
        <w:topLinePunct w:val="0"/>
        <w:bidi w:val="0"/>
        <w:spacing w:after="0" w:line="500" w:lineRule="exact"/>
        <w:ind w:left="0" w:firstLine="480" w:firstLineChars="200"/>
        <w:jc w:val="left"/>
        <w:textAlignment w:val="auto"/>
        <w:rPr>
          <w:rFonts w:hint="eastAsia" w:ascii="宋体" w:hAnsi="宋体" w:eastAsia="宋体" w:cs="宋体"/>
          <w:bCs/>
          <w:sz w:val="24"/>
          <w:szCs w:val="24"/>
          <w:highlight w:val="none"/>
          <w:lang w:val="en-US" w:bidi="ar-SA"/>
        </w:rPr>
      </w:pPr>
      <w:r>
        <w:rPr>
          <w:rFonts w:hint="eastAsia" w:ascii="宋体" w:hAnsi="宋体" w:eastAsia="宋体" w:cs="宋体"/>
          <w:bCs/>
          <w:sz w:val="24"/>
          <w:szCs w:val="24"/>
          <w:highlight w:val="none"/>
          <w:lang w:val="en-US" w:bidi="ar-SA"/>
        </w:rPr>
        <w:t>3. 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中标方承担违约责任。同时，政府采购监管部门有权依据《中华人民共和政府采购法》及相关法律法规对供应商的违法行为进行相应的处罚。</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lang w:eastAsia="zh-CN"/>
        </w:rPr>
        <w:t>十</w:t>
      </w:r>
      <w:r>
        <w:rPr>
          <w:rFonts w:hint="eastAsia" w:ascii="宋体" w:hAnsi="宋体" w:eastAsia="宋体" w:cs="宋体"/>
          <w:b/>
          <w:bCs/>
          <w:sz w:val="24"/>
          <w:highlight w:val="none"/>
        </w:rPr>
        <w:t>、不可抗力</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 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 受不可抗力事件影响的一方当事人对于不可抗力事件导致的任何合同义务的延迟履行或不能履行不承担违约责任。但该方当事人应尽快将不可抗力事件结束或消除的情况通知另一方当事人。</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
          <w:bCs/>
          <w:sz w:val="24"/>
          <w:highlight w:val="none"/>
        </w:rPr>
      </w:pPr>
      <w:r>
        <w:rPr>
          <w:rFonts w:hint="eastAsia" w:ascii="宋体" w:hAnsi="宋体" w:eastAsia="宋体" w:cs="宋体"/>
          <w:bCs/>
          <w:sz w:val="24"/>
          <w:highlight w:val="none"/>
        </w:rPr>
        <w:t>3. 双方当事人应在不可抗力事件结束或其影响消除后立即继续履行其合同义务，合同期限也应相应顺延。</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w:t>
      </w:r>
      <w:r>
        <w:rPr>
          <w:rFonts w:hint="eastAsia" w:ascii="宋体" w:hAnsi="宋体" w:cs="宋体"/>
          <w:b/>
          <w:bCs/>
          <w:sz w:val="24"/>
          <w:highlight w:val="none"/>
          <w:lang w:eastAsia="zh-CN"/>
        </w:rPr>
        <w:t>一</w:t>
      </w:r>
      <w:r>
        <w:rPr>
          <w:rFonts w:hint="eastAsia" w:ascii="宋体" w:hAnsi="宋体" w:eastAsia="宋体" w:cs="宋体"/>
          <w:b/>
          <w:bCs/>
          <w:sz w:val="24"/>
          <w:highlight w:val="none"/>
        </w:rPr>
        <w:t>、合同的解除</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 有下述情形之一，当事人可发出书面通知全部或部分地解除合同，合同自通知到达对方时全部或部分地解除：</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（1）乙方提供的服务内容不符合</w:t>
      </w:r>
      <w:r>
        <w:rPr>
          <w:rFonts w:hint="eastAsia" w:ascii="宋体" w:hAnsi="宋体" w:cs="宋体"/>
          <w:bCs/>
          <w:sz w:val="24"/>
          <w:highlight w:val="none"/>
          <w:lang w:eastAsia="zh-CN"/>
        </w:rPr>
        <w:t>单一来源采购文件</w:t>
      </w:r>
      <w:r>
        <w:rPr>
          <w:rFonts w:hint="eastAsia" w:ascii="宋体" w:hAnsi="宋体" w:eastAsia="宋体" w:cs="宋体"/>
          <w:bCs/>
          <w:sz w:val="24"/>
          <w:highlight w:val="none"/>
        </w:rPr>
        <w:t>规定或不合格的或本项目不能通过验收的；</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w:t>
      </w:r>
      <w:bookmarkStart w:id="2" w:name="_Hlk114646128"/>
      <w:r>
        <w:rPr>
          <w:rFonts w:hint="eastAsia" w:ascii="宋体" w:hAnsi="宋体" w:eastAsia="宋体" w:cs="宋体"/>
          <w:bCs/>
          <w:sz w:val="24"/>
          <w:highlight w:val="none"/>
        </w:rPr>
        <w:t>因乙方原因造成甲方业务服务中断时长超过一周或因服务中断造成舆情影响甲方名誉及公信力的情况时</w:t>
      </w:r>
      <w:bookmarkEnd w:id="2"/>
      <w:r>
        <w:rPr>
          <w:rFonts w:hint="eastAsia" w:ascii="宋体" w:hAnsi="宋体" w:eastAsia="宋体" w:cs="宋体"/>
          <w:bCs/>
          <w:sz w:val="24"/>
          <w:highlight w:val="none"/>
        </w:rPr>
        <w:t>；</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（3）合同一方当事人未能履行合同项下任何其它义务（细微义务除外），或在未事先征得另一方当事人同意的情况下，从事任何可能在实质上不利影响其履行合同能力的活动，经另一方当事人书面通知后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eastAsia="宋体" w:cs="宋体"/>
          <w:bCs/>
          <w:sz w:val="24"/>
          <w:highlight w:val="none"/>
          <w:u w:val="single"/>
        </w:rPr>
        <w:t xml:space="preserve">  15  </w:t>
      </w:r>
      <w:r>
        <w:rPr>
          <w:rFonts w:hint="eastAsia" w:ascii="宋体" w:hAnsi="宋体" w:eastAsia="宋体" w:cs="宋体"/>
          <w:bCs/>
          <w:sz w:val="24"/>
          <w:highlight w:val="none"/>
        </w:rPr>
        <w:t>日内未能对其行为作出补救；</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（4）合同一方当事人出现破产、清算、资不抵债、成为失信被执行人等可能丧失履约能力的情形，且未能提供令对方满意的履约保证金。</w:t>
      </w:r>
    </w:p>
    <w:p>
      <w:pPr>
        <w:keepNext w:val="0"/>
        <w:keepLines w:val="0"/>
        <w:pageBreakBefore w:val="0"/>
        <w:widowControl w:val="0"/>
        <w:kinsoku/>
        <w:wordWrap/>
        <w:overflowPunct/>
        <w:topLinePunct w:val="0"/>
        <w:autoSpaceDE w:val="0"/>
        <w:autoSpaceDN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（5）乙方提供的服务内容存在争议或纠纷的。</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2.在乙方违约的情况下，甲方报告政府采购管理部门后，有权终止合同，并依法向乙方进行索赔实际损失(包括但不限于维权所支出的律师费、诉讼费、交通费等)。</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w:t>
      </w:r>
      <w:r>
        <w:rPr>
          <w:rFonts w:hint="eastAsia" w:ascii="宋体" w:hAnsi="宋体" w:cs="宋体"/>
          <w:b/>
          <w:bCs/>
          <w:sz w:val="24"/>
          <w:highlight w:val="none"/>
          <w:lang w:eastAsia="zh-CN"/>
        </w:rPr>
        <w:t>二</w:t>
      </w:r>
      <w:r>
        <w:rPr>
          <w:rFonts w:hint="eastAsia" w:ascii="宋体" w:hAnsi="宋体" w:eastAsia="宋体" w:cs="宋体"/>
          <w:b/>
          <w:bCs/>
          <w:sz w:val="24"/>
          <w:highlight w:val="none"/>
        </w:rPr>
        <w:t>、适用法律</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本合同应按照中华人民共和国的现行法律进行解释。</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w:t>
      </w:r>
      <w:r>
        <w:rPr>
          <w:rFonts w:hint="eastAsia" w:ascii="宋体" w:hAnsi="宋体" w:cs="宋体"/>
          <w:b/>
          <w:bCs/>
          <w:sz w:val="24"/>
          <w:highlight w:val="none"/>
          <w:lang w:eastAsia="zh-CN"/>
        </w:rPr>
        <w:t>三</w:t>
      </w:r>
      <w:r>
        <w:rPr>
          <w:rFonts w:hint="eastAsia" w:ascii="宋体" w:hAnsi="宋体" w:eastAsia="宋体" w:cs="宋体"/>
          <w:b/>
          <w:bCs/>
          <w:sz w:val="24"/>
          <w:highlight w:val="none"/>
        </w:rPr>
        <w:t>、合同生效及其他</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 本合同在甲、乙双方签字、盖章之后生效。</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 本合同一式</w:t>
      </w:r>
      <w:r>
        <w:rPr>
          <w:rFonts w:hint="eastAsia" w:ascii="宋体" w:hAnsi="宋体" w:cs="宋体"/>
          <w:bCs/>
          <w:sz w:val="24"/>
          <w:highlight w:val="none"/>
          <w:lang w:eastAsia="zh-CN"/>
        </w:rPr>
        <w:t>伍</w:t>
      </w:r>
      <w:r>
        <w:rPr>
          <w:rFonts w:hint="eastAsia" w:ascii="宋体" w:hAnsi="宋体" w:eastAsia="宋体" w:cs="宋体"/>
          <w:bCs/>
          <w:sz w:val="24"/>
          <w:highlight w:val="none"/>
        </w:rPr>
        <w:t>份，均以中文书写。甲方执</w:t>
      </w:r>
      <w:r>
        <w:rPr>
          <w:rFonts w:hint="eastAsia" w:ascii="宋体" w:hAnsi="宋体" w:cs="宋体"/>
          <w:bCs/>
          <w:sz w:val="24"/>
          <w:highlight w:val="none"/>
          <w:lang w:eastAsia="zh-CN"/>
        </w:rPr>
        <w:t>贰</w:t>
      </w:r>
      <w:r>
        <w:rPr>
          <w:rFonts w:hint="eastAsia" w:ascii="宋体" w:hAnsi="宋体" w:eastAsia="宋体" w:cs="宋体"/>
          <w:bCs/>
          <w:sz w:val="24"/>
          <w:highlight w:val="none"/>
        </w:rPr>
        <w:t>份；乙方执</w:t>
      </w:r>
      <w:r>
        <w:rPr>
          <w:rFonts w:hint="eastAsia" w:ascii="宋体" w:hAnsi="宋体" w:cs="宋体"/>
          <w:bCs/>
          <w:sz w:val="24"/>
          <w:highlight w:val="none"/>
          <w:lang w:eastAsia="zh-CN"/>
        </w:rPr>
        <w:t>贰</w:t>
      </w:r>
      <w:r>
        <w:rPr>
          <w:rFonts w:hint="eastAsia" w:ascii="宋体" w:hAnsi="宋体" w:eastAsia="宋体" w:cs="宋体"/>
          <w:bCs/>
          <w:sz w:val="24"/>
          <w:highlight w:val="none"/>
        </w:rPr>
        <w:t>份；政府采购管理部门备案</w:t>
      </w:r>
      <w:r>
        <w:rPr>
          <w:rFonts w:hint="eastAsia" w:ascii="宋体" w:hAnsi="宋体" w:cs="宋体"/>
          <w:bCs/>
          <w:sz w:val="24"/>
          <w:highlight w:val="none"/>
          <w:lang w:eastAsia="zh-CN"/>
        </w:rPr>
        <w:t>壹</w:t>
      </w:r>
      <w:r>
        <w:rPr>
          <w:rFonts w:hint="eastAsia" w:ascii="宋体" w:hAnsi="宋体" w:eastAsia="宋体" w:cs="宋体"/>
          <w:bCs/>
          <w:sz w:val="24"/>
          <w:highlight w:val="none"/>
        </w:rPr>
        <w:t>份，具有同等的法律效力。</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sz w:val="24"/>
          <w:highlight w:val="none"/>
        </w:rPr>
      </w:pPr>
      <w:r>
        <w:rPr>
          <w:rFonts w:hint="eastAsia" w:ascii="宋体" w:hAnsi="宋体" w:eastAsia="宋体" w:cs="宋体"/>
          <w:b/>
          <w:bCs/>
          <w:sz w:val="24"/>
          <w:highlight w:val="none"/>
        </w:rPr>
        <w:t>十</w:t>
      </w:r>
      <w:r>
        <w:rPr>
          <w:rFonts w:hint="eastAsia" w:ascii="宋体" w:hAnsi="宋体" w:cs="宋体"/>
          <w:b/>
          <w:bCs/>
          <w:sz w:val="24"/>
          <w:highlight w:val="none"/>
          <w:lang w:eastAsia="zh-CN"/>
        </w:rPr>
        <w:t>四</w:t>
      </w:r>
      <w:r>
        <w:rPr>
          <w:rFonts w:hint="eastAsia" w:ascii="宋体" w:hAnsi="宋体" w:eastAsia="宋体" w:cs="宋体"/>
          <w:b/>
          <w:bCs/>
          <w:sz w:val="24"/>
          <w:highlight w:val="none"/>
        </w:rPr>
        <w:t>、合同修改</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本合同在执行过程中，如提出修改，须报政府采购管理部门同意后，由甲、乙双方签署书面修改协议，并成为本合同不可分割的一部分。除此之外，本合同的条件不得有任何变化或修改。</w:t>
      </w:r>
    </w:p>
    <w:p>
      <w:pPr>
        <w:keepNext w:val="0"/>
        <w:keepLines w:val="0"/>
        <w:pageBreakBefore w:val="0"/>
        <w:widowControl w:val="0"/>
        <w:kinsoku/>
        <w:wordWrap/>
        <w:overflowPunct/>
        <w:topLinePunct w:val="0"/>
        <w:autoSpaceDE w:val="0"/>
        <w:autoSpaceDN w:val="0"/>
        <w:bidi w:val="0"/>
        <w:adjustRightIn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w:t>
      </w:r>
      <w:r>
        <w:rPr>
          <w:rFonts w:hint="eastAsia" w:ascii="宋体" w:hAnsi="宋体" w:cs="宋体"/>
          <w:b/>
          <w:bCs/>
          <w:sz w:val="24"/>
          <w:highlight w:val="none"/>
          <w:lang w:eastAsia="zh-CN"/>
        </w:rPr>
        <w:t>五</w:t>
      </w:r>
      <w:r>
        <w:rPr>
          <w:rFonts w:hint="eastAsia" w:ascii="宋体" w:hAnsi="宋体" w:eastAsia="宋体" w:cs="宋体"/>
          <w:b/>
          <w:bCs/>
          <w:sz w:val="24"/>
          <w:highlight w:val="none"/>
        </w:rPr>
        <w:t>、争议解决方式</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bCs/>
          <w:sz w:val="24"/>
          <w:highlight w:val="none"/>
        </w:rPr>
        <w:t>因执行本合同所发生的或与本合同有关的一切争议,双方应通过友好协商解决，协商不成的可依法向甲方所在地人民法院起诉。</w:t>
      </w:r>
    </w:p>
    <w:p>
      <w:pPr>
        <w:keepNext w:val="0"/>
        <w:keepLines w:val="0"/>
        <w:pageBreakBefore w:val="0"/>
        <w:widowControl w:val="0"/>
        <w:kinsoku/>
        <w:wordWrap/>
        <w:overflowPunct/>
        <w:topLinePunct w:val="0"/>
        <w:bidi w:val="0"/>
        <w:spacing w:line="500" w:lineRule="exact"/>
        <w:textAlignment w:val="auto"/>
        <w:rPr>
          <w:rFonts w:ascii="宋体" w:hAnsi="宋体" w:eastAsia="宋体" w:cs="宋体"/>
          <w:b/>
          <w:bCs/>
          <w:sz w:val="24"/>
          <w:highlight w:val="none"/>
        </w:rPr>
      </w:pPr>
      <w:r>
        <w:rPr>
          <w:rFonts w:ascii="宋体" w:hAnsi="宋体" w:eastAsia="宋体" w:cs="宋体"/>
          <w:b/>
          <w:bCs/>
          <w:sz w:val="24"/>
          <w:highlight w:val="none"/>
        </w:rPr>
        <w:t xml:space="preserve">    </w:t>
      </w:r>
      <w:r>
        <w:rPr>
          <w:rFonts w:hint="eastAsia" w:ascii="宋体" w:hAnsi="宋体" w:eastAsia="宋体" w:cs="宋体"/>
          <w:b/>
          <w:bCs/>
          <w:sz w:val="24"/>
          <w:highlight w:val="none"/>
        </w:rPr>
        <w:t>十</w:t>
      </w:r>
      <w:r>
        <w:rPr>
          <w:rFonts w:hint="eastAsia" w:ascii="宋体" w:hAnsi="宋体" w:cs="宋体"/>
          <w:b/>
          <w:bCs/>
          <w:sz w:val="24"/>
          <w:highlight w:val="none"/>
          <w:lang w:eastAsia="zh-CN"/>
        </w:rPr>
        <w:t>六</w:t>
      </w:r>
      <w:r>
        <w:rPr>
          <w:rFonts w:hint="eastAsia" w:ascii="宋体" w:hAnsi="宋体" w:eastAsia="宋体" w:cs="宋体"/>
          <w:b/>
          <w:bCs/>
          <w:sz w:val="24"/>
          <w:highlight w:val="none"/>
        </w:rPr>
        <w:t>、签章页，以下无本合同正文内容</w:t>
      </w:r>
    </w:p>
    <w:tbl>
      <w:tblPr>
        <w:tblStyle w:val="5"/>
        <w:tblW w:w="50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2"/>
        <w:gridCol w:w="4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4282"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甲  方</w:t>
            </w:r>
          </w:p>
        </w:tc>
        <w:tc>
          <w:tcPr>
            <w:tcW w:w="4276"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4282"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4276"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42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地址：</w:t>
            </w:r>
          </w:p>
        </w:tc>
        <w:tc>
          <w:tcPr>
            <w:tcW w:w="4276"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42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法定代表人或委托代理人：</w:t>
            </w:r>
          </w:p>
        </w:tc>
        <w:tc>
          <w:tcPr>
            <w:tcW w:w="4276" w:type="dxa"/>
            <w:noWrap w:val="0"/>
            <w:vAlign w:val="top"/>
          </w:tcPr>
          <w:p>
            <w:pPr>
              <w:spacing w:line="480" w:lineRule="exact"/>
              <w:rPr>
                <w:rFonts w:hint="eastAsia" w:ascii="宋体" w:hAnsi="宋体" w:eastAsia="宋体" w:cs="宋体"/>
                <w:sz w:val="24"/>
                <w:highlight w:val="none"/>
                <w:lang w:eastAsia="zh-CN"/>
              </w:rPr>
            </w:pPr>
            <w:r>
              <w:rPr>
                <w:rFonts w:hint="eastAsia" w:ascii="宋体" w:hAnsi="宋体" w:eastAsia="宋体" w:cs="宋体"/>
                <w:sz w:val="24"/>
                <w:highlight w:val="none"/>
              </w:rPr>
              <w:t>法定代表人或委托代理人</w:t>
            </w:r>
            <w:r>
              <w:rPr>
                <w:rFonts w:hint="eastAsia" w:ascii="宋体" w:hAnsi="宋体" w:cs="宋体"/>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42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4276"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4282" w:type="dxa"/>
            <w:noWrap w:val="0"/>
            <w:vAlign w:val="top"/>
          </w:tcPr>
          <w:p>
            <w:pPr>
              <w:spacing w:line="480" w:lineRule="exact"/>
              <w:rPr>
                <w:rFonts w:hint="eastAsia" w:ascii="宋体" w:hAnsi="宋体" w:eastAsia="宋体" w:cs="宋体"/>
                <w:sz w:val="24"/>
                <w:highlight w:val="none"/>
              </w:rPr>
            </w:pPr>
          </w:p>
        </w:tc>
        <w:tc>
          <w:tcPr>
            <w:tcW w:w="4276"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4282" w:type="dxa"/>
            <w:noWrap w:val="0"/>
            <w:vAlign w:val="top"/>
          </w:tcPr>
          <w:p>
            <w:pPr>
              <w:spacing w:line="480" w:lineRule="exact"/>
              <w:rPr>
                <w:rFonts w:hint="eastAsia" w:ascii="宋体" w:hAnsi="宋体" w:eastAsia="宋体" w:cs="宋体"/>
                <w:sz w:val="24"/>
                <w:highlight w:val="none"/>
              </w:rPr>
            </w:pPr>
          </w:p>
        </w:tc>
        <w:tc>
          <w:tcPr>
            <w:tcW w:w="4276"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4282" w:type="dxa"/>
            <w:noWrap w:val="0"/>
            <w:vAlign w:val="center"/>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4276" w:type="dxa"/>
            <w:noWrap w:val="0"/>
            <w:vAlign w:val="center"/>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OThkNmU1YjY5YTMwMTI5ODRiMmE2NTc4Y2FkN2IifQ=="/>
  </w:docVars>
  <w:rsids>
    <w:rsidRoot w:val="00000000"/>
    <w:rsid w:val="0930667D"/>
    <w:rsid w:val="0B8D0492"/>
    <w:rsid w:val="11103213"/>
    <w:rsid w:val="17A728DB"/>
    <w:rsid w:val="47347438"/>
    <w:rsid w:val="4B366022"/>
    <w:rsid w:val="5C916A38"/>
    <w:rsid w:val="5E8C508E"/>
    <w:rsid w:val="6DE554BF"/>
    <w:rsid w:val="75BB5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4">
    <w:name w:val="Body Text First Indent"/>
    <w:basedOn w:val="2"/>
    <w:qFormat/>
    <w:uiPriority w:val="99"/>
    <w:pPr>
      <w:ind w:firstLine="420" w:firstLineChars="100"/>
    </w:pPr>
  </w:style>
  <w:style w:type="paragraph" w:customStyle="1" w:styleId="7">
    <w:name w:val="正文文本 (3)"/>
    <w:qFormat/>
    <w:uiPriority w:val="0"/>
    <w:pPr>
      <w:widowControl w:val="0"/>
      <w:spacing w:after="130" w:line="403" w:lineRule="exact"/>
      <w:ind w:left="230" w:firstLine="560"/>
      <w:jc w:val="both"/>
    </w:pPr>
    <w:rPr>
      <w:rFonts w:ascii="宋体" w:hAnsi="宋体" w:eastAsia="宋体" w:cs="宋体"/>
      <w:color w:val="auto"/>
      <w:kern w:val="2"/>
      <w:sz w:val="21"/>
      <w:szCs w:val="22"/>
      <w:lang w:val="zh-CN" w:eastAsia="zh-CN" w:bidi="zh-CN"/>
    </w:rPr>
  </w:style>
  <w:style w:type="paragraph" w:customStyle="1" w:styleId="8">
    <w:name w:val="标题 #3"/>
    <w:basedOn w:val="1"/>
    <w:autoRedefine/>
    <w:qFormat/>
    <w:uiPriority w:val="0"/>
    <w:pPr>
      <w:spacing w:after="150" w:line="290" w:lineRule="auto"/>
      <w:ind w:firstLine="480"/>
      <w:outlineLvl w:val="2"/>
    </w:pPr>
    <w:rPr>
      <w:rFonts w:ascii="宋体" w:hAnsi="宋体" w:eastAsia="宋体" w:cs="宋体"/>
      <w:b/>
      <w:bCs/>
      <w:lang w:val="zh-CN" w:eastAsia="zh-CN" w:bidi="zh-CN"/>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4015</Words>
  <Characters>4105</Characters>
  <Lines>0</Lines>
  <Paragraphs>0</Paragraphs>
  <TotalTime>1</TotalTime>
  <ScaleCrop>false</ScaleCrop>
  <LinksUpToDate>false</LinksUpToDate>
  <CharactersWithSpaces>4310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2024-06-14T07:50:00Z</dcterms:created>
  <dc:creator>Administrator</dc:creator>
  <cp:lastModifiedBy>慢慢慢半拍</cp:lastModifiedBy>
  <dcterms:modified xsi:type="dcterms:W3CDTF">2024-08-12T02:36:44Z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CBE35D39F747421181A304C4D9C22339_12</vt:lpwstr>
  </property>
</Properties>
</file>