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版本号：240724001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民警周转房修缮装饰工程</w:t>
      </w:r>
    </w:p>
    <w:p>
      <w:pPr>
        <w:pStyle w:val="null3"/>
        <w:jc w:val="center"/>
        <w:outlineLvl w:val="2"/>
      </w:pPr>
      <w:r>
        <w:rPr>
          <w:sz w:val="28"/>
          <w:b/>
        </w:rPr>
        <w:t>采购项目编号：</w:t>
      </w:r>
      <w:r>
        <w:rPr>
          <w:sz w:val="28"/>
          <w:b/>
        </w:rPr>
        <w:t>GLD2024-032Z</w:t>
      </w:r>
      <w:r>
        <w:br/>
      </w:r>
      <w:r>
        <w:br/>
      </w:r>
      <w:r>
        <w:br/>
      </w:r>
    </w:p>
    <w:p>
      <w:pPr>
        <w:pStyle w:val="null3"/>
        <w:jc w:val="center"/>
        <w:outlineLvl w:val="2"/>
      </w:pPr>
      <w:r>
        <w:rPr>
          <w:sz w:val="28"/>
          <w:b/>
        </w:rPr>
        <w:t>铜川市公安局耀州分局</w:t>
      </w:r>
    </w:p>
    <w:p>
      <w:pPr>
        <w:pStyle w:val="null3"/>
        <w:jc w:val="center"/>
        <w:outlineLvl w:val="2"/>
      </w:pPr>
      <w:r>
        <w:rPr>
          <w:sz w:val="28"/>
          <w:b/>
        </w:rPr>
        <w:t>陕西广联达招标有限公司</w:t>
      </w:r>
      <w:r>
        <w:rPr>
          <w:sz w:val="28"/>
          <w:b/>
        </w:rPr>
        <w:t>共同编制</w:t>
      </w:r>
    </w:p>
    <w:p>
      <w:pPr>
        <w:pStyle w:val="null3"/>
        <w:jc w:val="center"/>
        <w:outlineLvl w:val="2"/>
      </w:pPr>
      <w:r>
        <w:rPr>
          <w:sz w:val="28"/>
          <w:b/>
        </w:rPr>
        <w:t>2024年07月24日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陕西广联达招标有限公司</w:t>
      </w:r>
      <w:r>
        <w:rPr/>
        <w:t>（以下简称“代理机构”）受</w:t>
      </w:r>
      <w:r>
        <w:rPr/>
        <w:t>铜川市公安局耀州分局</w:t>
      </w:r>
      <w:r>
        <w:rPr/>
        <w:t>委托，拟对</w:t>
      </w:r>
      <w:r>
        <w:rPr/>
        <w:t>民警周转房修缮装饰工程</w:t>
      </w:r>
      <w:r>
        <w:rPr/>
        <w:t>采用竞争性磋商采购方式进行采购，兹邀请供应商参加本项目的竞争性磋商。</w:t>
      </w:r>
    </w:p>
    <w:p>
      <w:pPr>
        <w:pStyle w:val="null3"/>
        <w:outlineLvl w:val="2"/>
      </w:pPr>
      <w:r>
        <w:rPr>
          <w:sz w:val="28"/>
          <w:b/>
        </w:rPr>
        <w:t>一、采购项目编号：</w:t>
      </w:r>
      <w:r>
        <w:rPr>
          <w:sz w:val="28"/>
          <w:b/>
        </w:rPr>
        <w:t>GLD2024-032Z</w:t>
      </w:r>
    </w:p>
    <w:p>
      <w:pPr>
        <w:pStyle w:val="null3"/>
        <w:outlineLvl w:val="2"/>
      </w:pPr>
      <w:r>
        <w:rPr>
          <w:sz w:val="28"/>
          <w:b/>
        </w:rPr>
        <w:t>二、采购项目名称：</w:t>
      </w:r>
      <w:r>
        <w:rPr>
          <w:sz w:val="28"/>
          <w:b/>
        </w:rPr>
        <w:t>民警周转房修缮装饰工程</w:t>
      </w:r>
    </w:p>
    <w:p>
      <w:pPr>
        <w:pStyle w:val="null3"/>
        <w:outlineLvl w:val="2"/>
      </w:pPr>
      <w:r>
        <w:rPr>
          <w:sz w:val="28"/>
          <w:b/>
        </w:rPr>
        <w:t>三、磋商项目简介</w:t>
      </w:r>
    </w:p>
    <w:p>
      <w:pPr>
        <w:pStyle w:val="null3"/>
        <w:ind w:firstLine="480"/>
      </w:pPr>
      <w:r>
        <w:rPr/>
        <w:t>民警周转房修缮装饰工程由楼地面、墙柱面、天棚、防水等装饰工程，给水管道安装、洁具安装等给排水工程，灯具、开关、配管配线、电气设备采购等电气照明工程构成。</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采购包1（民警周转房修缮装饰工程）：属于专门面向中小企业采购。</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1、有效的主体资格证明：具有独立承担民事责任能力的法人、其他组织或自然人，营业执照、组织机构代码证、税务登记 证（多证合一只提供营业执照，事业单位提供事业单位法人证书，自然人提供本人身份证）合法 有效</w:t>
      </w:r>
    </w:p>
    <w:p>
      <w:pPr>
        <w:pStyle w:val="null3"/>
      </w:pPr>
      <w:r>
        <w:rPr/>
        <w:t>2、企业资质：供应商须具备建筑工程施工总承包三级以上（含三级）资质或建筑装修装饰工程专业承包二级以 上（含二级）资质，具有有效的安全生产许可证</w:t>
      </w:r>
    </w:p>
    <w:p>
      <w:pPr>
        <w:pStyle w:val="null3"/>
      </w:pPr>
      <w:r>
        <w:rPr/>
        <w:t>3、拟派项目负责人资质和专业等级要求：证书等级：注册建造师执业资格二级 以上（含二级）专业 专业：建筑工程 补充说明：同时具备 有效的安全生产考核合格证书，且未担任其他在施建设工程项目的项目经理</w:t>
      </w:r>
    </w:p>
    <w:p>
      <w:pPr>
        <w:pStyle w:val="null3"/>
      </w:pPr>
      <w:r>
        <w:rPr/>
        <w:t>4、法定代表人授权书：法定代表人授权书（附法定代表人身份证复印件）及被授权人身份证（法定代表人 直接参加磋商 只需提供法定代表人身份证）</w:t>
      </w:r>
    </w:p>
    <w:p>
      <w:pPr>
        <w:pStyle w:val="null3"/>
      </w:pPr>
      <w:r>
        <w:rPr/>
        <w:t>5、税收缴纳证明：提供上一年度至今已缴纳的至少一个月的纳税证明或完税证明，依法免税的单位应提供相关证明 材料</w:t>
      </w:r>
    </w:p>
    <w:p>
      <w:pPr>
        <w:pStyle w:val="null3"/>
      </w:pPr>
      <w:r>
        <w:rPr/>
        <w:t>6、社会保障资金缴纳证明：提供上一年度至今已缴存的至少一个月的有效社会保障资金缴纳证明。依法不需要缴纳社会保障 资金的单位应提供相关证明材料</w:t>
      </w:r>
    </w:p>
    <w:p>
      <w:pPr>
        <w:pStyle w:val="null3"/>
      </w:pPr>
      <w:r>
        <w:rPr/>
        <w:t>7、财务状况报告：须提供近3年任意一年度的财务报表或具有财务审计资质的单位出具的财务报告（至少包括资产负 债表和利润表，成立时间至提交投标文件截止时间不足一年的可提供成立后任意时段的资产负债 表），或银行出具的资信证明</w:t>
      </w:r>
    </w:p>
    <w:p>
      <w:pPr>
        <w:pStyle w:val="null3"/>
      </w:pPr>
      <w:r>
        <w:rPr/>
        <w:t>8、供应商信誉要求：“信用中国”网站和“中国政府采购网”为供应商信用信息查询渠道，如果供应商被查实在投标截止时间前已列入失信被执行人、重大税收违法案件当事人名单、政府采购严重违法失信行为记录名单，其投标为无效</w:t>
      </w:r>
    </w:p>
    <w:p>
      <w:pPr>
        <w:pStyle w:val="null3"/>
      </w:pPr>
      <w:r>
        <w:rPr/>
        <w:t>9、投标声明：供应商参加采购活动近三年内经营活动中无重大违法记录声明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铜川市公安局耀州分局</w:t>
      </w:r>
    </w:p>
    <w:p>
      <w:pPr>
        <w:pStyle w:val="null3"/>
      </w:pPr>
      <w:r>
        <w:rPr/>
        <w:t xml:space="preserve"> 地址： </w:t>
      </w:r>
      <w:r>
        <w:rPr/>
        <w:t>铜川市耀州区文营西路81号</w:t>
      </w:r>
    </w:p>
    <w:p>
      <w:pPr>
        <w:pStyle w:val="null3"/>
      </w:pPr>
      <w:r>
        <w:rPr/>
        <w:t xml:space="preserve"> 邮编： </w:t>
      </w:r>
      <w:r>
        <w:rPr/>
        <w:t>/</w:t>
      </w:r>
    </w:p>
    <w:p>
      <w:pPr>
        <w:pStyle w:val="null3"/>
      </w:pPr>
      <w:r>
        <w:rPr/>
        <w:t xml:space="preserve"> 联系人： </w:t>
      </w:r>
      <w:r>
        <w:rPr/>
        <w:t>姚江锋</w:t>
      </w:r>
    </w:p>
    <w:p>
      <w:pPr>
        <w:pStyle w:val="null3"/>
      </w:pPr>
      <w:r>
        <w:rPr/>
        <w:t xml:space="preserve"> 联系电话： </w:t>
      </w:r>
      <w:r>
        <w:rPr/>
        <w:t>0919-6189590</w:t>
      </w:r>
    </w:p>
    <w:p>
      <w:pPr>
        <w:pStyle w:val="null3"/>
        <w:outlineLvl w:val="3"/>
      </w:pPr>
      <w:r>
        <w:rPr>
          <w:sz w:val="24"/>
          <w:b/>
        </w:rPr>
        <w:t>代理机构：</w:t>
      </w:r>
      <w:r>
        <w:rPr>
          <w:sz w:val="24"/>
          <w:b/>
        </w:rPr>
        <w:t>陕西广联达招标有限公司</w:t>
      </w:r>
    </w:p>
    <w:p>
      <w:pPr>
        <w:pStyle w:val="null3"/>
      </w:pPr>
      <w:r>
        <w:rPr/>
        <w:t xml:space="preserve"> 地址： </w:t>
      </w:r>
      <w:r>
        <w:rPr/>
        <w:t xml:space="preserve"> 西安经济技术开发区明光路 55 号天朗经开中心 25 层2505室</w:t>
      </w:r>
    </w:p>
    <w:p>
      <w:pPr>
        <w:pStyle w:val="null3"/>
      </w:pPr>
      <w:r>
        <w:rPr/>
        <w:t xml:space="preserve"> 邮编： </w:t>
      </w:r>
      <w:r>
        <w:rPr/>
        <w:t>710000</w:t>
      </w:r>
    </w:p>
    <w:p>
      <w:pPr>
        <w:pStyle w:val="null3"/>
      </w:pPr>
      <w:r>
        <w:rPr/>
        <w:t xml:space="preserve"> 联系人： </w:t>
      </w:r>
      <w:r>
        <w:rPr/>
        <w:t>陈 工</w:t>
      </w:r>
    </w:p>
    <w:p>
      <w:pPr>
        <w:pStyle w:val="null3"/>
      </w:pPr>
      <w:r>
        <w:rPr/>
        <w:t xml:space="preserve"> 联系电话： </w:t>
      </w:r>
      <w:r>
        <w:rPr/>
        <w:t>029-81315599</w:t>
      </w:r>
    </w:p>
    <w:p>
      <w:pPr>
        <w:pStyle w:val="null3"/>
        <w:outlineLvl w:val="3"/>
      </w:pPr>
      <w:r>
        <w:rPr>
          <w:sz w:val="24"/>
          <w:b/>
        </w:rPr>
        <w:t>采购监督机构：</w:t>
      </w:r>
      <w:r>
        <w:rPr>
          <w:sz w:val="24"/>
          <w:b/>
        </w:rPr>
        <w:t>铜川市耀州区政府采购管理股</w:t>
      </w:r>
    </w:p>
    <w:p>
      <w:pPr>
        <w:pStyle w:val="null3"/>
        <w:ind w:firstLine="480"/>
      </w:pPr>
      <w:r>
        <w:rPr/>
        <w:t>联系人：</w:t>
      </w:r>
      <w:r>
        <w:rPr/>
        <w:t>郭伟</w:t>
      </w:r>
    </w:p>
    <w:p>
      <w:pPr>
        <w:pStyle w:val="null3"/>
        <w:ind w:firstLine="480"/>
      </w:pPr>
      <w:r>
        <w:rPr/>
        <w:t>联系电话：</w:t>
      </w:r>
      <w:r>
        <w:rPr/>
        <w:t>0919-6602227</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采购包1：1,350,595.00元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2002年颁发的《招标代理服务收费管理暂行办法》(计价格〔2002〕1980号)及国家发改委2011年颁布的《国家发展改革委关于降低部分建设项目收费标准规范收费行为等有关问题的通知 》（发改价格〔2011〕534号）采用现金、转账或汇款方式向陕西广联达招标有限公司交纳招标服务费。 名 称：陕西广联达招标有限公司 开户行：中国银行股份有限公司西安万寿路支行 账 号：1028 4964 6773</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铜川市公安局耀州分局</w:t>
      </w:r>
      <w:r>
        <w:rPr/>
        <w:t>和</w:t>
      </w:r>
      <w:r>
        <w:rPr/>
        <w:t>陕西广联达招标有限公司</w:t>
      </w:r>
      <w:r>
        <w:rPr/>
        <w:t>享有。对磋商文件中供应商参加本次政府采购活动应当具备的条件，磋商项目技术、服务、商务及其他要求，评审细则及标准由</w:t>
      </w:r>
      <w:r>
        <w:rPr/>
        <w:t>铜川市公安局耀州分局</w:t>
      </w:r>
      <w:r>
        <w:rPr/>
        <w:t>负责解释。除上述磋商文件内容，其他内容由</w:t>
      </w:r>
      <w:r>
        <w:rPr/>
        <w:t>陕西广联达招标有限公司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铜川市公安局耀州分局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陕西广联达招标有限公司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符合国家及行业验收合格标准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陕西广联达招标有限公司</w:t>
      </w:r>
      <w:r>
        <w:rPr/>
        <w:t xml:space="preserve"> 负责答复；供应商对采购过程的询问、质疑由</w:t>
      </w:r>
      <w:r>
        <w:rPr/>
        <w:t>陕西广联达招标有限公司</w:t>
      </w:r>
      <w:r>
        <w:rPr/>
        <w:t xml:space="preserve"> 负责答复；供应商对采购结果的询问、质疑由 </w:t>
      </w:r>
      <w:r>
        <w:rPr/>
        <w:t>陕西广联达招标有限公司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联系人：吕 工</w:t>
      </w:r>
    </w:p>
    <w:p>
      <w:pPr>
        <w:pStyle w:val="null3"/>
      </w:pPr>
      <w:r>
        <w:rPr/>
        <w:t>联系电话：029-81315599</w:t>
      </w:r>
    </w:p>
    <w:p>
      <w:pPr>
        <w:pStyle w:val="null3"/>
      </w:pPr>
      <w:r>
        <w:rPr/>
        <w:t>地址：西安经济技术开发区明光路 55 号天朗经开中心 25 层2505室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1,350,595.00</w:t>
      </w:r>
    </w:p>
    <w:p>
      <w:pPr>
        <w:pStyle w:val="null3"/>
      </w:pPr>
      <w:r>
        <w:rPr/>
        <w:t>采购包最高限价（元）: 1,350,595.00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1350595</w:t>
            </w:r>
          </w:p>
        </w:tc>
        <w:tc>
          <w:tcPr>
            <w:tcW w:type="dxa" w:w="1384"/>
          </w:tcPr>
          <w:p>
            <w:pPr>
              <w:pStyle w:val="null3"/>
              <w:jc w:val="right"/>
            </w:pPr>
            <w:r>
              <w:rPr/>
              <w:t>1.00</w:t>
            </w:r>
          </w:p>
        </w:tc>
        <w:tc>
          <w:tcPr>
            <w:tcW w:type="dxa" w:w="1384"/>
          </w:tcPr>
          <w:p>
            <w:pPr>
              <w:pStyle w:val="null3"/>
              <w:jc w:val="right"/>
            </w:pPr>
            <w:r>
              <w:rPr/>
              <w:t>1,350,595.00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标的名称：1350595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民警周转房修缮装饰工程    具体内容详见工程量清单。</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19"/>
                <w:color w:val="000000"/>
              </w:rPr>
              <w:t>合同履行期限 120天</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符合国家及行业验收合格标准</w:t>
      </w:r>
    </w:p>
    <w:p>
      <w:pPr>
        <w:pStyle w:val="null3"/>
        <w:ind w:firstLine="480"/>
      </w:pPr>
      <w:r>
        <w:rPr/>
        <w:t>三、针对本项目的其他技术服务要求：</w:t>
      </w:r>
    </w:p>
    <w:p>
      <w:pPr>
        <w:pStyle w:val="null3"/>
      </w:pPr>
      <w:r>
        <w:rPr/>
        <w:t>/</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须提供近3年任意一年度的财务报表或具有财务审计资质的单位出具的财务报告（至少包括资产负 债 表和利润表，成立时间至提交投标文件截止时间不足一年的可提供成立后任意时段的资产负债 表），或银行出具的资信证明.</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具有独立承担民事责任能力的法人、其他组织或自然人，营业执照、组织机构代码证、税务登记 证（多证合一只提供营业执照，事业单位提供事业单位法人证书，自然人提供本人身份证）合法 有效</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企业资质</w:t>
            </w:r>
          </w:p>
        </w:tc>
        <w:tc>
          <w:tcPr>
            <w:tcW w:type="dxa" w:w="3322"/>
          </w:tcPr>
          <w:p>
            <w:pPr>
              <w:pStyle w:val="null3"/>
            </w:pPr>
            <w:r>
              <w:rPr/>
              <w:t>供应商须具备建筑工程施工总承包三级以上（含三级）资质或建筑装修装饰工程专业承包二级以 上（含二级）资质，具有有效的安全生产许可证</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拟派项目负责人资质和专业等级要求</w:t>
            </w:r>
          </w:p>
        </w:tc>
        <w:tc>
          <w:tcPr>
            <w:tcW w:type="dxa" w:w="3322"/>
          </w:tcPr>
          <w:p>
            <w:pPr>
              <w:pStyle w:val="null3"/>
            </w:pPr>
            <w:r>
              <w:rPr/>
              <w:t>证书等级：注册建造师执业资格二级 以上（含二级）专业 专业：建筑工程 补充说明：同时具备 有效的安全生产考核合格证书，且未担任其他在施建设工程项目的项目经理</w:t>
            </w:r>
          </w:p>
        </w:tc>
        <w:tc>
          <w:tcPr>
            <w:tcW w:type="dxa" w:w="1661"/>
          </w:tcPr>
          <w:p>
            <w:pPr>
              <w:pStyle w:val="null3"/>
            </w:pPr>
            <w:r>
              <w:rPr/>
              <w:t>项目管理机构组成表 供应商应提交的相关资格证明材料 主要人员简历表</w:t>
            </w:r>
          </w:p>
        </w:tc>
      </w:tr>
      <w:tr>
        <w:tc>
          <w:tcPr>
            <w:tcW w:type="dxa" w:w="831"/>
          </w:tcPr>
          <w:p>
            <w:pPr>
              <w:pStyle w:val="null3"/>
            </w:pPr>
            <w:r>
              <w:rPr/>
              <w:t>4</w:t>
            </w:r>
          </w:p>
        </w:tc>
        <w:tc>
          <w:tcPr>
            <w:tcW w:type="dxa" w:w="2492"/>
          </w:tcPr>
          <w:p>
            <w:pPr>
              <w:pStyle w:val="null3"/>
            </w:pPr>
            <w:r>
              <w:rPr/>
              <w:t>法定代表人授权书</w:t>
            </w:r>
          </w:p>
        </w:tc>
        <w:tc>
          <w:tcPr>
            <w:tcW w:type="dxa" w:w="3322"/>
          </w:tcPr>
          <w:p>
            <w:pPr>
              <w:pStyle w:val="null3"/>
            </w:pPr>
            <w:r>
              <w:rPr/>
              <w:t>法定代表人授权书（附法定代表人身份证复印件）及被授权人身份证（法定代表人 直接参加磋商 只需提供法定代表人身份证）</w:t>
            </w:r>
          </w:p>
        </w:tc>
        <w:tc>
          <w:tcPr>
            <w:tcW w:type="dxa" w:w="1661"/>
          </w:tcPr>
          <w:p>
            <w:pPr>
              <w:pStyle w:val="null3"/>
            </w:pPr>
            <w:r>
              <w:rPr/>
              <w:t>供应商应提交的相关资格证明材料 法人授权函格式</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提供上一年度至今已缴纳的至少一个月的纳税证明或完税证明，依法免税的单位应提供相关证明 材料</w:t>
            </w:r>
          </w:p>
        </w:tc>
        <w:tc>
          <w:tcPr>
            <w:tcW w:type="dxa" w:w="1661"/>
          </w:tcPr>
          <w:p>
            <w:pPr>
              <w:pStyle w:val="null3"/>
            </w:pPr>
            <w:r>
              <w:rPr/>
              <w:t>供应商应提交的相关资格证明材料 响应函</w:t>
            </w:r>
          </w:p>
        </w:tc>
      </w:tr>
      <w:tr>
        <w:tc>
          <w:tcPr>
            <w:tcW w:type="dxa" w:w="831"/>
          </w:tcPr>
          <w:p>
            <w:pPr>
              <w:pStyle w:val="null3"/>
            </w:pPr>
            <w:r>
              <w:rPr/>
              <w:t>6</w:t>
            </w:r>
          </w:p>
        </w:tc>
        <w:tc>
          <w:tcPr>
            <w:tcW w:type="dxa" w:w="2492"/>
          </w:tcPr>
          <w:p>
            <w:pPr>
              <w:pStyle w:val="null3"/>
            </w:pPr>
            <w:r>
              <w:rPr/>
              <w:t>社会保障资金缴纳证明</w:t>
            </w:r>
          </w:p>
        </w:tc>
        <w:tc>
          <w:tcPr>
            <w:tcW w:type="dxa" w:w="3322"/>
          </w:tcPr>
          <w:p>
            <w:pPr>
              <w:pStyle w:val="null3"/>
            </w:pPr>
            <w:r>
              <w:rPr/>
              <w:t>提供上一年度至今已缴存的至少一个月的有效社会保障资金缴纳证明。依法不需要缴纳社会保障 资金的单位应提供相关证明材料</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财务状况报告</w:t>
            </w:r>
          </w:p>
        </w:tc>
        <w:tc>
          <w:tcPr>
            <w:tcW w:type="dxa" w:w="3322"/>
          </w:tcPr>
          <w:p>
            <w:pPr>
              <w:pStyle w:val="null3"/>
            </w:pPr>
            <w:r>
              <w:rPr/>
              <w:t>须提供近3年任意一年度的财务报表或具有财务审计资质的单位出具的财务报告（至少包括资产负 债表和利润表，成立时间至提交投标文件截止时间不足一年的可提供成立后任意时段的资产负债 表），或银行出具的资信证明</w:t>
            </w:r>
          </w:p>
        </w:tc>
        <w:tc>
          <w:tcPr>
            <w:tcW w:type="dxa" w:w="1661"/>
          </w:tcPr>
          <w:p>
            <w:pPr>
              <w:pStyle w:val="null3"/>
            </w:pPr>
            <w:r>
              <w:rPr/>
              <w:t>供应商应提交的相关资格证明材料 响应函</w:t>
            </w:r>
          </w:p>
        </w:tc>
      </w:tr>
      <w:tr>
        <w:tc>
          <w:tcPr>
            <w:tcW w:type="dxa" w:w="831"/>
          </w:tcPr>
          <w:p>
            <w:pPr>
              <w:pStyle w:val="null3"/>
            </w:pPr>
            <w:r>
              <w:rPr/>
              <w:t>8</w:t>
            </w:r>
          </w:p>
        </w:tc>
        <w:tc>
          <w:tcPr>
            <w:tcW w:type="dxa" w:w="2492"/>
          </w:tcPr>
          <w:p>
            <w:pPr>
              <w:pStyle w:val="null3"/>
            </w:pPr>
            <w:r>
              <w:rPr/>
              <w:t>供应商信誉要求</w:t>
            </w:r>
          </w:p>
        </w:tc>
        <w:tc>
          <w:tcPr>
            <w:tcW w:type="dxa" w:w="3322"/>
          </w:tcPr>
          <w:p>
            <w:pPr>
              <w:pStyle w:val="null3"/>
            </w:pPr>
            <w:r>
              <w:rPr/>
              <w:t>“信用中国”网站和“中国政府采购网”为供应商信用信息查询渠道，如果供应商被查实在投标截止时间前已列入失信被执行人、重大税收违法案件当事人名单、政府采购严重违法失信行为记录名单，其投标为无效</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投标声明</w:t>
            </w:r>
          </w:p>
        </w:tc>
        <w:tc>
          <w:tcPr>
            <w:tcW w:type="dxa" w:w="3322"/>
          </w:tcPr>
          <w:p>
            <w:pPr>
              <w:pStyle w:val="null3"/>
            </w:pPr>
            <w:r>
              <w:rPr/>
              <w:t>供应商参加采购活动近三年内经营活动中无重大违法记录声明</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磋商响应文件签字盖章</w:t>
            </w:r>
          </w:p>
        </w:tc>
        <w:tc>
          <w:tcPr>
            <w:tcW w:type="dxa" w:w="3322"/>
          </w:tcPr>
          <w:p>
            <w:pPr>
              <w:pStyle w:val="null3"/>
            </w:pPr>
            <w:r>
              <w:rPr/>
              <w:t>符合磋商文件要求</w:t>
            </w:r>
          </w:p>
        </w:tc>
        <w:tc>
          <w:tcPr>
            <w:tcW w:type="dxa" w:w="1661"/>
          </w:tcPr>
          <w:p>
            <w:pPr>
              <w:pStyle w:val="null3"/>
            </w:pPr>
            <w:r>
              <w:rPr/>
              <w:t>响应文件封面 供应商应提交的相关资格证明材料 法人授权函格式 响应函</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w:t>
            </w:r>
          </w:p>
        </w:tc>
        <w:tc>
          <w:tcPr>
            <w:tcW w:type="dxa" w:w="2492"/>
          </w:tcPr>
          <w:p>
            <w:pPr>
              <w:pStyle w:val="null3"/>
            </w:pPr>
            <w:r>
              <w:rPr/>
              <w:t>1、施工方案详细、合理可行：（7 - 10)分； 2、施工方案基本全面，合 理性、可行性一般：（3-7)分； 3 、施工方案不完整，不合理：（0-3)分。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施工方案</w:t>
            </w:r>
          </w:p>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项目经理部组成</w:t>
            </w:r>
          </w:p>
        </w:tc>
        <w:tc>
          <w:tcPr>
            <w:tcW w:type="dxa" w:w="2492"/>
          </w:tcPr>
          <w:p>
            <w:pPr>
              <w:pStyle w:val="null3"/>
            </w:pPr>
            <w:r>
              <w:rPr/>
              <w:t>1、人员配备合理，完全满足工作 要求：（4-6）分； 2、人员配备较 合 理，基本满足工作要求：（2-4）分 ; 3、人员配备不满足要求：（0-2)分。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施工方案</w:t>
            </w:r>
          </w:p>
          <w:p>
            <w:pPr>
              <w:pStyle w:val="null3"/>
            </w:pPr>
            <w:r>
              <w:rPr/>
              <w:t>技术服务合同条款及其他商务要求应答表</w:t>
            </w:r>
          </w:p>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确保工程质量的技术组织措施</w:t>
            </w:r>
          </w:p>
        </w:tc>
        <w:tc>
          <w:tcPr>
            <w:tcW w:type="dxa" w:w="2492"/>
          </w:tcPr>
          <w:p>
            <w:pPr>
              <w:pStyle w:val="null3"/>
            </w:pPr>
            <w:r>
              <w:rPr/>
              <w:t>1、措施合理，可行性强：（4-6）分； 2、措施较合理，可行性较强 ： ( 2-4）分； 3、措施不合理，可行性较差：（0-2）分。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施工方案</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1、措施合理，可行性强：（4-6）分； 2、措施较合理，可行性较强 ： ( 2-4）分； 3、措施不合理，可行性较差：（0-2）分。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施工方案</w:t>
            </w:r>
          </w:p>
          <w:p>
            <w:pPr>
              <w:pStyle w:val="null3"/>
            </w:pPr>
            <w:r>
              <w:rPr/>
              <w:t>技术服务合同条款及其他商务要求应答表</w:t>
            </w:r>
          </w:p>
        </w:tc>
      </w:tr>
      <w:tr>
        <w:tc>
          <w:tcPr>
            <w:tcW w:type="dxa" w:w="831"/>
            <w:vMerge/>
          </w:tcPr>
          <w:p/>
        </w:tc>
        <w:tc>
          <w:tcPr>
            <w:tcW w:type="dxa" w:w="1661"/>
          </w:tcPr>
          <w:p>
            <w:pPr>
              <w:pStyle w:val="null3"/>
            </w:pPr>
            <w:r>
              <w:rPr/>
              <w:t>确保文明施工的技术措 施及环境保护措施</w:t>
            </w:r>
          </w:p>
        </w:tc>
        <w:tc>
          <w:tcPr>
            <w:tcW w:type="dxa" w:w="2492"/>
          </w:tcPr>
          <w:p>
            <w:pPr>
              <w:pStyle w:val="null3"/>
            </w:pPr>
            <w:r>
              <w:rPr/>
              <w:t>1、措施合理，可行性强：（4-6）分； 2、措施较合理，可行性较强 ： ( 2-4）分； 3、措施不合理，可行性较差：（0-2）分。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强制优先采购产品承诺函</w:t>
            </w:r>
          </w:p>
          <w:p>
            <w:pPr>
              <w:pStyle w:val="null3"/>
            </w:pPr>
            <w:r>
              <w:rPr/>
              <w:t>施工方案</w:t>
            </w:r>
          </w:p>
        </w:tc>
      </w:tr>
      <w:tr>
        <w:tc>
          <w:tcPr>
            <w:tcW w:type="dxa" w:w="831"/>
            <w:vMerge/>
          </w:tcPr>
          <w:p/>
        </w:tc>
        <w:tc>
          <w:tcPr>
            <w:tcW w:type="dxa" w:w="1661"/>
          </w:tcPr>
          <w:p>
            <w:pPr>
              <w:pStyle w:val="null3"/>
            </w:pPr>
            <w:r>
              <w:rPr/>
              <w:t>确保工期的技术组织措施</w:t>
            </w:r>
          </w:p>
        </w:tc>
        <w:tc>
          <w:tcPr>
            <w:tcW w:type="dxa" w:w="2492"/>
          </w:tcPr>
          <w:p>
            <w:pPr>
              <w:pStyle w:val="null3"/>
            </w:pPr>
            <w:r>
              <w:rPr/>
              <w:t>1、措施合理，可行性强：（4-6）分； 2、措施较合理，可行性较强 ： ( 2-4）分； 3、措施不合理，可行性较差：（0-2）分。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施工方案</w:t>
            </w:r>
          </w:p>
        </w:tc>
      </w:tr>
      <w:tr>
        <w:tc>
          <w:tcPr>
            <w:tcW w:type="dxa" w:w="831"/>
            <w:vMerge/>
          </w:tcPr>
          <w:p/>
        </w:tc>
        <w:tc>
          <w:tcPr>
            <w:tcW w:type="dxa" w:w="1661"/>
          </w:tcPr>
          <w:p>
            <w:pPr>
              <w:pStyle w:val="null3"/>
            </w:pPr>
            <w:r>
              <w:rPr/>
              <w:t>施工机械设备配备计划和劳动力安排计划</w:t>
            </w:r>
          </w:p>
        </w:tc>
        <w:tc>
          <w:tcPr>
            <w:tcW w:type="dxa" w:w="2492"/>
          </w:tcPr>
          <w:p>
            <w:pPr>
              <w:pStyle w:val="null3"/>
            </w:pPr>
            <w:r>
              <w:rPr/>
              <w:t>1、劳动力安排及机械设备投入合理、可行：（4-6）分； 2、劳动力 安排 及机械设备投入基本合理可行 ：（2-4）分； 3、劳动力安排及机械设备 投入不合理、有缺漏：（0-2）分。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施工进度表或施工网络图</w:t>
            </w:r>
          </w:p>
        </w:tc>
        <w:tc>
          <w:tcPr>
            <w:tcW w:type="dxa" w:w="2492"/>
          </w:tcPr>
          <w:p>
            <w:pPr>
              <w:pStyle w:val="null3"/>
            </w:pPr>
            <w:r>
              <w:rPr/>
              <w:t>1、科学合理，可行性强：（4-6）分； 2、较合理，可行性较强：（2- 4 ) 分； 3、不合理，可行性较差：（0-2）分。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施工现场总平面布置图</w:t>
            </w:r>
          </w:p>
        </w:tc>
        <w:tc>
          <w:tcPr>
            <w:tcW w:type="dxa" w:w="2492"/>
          </w:tcPr>
          <w:p>
            <w:pPr>
              <w:pStyle w:val="null3"/>
            </w:pPr>
            <w:r>
              <w:rPr/>
              <w:t>1、布置合理，可行性强：（4-6] 分； 2、布置较合理，可行性较强 ：[2- 4]分； 3、布置不合理，可行性较差：[0-2）分。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服务承诺</w:t>
            </w:r>
          </w:p>
        </w:tc>
        <w:tc>
          <w:tcPr>
            <w:tcW w:type="dxa" w:w="2492"/>
          </w:tcPr>
          <w:p>
            <w:pPr>
              <w:pStyle w:val="null3"/>
            </w:pPr>
            <w:r>
              <w:rPr/>
              <w:t>依据服务承诺的详尽、可行情况赋分。 详尽、可行：（4-6） ，一般： ( 2-4），较差：（0-2）分。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服务承诺</w:t>
            </w:r>
          </w:p>
        </w:tc>
      </w:tr>
      <w:tr>
        <w:tc>
          <w:tcPr>
            <w:tcW w:type="dxa" w:w="831"/>
            <w:vMerge/>
          </w:tcPr>
          <w:p/>
        </w:tc>
        <w:tc>
          <w:tcPr>
            <w:tcW w:type="dxa" w:w="1661"/>
          </w:tcPr>
          <w:p>
            <w:pPr>
              <w:pStyle w:val="null3"/>
            </w:pPr>
            <w:r>
              <w:rPr/>
              <w:t>业绩</w:t>
            </w:r>
          </w:p>
        </w:tc>
        <w:tc>
          <w:tcPr>
            <w:tcW w:type="dxa" w:w="2492"/>
          </w:tcPr>
          <w:p>
            <w:pPr>
              <w:pStyle w:val="null3"/>
            </w:pPr>
            <w:r>
              <w:rPr/>
              <w:t>投标单位的2021年1月1日以后(以 合同签订日期为准)同类项目合同,每提供一个得2分，最高得6分。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供应商类似项目业绩一览表</w:t>
            </w:r>
          </w:p>
          <w:p>
            <w:pPr>
              <w:pStyle w:val="null3"/>
            </w:pPr>
            <w:r>
              <w:rPr/>
              <w:t>施工方案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价格分采用低价优先法计算，即满足磋商文件要求且投标价格最低的投标 报价 为评审基准价，其价格分为满分。其他投标人的价格分统一 按照下列 公式计 算：投标报价得分 =（评审基准价/磋商报价） ×价格权值×100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详见附件：法人授权函格式</w:t>
      </w:r>
    </w:p>
    <w:p>
      <w:pPr>
        <w:pStyle w:val="null3"/>
        <w:ind w:firstLine="960"/>
      </w:pPr>
      <w:r>
        <w:rPr/>
        <w:t>详见附件：施工方案</w:t>
      </w:r>
    </w:p>
    <w:p>
      <w:pPr>
        <w:pStyle w:val="null3"/>
        <w:ind w:firstLine="960"/>
      </w:pPr>
      <w:r>
        <w:rPr/>
        <w:t>详见附件：服务承诺</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