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葡萄酒全自动分析仪</w:t>
      </w:r>
    </w:p>
    <w:p>
      <w:pPr>
        <w:pStyle w:val="null3"/>
        <w:jc w:val="center"/>
        <w:outlineLvl w:val="2"/>
      </w:pPr>
      <w:r>
        <w:rPr>
          <w:sz w:val="28"/>
          <w:b/>
        </w:rPr>
        <w:t>采购项目编号：</w:t>
      </w:r>
      <w:r>
        <w:rPr>
          <w:sz w:val="28"/>
          <w:b/>
        </w:rPr>
        <w:t>MZ2024-ZB1051</w:t>
      </w:r>
      <w:r>
        <w:br/>
      </w:r>
      <w:r>
        <w:br/>
      </w:r>
      <w:r>
        <w:br/>
      </w:r>
    </w:p>
    <w:p>
      <w:pPr>
        <w:pStyle w:val="null3"/>
        <w:jc w:val="center"/>
        <w:outlineLvl w:val="2"/>
      </w:pPr>
      <w:r>
        <w:rPr>
          <w:sz w:val="28"/>
          <w:b/>
        </w:rPr>
        <w:t>铜川市耀州区农畜产品质量安全检验检测中心</w:t>
      </w:r>
    </w:p>
    <w:p>
      <w:pPr>
        <w:pStyle w:val="null3"/>
        <w:jc w:val="center"/>
        <w:outlineLvl w:val="2"/>
      </w:pPr>
      <w:r>
        <w:rPr>
          <w:sz w:val="28"/>
          <w:b/>
        </w:rPr>
        <w:t>陕西明正招标有限公司</w:t>
      </w:r>
      <w:r>
        <w:rPr>
          <w:sz w:val="28"/>
          <w:b/>
        </w:rPr>
        <w:t>共同编制</w:t>
      </w:r>
    </w:p>
    <w:p>
      <w:pPr>
        <w:pStyle w:val="null3"/>
        <w:jc w:val="center"/>
        <w:outlineLvl w:val="2"/>
      </w:pPr>
      <w:r>
        <w:rPr>
          <w:sz w:val="28"/>
          <w:b/>
        </w:rPr>
        <w:t>2024年07月10日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陕西明正招标有限公司</w:t>
      </w:r>
      <w:r>
        <w:rPr/>
        <w:t>（以下简称“代理机构”）受</w:t>
      </w:r>
      <w:r>
        <w:rPr/>
        <w:t>铜川市耀州区农畜产品质量安全检验检测中心</w:t>
      </w:r>
      <w:r>
        <w:rPr/>
        <w:t>委托，拟对</w:t>
      </w:r>
      <w:r>
        <w:rPr/>
        <w:t>葡萄酒全自动分析仪</w:t>
      </w:r>
      <w:r>
        <w:rPr/>
        <w:t>进行国内公开招标，兹邀请符合本次招标要求的供应商参加投标。</w:t>
      </w:r>
    </w:p>
    <w:p>
      <w:pPr>
        <w:pStyle w:val="null3"/>
        <w:outlineLvl w:val="2"/>
      </w:pPr>
      <w:r>
        <w:rPr>
          <w:sz w:val="28"/>
          <w:b/>
        </w:rPr>
        <w:t>一、采购项目编号：</w:t>
      </w:r>
      <w:r>
        <w:rPr>
          <w:sz w:val="28"/>
          <w:b/>
        </w:rPr>
        <w:t>MZ2024-ZB1051</w:t>
      </w:r>
    </w:p>
    <w:p>
      <w:pPr>
        <w:pStyle w:val="null3"/>
        <w:outlineLvl w:val="2"/>
      </w:pPr>
      <w:r>
        <w:rPr>
          <w:sz w:val="28"/>
          <w:b/>
        </w:rPr>
        <w:t>二、采购项目名称：</w:t>
      </w:r>
      <w:r>
        <w:rPr>
          <w:sz w:val="28"/>
          <w:b/>
        </w:rPr>
        <w:t>葡萄酒全自动分析仪</w:t>
      </w:r>
    </w:p>
    <w:p>
      <w:pPr>
        <w:pStyle w:val="null3"/>
        <w:outlineLvl w:val="2"/>
      </w:pPr>
      <w:r>
        <w:rPr>
          <w:sz w:val="28"/>
          <w:b/>
        </w:rPr>
        <w:t>三、招标项目简介</w:t>
      </w:r>
    </w:p>
    <w:p>
      <w:pPr>
        <w:pStyle w:val="null3"/>
        <w:ind w:firstLine="480"/>
      </w:pPr>
      <w:r>
        <w:rPr/>
        <w:t>拟采购全自动葡萄酒分析仪1台。</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直接参加投标的，须出具法定代表人证明及法人身份证；法定代表人授权代表参加投标的，须出具法定代表人证明和法定代表人授权书及法人、授权代表身份证：法定代表人直接参加投标的，须出具法定代表人证明及法人身份证；法定代表人授权代表参加投标的，须出具法定代表人证明和法定代表人授权书及法人、授权代表身份证。</w:t>
      </w:r>
    </w:p>
    <w:p>
      <w:pPr>
        <w:pStyle w:val="null3"/>
      </w:pPr>
      <w:r>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t>3、进口产品授权：投标人所投产品为进口产品的经销商，需提供产品制造厂家对所投进口产品的授权书，或具有授权权限的代理商对所投进口产品的授权书（代理商须显示设备制造厂家对所投产品授权链条的完整性），产品制造厂家直投不需要提供。</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铜川市耀州区农畜产品质量安全检验检测中心</w:t>
      </w:r>
    </w:p>
    <w:p>
      <w:pPr>
        <w:pStyle w:val="null3"/>
      </w:pPr>
      <w:r>
        <w:rPr/>
        <w:t xml:space="preserve"> 地址： </w:t>
      </w:r>
      <w:r>
        <w:rPr/>
        <w:t>耀州区步寿路5号</w:t>
      </w:r>
    </w:p>
    <w:p>
      <w:pPr>
        <w:pStyle w:val="null3"/>
      </w:pPr>
      <w:r>
        <w:rPr/>
        <w:t xml:space="preserve"> 邮编： </w:t>
      </w:r>
      <w:r>
        <w:rPr/>
        <w:t>727100</w:t>
      </w:r>
    </w:p>
    <w:p>
      <w:pPr>
        <w:pStyle w:val="null3"/>
      </w:pPr>
      <w:r>
        <w:rPr/>
        <w:t xml:space="preserve"> 联系人： </w:t>
      </w:r>
      <w:r>
        <w:rPr/>
        <w:t>何胜涛</w:t>
      </w:r>
    </w:p>
    <w:p>
      <w:pPr>
        <w:pStyle w:val="null3"/>
      </w:pPr>
      <w:r>
        <w:rPr/>
        <w:t xml:space="preserve"> 联系电话： </w:t>
      </w:r>
      <w:r>
        <w:rPr/>
        <w:t>0919-6182493</w:t>
      </w:r>
    </w:p>
    <w:p>
      <w:pPr>
        <w:pStyle w:val="null3"/>
        <w:outlineLvl w:val="2"/>
      </w:pPr>
      <w:r>
        <w:rPr>
          <w:sz w:val="28"/>
          <w:b/>
        </w:rPr>
        <w:t>代理机构：</w:t>
      </w:r>
      <w:r>
        <w:rPr>
          <w:sz w:val="28"/>
          <w:b/>
        </w:rPr>
        <w:t>陕西明正招标有限公司</w:t>
      </w:r>
    </w:p>
    <w:p>
      <w:pPr>
        <w:pStyle w:val="null3"/>
      </w:pPr>
      <w:r>
        <w:rPr/>
        <w:t xml:space="preserve"> 地址： </w:t>
      </w:r>
      <w:r>
        <w:rPr/>
        <w:t>西安市雁塔区二环南路西段88号老三届世纪星大厦30楼AB座</w:t>
      </w:r>
    </w:p>
    <w:p>
      <w:pPr>
        <w:pStyle w:val="null3"/>
      </w:pPr>
      <w:r>
        <w:rPr/>
        <w:t xml:space="preserve"> 邮编： </w:t>
      </w:r>
      <w:r>
        <w:rPr/>
        <w:t>710061</w:t>
      </w:r>
    </w:p>
    <w:p>
      <w:pPr>
        <w:pStyle w:val="null3"/>
      </w:pPr>
      <w:r>
        <w:rPr/>
        <w:t xml:space="preserve"> 联系人： </w:t>
      </w:r>
      <w:r>
        <w:rPr/>
        <w:t>乔艳 冯瑶 韩微 韩乐乐</w:t>
      </w:r>
    </w:p>
    <w:p>
      <w:pPr>
        <w:pStyle w:val="null3"/>
      </w:pPr>
      <w:r>
        <w:rPr/>
        <w:t xml:space="preserve"> 联系电话： </w:t>
      </w:r>
      <w:r>
        <w:rPr/>
        <w:t>029-87551608</w:t>
      </w:r>
    </w:p>
    <w:p>
      <w:pPr>
        <w:pStyle w:val="null3"/>
        <w:outlineLvl w:val="2"/>
      </w:pPr>
      <w:r>
        <w:rPr>
          <w:sz w:val="28"/>
          <w:b/>
        </w:rPr>
        <w:t>采购监督机构：</w:t>
      </w:r>
      <w:r>
        <w:rPr>
          <w:sz w:val="28"/>
          <w:b/>
        </w:rPr>
        <w:t>铜川市耀州区财政局政府采购科</w:t>
      </w:r>
    </w:p>
    <w:p>
      <w:pPr>
        <w:pStyle w:val="null3"/>
        <w:ind w:firstLine="480"/>
      </w:pPr>
      <w:r>
        <w:rPr/>
        <w:t>联系人：</w:t>
      </w:r>
      <w:r>
        <w:rPr/>
        <w:t>肖静</w:t>
      </w:r>
    </w:p>
    <w:p>
      <w:pPr>
        <w:pStyle w:val="null3"/>
        <w:ind w:firstLine="480"/>
      </w:pPr>
      <w:r>
        <w:rPr/>
        <w:t>联系电话：</w:t>
      </w:r>
      <w:r>
        <w:rPr/>
        <w:t>0919-6602227</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考《国家计委关于印发〈招标代理服务费管理暂行办法〉的通知》（计价格【2002】1980号）、《国家发展和改革委员会办公厅关于招标代理服务收费有关问题的通知》（发改办价格〔2003〕857号）规定收取，具体金额将在结果公告中公布。</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铜川市耀州区农畜产品质量安全检验检测中心</w:t>
      </w:r>
      <w:r>
        <w:rPr/>
        <w:t>和</w:t>
      </w:r>
      <w:r>
        <w:rPr/>
        <w:t>陕西明正招标有限公司</w:t>
      </w:r>
      <w:r>
        <w:rPr/>
        <w:t>享有。对招标文件中供应商参加本次政府采购活动应当具备的条件，招标项目技术、服务、商务及其他要求，评标细则及标准由</w:t>
      </w:r>
      <w:r>
        <w:rPr/>
        <w:t>铜川市耀州区农畜产品质量安全检验检测中心</w:t>
      </w:r>
      <w:r>
        <w:rPr/>
        <w:t>负责解释。除上述招标文件内容，其他内容由</w:t>
      </w:r>
      <w:r>
        <w:rPr/>
        <w:t>陕西明正招标有限公司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铜川市耀州区农畜产品质量安全检验检测中心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陕西明正招标有限公司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合同双方共同进行验收。根据有关法规、文件规定,必须由环保、质量监督管理等部门出据检验合格证明的，此检验证明作为终验的依据。所有安装验收手续由中标人办理并承担费用，采购人提供相关协助。验收依据为本合同文本、招标文件、投标文件和国内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陕西明正招标有限公司</w:t>
      </w:r>
      <w:r>
        <w:rPr/>
        <w:t xml:space="preserve"> 负责答复；供应商对除采购需求外的采购文件的询问、质疑由</w:t>
      </w:r>
      <w:r>
        <w:rPr/>
        <w:t>陕西明正招标有限公司</w:t>
      </w:r>
      <w:r>
        <w:rPr/>
        <w:t xml:space="preserve"> 负责答复；供应商对采购过程、采购结果的询问、质疑由 </w:t>
      </w:r>
      <w:r>
        <w:rPr/>
        <w:t>陕西明正招标有限公司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联系人：乔艳 冯瑶</w:t>
      </w:r>
    </w:p>
    <w:p>
      <w:pPr>
        <w:pStyle w:val="null3"/>
      </w:pPr>
      <w:r>
        <w:rPr/>
        <w:t>联系电话：029-87551608</w:t>
      </w:r>
    </w:p>
    <w:p>
      <w:pPr>
        <w:pStyle w:val="null3"/>
      </w:pPr>
      <w:r>
        <w:rPr/>
        <w:t>地址：西安市雁塔区二环南路西段88号老三届世纪星大厦30楼AB座</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拟采购全自动葡萄酒分析仪1台。</w:t>
      </w:r>
    </w:p>
    <w:p>
      <w:pPr>
        <w:pStyle w:val="null3"/>
        <w:outlineLvl w:val="2"/>
      </w:pPr>
      <w:r>
        <w:rPr>
          <w:sz w:val="28"/>
          <w:b/>
        </w:rPr>
        <w:t>3.2采购内容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500000</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标的名称：500000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rPr>
              <w:t>全自动葡萄酒分析仪</w:t>
            </w:r>
            <w:r>
              <w:rPr>
                <w:rFonts w:ascii="宋体" w:hAnsi="宋体" w:cs="宋体" w:eastAsia="宋体"/>
                <w:sz w:val="24"/>
                <w:b/>
              </w:rPr>
              <w:t xml:space="preserve">  </w:t>
            </w:r>
            <w:r>
              <w:rPr>
                <w:rFonts w:ascii="calibri" w:hAnsi="calibri" w:cs="calibri" w:eastAsia="calibri"/>
                <w:sz w:val="24"/>
                <w:b/>
              </w:rPr>
              <w:t>1</w:t>
            </w:r>
            <w:r>
              <w:rPr>
                <w:rFonts w:ascii="宋体" w:hAnsi="宋体" w:cs="宋体" w:eastAsia="宋体"/>
                <w:sz w:val="24"/>
                <w:b/>
              </w:rPr>
              <w:t>台</w:t>
            </w:r>
          </w:p>
          <w:p>
            <w:pPr>
              <w:pStyle w:val="null3"/>
              <w:jc w:val="both"/>
            </w:pP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．主要用途：</w:t>
            </w:r>
            <w:r>
              <w:rPr>
                <w:rFonts w:ascii="宋体" w:hAnsi="宋体" w:cs="宋体" w:eastAsia="宋体"/>
                <w:sz w:val="21"/>
              </w:rPr>
              <w:t>用于</w:t>
            </w:r>
            <w:r>
              <w:rPr>
                <w:rFonts w:ascii="宋体" w:hAnsi="宋体" w:cs="宋体" w:eastAsia="宋体"/>
                <w:sz w:val="21"/>
              </w:rPr>
              <w:t>测量葡萄汁以及葡萄酒各项指标</w:t>
            </w:r>
          </w:p>
          <w:p>
            <w:pPr>
              <w:pStyle w:val="null3"/>
              <w:jc w:val="both"/>
            </w:pPr>
            <w:r>
              <w:rPr>
                <w:rFonts w:ascii="&quot;times new roman&quot;" w:hAnsi="&quot;times new roman&quot;" w:cs="&quot;times new roman&quot;" w:eastAsia="&quot;times new roman&quot;"/>
                <w:sz w:val="21"/>
              </w:rPr>
              <w:t>1.1</w:t>
            </w:r>
            <w:r>
              <w:rPr>
                <w:rFonts w:ascii="times new roman, times, serif" w:hAnsi="times new roman, times, serif" w:cs="times new roman, times, serif" w:eastAsia="times new roman, times, serif"/>
                <w:sz w:val="21"/>
              </w:rPr>
              <w:t>.</w:t>
            </w:r>
            <w:r>
              <w:rPr>
                <w:rFonts w:ascii="宋体" w:hAnsi="宋体" w:cs="宋体" w:eastAsia="宋体"/>
                <w:sz w:val="21"/>
              </w:rPr>
              <w:t>葡萄汁：</w:t>
            </w:r>
            <w:r>
              <w:rPr>
                <w:rFonts w:ascii="宋体" w:hAnsi="宋体" w:cs="宋体" w:eastAsia="宋体"/>
                <w:sz w:val="21"/>
              </w:rPr>
              <w:t>乙醇</w:t>
            </w:r>
            <w:r>
              <w:rPr>
                <w:rFonts w:ascii="宋体" w:hAnsi="宋体" w:cs="宋体" w:eastAsia="宋体"/>
                <w:sz w:val="21"/>
              </w:rPr>
              <w:t>、</w:t>
            </w:r>
            <w:r>
              <w:rPr>
                <w:rFonts w:ascii="宋体" w:hAnsi="宋体" w:cs="宋体" w:eastAsia="宋体"/>
                <w:sz w:val="21"/>
              </w:rPr>
              <w:t>果糖</w:t>
            </w:r>
            <w:r>
              <w:rPr>
                <w:rFonts w:ascii="宋体" w:hAnsi="宋体" w:cs="宋体" w:eastAsia="宋体"/>
                <w:sz w:val="21"/>
              </w:rPr>
              <w:t>、</w:t>
            </w:r>
            <w:r>
              <w:rPr>
                <w:rFonts w:ascii="宋体" w:hAnsi="宋体" w:cs="宋体" w:eastAsia="宋体"/>
                <w:sz w:val="21"/>
              </w:rPr>
              <w:t>葡萄糖</w:t>
            </w:r>
            <w:r>
              <w:rPr>
                <w:rFonts w:ascii="宋体" w:hAnsi="宋体" w:cs="宋体" w:eastAsia="宋体"/>
                <w:sz w:val="21"/>
              </w:rPr>
              <w:t>、</w:t>
            </w:r>
            <w:r>
              <w:rPr>
                <w:rFonts w:ascii="宋体" w:hAnsi="宋体" w:cs="宋体" w:eastAsia="宋体"/>
                <w:sz w:val="21"/>
              </w:rPr>
              <w:t>可滴定酸度</w:t>
            </w:r>
            <w:r>
              <w:rPr>
                <w:rFonts w:ascii="宋体" w:hAnsi="宋体" w:cs="宋体" w:eastAsia="宋体"/>
                <w:sz w:val="21"/>
              </w:rPr>
              <w:t>、</w:t>
            </w:r>
            <w:r>
              <w:rPr>
                <w:rFonts w:ascii="宋体" w:hAnsi="宋体" w:cs="宋体" w:eastAsia="宋体"/>
                <w:sz w:val="21"/>
              </w:rPr>
              <w:t>挥发性酸</w:t>
            </w:r>
            <w:r>
              <w:rPr>
                <w:rFonts w:ascii="宋体" w:hAnsi="宋体" w:cs="宋体" w:eastAsia="宋体"/>
                <w:sz w:val="21"/>
              </w:rPr>
              <w:t>、</w:t>
            </w:r>
            <w:r>
              <w:rPr>
                <w:rFonts w:ascii="宋体" w:hAnsi="宋体" w:cs="宋体" w:eastAsia="宋体"/>
                <w:sz w:val="21"/>
              </w:rPr>
              <w:t>苹果酸</w:t>
            </w:r>
            <w:r>
              <w:rPr>
                <w:rFonts w:ascii="宋体" w:hAnsi="宋体" w:cs="宋体" w:eastAsia="宋体"/>
                <w:sz w:val="21"/>
              </w:rPr>
              <w:t>、</w:t>
            </w:r>
            <w:r>
              <w:rPr>
                <w:rFonts w:ascii="宋体" w:hAnsi="宋体" w:cs="宋体" w:eastAsia="宋体"/>
                <w:sz w:val="21"/>
              </w:rPr>
              <w:t>酒石酸</w:t>
            </w:r>
            <w:r>
              <w:rPr>
                <w:rFonts w:ascii="宋体" w:hAnsi="宋体" w:cs="宋体" w:eastAsia="宋体"/>
                <w:sz w:val="21"/>
              </w:rPr>
              <w:t>、乳酸、</w:t>
            </w:r>
            <w:r>
              <w:rPr>
                <w:rFonts w:ascii="&quot;times new roman&quot;" w:hAnsi="&quot;times new roman&quot;" w:cs="&quot;times new roman&quot;" w:eastAsia="&quot;times new roman&quot;"/>
                <w:sz w:val="21"/>
              </w:rPr>
              <w:t>PH</w:t>
            </w:r>
            <w:r>
              <w:rPr>
                <w:rFonts w:ascii="宋体" w:hAnsi="宋体" w:cs="宋体" w:eastAsia="宋体"/>
                <w:sz w:val="21"/>
              </w:rPr>
              <w:t>、</w:t>
            </w:r>
            <w:r>
              <w:rPr>
                <w:rFonts w:ascii="宋体" w:hAnsi="宋体" w:cs="宋体" w:eastAsia="宋体"/>
                <w:sz w:val="21"/>
              </w:rPr>
              <w:t>密度</w:t>
            </w:r>
            <w:r>
              <w:rPr>
                <w:rFonts w:ascii="宋体" w:hAnsi="宋体" w:cs="宋体" w:eastAsia="宋体"/>
                <w:sz w:val="21"/>
              </w:rPr>
              <w:t>、葡萄汁重量、浸出物、酵母可同化氮、</w:t>
            </w:r>
            <w:r>
              <w:rPr>
                <w:rFonts w:ascii="宋体" w:hAnsi="宋体" w:cs="宋体" w:eastAsia="宋体"/>
                <w:sz w:val="21"/>
              </w:rPr>
              <w:t>丙三醇</w:t>
            </w:r>
            <w:r>
              <w:rPr>
                <w:rFonts w:ascii="宋体" w:hAnsi="宋体" w:cs="宋体" w:eastAsia="宋体"/>
                <w:sz w:val="21"/>
              </w:rPr>
              <w:t>，</w:t>
            </w:r>
            <w:r>
              <w:rPr>
                <w:rFonts w:ascii="宋体" w:hAnsi="宋体" w:cs="宋体" w:eastAsia="宋体"/>
                <w:sz w:val="21"/>
              </w:rPr>
              <w:t>至少满足能同时对以上指标进行检测。</w:t>
            </w:r>
          </w:p>
          <w:p>
            <w:pPr>
              <w:pStyle w:val="null3"/>
              <w:jc w:val="both"/>
            </w:pPr>
            <w:r>
              <w:rPr>
                <w:rFonts w:ascii="&quot;times new roman&quot;" w:hAnsi="&quot;times new roman&quot;" w:cs="&quot;times new roman&quot;" w:eastAsia="&quot;times new roman&quot;"/>
                <w:sz w:val="21"/>
              </w:rPr>
              <w:t>1.2</w:t>
            </w:r>
            <w:r>
              <w:rPr>
                <w:rFonts w:ascii="times new roman, times, serif" w:hAnsi="times new roman, times, serif" w:cs="times new roman, times, serif" w:eastAsia="times new roman, times, serif"/>
                <w:sz w:val="21"/>
              </w:rPr>
              <w:t>.</w:t>
            </w:r>
            <w:r>
              <w:rPr>
                <w:rFonts w:ascii="宋体" w:hAnsi="宋体" w:cs="宋体" w:eastAsia="宋体"/>
                <w:sz w:val="21"/>
              </w:rPr>
              <w:t>成品葡萄酒：</w:t>
            </w:r>
            <w:r>
              <w:rPr>
                <w:rFonts w:ascii="宋体" w:hAnsi="宋体" w:cs="宋体" w:eastAsia="宋体"/>
                <w:sz w:val="21"/>
              </w:rPr>
              <w:t>乙醇</w:t>
            </w:r>
            <w:r>
              <w:rPr>
                <w:rFonts w:ascii="宋体" w:hAnsi="宋体" w:cs="宋体" w:eastAsia="宋体"/>
                <w:sz w:val="21"/>
              </w:rPr>
              <w:t>、</w:t>
            </w:r>
            <w:r>
              <w:rPr>
                <w:rFonts w:ascii="宋体" w:hAnsi="宋体" w:cs="宋体" w:eastAsia="宋体"/>
                <w:sz w:val="21"/>
              </w:rPr>
              <w:t>果糖</w:t>
            </w:r>
            <w:r>
              <w:rPr>
                <w:rFonts w:ascii="宋体" w:hAnsi="宋体" w:cs="宋体" w:eastAsia="宋体"/>
                <w:sz w:val="21"/>
              </w:rPr>
              <w:t>、</w:t>
            </w:r>
            <w:r>
              <w:rPr>
                <w:rFonts w:ascii="宋体" w:hAnsi="宋体" w:cs="宋体" w:eastAsia="宋体"/>
                <w:sz w:val="21"/>
              </w:rPr>
              <w:t>葡萄糖</w:t>
            </w:r>
            <w:r>
              <w:rPr>
                <w:rFonts w:ascii="宋体" w:hAnsi="宋体" w:cs="宋体" w:eastAsia="宋体"/>
                <w:sz w:val="21"/>
              </w:rPr>
              <w:t>、蔗糖、</w:t>
            </w:r>
            <w:r>
              <w:rPr>
                <w:rFonts w:ascii="宋体" w:hAnsi="宋体" w:cs="宋体" w:eastAsia="宋体"/>
                <w:sz w:val="21"/>
              </w:rPr>
              <w:t>可滴定酸度</w:t>
            </w:r>
            <w:r>
              <w:rPr>
                <w:rFonts w:ascii="宋体" w:hAnsi="宋体" w:cs="宋体" w:eastAsia="宋体"/>
                <w:sz w:val="21"/>
              </w:rPr>
              <w:t>、</w:t>
            </w:r>
            <w:r>
              <w:rPr>
                <w:rFonts w:ascii="宋体" w:hAnsi="宋体" w:cs="宋体" w:eastAsia="宋体"/>
                <w:sz w:val="21"/>
              </w:rPr>
              <w:t>挥发性酸</w:t>
            </w:r>
            <w:r>
              <w:rPr>
                <w:rFonts w:ascii="宋体" w:hAnsi="宋体" w:cs="宋体" w:eastAsia="宋体"/>
                <w:sz w:val="21"/>
              </w:rPr>
              <w:t>、</w:t>
            </w:r>
            <w:r>
              <w:rPr>
                <w:rFonts w:ascii="宋体" w:hAnsi="宋体" w:cs="宋体" w:eastAsia="宋体"/>
                <w:sz w:val="21"/>
              </w:rPr>
              <w:t>苹果酸</w:t>
            </w:r>
            <w:r>
              <w:rPr>
                <w:rFonts w:ascii="宋体" w:hAnsi="宋体" w:cs="宋体" w:eastAsia="宋体"/>
                <w:sz w:val="21"/>
              </w:rPr>
              <w:t>、</w:t>
            </w:r>
            <w:r>
              <w:rPr>
                <w:rFonts w:ascii="宋体" w:hAnsi="宋体" w:cs="宋体" w:eastAsia="宋体"/>
                <w:sz w:val="21"/>
              </w:rPr>
              <w:t>酒石酸</w:t>
            </w:r>
            <w:r>
              <w:rPr>
                <w:rFonts w:ascii="宋体" w:hAnsi="宋体" w:cs="宋体" w:eastAsia="宋体"/>
                <w:sz w:val="21"/>
              </w:rPr>
              <w:t>、乳酸、葡萄糖酸、</w:t>
            </w:r>
            <w:r>
              <w:rPr>
                <w:rFonts w:ascii="&quot;times new roman&quot;" w:hAnsi="&quot;times new roman&quot;" w:cs="&quot;times new roman&quot;" w:eastAsia="&quot;times new roman&quot;"/>
                <w:sz w:val="21"/>
              </w:rPr>
              <w:t>PH</w:t>
            </w:r>
            <w:r>
              <w:rPr>
                <w:rFonts w:ascii="宋体" w:hAnsi="宋体" w:cs="宋体" w:eastAsia="宋体"/>
                <w:sz w:val="21"/>
              </w:rPr>
              <w:t>、</w:t>
            </w:r>
            <w:r>
              <w:rPr>
                <w:rFonts w:ascii="宋体" w:hAnsi="宋体" w:cs="宋体" w:eastAsia="宋体"/>
                <w:sz w:val="21"/>
              </w:rPr>
              <w:t>密度</w:t>
            </w:r>
            <w:r>
              <w:rPr>
                <w:rFonts w:ascii="宋体" w:hAnsi="宋体" w:cs="宋体" w:eastAsia="宋体"/>
                <w:sz w:val="21"/>
              </w:rPr>
              <w:t>、葡萄汁重量、浸出物、总多酚、</w:t>
            </w:r>
            <w:r>
              <w:rPr>
                <w:rFonts w:ascii="宋体" w:hAnsi="宋体" w:cs="宋体" w:eastAsia="宋体"/>
                <w:sz w:val="21"/>
              </w:rPr>
              <w:t>丙三醇</w:t>
            </w:r>
            <w:r>
              <w:rPr>
                <w:rFonts w:ascii="宋体" w:hAnsi="宋体" w:cs="宋体" w:eastAsia="宋体"/>
                <w:sz w:val="21"/>
              </w:rPr>
              <w:t>，</w:t>
            </w:r>
            <w:r>
              <w:rPr>
                <w:rFonts w:ascii="宋体" w:hAnsi="宋体" w:cs="宋体" w:eastAsia="宋体"/>
                <w:sz w:val="21"/>
              </w:rPr>
              <w:t>至少满足能同时对以上指标进行检测。</w:t>
            </w:r>
          </w:p>
          <w:p>
            <w:pPr>
              <w:pStyle w:val="null3"/>
              <w:jc w:val="both"/>
            </w:pPr>
            <w:r>
              <w:rPr>
                <w:rFonts w:ascii="times new roman, times, serif" w:hAnsi="times new roman, times, serif" w:cs="times new roman, times, serif" w:eastAsia="times new roman, times, serif"/>
                <w:sz w:val="21"/>
              </w:rPr>
              <w:t>2</w:t>
            </w:r>
            <w:r>
              <w:rPr>
                <w:rFonts w:ascii="宋体" w:hAnsi="宋体" w:cs="宋体" w:eastAsia="宋体"/>
                <w:sz w:val="21"/>
              </w:rPr>
              <w:t>．技术参数</w:t>
            </w:r>
          </w:p>
          <w:p>
            <w:pPr>
              <w:pStyle w:val="null3"/>
              <w:jc w:val="both"/>
            </w:pPr>
            <w:r>
              <w:rPr>
                <w:rFonts w:ascii="times new roman, times, serif" w:hAnsi="times new roman, times, serif" w:cs="times new roman, times, serif" w:eastAsia="times new roman, times, serif"/>
                <w:sz w:val="21"/>
              </w:rPr>
              <w:t>▲2.</w:t>
            </w: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times new roman, times, serif" w:hAnsi="times new roman, times, serif" w:cs="times new roman, times, serif" w:eastAsia="times new roman, times, serif"/>
                <w:sz w:val="21"/>
              </w:rPr>
              <w:t xml:space="preserve">10.1 </w:t>
            </w:r>
            <w:r>
              <w:rPr>
                <w:rFonts w:ascii="宋体" w:hAnsi="宋体" w:cs="宋体" w:eastAsia="宋体"/>
                <w:sz w:val="21"/>
              </w:rPr>
              <w:t xml:space="preserve">英寸 </w:t>
            </w:r>
            <w:r>
              <w:rPr>
                <w:rFonts w:ascii="times new roman, times, serif" w:hAnsi="times new roman, times, serif" w:cs="times new roman, times, serif" w:eastAsia="times new roman, times, serif"/>
                <w:sz w:val="21"/>
              </w:rPr>
              <w:t xml:space="preserve">PCAP </w:t>
            </w:r>
            <w:r>
              <w:rPr>
                <w:rFonts w:ascii="宋体" w:hAnsi="宋体" w:cs="宋体" w:eastAsia="宋体"/>
                <w:sz w:val="21"/>
              </w:rPr>
              <w:t>触摸屏，无需外接电脑，无需电脑工作站软件，通过仪器内置人性化的交互界面软件完成仪器控制，测量，数据分析。</w:t>
            </w:r>
          </w:p>
          <w:p>
            <w:pPr>
              <w:pStyle w:val="null3"/>
              <w:jc w:val="both"/>
            </w:pP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2</w:t>
            </w:r>
            <w:r>
              <w:rPr>
                <w:rFonts w:ascii="times new roman, times, serif" w:hAnsi="times new roman, times, serif" w:cs="times new roman, times, serif" w:eastAsia="times new roman, times, serif"/>
                <w:sz w:val="21"/>
              </w:rPr>
              <w:t>.</w:t>
            </w:r>
            <w:r>
              <w:rPr>
                <w:rFonts w:ascii="宋体" w:hAnsi="宋体" w:cs="宋体" w:eastAsia="宋体"/>
                <w:sz w:val="21"/>
              </w:rPr>
              <w:t>单机使用时一分钟内可获得结果。</w:t>
            </w:r>
          </w:p>
          <w:p>
            <w:pPr>
              <w:pStyle w:val="null3"/>
              <w:jc w:val="both"/>
            </w:pPr>
            <w:r>
              <w:rPr>
                <w:rFonts w:ascii="&quot;times new roman&quot;" w:hAnsi="&quot;times new roman&quot;" w:cs="&quot;times new roman&quot;" w:eastAsia="&quot;times new roman&quot;"/>
                <w:sz w:val="21"/>
              </w:rPr>
              <w:t>2.</w:t>
            </w:r>
            <w:r>
              <w:rPr>
                <w:rFonts w:ascii="times new roman, times, serif" w:hAnsi="times new roman, times, serif" w:cs="times new roman, times, serif" w:eastAsia="times new roman, times, serif"/>
                <w:sz w:val="21"/>
              </w:rPr>
              <w:t>3</w:t>
            </w:r>
            <w:r>
              <w:rPr>
                <w:rFonts w:ascii="times new roman, times, serif" w:hAnsi="times new roman, times, serif" w:cs="times new roman, times, serif" w:eastAsia="times new roman, times, serif"/>
                <w:sz w:val="21"/>
              </w:rPr>
              <w:t>.</w:t>
            </w:r>
            <w:r>
              <w:rPr>
                <w:rFonts w:ascii="宋体" w:hAnsi="宋体" w:cs="宋体" w:eastAsia="宋体"/>
                <w:sz w:val="21"/>
              </w:rPr>
              <w:t>可连接进样器实现高通量自动化分析，处理量</w:t>
            </w:r>
            <w:r>
              <w:rPr>
                <w:rFonts w:ascii="宋体" w:hAnsi="宋体" w:cs="宋体" w:eastAsia="宋体"/>
                <w:sz w:val="21"/>
              </w:rPr>
              <w:t>≥</w:t>
            </w: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8</w:t>
            </w:r>
            <w:r>
              <w:rPr>
                <w:rFonts w:ascii="宋体" w:hAnsi="宋体" w:cs="宋体" w:eastAsia="宋体"/>
                <w:sz w:val="21"/>
              </w:rPr>
              <w:t>位</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2.4</w:t>
            </w:r>
            <w:r>
              <w:rPr>
                <w:rFonts w:ascii="times new roman, times, serif" w:hAnsi="times new roman, times, serif" w:cs="times new roman, times, serif" w:eastAsia="times new roman, times, serif"/>
                <w:sz w:val="21"/>
              </w:rPr>
              <w:t>.</w:t>
            </w:r>
            <w:r>
              <w:rPr>
                <w:rFonts w:ascii="宋体" w:hAnsi="宋体" w:cs="宋体" w:eastAsia="宋体"/>
                <w:sz w:val="21"/>
              </w:rPr>
              <w:t>仪器可以通过以太网或者</w:t>
            </w:r>
            <w:r>
              <w:rPr>
                <w:rFonts w:ascii="times new roman, times, serif" w:hAnsi="times new roman, times, serif" w:cs="times new roman, times, serif" w:eastAsia="times new roman, times, serif"/>
                <w:sz w:val="21"/>
              </w:rPr>
              <w:t>Wifi</w:t>
            </w:r>
            <w:r>
              <w:rPr>
                <w:rFonts w:ascii="宋体" w:hAnsi="宋体" w:cs="宋体" w:eastAsia="宋体"/>
                <w:sz w:val="21"/>
              </w:rPr>
              <w:t>可完全与</w:t>
            </w:r>
            <w:r>
              <w:rPr>
                <w:rFonts w:ascii="times new roman, times, serif" w:hAnsi="times new roman, times, serif" w:cs="times new roman, times, serif" w:eastAsia="times new roman, times, serif"/>
                <w:sz w:val="21"/>
              </w:rPr>
              <w:t>Lims</w:t>
            </w:r>
            <w:r>
              <w:rPr>
                <w:rFonts w:ascii="宋体" w:hAnsi="宋体" w:cs="宋体" w:eastAsia="宋体"/>
                <w:sz w:val="21"/>
              </w:rPr>
              <w:t xml:space="preserve">结合，也可通过以太网或 </w:t>
            </w:r>
            <w:r>
              <w:rPr>
                <w:rFonts w:ascii="times new roman, times, serif" w:hAnsi="times new roman, times, serif" w:cs="times new roman, times, serif" w:eastAsia="times new roman, times, serif"/>
                <w:sz w:val="21"/>
              </w:rPr>
              <w:t xml:space="preserve">WiFi </w:t>
            </w:r>
            <w:r>
              <w:rPr>
                <w:rFonts w:ascii="宋体" w:hAnsi="宋体" w:cs="宋体" w:eastAsia="宋体"/>
                <w:sz w:val="21"/>
              </w:rPr>
              <w:t>以数字方式导出至硬盘驱动器或网络储存空间。</w:t>
            </w:r>
          </w:p>
          <w:p>
            <w:pPr>
              <w:pStyle w:val="null3"/>
              <w:jc w:val="both"/>
            </w:pPr>
            <w:r>
              <w:rPr>
                <w:rFonts w:ascii="times new roman, times, serif" w:hAnsi="times new roman, times, serif" w:cs="times new roman, times, serif" w:eastAsia="times new roman, times, serif"/>
                <w:sz w:val="21"/>
              </w:rPr>
              <w:t>▲2.5</w:t>
            </w:r>
            <w:r>
              <w:rPr>
                <w:rFonts w:ascii="times new roman, times, serif" w:hAnsi="times new roman, times, serif" w:cs="times new roman, times, serif" w:eastAsia="times new roman, times, serif"/>
                <w:sz w:val="21"/>
              </w:rPr>
              <w:t>.</w:t>
            </w:r>
            <w:r>
              <w:rPr>
                <w:rFonts w:ascii="宋体" w:hAnsi="宋体" w:cs="宋体" w:eastAsia="宋体"/>
                <w:sz w:val="21"/>
              </w:rPr>
              <w:t>仪器软件可以提供内置化学计量学模型的二次开发，无需仪器返厂，无需专业人员，无需任何化学计量学知识，通过软件功能向导，简单，快速执行模型优化</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2.6</w:t>
            </w:r>
            <w:r>
              <w:rPr>
                <w:rFonts w:ascii="times new roman, times, serif" w:hAnsi="times new roman, times, serif" w:cs="times new roman, times, serif" w:eastAsia="times new roman, times, serif"/>
                <w:sz w:val="21"/>
              </w:rPr>
              <w:t>.</w:t>
            </w:r>
            <w:r>
              <w:rPr>
                <w:rFonts w:ascii="宋体" w:hAnsi="宋体" w:cs="宋体" w:eastAsia="宋体"/>
                <w:sz w:val="21"/>
              </w:rPr>
              <w:t>测量池使用帕尔贴元件控温，稳定性 ±</w:t>
            </w:r>
            <w:r>
              <w:rPr>
                <w:rFonts w:ascii="times new roman, times, serif" w:hAnsi="times new roman, times, serif" w:cs="times new roman, times, serif" w:eastAsia="times new roman, times, serif"/>
                <w:sz w:val="21"/>
              </w:rPr>
              <w:t xml:space="preserve">0.005 </w:t>
            </w:r>
            <w:r>
              <w:rPr>
                <w:rFonts w:ascii="宋体" w:hAnsi="宋体" w:cs="宋体" w:eastAsia="宋体"/>
                <w:sz w:val="21"/>
              </w:rPr>
              <w:t>°</w:t>
            </w:r>
            <w:r>
              <w:rPr>
                <w:rFonts w:ascii="times new roman, times, serif" w:hAnsi="times new roman, times, serif" w:cs="times new roman, times, serif" w:eastAsia="times new roman, times, serif"/>
                <w:sz w:val="21"/>
              </w:rPr>
              <w:t>C</w:t>
            </w:r>
            <w:r>
              <w:rPr>
                <w:rFonts w:ascii="宋体" w:hAnsi="宋体" w:cs="宋体" w:eastAsia="宋体"/>
                <w:sz w:val="21"/>
              </w:rPr>
              <w:t>，准确度 ±</w:t>
            </w:r>
            <w:r>
              <w:rPr>
                <w:rFonts w:ascii="times new roman, times, serif" w:hAnsi="times new roman, times, serif" w:cs="times new roman, times, serif" w:eastAsia="times new roman, times, serif"/>
                <w:sz w:val="21"/>
              </w:rPr>
              <w:t xml:space="preserve">0.03 </w:t>
            </w:r>
            <w:r>
              <w:rPr>
                <w:rFonts w:ascii="宋体" w:hAnsi="宋体" w:cs="宋体" w:eastAsia="宋体"/>
                <w:sz w:val="21"/>
              </w:rPr>
              <w:t>°</w:t>
            </w:r>
            <w:r>
              <w:rPr>
                <w:rFonts w:ascii="times new roman, times, serif" w:hAnsi="times new roman, times, serif" w:cs="times new roman, times, serif" w:eastAsia="times new roman, times, serif"/>
                <w:sz w:val="21"/>
              </w:rPr>
              <w:t>C</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2.7</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12</w:t>
            </w:r>
            <w:r>
              <w:rPr>
                <w:rFonts w:ascii="宋体" w:hAnsi="宋体" w:cs="宋体" w:eastAsia="宋体"/>
                <w:sz w:val="21"/>
              </w:rPr>
              <w:t>跳</w:t>
            </w:r>
            <w:r>
              <w:rPr>
                <w:rFonts w:ascii="times new roman, times, serif" w:hAnsi="times new roman, times, serif" w:cs="times new roman, times, serif" w:eastAsia="times new roman, times, serif"/>
                <w:sz w:val="21"/>
              </w:rPr>
              <w:t xml:space="preserve">ATR ZnSe </w:t>
            </w:r>
            <w:r>
              <w:rPr>
                <w:rFonts w:ascii="宋体" w:hAnsi="宋体" w:cs="宋体" w:eastAsia="宋体"/>
                <w:sz w:val="21"/>
              </w:rPr>
              <w:t>测量池能够提供理想的信号强度，不受混浊或含气样品的影响。</w:t>
            </w:r>
          </w:p>
          <w:p>
            <w:pPr>
              <w:pStyle w:val="null3"/>
              <w:jc w:val="both"/>
            </w:pPr>
            <w:r>
              <w:rPr>
                <w:rFonts w:ascii="&quot;times new roman&quot;" w:hAnsi="&quot;times new roman&quot;" w:cs="&quot;times new roman&quot;" w:eastAsia="&quot;times new roman&quot;"/>
                <w:sz w:val="21"/>
              </w:rPr>
              <w:t>2.8</w:t>
            </w:r>
            <w:r>
              <w:rPr>
                <w:rFonts w:ascii="times new roman, times, serif" w:hAnsi="times new roman, times, serif" w:cs="times new roman, times, serif" w:eastAsia="times new roman, times, serif"/>
                <w:sz w:val="21"/>
              </w:rPr>
              <w:t>.</w:t>
            </w:r>
            <w:r>
              <w:rPr>
                <w:rFonts w:ascii="宋体" w:hAnsi="宋体" w:cs="宋体" w:eastAsia="宋体"/>
                <w:sz w:val="21"/>
              </w:rPr>
              <w:t>实时通知功能实时提醒仪器的当前状态，并给出使用者操作建议</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▲2</w:t>
            </w:r>
            <w:r>
              <w:rPr>
                <w:rFonts w:ascii="times new roman, times, serif" w:hAnsi="times new roman, times, serif" w:cs="times new roman, times, serif" w:eastAsia="times new roman, times, serif"/>
                <w:sz w:val="21"/>
              </w:rPr>
              <w:t>.</w:t>
            </w:r>
            <w:r>
              <w:rPr>
                <w:rFonts w:ascii="&quot;times new roman&quot;" w:hAnsi="&quot;times new roman&quot;" w:cs="&quot;times new roman&quot;" w:eastAsia="&quot;times new roman&quot;"/>
                <w:sz w:val="21"/>
              </w:rPr>
              <w:t>9</w:t>
            </w:r>
            <w:r>
              <w:rPr>
                <w:rFonts w:ascii="times new roman, times, serif" w:hAnsi="times new roman, times, serif" w:cs="times new roman, times, serif" w:eastAsia="times new roman, times, serif"/>
                <w:sz w:val="21"/>
              </w:rPr>
              <w:t>.</w:t>
            </w:r>
            <w:r>
              <w:rPr>
                <w:rFonts w:ascii="宋体" w:hAnsi="宋体" w:cs="宋体" w:eastAsia="宋体"/>
                <w:sz w:val="21"/>
              </w:rPr>
              <w:t>内置的工作流程指导进行水和乙醇参考测量，无需专用参考标准物质</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w:t>
            </w:r>
            <w:r>
              <w:rPr>
                <w:rFonts w:ascii="times new roman, times, serif" w:hAnsi="times new roman, times, serif" w:cs="times new roman, times, serif" w:eastAsia="times new roman, times, serif"/>
                <w:sz w:val="21"/>
              </w:rPr>
              <w:t>.</w:t>
            </w:r>
            <w:r>
              <w:rPr>
                <w:rFonts w:ascii="&quot;times new roman&quot;" w:hAnsi="&quot;times new roman&quot;" w:cs="&quot;times new roman&quot;" w:eastAsia="&quot;times new roman&quot;"/>
                <w:sz w:val="21"/>
              </w:rPr>
              <w:t>10</w:t>
            </w:r>
            <w:r>
              <w:rPr>
                <w:rFonts w:ascii="times new roman, times, serif" w:hAnsi="times new roman, times, serif" w:cs="times new roman, times, serif" w:eastAsia="times new roman, times, serif"/>
                <w:sz w:val="21"/>
              </w:rPr>
              <w:t>.</w:t>
            </w:r>
            <w:r>
              <w:rPr>
                <w:rFonts w:ascii="宋体" w:hAnsi="宋体" w:cs="宋体" w:eastAsia="宋体"/>
                <w:sz w:val="21"/>
              </w:rPr>
              <w:t>仪器可以外接键盘及条形扫码器，实现更便捷的操作。</w:t>
            </w:r>
          </w:p>
          <w:p>
            <w:pPr>
              <w:pStyle w:val="null3"/>
              <w:jc w:val="both"/>
            </w:pP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11</w:t>
            </w:r>
            <w:r>
              <w:rPr>
                <w:rFonts w:ascii="times new roman, times, serif" w:hAnsi="times new roman, times, serif" w:cs="times new roman, times, serif" w:eastAsia="times new roman, times, serif"/>
                <w:sz w:val="21"/>
              </w:rPr>
              <w:t>.</w:t>
            </w:r>
            <w:r>
              <w:rPr>
                <w:rFonts w:ascii="宋体" w:hAnsi="宋体" w:cs="宋体" w:eastAsia="宋体"/>
                <w:sz w:val="21"/>
              </w:rPr>
              <w:t>通讯接口</w:t>
            </w:r>
            <w:r>
              <w:rPr>
                <w:rFonts w:ascii="宋体" w:hAnsi="宋体" w:cs="宋体" w:eastAsia="宋体"/>
                <w:sz w:val="21"/>
              </w:rPr>
              <w:t>至少包括</w:t>
            </w:r>
            <w:r>
              <w:rPr>
                <w:rFonts w:ascii="宋体" w:hAnsi="宋体" w:cs="宋体" w:eastAsia="宋体"/>
                <w:sz w:val="21"/>
              </w:rPr>
              <w:t>：</w:t>
            </w:r>
            <w:r>
              <w:rPr>
                <w:rFonts w:ascii="&quot;times new roman&quot;" w:hAnsi="&quot;times new roman&quot;" w:cs="&quot;times new roman&quot;" w:eastAsia="&quot;times new roman&quot;"/>
                <w:sz w:val="21"/>
              </w:rPr>
              <w:t>5 x USB</w:t>
            </w:r>
            <w:r>
              <w:rPr>
                <w:rFonts w:ascii="宋体" w:hAnsi="宋体" w:cs="宋体" w:eastAsia="宋体"/>
                <w:sz w:val="21"/>
              </w:rPr>
              <w:t>，</w:t>
            </w:r>
            <w:r>
              <w:rPr>
                <w:rFonts w:ascii="&quot;times new roman&quot;" w:hAnsi="&quot;times new roman&quot;" w:cs="&quot;times new roman&quot;" w:eastAsia="&quot;times new roman&quot;"/>
                <w:sz w:val="21"/>
              </w:rPr>
              <w:t>RS-232</w:t>
            </w:r>
            <w:r>
              <w:rPr>
                <w:rFonts w:ascii="宋体" w:hAnsi="宋体" w:cs="宋体" w:eastAsia="宋体"/>
                <w:sz w:val="21"/>
              </w:rPr>
              <w:t>，</w:t>
            </w:r>
            <w:r>
              <w:rPr>
                <w:rFonts w:ascii="&quot;times new roman&quot;" w:hAnsi="&quot;times new roman&quot;" w:cs="&quot;times new roman&quot;" w:eastAsia="&quot;times new roman&quot;"/>
                <w:sz w:val="21"/>
              </w:rPr>
              <w:t>CAN</w:t>
            </w:r>
            <w:r>
              <w:rPr>
                <w:rFonts w:ascii="宋体" w:hAnsi="宋体" w:cs="宋体" w:eastAsia="宋体"/>
                <w:sz w:val="21"/>
              </w:rPr>
              <w:t>，</w:t>
            </w:r>
            <w:r>
              <w:rPr>
                <w:rFonts w:ascii="&quot;times new roman&quot;" w:hAnsi="&quot;times new roman&quot;" w:cs="&quot;times new roman&quot;" w:eastAsia="&quot;times new roman&quot;"/>
                <w:sz w:val="21"/>
              </w:rPr>
              <w:t>HDMI</w:t>
            </w:r>
            <w:r>
              <w:rPr>
                <w:rFonts w:ascii="宋体" w:hAnsi="宋体" w:cs="宋体" w:eastAsia="宋体"/>
                <w:sz w:val="21"/>
              </w:rPr>
              <w:t>，以太网，</w:t>
            </w:r>
            <w:r>
              <w:rPr>
                <w:rFonts w:ascii="&quot;times new roman&quot;" w:hAnsi="&quot;times new roman&quot;" w:cs="&quot;times new roman&quot;" w:eastAsia="&quot;times new roman&quot;"/>
                <w:sz w:val="21"/>
              </w:rPr>
              <w:t>Bluetooth®</w:t>
            </w:r>
            <w:r>
              <w:rPr>
                <w:rFonts w:ascii="宋体" w:hAnsi="宋体" w:cs="宋体" w:eastAsia="宋体"/>
                <w:sz w:val="21"/>
              </w:rPr>
              <w:t>，</w:t>
            </w:r>
            <w:r>
              <w:rPr>
                <w:rFonts w:ascii="&quot;times new roman&quot;" w:hAnsi="&quot;times new roman&quot;" w:cs="&quot;times new roman&quot;" w:eastAsia="&quot;times new roman&quot;"/>
                <w:sz w:val="21"/>
              </w:rPr>
              <w:t>WiFi</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▲2.12</w:t>
            </w:r>
            <w:r>
              <w:rPr>
                <w:rFonts w:ascii="times new roman, times, serif" w:hAnsi="times new roman, times, serif" w:cs="times new roman, times, serif" w:eastAsia="times new roman, times, serif"/>
                <w:sz w:val="21"/>
              </w:rPr>
              <w:t>.</w:t>
            </w:r>
            <w:r>
              <w:rPr>
                <w:rFonts w:ascii="宋体" w:hAnsi="宋体" w:cs="宋体" w:eastAsia="宋体"/>
                <w:sz w:val="21"/>
              </w:rPr>
              <w:t>仪器无需额外购买耗材试剂</w:t>
            </w:r>
          </w:p>
          <w:p>
            <w:pPr>
              <w:pStyle w:val="null3"/>
              <w:jc w:val="both"/>
            </w:pPr>
            <w:r>
              <w:rPr>
                <w:rFonts w:ascii="&quot;times new roman&quot;" w:hAnsi="&quot;times new roman&quot;" w:cs="&quot;times new roman&quot;" w:eastAsia="&quot;times new roman&quot;"/>
                <w:sz w:val="21"/>
              </w:rPr>
              <w:t>2.13</w:t>
            </w:r>
            <w:r>
              <w:rPr>
                <w:rFonts w:ascii="times new roman, times, serif" w:hAnsi="times new roman, times, serif" w:cs="times new roman, times, serif" w:eastAsia="times new roman, times, serif"/>
                <w:sz w:val="21"/>
              </w:rPr>
              <w:t>.</w:t>
            </w:r>
            <w:r>
              <w:rPr>
                <w:rFonts w:ascii="宋体" w:hAnsi="宋体" w:cs="宋体" w:eastAsia="宋体"/>
                <w:sz w:val="21"/>
              </w:rPr>
              <w:t>保存数据，可直接生成报告，可连接</w:t>
            </w:r>
            <w:r>
              <w:rPr>
                <w:rFonts w:ascii="times new roman, times, serif" w:hAnsi="times new roman, times, serif" w:cs="times new roman, times, serif" w:eastAsia="times new roman, times, serif"/>
                <w:sz w:val="21"/>
              </w:rPr>
              <w:t>L</w:t>
            </w:r>
            <w:r>
              <w:rPr>
                <w:rFonts w:ascii="&quot;times new roman&quot;" w:hAnsi="&quot;times new roman&quot;" w:cs="&quot;times new roman&quot;" w:eastAsia="&quot;times new roman&quot;"/>
                <w:sz w:val="21"/>
              </w:rPr>
              <w:t>IMS</w:t>
            </w:r>
            <w:r>
              <w:rPr>
                <w:rFonts w:ascii="宋体" w:hAnsi="宋体" w:cs="宋体" w:eastAsia="宋体"/>
                <w:sz w:val="21"/>
              </w:rPr>
              <w:t>系统</w:t>
            </w:r>
          </w:p>
          <w:p>
            <w:pPr>
              <w:pStyle w:val="null3"/>
              <w:jc w:val="both"/>
            </w:pPr>
            <w:r>
              <w:rPr>
                <w:rFonts w:ascii="宋体" w:hAnsi="宋体" w:cs="宋体" w:eastAsia="宋体"/>
                <w:sz w:val="21"/>
              </w:rPr>
              <w:t>仪器配置：</w:t>
            </w:r>
          </w:p>
          <w:p>
            <w:pPr>
              <w:pStyle w:val="null3"/>
              <w:jc w:val="both"/>
            </w:pPr>
            <w:r>
              <w:rPr>
                <w:rFonts w:ascii="&quot;times new roman&quot;" w:hAnsi="&quot;times new roman&quot;" w:cs="&quot;times new roman&quot;" w:eastAsia="&quot;times new roman&quot;"/>
                <w:sz w:val="21"/>
              </w:rPr>
              <w:t xml:space="preserve">          </w:t>
            </w:r>
            <w:r>
              <w:rPr>
                <w:rFonts w:ascii="宋体" w:hAnsi="宋体" w:cs="宋体" w:eastAsia="宋体"/>
                <w:sz w:val="21"/>
              </w:rPr>
              <w:t>主机一台</w:t>
            </w:r>
          </w:p>
          <w:p>
            <w:pPr>
              <w:pStyle w:val="null3"/>
              <w:jc w:val="both"/>
            </w:pPr>
            <w:r>
              <w:rPr>
                <w:rFonts w:ascii="&quot;times new roman&quot;" w:hAnsi="&quot;times new roman&quot;" w:cs="&quot;times new roman&quot;" w:eastAsia="&quot;times new roman&quot;"/>
                <w:sz w:val="21"/>
              </w:rPr>
              <w:t xml:space="preserve">          </w:t>
            </w:r>
            <w:r>
              <w:rPr>
                <w:rFonts w:ascii="宋体" w:hAnsi="宋体" w:cs="宋体" w:eastAsia="宋体"/>
                <w:sz w:val="21"/>
              </w:rPr>
              <w:t>空气泵一个</w:t>
            </w:r>
          </w:p>
          <w:p>
            <w:pPr>
              <w:pStyle w:val="null3"/>
              <w:jc w:val="both"/>
            </w:pPr>
            <w:r>
              <w:rPr>
                <w:rFonts w:ascii="&quot;times new roman&quot;" w:hAnsi="&quot;times new roman&quot;" w:cs="&quot;times new roman&quot;" w:eastAsia="&quot;times new roman&quot;"/>
                <w:sz w:val="21"/>
              </w:rPr>
              <w:t xml:space="preserve">          </w:t>
            </w:r>
            <w:r>
              <w:rPr>
                <w:rFonts w:ascii="宋体" w:hAnsi="宋体" w:cs="宋体" w:eastAsia="宋体"/>
                <w:sz w:val="21"/>
              </w:rPr>
              <w:t>注射器</w:t>
            </w:r>
            <w:r>
              <w:rPr>
                <w:rFonts w:ascii="&quot;times new roman&quot;" w:hAnsi="&quot;times new roman&quot;" w:cs="&quot;times new roman&quot;" w:eastAsia="&quot;times new roman&quot;"/>
                <w:sz w:val="21"/>
              </w:rPr>
              <w:t>100</w:t>
            </w:r>
            <w:r>
              <w:rPr>
                <w:rFonts w:ascii="宋体" w:hAnsi="宋体" w:cs="宋体" w:eastAsia="宋体"/>
                <w:sz w:val="21"/>
              </w:rPr>
              <w:t>支</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合同签订后90天内完成供货。</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货物到达交货地点，由采购人根据采购合同约定，对货物的名称、品牌、规格、型号、产地、数量进行检查；（2）产品安装调试后，由中标人进行自检，合格后，准备验收文件，并书面通知采购人验收；（3）中标人向采购人提交产品实施过程中的所有资料，以便采购人日后管理和维护；（4）验收依据：招标文件、投标文件、澄清表（函）；本合同及附件文本；合同签订时国家及行业现行的标准和技术规范。（5）中标人应向采购人提交项目实施过程中的所有资料，以便采购人日后管理和维护。</w:t>
      </w:r>
    </w:p>
    <w:p>
      <w:pPr>
        <w:pStyle w:val="null3"/>
        <w:outlineLvl w:val="3"/>
      </w:pPr>
      <w:r>
        <w:rPr>
          <w:sz w:val="24"/>
          <w:b/>
        </w:rPr>
        <w:t>3.4.6包装方式及运输</w:t>
      </w:r>
    </w:p>
    <w:p>
      <w:pPr>
        <w:pStyle w:val="null3"/>
      </w:pPr>
      <w:r>
        <w:rPr/>
        <w:t>采购包1：</w:t>
      </w:r>
    </w:p>
    <w:p>
      <w:pPr>
        <w:pStyle w:val="null3"/>
      </w:pPr>
      <w:r>
        <w:rPr/>
        <w:t>（1）涉及的商品包装和快递包装，均应符合《商品包装政府采购需求标准（试行）》《快递包装政府采购需求标准（试行）》的要求，包装应适应于远距离运输、防潮、防震、防锈和防野蛮装卸，以确保货物安全无损运抵指定地点。 （2）中标人应选择运输风险小、运费低、距离短的运输路线。运杂费一次包死在总价内，包括生产厂到安装现场所需的装卸、运输（含保险费）、现场保管费、二次倒运费、吊装费等费用。</w:t>
      </w:r>
    </w:p>
    <w:p>
      <w:pPr>
        <w:pStyle w:val="null3"/>
        <w:outlineLvl w:val="3"/>
      </w:pPr>
      <w:r>
        <w:rPr>
          <w:sz w:val="24"/>
          <w:b/>
        </w:rPr>
        <w:t>3.4.7质量保修范围和保修期</w:t>
      </w:r>
    </w:p>
    <w:p>
      <w:pPr>
        <w:pStyle w:val="null3"/>
      </w:pPr>
      <w:r>
        <w:rPr/>
        <w:t>采购包1：</w:t>
      </w:r>
    </w:p>
    <w:p>
      <w:pPr>
        <w:pStyle w:val="null3"/>
      </w:pPr>
      <w:r>
        <w:rPr/>
        <w:t>1.质保期为验收合格后不少于 1 年。中标人承诺的质保时间超过招标文件要求的，按其承诺时间质保。 2.中标人承诺的质保期起始时间为验收合格之日。 3.合同生效后，按照合同规定条件向采购人交货，并保证货品型号在厂家官网上可查询。4.在使用过程中，中标人负责本项目所有维保服务，按照要求进行拆卸拼装重组等工作，对项目质量、使用质量及展览效果进行动态跟踪，积极响应采购人反映的质量和使用问题，不留安全和质量隐患。5.安装完成后，由中标人派技术人员到现场对仪器进行安装调试和实际样品测试工作。 6.在安装调试完成后，中标人负责现场对用户2名以上实际操作人员进行必要的日常操作以及维护和安全常识等技术培训，以使用户能更快更好地掌握仪器操作规范。 7.自验收之日起，中标人在接到采购人有关操作问题、机器故障的询问时，8小时内响应，如有必要维修，24小时派工程师到达用户现场。质保期后要求2个工作日到位，中标人技术维护人员定期对用户进行回访。8.中标人终生提供制造厂家相关产品的技术文献及应用资料，并提供软件升级服务。</w:t>
      </w:r>
    </w:p>
    <w:p>
      <w:pPr>
        <w:pStyle w:val="null3"/>
        <w:outlineLvl w:val="3"/>
      </w:pPr>
      <w:r>
        <w:rPr>
          <w:sz w:val="24"/>
          <w:b/>
        </w:rPr>
        <w:t>3.4.8违约责任与解决争议的方法</w:t>
      </w:r>
    </w:p>
    <w:p>
      <w:pPr>
        <w:pStyle w:val="null3"/>
      </w:pPr>
      <w:r>
        <w:rPr/>
        <w:t>采购包1：</w:t>
      </w:r>
    </w:p>
    <w:p>
      <w:pPr>
        <w:pStyle w:val="null3"/>
      </w:pPr>
      <w:r>
        <w:rPr/>
        <w:t>（1）乙方所交付的货物不符本合同要求的（产生争议的以招标文件为准），甲方有权拒收；同时，乙方应缴纳该货物款30%的违约金，并可终止合同。（2）乙方除不可抗力原因外,不按合同规定时间交货的，应缴纳误期赔偿费，赔偿费按周计算，每延迟一周（一周按7天计算）按合同价的0.5%计收，赔偿费从货款中扣除。如果达到合同限额，甲方有权终止合同。并按照有关法律法规和本合同的有关规定予以处罚，同时没收履约保证金。（3）乙方将货物设备运达指定地点后，甲方无正当理由不接收或不及时验收的，双方友好协商解决，协商不成，乙方有权向甲方所在地的人民法院提出诉讼。（4）乙方不按合同规定履行售后服务的，双方友好协商解决，协商不成，以书面形式向甲方所在地人是法院提出诉讼。（5）合同履约过程中，甲方应积极配合乙方进行设备验收以及验收前的外围配套等工作。否则，因此导致设备不能按期验收时，不能追究乙方责任；正常情况下应在设备验收合格后7天内按规定向乙方付款，最长时间不能超过30天。否则，每超过一周应向乙方支付合同应付款5‰的滞纳金。（6）甲、乙双方在履行合同发生争议时，应通过友好协商的方式解决；若争议协商未果，则双方将争议提交甲方所在地仲裁机构裁决。仲裁机构由甲乙双方协议选择。 其他未尽事宜以正式合同约定为准。</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（1）投标人应具有独立承担民事责任的能力的企业法人、事业法人、其他组织或自然人，出具合法有效的营业执照等相关证明文件，自然人参与的提供其身份证明（加盖公章）； （2）财务状况报告：提供经审计的2022或2023年度财务报告或开标前六个月内其本公司银行账户出具的资信证明或政府采购专业担保机构出具的投标担保函（事业单位可不提供）（加盖公章）； （3）税收缴纳证明：投标人提供截止至开标时间前六个月任一月份的缴费凭据；依法免税的应提供相关文件证明（加盖公章）； （4）社会保障资金缴纳证明：投标人提供截止至开标时间前六个月任一月份的缴费凭据或社保机构开具的社会保险参保缴费情况证明；依法不需要缴纳社会保障资金的应提供相关文件证明（加盖公章）； （5）投标人提供具有履行本合同所必需的设备和专业技术能力的承诺函（加盖公章）； （6）投标人提供参加政府采购活动前三年内在经营活动中没有重大违法记录的承诺函（加盖公章）；</w:t>
            </w:r>
          </w:p>
        </w:tc>
        <w:tc>
          <w:tcPr>
            <w:tcW w:type="dxa" w:w="1661"/>
          </w:tcPr>
          <w:p>
            <w:pPr>
              <w:pStyle w:val="null3"/>
            </w:pPr>
            <w:r>
              <w:rPr/>
              <w:t>投标函 一般资格要求</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 一般资格要求</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法定代表人直接参加投标的，须出具法定代表人证明及法人身份证；法定代表人授权代表参加投标的，须出具法定代表人证明和法定代表人授权书及法人、授权代表身份证</w:t>
            </w:r>
          </w:p>
        </w:tc>
        <w:tc>
          <w:tcPr>
            <w:tcW w:type="dxa" w:w="3322"/>
          </w:tcPr>
          <w:p>
            <w:pPr>
              <w:pStyle w:val="null3"/>
            </w:pPr>
            <w:r>
              <w:rPr/>
              <w:t>法定代表人直接参加投标的，须出具法定代表人证明及法人身份证；法定代表人授权代表参加投标的，须出具法定代表人证明和法定代表人授权书及法人、授权代表身份证。</w:t>
            </w:r>
          </w:p>
        </w:tc>
        <w:tc>
          <w:tcPr>
            <w:tcW w:type="dxa" w:w="1661"/>
          </w:tcPr>
          <w:p>
            <w:pPr>
              <w:pStyle w:val="null3"/>
            </w:pPr>
            <w:r>
              <w:rPr/>
              <w:t>特殊资格要求</w:t>
            </w:r>
          </w:p>
        </w:tc>
      </w:tr>
      <w:tr>
        <w:tc>
          <w:tcPr>
            <w:tcW w:type="dxa" w:w="831"/>
          </w:tcPr>
          <w:p>
            <w:pPr>
              <w:pStyle w:val="null3"/>
            </w:pPr>
            <w:r>
              <w:rPr/>
              <w:t>2</w:t>
            </w:r>
          </w:p>
        </w:tc>
        <w:tc>
          <w:tcPr>
            <w:tcW w:type="dxa" w:w="2492"/>
          </w:tcPr>
          <w:p>
            <w:pPr>
              <w:pStyle w:val="null3"/>
            </w:pPr>
            <w:r>
              <w:rPr/>
              <w:t>符合《财政部关于在政府采购活动中查询及使用信用记录有关问题的通知》（财库【2016】125号）文件中信用查询的要求</w:t>
            </w:r>
          </w:p>
        </w:tc>
        <w:tc>
          <w:tcPr>
            <w:tcW w:type="dxa" w:w="3322"/>
          </w:tcPr>
          <w:p>
            <w:pPr>
              <w:pStyle w:val="null3"/>
            </w:pPr>
            <w:r>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t>特殊资格要求</w:t>
            </w:r>
          </w:p>
        </w:tc>
      </w:tr>
      <w:tr>
        <w:tc>
          <w:tcPr>
            <w:tcW w:type="dxa" w:w="831"/>
          </w:tcPr>
          <w:p>
            <w:pPr>
              <w:pStyle w:val="null3"/>
            </w:pPr>
            <w:r>
              <w:rPr/>
              <w:t>3</w:t>
            </w:r>
          </w:p>
        </w:tc>
        <w:tc>
          <w:tcPr>
            <w:tcW w:type="dxa" w:w="2492"/>
          </w:tcPr>
          <w:p>
            <w:pPr>
              <w:pStyle w:val="null3"/>
            </w:pPr>
            <w:r>
              <w:rPr/>
              <w:t>进口产品授权</w:t>
            </w:r>
          </w:p>
        </w:tc>
        <w:tc>
          <w:tcPr>
            <w:tcW w:type="dxa" w:w="3322"/>
          </w:tcPr>
          <w:p>
            <w:pPr>
              <w:pStyle w:val="null3"/>
            </w:pPr>
            <w:r>
              <w:rPr/>
              <w:t>投标人所投产品为进口产品的经销商，需提供产品制造厂家对所投进口产品的授权书，或具有授权权限的代理商对所投进口产品的授权书（代理商须显示设备制造厂家对所投产品授权链条的完整性），产品制造厂家直投不需要提供。</w:t>
            </w:r>
          </w:p>
        </w:tc>
        <w:tc>
          <w:tcPr>
            <w:tcW w:type="dxa" w:w="1661"/>
          </w:tcPr>
          <w:p>
            <w:pPr>
              <w:pStyle w:val="null3"/>
            </w:pPr>
            <w:r>
              <w:rPr/>
              <w:t>特殊资格要求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投标文件组成</w:t>
            </w:r>
          </w:p>
        </w:tc>
        <w:tc>
          <w:tcPr>
            <w:tcW w:type="dxa" w:w="3322"/>
          </w:tcPr>
          <w:p>
            <w:pPr>
              <w:pStyle w:val="null3"/>
            </w:pPr>
            <w:r>
              <w:rPr/>
              <w:t>未出现实质性内容的缺漏项</w:t>
            </w:r>
          </w:p>
        </w:tc>
        <w:tc>
          <w:tcPr>
            <w:tcW w:type="dxa" w:w="1661"/>
          </w:tcPr>
          <w:p>
            <w:pPr>
              <w:pStyle w:val="null3"/>
            </w:pPr>
            <w:r>
              <w:rPr/>
              <w:t>开标一览表 分项报价表 中小企业声明函 特殊资格要求 一般资格要求 投标方案说明 采购技术要求响应偏离表 投标函 残疾人福利性单位声明函 标的清单 投标人认为有必要说明的其他资料 投标文件封面 业绩的有关证明材料 商务要求响应偏离表 监狱企业的证明文件</w:t>
            </w:r>
          </w:p>
        </w:tc>
      </w:tr>
      <w:tr>
        <w:tc>
          <w:tcPr>
            <w:tcW w:type="dxa" w:w="831"/>
          </w:tcPr>
          <w:p>
            <w:pPr>
              <w:pStyle w:val="null3"/>
            </w:pPr>
            <w:r>
              <w:rPr/>
              <w:t>3</w:t>
            </w:r>
          </w:p>
        </w:tc>
        <w:tc>
          <w:tcPr>
            <w:tcW w:type="dxa" w:w="2492"/>
          </w:tcPr>
          <w:p>
            <w:pPr>
              <w:pStyle w:val="null3"/>
            </w:pPr>
            <w:r>
              <w:rPr/>
              <w:t>投标有效期</w:t>
            </w:r>
          </w:p>
        </w:tc>
        <w:tc>
          <w:tcPr>
            <w:tcW w:type="dxa" w:w="3322"/>
          </w:tcPr>
          <w:p>
            <w:pPr>
              <w:pStyle w:val="null3"/>
            </w:pPr>
            <w:r>
              <w:rPr/>
              <w:t>符合招标文件要求</w:t>
            </w:r>
          </w:p>
        </w:tc>
        <w:tc>
          <w:tcPr>
            <w:tcW w:type="dxa" w:w="1661"/>
          </w:tcPr>
          <w:p>
            <w:pPr>
              <w:pStyle w:val="null3"/>
            </w:pPr>
            <w:r>
              <w:rPr/>
              <w:t>投标函 特殊资格要求</w:t>
            </w:r>
          </w:p>
        </w:tc>
      </w:tr>
      <w:tr>
        <w:tc>
          <w:tcPr>
            <w:tcW w:type="dxa" w:w="831"/>
          </w:tcPr>
          <w:p>
            <w:pPr>
              <w:pStyle w:val="null3"/>
            </w:pPr>
            <w:r>
              <w:rPr/>
              <w:t>4</w:t>
            </w:r>
          </w:p>
        </w:tc>
        <w:tc>
          <w:tcPr>
            <w:tcW w:type="dxa" w:w="2492"/>
          </w:tcPr>
          <w:p>
            <w:pPr>
              <w:pStyle w:val="null3"/>
            </w:pPr>
            <w:r>
              <w:rPr/>
              <w:t>投标报价</w:t>
            </w:r>
          </w:p>
        </w:tc>
        <w:tc>
          <w:tcPr>
            <w:tcW w:type="dxa" w:w="3322"/>
          </w:tcPr>
          <w:p>
            <w:pPr>
              <w:pStyle w:val="null3"/>
            </w:pPr>
            <w:r>
              <w:rPr/>
              <w:t>同时满足以下条款： （1）报价唯一 （2）未超出采购预算或最高限价</w:t>
            </w:r>
          </w:p>
        </w:tc>
        <w:tc>
          <w:tcPr>
            <w:tcW w:type="dxa" w:w="1661"/>
          </w:tcPr>
          <w:p>
            <w:pPr>
              <w:pStyle w:val="null3"/>
            </w:pPr>
            <w:r>
              <w:rPr/>
              <w:t>开标一览表 分项报价表 标的清单</w:t>
            </w:r>
          </w:p>
        </w:tc>
      </w:tr>
      <w:tr>
        <w:tc>
          <w:tcPr>
            <w:tcW w:type="dxa" w:w="831"/>
          </w:tcPr>
          <w:p>
            <w:pPr>
              <w:pStyle w:val="null3"/>
            </w:pPr>
            <w:r>
              <w:rPr/>
              <w:t>5</w:t>
            </w:r>
          </w:p>
        </w:tc>
        <w:tc>
          <w:tcPr>
            <w:tcW w:type="dxa" w:w="2492"/>
          </w:tcPr>
          <w:p>
            <w:pPr>
              <w:pStyle w:val="null3"/>
            </w:pPr>
            <w:r>
              <w:rPr/>
              <w:t>商务条款</w:t>
            </w:r>
          </w:p>
        </w:tc>
        <w:tc>
          <w:tcPr>
            <w:tcW w:type="dxa" w:w="3322"/>
          </w:tcPr>
          <w:p>
            <w:pPr>
              <w:pStyle w:val="null3"/>
            </w:pPr>
            <w:r>
              <w:rPr/>
              <w:t>满足商务条款要求</w:t>
            </w:r>
          </w:p>
        </w:tc>
        <w:tc>
          <w:tcPr>
            <w:tcW w:type="dxa" w:w="1661"/>
          </w:tcPr>
          <w:p>
            <w:pPr>
              <w:pStyle w:val="null3"/>
            </w:pPr>
            <w:r>
              <w:rPr/>
              <w:t>商务要求响应偏离表</w:t>
            </w:r>
          </w:p>
        </w:tc>
      </w:tr>
      <w:tr>
        <w:tc>
          <w:tcPr>
            <w:tcW w:type="dxa" w:w="831"/>
          </w:tcPr>
          <w:p>
            <w:pPr>
              <w:pStyle w:val="null3"/>
            </w:pPr>
            <w:r>
              <w:rPr/>
              <w:t>6</w:t>
            </w:r>
          </w:p>
        </w:tc>
        <w:tc>
          <w:tcPr>
            <w:tcW w:type="dxa" w:w="2492"/>
          </w:tcPr>
          <w:p>
            <w:pPr>
              <w:pStyle w:val="null3"/>
            </w:pPr>
            <w:r>
              <w:rPr/>
              <w:t>投标文件签署、盖章</w:t>
            </w:r>
          </w:p>
        </w:tc>
        <w:tc>
          <w:tcPr>
            <w:tcW w:type="dxa" w:w="3322"/>
          </w:tcPr>
          <w:p>
            <w:pPr>
              <w:pStyle w:val="null3"/>
            </w:pPr>
            <w:r>
              <w:rPr/>
              <w:t>投标文件的签署、盖章合法、有效</w:t>
            </w:r>
          </w:p>
        </w:tc>
        <w:tc>
          <w:tcPr>
            <w:tcW w:type="dxa" w:w="1661"/>
          </w:tcPr>
          <w:p>
            <w:pPr>
              <w:pStyle w:val="null3"/>
            </w:pPr>
            <w:r>
              <w:rPr/>
              <w:t>开标一览表 分项报价表 中小企业声明函 特殊资格要求 一般资格要求 投标方案说明 采购技术要求响应偏离表 投标函 残疾人福利性单位声明函 标的清单 投标人认为有必要说明的其他资料 投标文件封面 业绩的有关证明材料 商务要求响应偏离表 监狱企业的证明文件</w:t>
            </w:r>
          </w:p>
        </w:tc>
      </w:tr>
      <w:tr>
        <w:tc>
          <w:tcPr>
            <w:tcW w:type="dxa" w:w="831"/>
          </w:tcPr>
          <w:p>
            <w:pPr>
              <w:pStyle w:val="null3"/>
            </w:pPr>
            <w:r>
              <w:rPr/>
              <w:t>7</w:t>
            </w:r>
          </w:p>
        </w:tc>
        <w:tc>
          <w:tcPr>
            <w:tcW w:type="dxa" w:w="2492"/>
          </w:tcPr>
          <w:p>
            <w:pPr>
              <w:pStyle w:val="null3"/>
            </w:pPr>
            <w:r>
              <w:rPr/>
              <w:t>其他</w:t>
            </w:r>
          </w:p>
        </w:tc>
        <w:tc>
          <w:tcPr>
            <w:tcW w:type="dxa" w:w="3322"/>
          </w:tcPr>
          <w:p>
            <w:pPr>
              <w:pStyle w:val="null3"/>
            </w:pPr>
            <w:r>
              <w:rPr/>
              <w:t>其他未达到招标文件要求的情况</w:t>
            </w:r>
          </w:p>
        </w:tc>
        <w:tc>
          <w:tcPr>
            <w:tcW w:type="dxa" w:w="1661"/>
          </w:tcPr>
          <w:p>
            <w:pPr>
              <w:pStyle w:val="null3"/>
            </w:pPr>
            <w:r>
              <w:rPr/>
              <w:t>开标一览表 分项报价表 中小企业声明函 特殊资格要求 一般资格要求 投标方案说明 采购技术要求响应偏离表 投标函 残疾人福利性单位声明函 标的清单 投标人认为有必要说明的其他资料 投标文件封面 业绩的有关证明材料 商务要求响应偏离表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所投产品内容齐全，数量准确无缺漏项，完全满足招标文件技术要求得30分。技术指标偏离表完全复制招标文件技术参数的，评审专家可给予10分的扣减。 其中标▲号参数为重要参数，每有一项负偏离或未提供证明材料的扣3分。评审依据包括但不限于检验报告、功能截图、软件运行截图、官网截图证明、产品说明书、技术白皮书等证明材料）； 非▲号参数每负偏一项扣1分，扣完为止评审依据包括但不限于检验报告、功能截图、软件运行截图、官网截图证明、产品说明书、技术白皮书、技术偏离表等证明材料）。</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采购技术要求响应偏离表</w:t>
            </w:r>
          </w:p>
        </w:tc>
      </w:tr>
      <w:tr>
        <w:tc>
          <w:tcPr>
            <w:tcW w:type="dxa" w:w="831"/>
            <w:vMerge/>
          </w:tcPr>
          <w:p/>
        </w:tc>
        <w:tc>
          <w:tcPr>
            <w:tcW w:type="dxa" w:w="1661"/>
          </w:tcPr>
          <w:p>
            <w:pPr>
              <w:pStyle w:val="null3"/>
            </w:pPr>
            <w:r>
              <w:rPr/>
              <w:t>实施方案</w:t>
            </w:r>
          </w:p>
        </w:tc>
        <w:tc>
          <w:tcPr>
            <w:tcW w:type="dxa" w:w="2492"/>
          </w:tcPr>
          <w:p>
            <w:pPr>
              <w:pStyle w:val="null3"/>
            </w:pPr>
            <w:r>
              <w:rPr/>
              <w:t>投标人针对本项目有具体的实施方案，包含但不限于以下内容：①详细的人员、专业设备安排及进度安排、②安装调试措施、③供货组织安排及保障措施、④质量保证及验收方案。以上各项方案内容全面详细、阐述条理清晰详尽、符合本项目采购需求，能有效保障本项目实施的得20分，每有一项方案缺失扣5分，每一项方案内容存在缺陷，按以下说明扣分。 说明：缺陷是指①内容不合理、虽有内容但内容稀疏、不完善、且内容表述前后不一致，扣2分；②套用其他项目方案或与项目需求不匹配及其他不利于项目实施的等任意一种情形，扣2分。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投标方案说明</w:t>
            </w:r>
          </w:p>
          <w:p>
            <w:pPr>
              <w:pStyle w:val="null3"/>
            </w:pPr>
            <w:r>
              <w:rPr/>
              <w:t>投标人认为有必要说明的其他资料</w:t>
            </w:r>
          </w:p>
        </w:tc>
      </w:tr>
      <w:tr>
        <w:tc>
          <w:tcPr>
            <w:tcW w:type="dxa" w:w="831"/>
            <w:vMerge/>
          </w:tcPr>
          <w:p/>
        </w:tc>
        <w:tc>
          <w:tcPr>
            <w:tcW w:type="dxa" w:w="1661"/>
          </w:tcPr>
          <w:p>
            <w:pPr>
              <w:pStyle w:val="null3"/>
            </w:pPr>
            <w:r>
              <w:rPr/>
              <w:t>售后服务</w:t>
            </w:r>
          </w:p>
        </w:tc>
        <w:tc>
          <w:tcPr>
            <w:tcW w:type="dxa" w:w="2492"/>
          </w:tcPr>
          <w:p>
            <w:pPr>
              <w:pStyle w:val="null3"/>
            </w:pPr>
            <w:r>
              <w:rPr/>
              <w:t>1、根据投标人提供的售后服务方案（包括具体的售后服务内容、售后服务网点、故障响应方式及时间、问题管理、返修管理、备品备件计划等）进行评审。 ①方案内容明确、详细，能完全满足采购人需求，得5分； ②方案内容一般，基本能完全满足采购人需求，得3分； ③方案内容简易，缺漏项较多，不能满足采购人需求，得1分；未提供不得分。 2、根据投标人提供的培训方案（包括具体的培训内容、培训方式、培训师资、培训人数、培训时间、培训内容、培训目标等）进行评审。 ①方案内容明确、详细，能完全满足采购人需求，得5分； ②方案内容一般，基本能完全满足采购人需求，得3分； ③方案内容简易，缺漏项较多，不能满足采购人需求，得1分；未提供不得分。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p>
            <w:pPr>
              <w:pStyle w:val="null3"/>
            </w:pPr>
            <w:r>
              <w:rPr/>
              <w:t>投标人认为有必要说明的其他资料</w:t>
            </w:r>
          </w:p>
        </w:tc>
      </w:tr>
      <w:tr>
        <w:tc>
          <w:tcPr>
            <w:tcW w:type="dxa" w:w="831"/>
            <w:vMerge/>
          </w:tcPr>
          <w:p/>
        </w:tc>
        <w:tc>
          <w:tcPr>
            <w:tcW w:type="dxa" w:w="1661"/>
          </w:tcPr>
          <w:p>
            <w:pPr>
              <w:pStyle w:val="null3"/>
            </w:pPr>
            <w:r>
              <w:rPr/>
              <w:t>业绩</w:t>
            </w:r>
          </w:p>
        </w:tc>
        <w:tc>
          <w:tcPr>
            <w:tcW w:type="dxa" w:w="2492"/>
          </w:tcPr>
          <w:p>
            <w:pPr>
              <w:pStyle w:val="null3"/>
            </w:pPr>
            <w:r>
              <w:rPr/>
              <w:t>提供投标人2021年1月至递交投标文件截止时同类业绩合同，以合同签订日期为准，每提供一个得2分，满分10分。 （同一甲方业绩计一份业绩，须完整提供合同复印件加盖公章）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业绩的有关证明材料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采用低价优先法计算，即满足招标文件要求且投标报价最低的为投标基准价，其价格分为满分。 其他投标人的价格分统一按照下列公式计算：报价得分=（投标基准价/投标报价）×价格权值×100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分项报价表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详见附件：一般资格要求</w:t>
      </w:r>
    </w:p>
    <w:p>
      <w:pPr>
        <w:pStyle w:val="null3"/>
        <w:ind w:firstLine="960"/>
      </w:pPr>
      <w:r>
        <w:rPr/>
        <w:t>详见附件：特殊资格要求</w:t>
      </w:r>
    </w:p>
    <w:p>
      <w:pPr>
        <w:pStyle w:val="null3"/>
        <w:ind w:firstLine="960"/>
      </w:pPr>
      <w:r>
        <w:rPr/>
        <w:t>详见附件：分项报价表</w:t>
      </w:r>
    </w:p>
    <w:p>
      <w:pPr>
        <w:pStyle w:val="null3"/>
        <w:ind w:firstLine="960"/>
      </w:pPr>
      <w:r>
        <w:rPr/>
        <w:t>详见附件：商务要求响应偏离表</w:t>
      </w:r>
    </w:p>
    <w:p>
      <w:pPr>
        <w:pStyle w:val="null3"/>
        <w:ind w:firstLine="960"/>
      </w:pPr>
      <w:r>
        <w:rPr/>
        <w:t>详见附件：采购技术要求响应偏离表</w:t>
      </w:r>
    </w:p>
    <w:p>
      <w:pPr>
        <w:pStyle w:val="null3"/>
        <w:ind w:firstLine="960"/>
      </w:pPr>
      <w:r>
        <w:rPr/>
        <w:t>详见附件：投标方案说明</w:t>
      </w:r>
    </w:p>
    <w:p>
      <w:pPr>
        <w:pStyle w:val="null3"/>
        <w:ind w:firstLine="960"/>
      </w:pPr>
      <w:r>
        <w:rPr/>
        <w:t>详见附件：业绩的有关证明材料</w:t>
      </w:r>
    </w:p>
    <w:p>
      <w:pPr>
        <w:pStyle w:val="null3"/>
        <w:ind w:firstLine="960"/>
      </w:pPr>
      <w:r>
        <w:rPr/>
        <w:t>详见附件：投标人认为有必要说明的其他资料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