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铜川市耀州区高尔塬水库饮用水水源保护区调整方案</w:t>
      </w:r>
    </w:p>
    <w:p>
      <w:pPr>
        <w:pStyle w:val="null3"/>
        <w:jc w:val="center"/>
        <w:outlineLvl w:val="2"/>
      </w:pPr>
      <w:r>
        <w:rPr>
          <w:sz w:val="28"/>
          <w:b/>
        </w:rPr>
        <w:t>采购项目编号：</w:t>
      </w:r>
      <w:r>
        <w:rPr>
          <w:sz w:val="28"/>
          <w:b/>
        </w:rPr>
        <w:t>SXBH-ZFCG-2024-165</w:t>
      </w:r>
      <w:r>
        <w:br/>
      </w:r>
      <w:r>
        <w:br/>
      </w:r>
      <w:r>
        <w:br/>
      </w:r>
    </w:p>
    <w:p>
      <w:pPr>
        <w:pStyle w:val="null3"/>
        <w:jc w:val="center"/>
        <w:outlineLvl w:val="2"/>
      </w:pPr>
      <w:r>
        <w:rPr>
          <w:sz w:val="28"/>
          <w:b/>
        </w:rPr>
        <w:t>铜川市生态环境局耀州分局</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2024年12月30日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陕西北衡全项目咨询有限公司</w:t>
      </w:r>
      <w:r>
        <w:rPr/>
        <w:t>（以下简称“代理机构”）受</w:t>
      </w:r>
      <w:r>
        <w:rPr/>
        <w:t>铜川市生态环境局耀州分局</w:t>
      </w:r>
      <w:r>
        <w:rPr/>
        <w:t>委托，拟对</w:t>
      </w:r>
      <w:r>
        <w:rPr/>
        <w:t>铜川市耀州区高尔塬水库饮用水水源保护区调整方案</w:t>
      </w:r>
      <w:r>
        <w:rPr/>
        <w:t>采用竞争性磋商采购方式进行采购，兹邀请供应商参加本项目的竞争性磋商。</w:t>
      </w:r>
    </w:p>
    <w:p>
      <w:pPr>
        <w:pStyle w:val="null3"/>
        <w:outlineLvl w:val="2"/>
      </w:pPr>
      <w:r>
        <w:rPr>
          <w:sz w:val="28"/>
          <w:b/>
        </w:rPr>
        <w:t>一、项目编号：</w:t>
      </w:r>
      <w:r>
        <w:rPr>
          <w:sz w:val="28"/>
          <w:b/>
        </w:rPr>
        <w:t>SXBH-ZFCG-2024-165</w:t>
      </w:r>
    </w:p>
    <w:p>
      <w:pPr>
        <w:pStyle w:val="null3"/>
        <w:outlineLvl w:val="2"/>
      </w:pPr>
      <w:r>
        <w:rPr>
          <w:sz w:val="28"/>
          <w:b/>
        </w:rPr>
        <w:t>二、项目名称：</w:t>
      </w:r>
      <w:r>
        <w:rPr>
          <w:sz w:val="28"/>
          <w:b/>
        </w:rPr>
        <w:t>铜川市耀州区高尔塬水库饮用水水源保护区调整方案</w:t>
      </w:r>
    </w:p>
    <w:p>
      <w:pPr>
        <w:pStyle w:val="null3"/>
        <w:outlineLvl w:val="2"/>
      </w:pPr>
      <w:r>
        <w:rPr>
          <w:sz w:val="28"/>
          <w:b/>
        </w:rPr>
        <w:t>三、磋商项目简介</w:t>
      </w:r>
    </w:p>
    <w:p>
      <w:pPr>
        <w:pStyle w:val="null3"/>
        <w:ind w:firstLine="480"/>
      </w:pPr>
      <w:r>
        <w:rPr/>
        <w:t>铜川市耀州区高尔塬水库饮用水水源保护区调整方案</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中国执行信息公开网”应同时提供法定代表人查询截图且不得被列入以上名单，以上提供网页查询打印预览截图，查询时间为各供应商领取招标文件之日至递交响应文件截止之日期间有效，截图页面背景须体现查询日期。）；供应商需在项目电子化交易系统中按要求上传相应证明文件并进行电子签章。</w:t>
      </w:r>
    </w:p>
    <w:p>
      <w:pPr>
        <w:pStyle w:val="null3"/>
      </w:pPr>
      <w:r>
        <w:rPr/>
        <w:t>3、具有履行合同所必需的设备和专业技术能力：提供具有履行合同所必需的设备和专业技术能力的书面声明。供应商需在项目电子化交易系统中按要求上传相应证明文件并进行电子签章。</w:t>
      </w:r>
    </w:p>
    <w:p>
      <w:pPr>
        <w:pStyle w:val="null3"/>
      </w:pPr>
      <w:r>
        <w:rPr/>
        <w:t>4、法定代表人证明书或法定代表人授权书：法定代表人（负责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p>
      <w:pPr>
        <w:pStyle w:val="null3"/>
      </w:pPr>
      <w:r>
        <w:rPr/>
        <w:t>5、参加政府采购活动前三年内，在经营活动中没有重大违法记录或被起诉：参加政府采购活动前三年内，在经营活动中没有重大违法记录或被起诉的书面声明 供应商需在项目电子化交易系统中按要求上传相应证明文件并进行电子签章。</w:t>
      </w:r>
    </w:p>
    <w:p>
      <w:pPr>
        <w:pStyle w:val="null3"/>
      </w:pPr>
      <w:r>
        <w:rPr/>
        <w:t>6、有依法缴纳税收的良好记录：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t>7、有依法缴纳社会保障资金的良好记录：提供投标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t>8、无关联声明：提供单位负责人为同一人或存在直接控股、管理关系的不同供应商，不得参加本项目中同一合同项下的政府采购活动的书面声明。供应商需在项目电子化交易系统中按要求上传相应证明文件并进行电子签章。</w:t>
      </w:r>
    </w:p>
    <w:p>
      <w:pPr>
        <w:pStyle w:val="null3"/>
      </w:pPr>
      <w:r>
        <w:rPr/>
        <w:t>9、非联合体投标：本项目不接受联合体；（提供声明）供应商需在项目电子化交易系统中按要求上传相应证明文件并进行电子签章。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铜川市生态环境局耀州分局</w:t>
      </w:r>
    </w:p>
    <w:p>
      <w:pPr>
        <w:pStyle w:val="null3"/>
      </w:pPr>
      <w:r>
        <w:rPr/>
        <w:t xml:space="preserve"> 地址： </w:t>
      </w:r>
      <w:r>
        <w:rPr/>
        <w:t>陕西省铜川市耀州区药王路81号</w:t>
      </w:r>
    </w:p>
    <w:p>
      <w:pPr>
        <w:pStyle w:val="null3"/>
      </w:pPr>
      <w:r>
        <w:rPr/>
        <w:t xml:space="preserve"> 邮编： </w:t>
      </w:r>
      <w:r>
        <w:rPr/>
        <w:t>727000</w:t>
      </w:r>
    </w:p>
    <w:p>
      <w:pPr>
        <w:pStyle w:val="null3"/>
      </w:pPr>
      <w:r>
        <w:rPr/>
        <w:t xml:space="preserve"> 联系人： </w:t>
      </w:r>
      <w:r>
        <w:rPr/>
        <w:t>刘鑫</w:t>
      </w:r>
    </w:p>
    <w:p>
      <w:pPr>
        <w:pStyle w:val="null3"/>
      </w:pPr>
      <w:r>
        <w:rPr/>
        <w:t xml:space="preserve"> 联系电话： </w:t>
      </w:r>
      <w:r>
        <w:rPr/>
        <w:t>0919-6183276</w:t>
      </w:r>
    </w:p>
    <w:p>
      <w:pPr>
        <w:pStyle w:val="null3"/>
        <w:outlineLvl w:val="3"/>
      </w:pPr>
      <w:r>
        <w:rPr>
          <w:sz w:val="24"/>
          <w:b/>
        </w:rPr>
        <w:t>代理机构：</w:t>
      </w:r>
      <w:r>
        <w:rPr>
          <w:sz w:val="24"/>
          <w:b/>
        </w:rPr>
        <w:t>陕西北衡全项目咨询有限公司</w:t>
      </w:r>
    </w:p>
    <w:p>
      <w:pPr>
        <w:pStyle w:val="null3"/>
      </w:pPr>
      <w:r>
        <w:rPr/>
        <w:t xml:space="preserve"> 地址： </w:t>
      </w:r>
      <w:r>
        <w:rPr/>
        <w:t>陕西省铜川市印台区陕西省铜川市印台区城关街道办事处南苑社区惠民佳苑8号楼2楼</w:t>
      </w:r>
    </w:p>
    <w:p>
      <w:pPr>
        <w:pStyle w:val="null3"/>
      </w:pPr>
      <w:r>
        <w:rPr/>
        <w:t xml:space="preserve"> 邮编： </w:t>
      </w:r>
      <w:r>
        <w:rPr/>
        <w:t>727000</w:t>
      </w:r>
    </w:p>
    <w:p>
      <w:pPr>
        <w:pStyle w:val="null3"/>
      </w:pPr>
      <w:r>
        <w:rPr/>
        <w:t xml:space="preserve"> 联系人： </w:t>
      </w:r>
      <w:r>
        <w:rPr/>
        <w:t>刘瑞华</w:t>
      </w:r>
    </w:p>
    <w:p>
      <w:pPr>
        <w:pStyle w:val="null3"/>
      </w:pPr>
      <w:r>
        <w:rPr/>
        <w:t xml:space="preserve"> 联系电话： </w:t>
      </w:r>
      <w:r>
        <w:rPr/>
        <w:t>0919-2700992</w:t>
      </w:r>
    </w:p>
    <w:p>
      <w:pPr>
        <w:pStyle w:val="null3"/>
        <w:outlineLvl w:val="3"/>
      </w:pPr>
      <w:r>
        <w:rPr>
          <w:sz w:val="24"/>
          <w:b/>
        </w:rPr>
        <w:t>采购监督机构：</w:t>
      </w:r>
      <w:r>
        <w:rPr>
          <w:sz w:val="24"/>
          <w:b/>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铜川市生态环境局耀州分局</w:t>
      </w:r>
      <w:r>
        <w:rPr/>
        <w:t>和</w:t>
      </w:r>
      <w:r>
        <w:rPr/>
        <w:t>陕西北衡全项目咨询有限公司</w:t>
      </w:r>
      <w:r>
        <w:rPr/>
        <w:t>享有。对磋商文件中供应商参加本次政府采购活动应当具备的条件，磋商项目技术、服务、商务及其他要求，评审细则及标准由</w:t>
      </w:r>
      <w:r>
        <w:rPr/>
        <w:t>铜川市生态环境局耀州分局</w:t>
      </w:r>
      <w:r>
        <w:rPr/>
        <w:t>负责解释。除上述磋商文件内容，其他内容由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铜川市生态环境局耀州分局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达到国家及行业质量验收标准。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联系人：刘瑞华</w:t>
      </w:r>
    </w:p>
    <w:p>
      <w:pPr>
        <w:pStyle w:val="null3"/>
      </w:pPr>
      <w:r>
        <w:rPr/>
        <w:t>联系电话：0919-2700992</w:t>
      </w:r>
    </w:p>
    <w:p>
      <w:pPr>
        <w:pStyle w:val="null3"/>
      </w:pPr>
      <w:r>
        <w:rPr/>
        <w:t>地址：印台区惠民佳苑8号楼2楼</w:t>
      </w:r>
    </w:p>
    <w:p>
      <w:pPr>
        <w:pStyle w:val="null3"/>
      </w:pPr>
      <w:r>
        <w:rPr/>
        <w:t>邮编：727000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铜川市耀州区高尔塬水库饮用水水源保护区调整方案编制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高尔塬水库水源地保护区调整划定及其他水源地规范化建设工作</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300000</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标的名称：高尔塬水库水源地保护区调整划定及其他水源地规范化建设工作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45" w:after="330"/>
              <w:jc w:val="center"/>
              <w:outlineLvl w:val="0"/>
            </w:pPr>
            <w:r>
              <w:rPr>
                <w:rFonts w:ascii="仿宋" w:hAnsi="仿宋" w:cs="仿宋" w:eastAsia="仿宋"/>
                <w:sz w:val="28"/>
                <w:b/>
              </w:rPr>
              <w:t>采购内容及要求</w:t>
            </w:r>
          </w:p>
          <w:p>
            <w:pPr>
              <w:pStyle w:val="null3"/>
              <w:ind w:firstLine="640"/>
              <w:jc w:val="both"/>
            </w:pPr>
            <w:r>
              <w:rPr>
                <w:rFonts w:ascii="仿宋" w:hAnsi="仿宋" w:cs="仿宋" w:eastAsia="仿宋"/>
                <w:sz w:val="28"/>
              </w:rPr>
              <w:t>（</w:t>
            </w:r>
            <w:r>
              <w:rPr>
                <w:rFonts w:ascii="times new roman, times, serif" w:hAnsi="times new roman, times, serif" w:cs="times new roman, times, serif" w:eastAsia="times new roman, times, serif"/>
                <w:sz w:val="28"/>
              </w:rPr>
              <w:t>1</w:t>
            </w:r>
            <w:r>
              <w:rPr>
                <w:rFonts w:ascii="仿宋" w:hAnsi="仿宋" w:cs="仿宋" w:eastAsia="仿宋"/>
                <w:sz w:val="28"/>
              </w:rPr>
              <w:t>）依据铜川市耀州区高尔塬水库饮用水水源保护区现状特征并结合环境管理、经济活动、土地利用现状等，按照《饮用水水源保护区划分技术规范（</w:t>
            </w:r>
            <w:r>
              <w:rPr>
                <w:rFonts w:ascii="times new roman, times, serif" w:hAnsi="times new roman, times, serif" w:cs="times new roman, times, serif" w:eastAsia="times new roman, times, serif"/>
                <w:sz w:val="28"/>
              </w:rPr>
              <w:t>HJ338-2018</w:t>
            </w:r>
            <w:r>
              <w:rPr>
                <w:rFonts w:ascii="仿宋" w:hAnsi="仿宋" w:cs="仿宋" w:eastAsia="仿宋"/>
                <w:sz w:val="28"/>
              </w:rPr>
              <w:t>）》《陕西省饮用水水源保护条例》（</w:t>
            </w:r>
            <w:r>
              <w:rPr>
                <w:rFonts w:ascii="&quot;times new roman&quot;" w:hAnsi="&quot;times new roman&quot;" w:cs="&quot;times new roman&quot;" w:eastAsia="&quot;times new roman&quot;"/>
                <w:sz w:val="28"/>
              </w:rPr>
              <w:t>2021</w:t>
            </w:r>
            <w:r>
              <w:rPr>
                <w:rFonts w:ascii="仿宋" w:hAnsi="仿宋" w:cs="仿宋" w:eastAsia="仿宋"/>
                <w:sz w:val="28"/>
              </w:rPr>
              <w:t>年</w:t>
            </w:r>
            <w:r>
              <w:rPr>
                <w:rFonts w:ascii="&quot;times new roman&quot;" w:hAnsi="&quot;times new roman&quot;" w:cs="&quot;times new roman&quot;" w:eastAsia="&quot;times new roman&quot;"/>
                <w:sz w:val="28"/>
              </w:rPr>
              <w:t>5</w:t>
            </w:r>
            <w:r>
              <w:rPr>
                <w:rFonts w:ascii="仿宋" w:hAnsi="仿宋" w:cs="仿宋" w:eastAsia="仿宋"/>
                <w:sz w:val="28"/>
              </w:rPr>
              <w:t>月</w:t>
            </w:r>
            <w:r>
              <w:rPr>
                <w:rFonts w:ascii="&quot;times new roman&quot;" w:hAnsi="&quot;times new roman&quot;" w:cs="&quot;times new roman&quot;" w:eastAsia="&quot;times new roman&quot;"/>
                <w:sz w:val="28"/>
              </w:rPr>
              <w:t>1</w:t>
            </w:r>
            <w:r>
              <w:rPr>
                <w:rFonts w:ascii="仿宋" w:hAnsi="仿宋" w:cs="仿宋" w:eastAsia="仿宋"/>
                <w:sz w:val="28"/>
              </w:rPr>
              <w:t>日施行）要求，高质量编制《铜川市耀州区高尔塬水库饮用水水源保护区调整技术报告》，并获得主管部门审查批准</w:t>
            </w:r>
            <w:r>
              <w:rPr>
                <w:rFonts w:ascii="仿宋" w:hAnsi="仿宋" w:cs="仿宋" w:eastAsia="仿宋"/>
                <w:sz w:val="28"/>
              </w:rPr>
              <w:t>；</w:t>
            </w:r>
          </w:p>
          <w:p>
            <w:pPr>
              <w:pStyle w:val="null3"/>
              <w:jc w:val="both"/>
            </w:pPr>
            <w:r>
              <w:rPr>
                <w:rFonts w:ascii="仿宋" w:hAnsi="仿宋" w:cs="仿宋" w:eastAsia="仿宋"/>
                <w:sz w:val="28"/>
              </w:rPr>
              <w:t xml:space="preserve">    （</w:t>
            </w:r>
            <w:r>
              <w:rPr>
                <w:rFonts w:ascii="times new roman, times, serif" w:hAnsi="times new roman, times, serif" w:cs="times new roman, times, serif" w:eastAsia="times new roman, times, serif"/>
                <w:sz w:val="28"/>
              </w:rPr>
              <w:t>2</w:t>
            </w:r>
            <w:r>
              <w:rPr>
                <w:rFonts w:ascii="仿宋" w:hAnsi="仿宋" w:cs="仿宋" w:eastAsia="仿宋"/>
                <w:sz w:val="28"/>
              </w:rPr>
              <w:t>）在</w:t>
            </w:r>
            <w:r>
              <w:rPr>
                <w:rFonts w:ascii="仿宋" w:hAnsi="仿宋" w:cs="仿宋" w:eastAsia="仿宋"/>
                <w:sz w:val="28"/>
              </w:rPr>
              <w:t>铜川市耀州区高尔塬水库饮用水水源保护区进行现场定界，最终确定主要拐点的经纬度坐标、矢量数据</w:t>
            </w:r>
            <w:r>
              <w:rPr>
                <w:rFonts w:ascii="仿宋" w:hAnsi="仿宋" w:cs="仿宋" w:eastAsia="仿宋"/>
                <w:sz w:val="28"/>
              </w:rPr>
              <w:t>，</w:t>
            </w:r>
            <w:r>
              <w:rPr>
                <w:rFonts w:ascii="仿宋" w:hAnsi="仿宋" w:cs="仿宋" w:eastAsia="仿宋"/>
                <w:sz w:val="28"/>
              </w:rPr>
              <w:t>制作饮用水水源保护区图件。</w:t>
            </w:r>
          </w:p>
        </w:tc>
      </w:tr>
    </w:tbl>
    <w:p>
      <w:pPr>
        <w:pStyle w:val="null3"/>
        <w:outlineLvl w:val="2"/>
      </w:pPr>
      <w:r>
        <w:rPr>
          <w:sz w:val="28"/>
          <w:b/>
        </w:rPr>
        <w:t>3.2.3人员配置要求</w:t>
      </w:r>
    </w:p>
    <w:p>
      <w:pPr>
        <w:pStyle w:val="null3"/>
      </w:pPr>
      <w:r>
        <w:rPr/>
        <w:t>采购包1：</w:t>
      </w:r>
    </w:p>
    <w:p>
      <w:pPr>
        <w:pStyle w:val="null3"/>
      </w:pPr>
      <w:r>
        <w:rPr/>
        <w:t>达到甲方及项目人员配置要求</w:t>
      </w:r>
    </w:p>
    <w:p>
      <w:pPr>
        <w:pStyle w:val="null3"/>
        <w:outlineLvl w:val="2"/>
      </w:pPr>
      <w:r>
        <w:rPr>
          <w:sz w:val="28"/>
          <w:b/>
        </w:rPr>
        <w:t>3.2.4设施设备要求</w:t>
      </w:r>
    </w:p>
    <w:p>
      <w:pPr>
        <w:pStyle w:val="null3"/>
      </w:pPr>
      <w:r>
        <w:rPr/>
        <w:t>采购包1：</w:t>
      </w:r>
    </w:p>
    <w:p>
      <w:pPr>
        <w:pStyle w:val="null3"/>
      </w:pPr>
      <w:r>
        <w:rPr/>
        <w:t>达到甲方及项目设施设备配置要求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30日历天</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符合国家及行业质量验收合格标准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自合同签订之日起</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项目执行完毕，符合国家及行业质量验收合格标准</w:t>
      </w:r>
      <w:r>
        <w:rPr/>
        <w:t xml:space="preserve"> ，达到付款条件起 </w:t>
      </w:r>
      <w:r>
        <w:rPr/>
        <w:t>15</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2.成交供应商未按合同要求执行、质是不能满足要求，采购人可根据成交供应商的违约情况，调整成交供应商的供贷范围或取消其服务资格，并终止合同，并对供方违约行为进行追究，同时按《政府采购法》的有关规定进行处罚。</w:t>
      </w:r>
    </w:p>
    <w:p>
      <w:pPr>
        <w:pStyle w:val="null3"/>
        <w:outlineLvl w:val="2"/>
      </w:pPr>
      <w:r>
        <w:rPr>
          <w:sz w:val="28"/>
          <w:b/>
        </w:rPr>
        <w:t>3.4其他要求</w:t>
      </w:r>
    </w:p>
    <w:p>
      <w:pPr>
        <w:pStyle w:val="null3"/>
      </w:pPr>
      <w:r>
        <w:rPr/>
        <w:t>1、投标人需要在线提交所有通过电子化交易平台实施的政府采购项目的响应文件，同时，线下提交纸质响应文件正本壹份、副本壹份。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 可邮寄，邮件签收时间应为在线递交电子响应文件截止时间之前，邮寄地址：铜川市印台区惠民佳苑 8 号楼 2 楼，联系人:刘瑞华，联系电话：0919-2700992）。3、若电子投标文件与纸质投标文件不一致的，以电子投标文件为准。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两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中国执行信息公开网”应同时提供法定代表人查询截图且不得被列入以上名单，以上提供网页查询打印预览截图，查询时间为各供应商领取招标文件之日至递交响应文件截止之日期间有效，截图页面背景须体现查询日期。）；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提供具有履行合同所必需的设备和专业技术能力的书面声明。供应商需在项目电子化交易系统中按要求上传相应证明文件并进行电子签章。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法定代表人证明书或法定代表人授权书</w:t>
            </w:r>
          </w:p>
        </w:tc>
        <w:tc>
          <w:tcPr>
            <w:tcW w:type="dxa" w:w="3322"/>
          </w:tcPr>
          <w:p>
            <w:pPr>
              <w:pStyle w:val="null3"/>
            </w:pPr>
            <w:r>
              <w:rPr/>
              <w:t>法定代表人（负责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参加政府采购活动前三年内，在经营活动中没有重大违法记录或被起诉</w:t>
            </w:r>
          </w:p>
        </w:tc>
        <w:tc>
          <w:tcPr>
            <w:tcW w:type="dxa" w:w="3322"/>
          </w:tcPr>
          <w:p>
            <w:pPr>
              <w:pStyle w:val="null3"/>
            </w:pPr>
            <w:r>
              <w:rPr/>
              <w:t>参加政府采购活动前三年内，在经营活动中没有重大违法记录或被起诉的书面声明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有依法缴纳税收的良好记录</w:t>
            </w:r>
          </w:p>
        </w:tc>
        <w:tc>
          <w:tcPr>
            <w:tcW w:type="dxa" w:w="3322"/>
          </w:tcPr>
          <w:p>
            <w:pPr>
              <w:pStyle w:val="null3"/>
            </w:pPr>
            <w:r>
              <w:rPr/>
              <w:t>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有依法缴纳社会保障资金的良好记录</w:t>
            </w:r>
          </w:p>
        </w:tc>
        <w:tc>
          <w:tcPr>
            <w:tcW w:type="dxa" w:w="3322"/>
          </w:tcPr>
          <w:p>
            <w:pPr>
              <w:pStyle w:val="null3"/>
            </w:pPr>
            <w:r>
              <w:rPr/>
              <w:t>提供投标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无关联声明</w:t>
            </w:r>
          </w:p>
        </w:tc>
        <w:tc>
          <w:tcPr>
            <w:tcW w:type="dxa" w:w="3322"/>
          </w:tcPr>
          <w:p>
            <w:pPr>
              <w:pStyle w:val="null3"/>
            </w:pPr>
            <w:r>
              <w:rPr/>
              <w:t>提供单位负责人为同一人或存在直接控股、管理关系的不同供应商，不得参加本项目中同一合同项下的政府采购活动的书面声明。供应商需在项目电子化交易系统中按要求上传相应证明文件并进行电子签章。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本项目不接受联合体；（提供声明）供应商需在项目电子化交易系统中按要求上传相应证明文件并进行电子签章。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中小企业声明函 商务应答表 技术方案 供应商应提交的相关资格证明材料 法人授权书 报价表 响应文件封面 法人证明书 残疾人福利性单位声明函 服务方案 标的清单 供应商类似项目业绩一览表 响应函 监狱企业的证明文件</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服务内容及服务邀请应答表 中小企业声明函 商务应答表 技术方案 供应商应提交的相关资格证明材料 法人授权书 响应文件封面 法人证明书 残疾人福利性单位声明函 服务方案 标的清单 供应商类似项目业绩一览表 响应函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编制周期</w:t>
            </w:r>
          </w:p>
        </w:tc>
        <w:tc>
          <w:tcPr>
            <w:tcW w:type="dxa" w:w="3322"/>
          </w:tcPr>
          <w:p>
            <w:pPr>
              <w:pStyle w:val="null3"/>
            </w:pPr>
            <w:r>
              <w:rPr/>
              <w:t>不得多于30日历天</w:t>
            </w:r>
          </w:p>
        </w:tc>
        <w:tc>
          <w:tcPr>
            <w:tcW w:type="dxa" w:w="1661"/>
          </w:tcPr>
          <w:p>
            <w:pPr>
              <w:pStyle w:val="null3"/>
            </w:pPr>
            <w:r>
              <w:rPr/>
              <w:t>商务应答表 标的清单</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自首次递交投标文件之日起90日历日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I、提供虚假技术性能指标。J、实质性内容不满足、未完全未响应招标要求或擅自改动采 购清单的； K、投标文件的关键内容字迹模糊、无法辨认的； L、不符合法律、法规规定的其它实质性要求的</w:t>
            </w:r>
          </w:p>
        </w:tc>
        <w:tc>
          <w:tcPr>
            <w:tcW w:type="dxa" w:w="1661"/>
          </w:tcPr>
          <w:p>
            <w:pPr>
              <w:pStyle w:val="null3"/>
            </w:pPr>
            <w:r>
              <w:rPr/>
              <w:t>服务内容及服务邀请应答表 中小企业声明函 商务应答表 技术方案 供应商应提交的相关资格证明材料 法人授权书 响应文件封面 法人证明书 残疾人福利性单位声明函 服务方案 标的清单 供应商类似项目业绩一览表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项目业绩</w:t>
            </w:r>
          </w:p>
        </w:tc>
        <w:tc>
          <w:tcPr>
            <w:tcW w:type="dxa" w:w="2492"/>
          </w:tcPr>
          <w:p>
            <w:pPr>
              <w:pStyle w:val="null3"/>
            </w:pPr>
            <w:r>
              <w:rPr/>
              <w:t>提供2020年1月1日至响应文件递交截止日前已完成的类似项目业绩（提供中标通知书或合同复印件加盖公章）。每份得2分，得满10分为止。不能提供的不得分。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服务方案</w:t>
            </w:r>
          </w:p>
        </w:tc>
        <w:tc>
          <w:tcPr>
            <w:tcW w:type="dxa" w:w="2492"/>
          </w:tcPr>
          <w:p>
            <w:pPr>
              <w:pStyle w:val="null3"/>
            </w:pPr>
            <w:r>
              <w:rPr/>
              <w:t>针对本项目有正确全面的理解，能正确分析项目相关情况，提供详细完整的项目编制报告。项目理解正确，分析到位，方案内容完全贴合项目需求计8.1-10分；项目理解有偏差，实施方案能保证项目实施计5.1-8分；项目理解偏差，实施方案简单，内容空泛计2.1-5分；实施方案不利于项目履约计0.1-2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w:t>
            </w:r>
          </w:p>
        </w:tc>
        <w:tc>
          <w:tcPr>
            <w:tcW w:type="dxa" w:w="2492"/>
          </w:tcPr>
          <w:p>
            <w:pPr>
              <w:pStyle w:val="null3"/>
            </w:pPr>
            <w:r>
              <w:rPr/>
              <w:t>1、提供本项目实施团队人员配置方案，人员配备合理、分工明确，包括但不限于岗位设置、岗位职责、工作经验等，得2分；项目团队配置合理、人员配备不少于4人，分工明确，专业能力较强的，得2分。项目团队配备基本合理，得1分；人员配备2-3人，分工明确的，得1分。未提供项目团队配置或配置不合理的，得0分。 2、提供项目负责人、编制人员、现场定界和图件制作人员等人员具有项目相关专业师职称，每份得1分，得满5分为止。</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质量保证措施及进度计划安排</w:t>
            </w:r>
          </w:p>
        </w:tc>
        <w:tc>
          <w:tcPr>
            <w:tcW w:type="dxa" w:w="2492"/>
          </w:tcPr>
          <w:p>
            <w:pPr>
              <w:pStyle w:val="null3"/>
            </w:pPr>
            <w:r>
              <w:rPr/>
              <w:t>根据本项目实际工作量，提供有利可行的质量保证措施及进度计划安排。保证措施切实可行，进度计划安排合理，人员责任分工明确计6.1-8分；保证措施具有可行性，进度计划安排清晰计4.1-6分；保证措施考虑欠缺，实施复杂，进度计划模糊计2.1-4分；保证措施及进度安排内容空泛计0.1-2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技术参数响应</w:t>
            </w:r>
          </w:p>
        </w:tc>
        <w:tc>
          <w:tcPr>
            <w:tcW w:type="dxa" w:w="2492"/>
          </w:tcPr>
          <w:p>
            <w:pPr>
              <w:pStyle w:val="null3"/>
            </w:pPr>
            <w:r>
              <w:rPr/>
              <w:t>完全满足招标文件最低技术要求的,得8分，根据偏离情况每优于一项加2分，最多加2分：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商务响应</w:t>
            </w:r>
          </w:p>
        </w:tc>
        <w:tc>
          <w:tcPr>
            <w:tcW w:type="dxa" w:w="2492"/>
          </w:tcPr>
          <w:p>
            <w:pPr>
              <w:pStyle w:val="null3"/>
            </w:pPr>
            <w:r>
              <w:rPr/>
              <w:t>经过有效性和符合性审核合格的供应商，其商务条款响应符合招标文件最低要求的计6分。优于招标文件要求的每项另加2分，最多加2分。不完全响应的计0分。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技术难点分析</w:t>
            </w:r>
          </w:p>
        </w:tc>
        <w:tc>
          <w:tcPr>
            <w:tcW w:type="dxa" w:w="2492"/>
          </w:tcPr>
          <w:p>
            <w:pPr>
              <w:pStyle w:val="null3"/>
            </w:pPr>
            <w:r>
              <w:rPr/>
              <w:t>对本项目编制报告工作重点、难点分析透彻，对报告编制详细完善，科学合理，内容深入全面计，制定总体编制工作方案，思路清晰。并对编制报告的重点、时间、理念等进行描述。总体方案思路完整清晰、结合实际切实可行，充分满足采购人需求，且具有较强针对性的得6.1-9分；总体方案思路清晰，能够满足采购人需求，具有可操作性得3.1-6分；总体方案思路不清晰，不具有可操作性的得0.1-3分；未提供的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体、切实可行的的解决措施的得3.1-6分；有突发事件的应急响应能力，有应对突发事件的应急预案和措施，对此有解决措施的得0.1-3分；没有突发事件的应急响应能力，没有应对突发事件的应急预案和措施，对此没有解决措施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供应商针对本项目提供合理化建议。针对本项目提出的意见、建议有益于本项目在技术、质量、进度或管理等方面进行改进的计4.1-6分；提出的意见、建议笼统空泛，未贴合项目主题计0.1-4分；未提供不计分。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针对本项目及采购人实际需求提供优质的服务承诺得4分；未提供服务承诺的得0分；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价格分统一采用低价优先法计算，即满足招标文件要求且价格最低的投标评审价为评标基准价，其价格分为满分。其他投标人的价格分统一按照下列公式计算：价格分=(评标基准价／投标评审价)×100×价格权值 注：符合招标文件规定的中小企业、监狱企业、 残疾人福利性单位优惠条件的投标人，价格给予10%的扣除，用扣除后的价格参与评审。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详见附件：法人授权书</w:t>
      </w:r>
    </w:p>
    <w:p>
      <w:pPr>
        <w:pStyle w:val="null3"/>
        <w:ind w:firstLine="960"/>
      </w:pPr>
      <w:r>
        <w:rPr/>
        <w:t>详见附件：供应商类似项目业绩一览表</w:t>
      </w:r>
    </w:p>
    <w:p>
      <w:pPr>
        <w:pStyle w:val="null3"/>
        <w:ind w:firstLine="960"/>
      </w:pPr>
      <w:r>
        <w:rPr/>
        <w:t>详见附件：技术方案</w:t>
      </w:r>
    </w:p>
    <w:p>
      <w:pPr>
        <w:pStyle w:val="null3"/>
        <w:ind w:firstLine="960"/>
      </w:pPr>
      <w:r>
        <w:rPr/>
        <w:t>详见附件：法人证明书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