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版本号：241105002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档案管理服务器更换项目</w:t>
      </w:r>
    </w:p>
    <w:p>
      <w:pPr>
        <w:pStyle w:val="null3"/>
        <w:jc w:val="center"/>
        <w:outlineLvl w:val="2"/>
      </w:pPr>
      <w:r>
        <w:rPr>
          <w:sz w:val="28"/>
          <w:b/>
        </w:rPr>
        <w:t>采购项目编号：</w:t>
      </w:r>
      <w:r>
        <w:rPr>
          <w:sz w:val="28"/>
          <w:b/>
        </w:rPr>
        <w:t>LYCWB-2024035</w:t>
      </w:r>
      <w:r>
        <w:br/>
      </w:r>
      <w:r>
        <w:br/>
      </w:r>
      <w:r>
        <w:br/>
      </w:r>
    </w:p>
    <w:p>
      <w:pPr>
        <w:pStyle w:val="null3"/>
        <w:jc w:val="center"/>
        <w:outlineLvl w:val="2"/>
      </w:pPr>
      <w:r>
        <w:rPr>
          <w:sz w:val="28"/>
          <w:b/>
        </w:rPr>
        <w:t>铜川市耀州区档案馆</w:t>
      </w:r>
    </w:p>
    <w:p>
      <w:pPr>
        <w:pStyle w:val="null3"/>
        <w:jc w:val="center"/>
        <w:outlineLvl w:val="2"/>
      </w:pPr>
      <w:r>
        <w:rPr>
          <w:sz w:val="28"/>
          <w:b/>
        </w:rPr>
        <w:t>陕西龙宇诚项目管理有限公司</w:t>
      </w:r>
      <w:r>
        <w:rPr>
          <w:sz w:val="28"/>
          <w:b/>
        </w:rPr>
        <w:t>共同编制</w:t>
      </w:r>
    </w:p>
    <w:p>
      <w:pPr>
        <w:pStyle w:val="null3"/>
        <w:jc w:val="center"/>
        <w:outlineLvl w:val="2"/>
      </w:pPr>
      <w:r>
        <w:rPr>
          <w:sz w:val="28"/>
          <w:b/>
        </w:rPr>
        <w:t>2024年11月04日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陕西龙宇诚项目管理有限公司</w:t>
      </w:r>
      <w:r>
        <w:rPr/>
        <w:t>（以下简称“代理机构”）受</w:t>
      </w:r>
      <w:r>
        <w:rPr/>
        <w:t>铜川市耀州区档案馆</w:t>
      </w:r>
      <w:r>
        <w:rPr/>
        <w:t>委托，拟对</w:t>
      </w:r>
      <w:r>
        <w:rPr/>
        <w:t>档案管理服务器更换项目</w:t>
      </w:r>
      <w:r>
        <w:rPr/>
        <w:t>采用竞争性磋商采购方式进行采购，兹邀请供应商参加本项目的竞争性磋商。</w:t>
      </w:r>
    </w:p>
    <w:p>
      <w:pPr>
        <w:pStyle w:val="null3"/>
        <w:outlineLvl w:val="2"/>
      </w:pPr>
      <w:r>
        <w:rPr>
          <w:sz w:val="28"/>
          <w:b/>
        </w:rPr>
        <w:t>一、项目编号：</w:t>
      </w:r>
      <w:r>
        <w:rPr>
          <w:sz w:val="28"/>
          <w:b/>
        </w:rPr>
        <w:t>LYCWB-2024035</w:t>
      </w:r>
    </w:p>
    <w:p>
      <w:pPr>
        <w:pStyle w:val="null3"/>
        <w:outlineLvl w:val="2"/>
      </w:pPr>
      <w:r>
        <w:rPr>
          <w:sz w:val="28"/>
          <w:b/>
        </w:rPr>
        <w:t>二、项目名称：</w:t>
      </w:r>
      <w:r>
        <w:rPr>
          <w:sz w:val="28"/>
          <w:b/>
        </w:rPr>
        <w:t>档案管理服务器更换项目</w:t>
      </w:r>
    </w:p>
    <w:p>
      <w:pPr>
        <w:pStyle w:val="null3"/>
        <w:outlineLvl w:val="2"/>
      </w:pPr>
      <w:r>
        <w:rPr>
          <w:sz w:val="28"/>
          <w:b/>
        </w:rPr>
        <w:t>三、磋商项目简介</w:t>
      </w:r>
    </w:p>
    <w:p>
      <w:pPr>
        <w:pStyle w:val="null3"/>
        <w:ind w:firstLine="480"/>
      </w:pPr>
      <w:r>
        <w:rPr/>
        <w:t>档案管理服务器更换项目包含档案管理系统、服务器及保证档案管理正常运行的相关配套设施设备，保护档案管理服务器正常、安全运行的软件和硬件设备，并完成现有档案数据的备份、迁移、挂接至新档案管理服务器;满足馆内档案日常信息化管理工作，保证数据及网络的安全，最终实现档案管理系统的正常运行。</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1、有效的主体资格证明：：在中华人民共和国境内注册，依法取得并有效存续的营业执照（含电子营业执照）/事业单位法人证书/民办非企业单位登记证书/非企业专业服务机构执业许可证等;</w:t>
      </w:r>
    </w:p>
    <w:p>
      <w:pPr>
        <w:pStyle w:val="null3"/>
      </w:pPr>
      <w:r>
        <w:rPr/>
        <w:t>2、财务状况报告（任选其一）：财务状况报告（任选其一）1、2023年度经审计的财务会计报告（至少包括审计报告、资产负债表和利润表，成立时间至提交响应文件截止时间不足一年的可提供成立后任意时段的资产负债表）； 2、提交响应文件截止时间三个月内其基本账户开户银行出具的资信证明（附基本存款账户信息）；</w:t>
      </w:r>
    </w:p>
    <w:p>
      <w:pPr>
        <w:pStyle w:val="null3"/>
      </w:pPr>
      <w:r>
        <w:rPr/>
        <w:t>3、社保资金缴纳证明：：提交响应文件截止时间前一年内至少一个月的社会保障资金缴存单据或社保机构开具的社会保险参保缴费情况证明，单据或证明上应有社保机构或代收机构的公章或业务专用章；</w:t>
      </w:r>
    </w:p>
    <w:p>
      <w:pPr>
        <w:pStyle w:val="null3"/>
      </w:pPr>
      <w:r>
        <w:rPr/>
        <w:t>4、税收缴纳证明：：提交响应文件截止时间前一年内至少一个月的纳税证明或完税证明（增值税、营业税、企业所得税至少提供一种，以税款所属时间为准），纳税证明或完税证明上应有代收机构或税务机关的公章或业务专用章；</w:t>
      </w:r>
    </w:p>
    <w:p>
      <w:pPr>
        <w:pStyle w:val="null3"/>
      </w:pPr>
      <w:r>
        <w:rPr/>
        <w:t>5、无重大违法记录声明：：参加本次采购活动前3年内在经营活动中没有重大违法记录，以及未被列入失信被执行人、重大税收违法案件当事人名单的书面声明；</w:t>
      </w:r>
    </w:p>
    <w:p>
      <w:pPr>
        <w:pStyle w:val="null3"/>
      </w:pPr>
      <w:r>
        <w:rPr/>
        <w:t>6、信用记录审查结果：：磋商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后由代理公司查询，文件中不须提供）</w:t>
      </w:r>
    </w:p>
    <w:p>
      <w:pPr>
        <w:pStyle w:val="null3"/>
      </w:pPr>
      <w:r>
        <w:rPr/>
        <w:t>7、法定代表人（主要负责人）委托授权书/身份证明：：法定代表人（主要负责人）委托代理人参加投标时，应提供法定代表人（主要负责人）委托授权书；法定代表人（主要负责人）亲自参加投标时，应提供法定代表人（主要负责人）身份证明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铜川市耀州区档案馆</w:t>
      </w:r>
    </w:p>
    <w:p>
      <w:pPr>
        <w:pStyle w:val="null3"/>
      </w:pPr>
      <w:r>
        <w:rPr/>
        <w:t xml:space="preserve"> 地址： </w:t>
      </w:r>
      <w:r>
        <w:rPr/>
        <w:t>铜川市耀州区文营西路79号</w:t>
      </w:r>
    </w:p>
    <w:p>
      <w:pPr>
        <w:pStyle w:val="null3"/>
      </w:pPr>
      <w:r>
        <w:rPr/>
        <w:t xml:space="preserve"> 邮编： </w:t>
      </w:r>
      <w:r>
        <w:rPr/>
        <w:t>727199</w:t>
      </w:r>
    </w:p>
    <w:p>
      <w:pPr>
        <w:pStyle w:val="null3"/>
      </w:pPr>
      <w:r>
        <w:rPr/>
        <w:t xml:space="preserve"> 联系人： </w:t>
      </w:r>
      <w:r>
        <w:rPr/>
        <w:t>赵老师</w:t>
      </w:r>
    </w:p>
    <w:p>
      <w:pPr>
        <w:pStyle w:val="null3"/>
      </w:pPr>
      <w:r>
        <w:rPr/>
        <w:t xml:space="preserve"> 联系电话： </w:t>
      </w:r>
      <w:r>
        <w:rPr/>
        <w:t>0919-6189262</w:t>
      </w:r>
    </w:p>
    <w:p>
      <w:pPr>
        <w:pStyle w:val="null3"/>
        <w:outlineLvl w:val="3"/>
      </w:pPr>
      <w:r>
        <w:rPr>
          <w:sz w:val="24"/>
          <w:b/>
        </w:rPr>
        <w:t>代理机构：</w:t>
      </w:r>
      <w:r>
        <w:rPr>
          <w:sz w:val="24"/>
          <w:b/>
        </w:rPr>
        <w:t>陕西龙宇诚项目管理有限公司</w:t>
      </w:r>
    </w:p>
    <w:p>
      <w:pPr>
        <w:pStyle w:val="null3"/>
      </w:pPr>
      <w:r>
        <w:rPr/>
        <w:t xml:space="preserve"> 地址： </w:t>
      </w:r>
      <w:r>
        <w:rPr/>
        <w:t>陕西省西安市雁塔区陕西省西安市雁塔区电子三路西京电气A座1310室</w:t>
      </w:r>
    </w:p>
    <w:p>
      <w:pPr>
        <w:pStyle w:val="null3"/>
      </w:pPr>
      <w:r>
        <w:rPr/>
        <w:t xml:space="preserve"> 邮编： </w:t>
      </w:r>
      <w:r>
        <w:rPr/>
        <w:t>710000</w:t>
      </w:r>
    </w:p>
    <w:p>
      <w:pPr>
        <w:pStyle w:val="null3"/>
      </w:pPr>
      <w:r>
        <w:rPr/>
        <w:t xml:space="preserve"> 联系人： </w:t>
      </w:r>
      <w:r>
        <w:rPr/>
        <w:t>苏工</w:t>
      </w:r>
    </w:p>
    <w:p>
      <w:pPr>
        <w:pStyle w:val="null3"/>
      </w:pPr>
      <w:r>
        <w:rPr/>
        <w:t xml:space="preserve"> 联系电话： </w:t>
      </w:r>
      <w:r>
        <w:rPr/>
        <w:t>029-81028400</w:t>
      </w:r>
    </w:p>
    <w:p>
      <w:pPr>
        <w:pStyle w:val="null3"/>
        <w:outlineLvl w:val="3"/>
      </w:pPr>
      <w:r>
        <w:rPr>
          <w:sz w:val="24"/>
          <w:b/>
        </w:rPr>
        <w:t>采购监督机构：</w:t>
      </w:r>
      <w:r>
        <w:rPr>
          <w:sz w:val="24"/>
          <w:b/>
        </w:rPr>
        <w:t>铜川市耀州区政府采购管理股</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中标人在领取中标通知书时，参照有关规定向中标人参考国家计委颁布的《招标代理服务收费管理暂行办法》（计价格『2002』1980号）、发改办价格『2003』857号及发改价格『2011』534号文规定，向中标人收取招标服务费用。</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铜川市耀州区档案馆</w:t>
      </w:r>
      <w:r>
        <w:rPr/>
        <w:t>和</w:t>
      </w:r>
      <w:r>
        <w:rPr/>
        <w:t>陕西龙宇诚项目管理有限公司</w:t>
      </w:r>
      <w:r>
        <w:rPr/>
        <w:t>享有。对磋商文件中供应商参加本次政府采购活动应当具备的条件，磋商项目技术、服务、商务及其他要求，评审细则及标准由</w:t>
      </w:r>
      <w:r>
        <w:rPr/>
        <w:t>铜川市耀州区档案馆</w:t>
      </w:r>
      <w:r>
        <w:rPr/>
        <w:t>负责解释。除上述磋商文件内容，其他内容由</w:t>
      </w:r>
      <w:r>
        <w:rPr/>
        <w:t>陕西龙宇诚项目管理有限公司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铜川市耀州区档案馆</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陕西龙宇诚项目管理有限公司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符合国家、地方行业相关合格标准及要求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陕西龙宇诚项目管理有限公司</w:t>
      </w:r>
      <w:r>
        <w:rPr/>
        <w:t xml:space="preserve"> 负责答复；供应商对除采购需求外的采购文件的询问、质疑由</w:t>
      </w:r>
      <w:r>
        <w:rPr/>
        <w:t>陕西龙宇诚项目管理有限公司</w:t>
      </w:r>
      <w:r>
        <w:rPr/>
        <w:t xml:space="preserve"> 负责答复；供应商对采购过程、采购结果的询问、质疑由 </w:t>
      </w:r>
      <w:r>
        <w:rPr/>
        <w:t>陕西龙宇诚项目管理有限公司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联系人：苏工</w:t>
      </w:r>
    </w:p>
    <w:p>
      <w:pPr>
        <w:pStyle w:val="null3"/>
      </w:pPr>
      <w:r>
        <w:rPr/>
        <w:t>联系电话：029-81028400</w:t>
      </w:r>
    </w:p>
    <w:p>
      <w:pPr>
        <w:pStyle w:val="null3"/>
      </w:pPr>
      <w:r>
        <w:rPr/>
        <w:t>地址：陕西省西安市雁塔区电子正街南延伸段万象国际中心 2 号楼 707 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档案管理服务器更换项目包含档案管理系统、服务器及保证档案管理正常运行的相关配套设施设备，保护档案管理服务器正常、安全运行的软件和硬件设备，并完成现有档案数据的备份、迁移、挂接至新档案管理服务器;满足馆内档案日常信息化管理工作，保证数据及网络的安全，最终实现档案管理系统的正常运行。</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700,000.00</w:t>
      </w:r>
    </w:p>
    <w:p>
      <w:pPr>
        <w:pStyle w:val="null3"/>
      </w:pPr>
      <w:r>
        <w:rPr/>
        <w:t>采购包最高限价（元）: 700,000.00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数字综合档案信息管理系统、交换机、安全防护墙、档案管理系统服务器、存储设备磁盘阵列、服务器操作系统、服务器系统数据库、杀毒软件、中间件、小型集成工作站</w:t>
            </w:r>
          </w:p>
        </w:tc>
        <w:tc>
          <w:tcPr>
            <w:tcW w:type="dxa" w:w="831"/>
          </w:tcPr>
          <w:p>
            <w:pPr>
              <w:pStyle w:val="null3"/>
              <w:jc w:val="right"/>
            </w:pPr>
            <w:r>
              <w:rPr/>
              <w:t>1.00</w:t>
            </w:r>
          </w:p>
        </w:tc>
        <w:tc>
          <w:tcPr>
            <w:tcW w:type="dxa" w:w="831"/>
          </w:tcPr>
          <w:p>
            <w:pPr>
              <w:pStyle w:val="null3"/>
              <w:jc w:val="right"/>
            </w:pPr>
            <w:r>
              <w:rPr/>
              <w:t>700,000.00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标的名称：数字综合档案信息管理系统、交换机、安全防护墙、档案管理系统服务器、存储设备磁盘阵列、服务器操作系统、服务器系统数据库、杀毒软件、中间件、小型集成工作站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b/>
              </w:rPr>
              <w:t>一、</w:t>
            </w:r>
            <w:r>
              <w:rPr>
                <w:rFonts w:ascii="宋体" w:hAnsi="宋体" w:cs="宋体" w:eastAsia="宋体"/>
                <w:sz w:val="21"/>
                <w:b/>
              </w:rPr>
              <w:t>项目概况</w:t>
            </w:r>
          </w:p>
          <w:p>
            <w:pPr>
              <w:pStyle w:val="null3"/>
              <w:jc w:val="both"/>
            </w:pPr>
            <w:r>
              <w:rPr>
                <w:rFonts w:ascii="宋体" w:hAnsi="宋体" w:cs="宋体" w:eastAsia="宋体"/>
                <w:sz w:val="21"/>
              </w:rPr>
              <w:t>档案管理服务器更换项目包含档案管理系统、服务器及保证档案管理正常运行的相关配套设施设备，保护档案管理服务器正常、安全运行的软件和硬件设备，并完成现有档案数据的备份、迁移、挂接至新档案管理服务器</w:t>
            </w:r>
            <w:r>
              <w:rPr>
                <w:rFonts w:ascii="宋体" w:hAnsi="宋体" w:cs="宋体" w:eastAsia="宋体"/>
                <w:sz w:val="21"/>
              </w:rPr>
              <w:t>;满足馆内档案日常信息化管理工作，保证数据及网络的安全，最终实现档案管理系统的正常运行。</w:t>
            </w:r>
          </w:p>
          <w:p>
            <w:pPr>
              <w:pStyle w:val="null3"/>
            </w:pPr>
            <w:r>
              <w:rPr>
                <w:rFonts w:ascii="宋体" w:hAnsi="宋体" w:cs="宋体" w:eastAsia="宋体"/>
                <w:sz w:val="21"/>
                <w:b/>
              </w:rPr>
              <w:t>二、</w:t>
            </w:r>
            <w:r>
              <w:rPr>
                <w:rFonts w:ascii="宋体" w:hAnsi="宋体" w:cs="宋体" w:eastAsia="宋体"/>
                <w:sz w:val="21"/>
                <w:b/>
              </w:rPr>
              <w:t>技术规格要求</w:t>
            </w:r>
          </w:p>
          <w:p>
            <w:pPr>
              <w:pStyle w:val="null3"/>
            </w:pPr>
            <w:r>
              <w:rPr/>
              <w:t xml:space="preserve"> </w:t>
            </w:r>
          </w:p>
          <w:tbl>
            <w:tblPr>
              <w:tblBorders>
                <w:top w:val="none" w:color="000000" w:sz="4"/>
                <w:left w:val="none" w:color="000000" w:sz="4"/>
                <w:bottom w:val="none" w:color="000000" w:sz="4"/>
                <w:right w:val="none" w:color="000000" w:sz="4"/>
                <w:insideH w:val="none"/>
                <w:insideV w:val="none"/>
              </w:tblBorders>
            </w:tblPr>
            <w:tblGrid>
              <w:gridCol w:w="129"/>
              <w:gridCol w:w="264"/>
              <w:gridCol w:w="1863"/>
              <w:gridCol w:w="297"/>
            </w:tblGrid>
            <w:tr>
              <w:tc>
                <w:tcPr>
                  <w:tcW w:type="dxa" w:w="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序号</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设备名称</w:t>
                  </w:r>
                </w:p>
              </w:tc>
              <w:tc>
                <w:tcPr>
                  <w:tcW w:type="dxa" w:w="18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技术规格要求</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数量</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数字综合档案信息管理系统</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档案管理系统</w:t>
                  </w:r>
                  <w:r>
                    <w:rPr>
                      <w:rFonts w:ascii="宋体" w:hAnsi="宋体" w:cs="宋体" w:eastAsia="宋体"/>
                      <w:sz w:val="21"/>
                    </w:rPr>
                    <w:t>（信创版本）</w:t>
                  </w:r>
                  <w:r>
                    <w:rPr>
                      <w:rFonts w:ascii="宋体" w:hAnsi="宋体" w:cs="宋体" w:eastAsia="宋体"/>
                      <w:sz w:val="21"/>
                    </w:rPr>
                    <w:t>，</w:t>
                  </w:r>
                  <w:r>
                    <w:rPr>
                      <w:rFonts w:ascii="宋体" w:hAnsi="宋体" w:cs="宋体" w:eastAsia="宋体"/>
                      <w:sz w:val="21"/>
                    </w:rPr>
                    <w:t>B/S结构，</w:t>
                  </w:r>
                  <w:r>
                    <w:rPr>
                      <w:rFonts w:ascii="宋体" w:hAnsi="宋体" w:cs="宋体" w:eastAsia="宋体"/>
                      <w:sz w:val="21"/>
                    </w:rPr>
                    <w:t>档案数字化管理</w:t>
                  </w:r>
                  <w:r>
                    <w:rPr>
                      <w:rFonts w:ascii="宋体" w:hAnsi="宋体" w:cs="宋体" w:eastAsia="宋体"/>
                      <w:sz w:val="21"/>
                    </w:rPr>
                    <w:t>全功能模块</w:t>
                  </w:r>
                  <w:r>
                    <w:rPr>
                      <w:rFonts w:ascii="宋体" w:hAnsi="宋体" w:cs="宋体" w:eastAsia="宋体"/>
                      <w:sz w:val="21"/>
                    </w:rPr>
                    <w:t>。</w:t>
                  </w:r>
                  <w:r>
                    <w:rPr>
                      <w:rFonts w:ascii="宋体" w:hAnsi="宋体" w:cs="宋体" w:eastAsia="宋体"/>
                      <w:sz w:val="21"/>
                    </w:rPr>
                    <w:t>含批量挂接工具、全文检索、</w:t>
                  </w:r>
                  <w:r>
                    <w:rPr>
                      <w:rFonts w:ascii="宋体" w:hAnsi="宋体" w:cs="宋体" w:eastAsia="宋体"/>
                      <w:sz w:val="21"/>
                    </w:rPr>
                    <w:t>系统安装调试、目录数据及原文数据安全</w:t>
                  </w:r>
                  <w:r>
                    <w:rPr>
                      <w:rFonts w:ascii="宋体" w:hAnsi="宋体" w:cs="宋体" w:eastAsia="宋体"/>
                      <w:sz w:val="21"/>
                    </w:rPr>
                    <w:t>迁移</w:t>
                  </w:r>
                  <w:r>
                    <w:rPr>
                      <w:rFonts w:ascii="宋体" w:hAnsi="宋体" w:cs="宋体" w:eastAsia="宋体"/>
                      <w:sz w:val="21"/>
                    </w:rPr>
                    <w:t>培训</w:t>
                  </w:r>
                  <w:r>
                    <w:rPr>
                      <w:rFonts w:ascii="宋体" w:hAnsi="宋体" w:cs="宋体" w:eastAsia="宋体"/>
                      <w:sz w:val="21"/>
                    </w:rPr>
                    <w:t>。</w:t>
                  </w:r>
                  <w:r>
                    <w:rPr>
                      <w:rFonts w:ascii="宋体" w:hAnsi="宋体" w:cs="宋体" w:eastAsia="宋体"/>
                      <w:sz w:val="21"/>
                    </w:rPr>
                    <w:t>档案管理系统是以局域网为平台，面向</w:t>
                  </w:r>
                  <w:r>
                    <w:rPr>
                      <w:rFonts w:ascii="宋体" w:hAnsi="宋体" w:cs="宋体" w:eastAsia="宋体"/>
                      <w:sz w:val="21"/>
                    </w:rPr>
                    <w:t>档案馆</w:t>
                  </w:r>
                  <w:r>
                    <w:rPr>
                      <w:rFonts w:ascii="宋体" w:hAnsi="宋体" w:cs="宋体" w:eastAsia="宋体"/>
                      <w:sz w:val="21"/>
                    </w:rPr>
                    <w:t>的内部应用。它以建立档案核心资源总库为目标，涵盖了信息资源的采集、接收、整理、保管</w:t>
                  </w:r>
                  <w:r>
                    <w:rPr>
                      <w:rFonts w:ascii="宋体" w:hAnsi="宋体" w:cs="宋体" w:eastAsia="宋体"/>
                      <w:sz w:val="21"/>
                    </w:rPr>
                    <w:t>、</w:t>
                  </w:r>
                  <w:r>
                    <w:rPr>
                      <w:rFonts w:ascii="宋体" w:hAnsi="宋体" w:cs="宋体" w:eastAsia="宋体"/>
                      <w:sz w:val="21"/>
                    </w:rPr>
                    <w:t>鉴定、统计等全过程规范化管理。</w:t>
                  </w:r>
                </w:p>
                <w:p>
                  <w:pPr>
                    <w:pStyle w:val="null3"/>
                    <w:jc w:val="both"/>
                  </w:pPr>
                  <w:r>
                    <w:rPr>
                      <w:rFonts w:ascii="宋体" w:hAnsi="宋体" w:cs="宋体" w:eastAsia="宋体"/>
                      <w:sz w:val="21"/>
                    </w:rPr>
                    <w:t>1、纯B/S架构，支持</w:t>
                  </w:r>
                  <w:r>
                    <w:rPr>
                      <w:rFonts w:ascii="宋体" w:hAnsi="宋体" w:cs="宋体" w:eastAsia="宋体"/>
                      <w:sz w:val="21"/>
                    </w:rPr>
                    <w:t>国产化操作</w:t>
                  </w:r>
                  <w:r>
                    <w:rPr>
                      <w:rFonts w:ascii="宋体" w:hAnsi="宋体" w:cs="宋体" w:eastAsia="宋体"/>
                      <w:sz w:val="21"/>
                    </w:rPr>
                    <w:t>系统、支持</w:t>
                  </w:r>
                  <w:r>
                    <w:rPr>
                      <w:rFonts w:ascii="宋体" w:hAnsi="宋体" w:cs="宋体" w:eastAsia="宋体"/>
                      <w:sz w:val="21"/>
                    </w:rPr>
                    <w:t>国产化</w:t>
                  </w:r>
                  <w:r>
                    <w:rPr>
                      <w:rFonts w:ascii="宋体" w:hAnsi="宋体" w:cs="宋体" w:eastAsia="宋体"/>
                      <w:sz w:val="21"/>
                    </w:rPr>
                    <w:t>数据库；</w:t>
                  </w:r>
                </w:p>
                <w:p>
                  <w:pPr>
                    <w:pStyle w:val="null3"/>
                    <w:jc w:val="both"/>
                  </w:pPr>
                  <w:r>
                    <w:rPr>
                      <w:rFonts w:ascii="宋体" w:hAnsi="宋体" w:cs="宋体" w:eastAsia="宋体"/>
                      <w:sz w:val="21"/>
                    </w:rPr>
                    <w:t>2、电子文件格式转换，浏览统一采用PDF格式文件，系统后台自动将Jpg等文件转换成PDF；</w:t>
                  </w:r>
                </w:p>
                <w:p>
                  <w:pPr>
                    <w:pStyle w:val="null3"/>
                    <w:jc w:val="both"/>
                  </w:pPr>
                  <w:r>
                    <w:rPr>
                      <w:rFonts w:ascii="calibri" w:hAnsi="calibri" w:cs="calibri" w:eastAsia="calibri"/>
                      <w:sz w:val="21"/>
                    </w:rPr>
                    <w:t>▲</w:t>
                  </w:r>
                  <w:r>
                    <w:rPr>
                      <w:rFonts w:ascii="宋体" w:hAnsi="宋体" w:cs="宋体" w:eastAsia="宋体"/>
                      <w:sz w:val="21"/>
                    </w:rPr>
                    <w:t>3、电子文件断点续传、加密传输、多原文上传、缩略图显示、水印、音、视频在线播放等；</w:t>
                  </w:r>
                </w:p>
                <w:p>
                  <w:pPr>
                    <w:pStyle w:val="null3"/>
                    <w:jc w:val="both"/>
                  </w:pPr>
                  <w:r>
                    <w:rPr>
                      <w:rFonts w:ascii="宋体" w:hAnsi="宋体" w:cs="宋体" w:eastAsia="宋体"/>
                      <w:sz w:val="21"/>
                    </w:rPr>
                    <w:t>4、全宗管理、分类方案、档号格式、辅助字典、档案目录等档案设置；</w:t>
                  </w:r>
                </w:p>
                <w:p>
                  <w:pPr>
                    <w:pStyle w:val="null3"/>
                    <w:jc w:val="both"/>
                  </w:pPr>
                  <w:r>
                    <w:rPr>
                      <w:rFonts w:ascii="宋体" w:hAnsi="宋体" w:cs="宋体" w:eastAsia="宋体"/>
                      <w:sz w:val="21"/>
                    </w:rPr>
                    <w:t>5、档案著录项字段及属性定制、著录卡片定制、显示列表定制、生成模版等门类定制；</w:t>
                  </w:r>
                </w:p>
                <w:p>
                  <w:pPr>
                    <w:pStyle w:val="null3"/>
                    <w:jc w:val="both"/>
                  </w:pPr>
                  <w:r>
                    <w:rPr>
                      <w:rFonts w:ascii="宋体" w:hAnsi="宋体" w:cs="宋体" w:eastAsia="宋体"/>
                      <w:sz w:val="21"/>
                    </w:rPr>
                    <w:t>6、提供未组卷录入，条目增删改，存加，件号自动加一，自动生成档号，支持日期选择、录入项选择输入、录入项自动继承，连续检测、为空检测、重复检测，录入时全宗号、实体分类号权限过滤功能；</w:t>
                  </w:r>
                </w:p>
                <w:p>
                  <w:pPr>
                    <w:pStyle w:val="null3"/>
                    <w:jc w:val="both"/>
                  </w:pPr>
                  <w:r>
                    <w:rPr>
                      <w:rFonts w:ascii="宋体" w:hAnsi="宋体" w:cs="宋体" w:eastAsia="宋体"/>
                      <w:sz w:val="21"/>
                    </w:rPr>
                    <w:t>7、批量修改、替换、删除，案卷提取，目录序列，树或模块隐藏，快速检索；</w:t>
                  </w:r>
                </w:p>
                <w:p>
                  <w:pPr>
                    <w:pStyle w:val="null3"/>
                    <w:jc w:val="both"/>
                  </w:pPr>
                  <w:r>
                    <w:rPr>
                      <w:rFonts w:ascii="宋体" w:hAnsi="宋体" w:cs="宋体" w:eastAsia="宋体"/>
                      <w:sz w:val="21"/>
                    </w:rPr>
                    <w:t>8、支持一文一件或传统组卷方式，未组卷档案期限鉴定，批量手工装盒，件号顺序、案卷顺序、卷内顺序调整；</w:t>
                  </w:r>
                </w:p>
                <w:p>
                  <w:pPr>
                    <w:pStyle w:val="null3"/>
                    <w:jc w:val="both"/>
                  </w:pPr>
                  <w:r>
                    <w:rPr>
                      <w:rFonts w:ascii="宋体" w:hAnsi="宋体" w:cs="宋体" w:eastAsia="宋体"/>
                      <w:sz w:val="21"/>
                    </w:rPr>
                    <w:t>9、目录打印（归档文件目录、案卷目录、卷内文件目录、案卷封面、全引目录等），Excel数据导出,可视化报表自定义；</w:t>
                  </w:r>
                </w:p>
                <w:p>
                  <w:pPr>
                    <w:pStyle w:val="null3"/>
                    <w:jc w:val="both"/>
                  </w:pPr>
                  <w:r>
                    <w:rPr>
                      <w:rFonts w:ascii="宋体" w:hAnsi="宋体" w:cs="宋体" w:eastAsia="宋体"/>
                      <w:sz w:val="21"/>
                    </w:rPr>
                    <w:t>10、门类检索支持精确检索、模糊检索、进阶检索、自定义查询项、高级检索、快速检索，目录序列分层检索；</w:t>
                  </w:r>
                </w:p>
                <w:p>
                  <w:pPr>
                    <w:pStyle w:val="null3"/>
                    <w:jc w:val="both"/>
                  </w:pPr>
                  <w:r>
                    <w:rPr>
                      <w:rFonts w:ascii="calibri" w:hAnsi="calibri" w:cs="calibri" w:eastAsia="calibri"/>
                      <w:sz w:val="21"/>
                    </w:rPr>
                    <w:t>▲</w:t>
                  </w:r>
                  <w:r>
                    <w:rPr>
                      <w:rFonts w:ascii="宋体" w:hAnsi="宋体" w:cs="宋体" w:eastAsia="宋体"/>
                      <w:sz w:val="21"/>
                    </w:rPr>
                    <w:t>11、智能检索支持跨表检索、结果中检索、多关键词检索、结果多样化展示；</w:t>
                  </w:r>
                </w:p>
                <w:p>
                  <w:pPr>
                    <w:pStyle w:val="null3"/>
                    <w:jc w:val="both"/>
                  </w:pPr>
                  <w:r>
                    <w:rPr>
                      <w:rFonts w:ascii="宋体" w:hAnsi="宋体" w:cs="宋体" w:eastAsia="宋体"/>
                      <w:sz w:val="21"/>
                    </w:rPr>
                    <w:t>12、由档案员协助外部借阅人发起借阅申请、逐层审批；外部借阅人自动保存和自动提取，外部借阅人生成临时帐号；实体档案提供归还登记及催还操作；电子档案限时授权查看，过期自动回收；支持查看借阅历史明细；</w:t>
                  </w:r>
                </w:p>
                <w:p>
                  <w:pPr>
                    <w:pStyle w:val="null3"/>
                    <w:jc w:val="both"/>
                  </w:pPr>
                  <w:r>
                    <w:rPr>
                      <w:rFonts w:ascii="宋体" w:hAnsi="宋体" w:cs="宋体" w:eastAsia="宋体"/>
                      <w:sz w:val="21"/>
                    </w:rPr>
                    <w:t>13、导入Excel目录文件，对应关系设置，提供详细导入错误信息，门类表数据导出成EXCEL表；</w:t>
                  </w:r>
                </w:p>
                <w:p>
                  <w:pPr>
                    <w:pStyle w:val="null3"/>
                    <w:jc w:val="both"/>
                  </w:pPr>
                  <w:r>
                    <w:rPr>
                      <w:rFonts w:ascii="宋体" w:hAnsi="宋体" w:cs="宋体" w:eastAsia="宋体"/>
                      <w:sz w:val="21"/>
                    </w:rPr>
                    <w:t>14、后台任务自动挂接，不需要人工干预，支持预挂接处理提供错误报告；前端数据列表可勾选批量挂接；</w:t>
                  </w:r>
                </w:p>
                <w:p>
                  <w:pPr>
                    <w:pStyle w:val="null3"/>
                    <w:jc w:val="both"/>
                  </w:pPr>
                  <w:r>
                    <w:rPr>
                      <w:rFonts w:ascii="宋体" w:hAnsi="宋体" w:cs="宋体" w:eastAsia="宋体"/>
                      <w:sz w:val="21"/>
                    </w:rPr>
                    <w:t>15、支持多库房管理、档案统计、档案鉴定、档案编研功能，支持回收站、日志管理；</w:t>
                  </w:r>
                </w:p>
                <w:p>
                  <w:pPr>
                    <w:pStyle w:val="null3"/>
                    <w:jc w:val="both"/>
                  </w:pPr>
                  <w:r>
                    <w:rPr>
                      <w:rFonts w:ascii="宋体" w:hAnsi="宋体" w:cs="宋体" w:eastAsia="宋体"/>
                      <w:sz w:val="21"/>
                    </w:rPr>
                    <w:t>16、我的消息、系统公告、检索、我的借阅、我的审批、我的资料；</w:t>
                  </w:r>
                </w:p>
                <w:p>
                  <w:pPr>
                    <w:pStyle w:val="null3"/>
                    <w:jc w:val="both"/>
                  </w:pPr>
                  <w:r>
                    <w:rPr>
                      <w:rFonts w:ascii="宋体" w:hAnsi="宋体" w:cs="宋体" w:eastAsia="宋体"/>
                      <w:sz w:val="21"/>
                    </w:rPr>
                    <w:t>17、提供归档、借阅、鉴定等业务工作流程配置，流程监控；</w:t>
                  </w:r>
                </w:p>
                <w:p>
                  <w:pPr>
                    <w:pStyle w:val="null3"/>
                    <w:jc w:val="both"/>
                  </w:pPr>
                  <w:r>
                    <w:rPr>
                      <w:rFonts w:ascii="宋体" w:hAnsi="宋体" w:cs="宋体" w:eastAsia="宋体"/>
                      <w:sz w:val="21"/>
                    </w:rPr>
                    <w:t>18、组织机构、角色、用户、数据权限等管理；</w:t>
                  </w:r>
                </w:p>
                <w:p>
                  <w:pPr>
                    <w:pStyle w:val="null3"/>
                    <w:jc w:val="both"/>
                  </w:pPr>
                  <w:r>
                    <w:rPr>
                      <w:rFonts w:ascii="宋体" w:hAnsi="宋体" w:cs="宋体" w:eastAsia="宋体"/>
                      <w:sz w:val="21"/>
                    </w:rPr>
                    <w:t>19、内部移交、移交审核、移交接收、移交历史查询；</w:t>
                  </w:r>
                </w:p>
                <w:p>
                  <w:pPr>
                    <w:pStyle w:val="null3"/>
                    <w:jc w:val="left"/>
                  </w:pPr>
                  <w:r>
                    <w:rPr>
                      <w:rFonts w:ascii="宋体" w:hAnsi="宋体" w:cs="宋体" w:eastAsia="宋体"/>
                      <w:sz w:val="21"/>
                    </w:rPr>
                    <w:t>20、利用人本人发起借阅申请，逐层审批；实体档案需提供归还登记及催还操作。电子档案限时授权查看，过期自动回收。查看借阅历史明细。</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1（套）</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交换机</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二层网管交换机，</w:t>
                  </w:r>
                  <w:r>
                    <w:rPr>
                      <w:rFonts w:ascii="宋体" w:hAnsi="宋体" w:cs="宋体" w:eastAsia="宋体"/>
                      <w:sz w:val="21"/>
                    </w:rPr>
                    <w:t>≥24个10/100/1000BASE-T以太网电接口，≥4个10GE SFP+以太网光接口，1个Console接口交换容量≥ 336Gbps | 转发性能≥108Mpps，支持VLAN、ACL、端口镜像、端口聚合等功能。支持SNMP V1/V2/V3、Telnet、SSHV2</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1（台）</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防</w:t>
                  </w:r>
                  <w:r>
                    <w:rPr>
                      <w:rFonts w:ascii="宋体" w:hAnsi="宋体" w:cs="宋体" w:eastAsia="宋体"/>
                      <w:sz w:val="21"/>
                      <w:color w:val="000000"/>
                    </w:rPr>
                    <w:t>火</w:t>
                  </w:r>
                  <w:r>
                    <w:rPr>
                      <w:rFonts w:ascii="宋体" w:hAnsi="宋体" w:cs="宋体" w:eastAsia="宋体"/>
                      <w:sz w:val="21"/>
                      <w:color w:val="000000"/>
                    </w:rPr>
                    <w:t>墙</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w:t>
                  </w:r>
                  <w:r>
                    <w:rPr>
                      <w:rFonts w:ascii="宋体" w:hAnsi="宋体" w:cs="宋体" w:eastAsia="宋体"/>
                      <w:sz w:val="21"/>
                      <w:color w:val="000000"/>
                    </w:rPr>
                    <w:t>标准机架式</w:t>
                  </w:r>
                  <w:r>
                    <w:rPr>
                      <w:rFonts w:ascii="宋体" w:hAnsi="宋体" w:cs="宋体" w:eastAsia="宋体"/>
                      <w:sz w:val="21"/>
                      <w:color w:val="000000"/>
                    </w:rPr>
                    <w:t>,最大推荐用户数</w:t>
                  </w:r>
                  <w:r>
                    <w:rPr>
                      <w:rFonts w:ascii="宋体" w:hAnsi="宋体" w:cs="宋体" w:eastAsia="宋体"/>
                      <w:sz w:val="21"/>
                    </w:rPr>
                    <w:t>≥</w:t>
                  </w:r>
                  <w:r>
                    <w:rPr>
                      <w:rFonts w:ascii="宋体" w:hAnsi="宋体" w:cs="宋体" w:eastAsia="宋体"/>
                      <w:sz w:val="21"/>
                      <w:color w:val="000000"/>
                    </w:rPr>
                    <w:t>400,吞吐量</w:t>
                  </w:r>
                  <w:r>
                    <w:rPr>
                      <w:rFonts w:ascii="宋体" w:hAnsi="宋体" w:cs="宋体" w:eastAsia="宋体"/>
                      <w:sz w:val="21"/>
                    </w:rPr>
                    <w:t>≥</w:t>
                  </w:r>
                  <w:r>
                    <w:rPr>
                      <w:rFonts w:ascii="宋体" w:hAnsi="宋体" w:cs="宋体" w:eastAsia="宋体"/>
                      <w:sz w:val="21"/>
                      <w:color w:val="000000"/>
                    </w:rPr>
                    <w:t>600Mbps,最大并发连接</w:t>
                  </w:r>
                  <w:r>
                    <w:rPr>
                      <w:rFonts w:ascii="宋体" w:hAnsi="宋体" w:cs="宋体" w:eastAsia="宋体"/>
                      <w:sz w:val="21"/>
                    </w:rPr>
                    <w:t>≥</w:t>
                  </w:r>
                  <w:r>
                    <w:rPr>
                      <w:rFonts w:ascii="宋体" w:hAnsi="宋体" w:cs="宋体" w:eastAsia="宋体"/>
                      <w:sz w:val="21"/>
                      <w:color w:val="000000"/>
                    </w:rPr>
                    <w:t>100 万,每秒新建连接</w:t>
                  </w:r>
                  <w:r>
                    <w:rPr>
                      <w:rFonts w:ascii="宋体" w:hAnsi="宋体" w:cs="宋体" w:eastAsia="宋体"/>
                      <w:sz w:val="21"/>
                    </w:rPr>
                    <w:t>≥</w:t>
                  </w:r>
                  <w:r>
                    <w:rPr>
                      <w:rFonts w:ascii="宋体" w:hAnsi="宋体" w:cs="宋体" w:eastAsia="宋体"/>
                      <w:sz w:val="21"/>
                      <w:color w:val="000000"/>
                    </w:rPr>
                    <w:t>8万,2×GE WAN+8个Combo复用口+2个万兆光,含 SSL VPN 100 用户,含应用识别、IPSec VPN、数据防泄漏、带宽管理、Anti-DDoS、虚拟防火墙功能,默认支持虚机防火墙</w:t>
                  </w:r>
                  <w:r>
                    <w:rPr>
                      <w:rFonts w:ascii="宋体" w:hAnsi="宋体" w:cs="宋体" w:eastAsia="宋体"/>
                      <w:sz w:val="21"/>
                    </w:rPr>
                    <w:t>≥</w:t>
                  </w:r>
                  <w:r>
                    <w:rPr>
                      <w:rFonts w:ascii="宋体" w:hAnsi="宋体" w:cs="宋体" w:eastAsia="宋体"/>
                      <w:sz w:val="21"/>
                      <w:color w:val="000000"/>
                    </w:rPr>
                    <w:t>50个</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1（台）</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档案管理系统服务器</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国产化服务器</w:t>
                  </w:r>
                  <w:r>
                    <w:rPr>
                      <w:rFonts w:ascii="宋体" w:hAnsi="宋体" w:cs="宋体" w:eastAsia="宋体"/>
                      <w:sz w:val="21"/>
                    </w:rPr>
                    <w:t xml:space="preserve">  </w:t>
                  </w:r>
                  <w:r>
                    <w:rPr>
                      <w:rFonts w:ascii="宋体" w:hAnsi="宋体" w:cs="宋体" w:eastAsia="宋体"/>
                      <w:sz w:val="21"/>
                    </w:rPr>
                    <w:t>处理器，</w:t>
                  </w:r>
                  <w:r>
                    <w:rPr>
                      <w:rFonts w:ascii="宋体" w:hAnsi="宋体" w:cs="宋体" w:eastAsia="宋体"/>
                      <w:sz w:val="21"/>
                    </w:rPr>
                    <w:t>64core，2.2GHz，1颗  内存类型：DDR4  RDIMM内存插槽  内存槽位≥8根，最大支持512G 内存配置容量：≥6*32GB  硬盘扩展能力：</w:t>
                  </w:r>
                </w:p>
                <w:p>
                  <w:pPr>
                    <w:pStyle w:val="null3"/>
                    <w:jc w:val="both"/>
                  </w:pPr>
                  <w:r>
                    <w:rPr>
                      <w:rFonts w:ascii="宋体" w:hAnsi="宋体" w:cs="宋体" w:eastAsia="宋体"/>
                      <w:sz w:val="21"/>
                    </w:rPr>
                    <w:t>可扩展</w:t>
                  </w:r>
                  <w:r>
                    <w:rPr>
                      <w:rFonts w:ascii="宋体" w:hAnsi="宋体" w:cs="宋体" w:eastAsia="宋体"/>
                      <w:sz w:val="21"/>
                    </w:rPr>
                    <w:t>≥26个热插拔2.5寸硬盘SAS/SATA硬盘  本次配置3个4T 3.5寸 SATA  板载不少于2个千兆电口+2个万兆光口  具备独立的RJ45管理网口  要求配置2个VGA口，1个串口，不少于5个USB3.0接口  PCI-E I/O插槽总数：≥7个，配置1+</w:t>
                  </w:r>
                  <w:r>
                    <w:rPr>
                      <w:rFonts w:ascii="宋体" w:hAnsi="宋体" w:cs="宋体" w:eastAsia="宋体"/>
                      <w:sz w:val="21"/>
                    </w:rPr>
                    <w:t>1冗余</w:t>
                  </w:r>
                  <w:r>
                    <w:rPr>
                      <w:rFonts w:ascii="宋体" w:hAnsi="宋体" w:cs="宋体" w:eastAsia="宋体"/>
                      <w:sz w:val="21"/>
                    </w:rPr>
                    <w:t>电源，</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1（台）</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磁盘阵列</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1、4U24盘位国产安全IP SAN/NAS存储系统；</w:t>
                  </w:r>
                </w:p>
                <w:p>
                  <w:pPr>
                    <w:pStyle w:val="null3"/>
                    <w:jc w:val="both"/>
                  </w:pPr>
                  <w:r>
                    <w:rPr>
                      <w:rFonts w:ascii="宋体" w:hAnsi="宋体" w:cs="宋体" w:eastAsia="宋体"/>
                      <w:sz w:val="21"/>
                    </w:rPr>
                    <w:t>2、≥8核，主频2.3-2.5GHz处理器*1；</w:t>
                  </w:r>
                </w:p>
                <w:p>
                  <w:pPr>
                    <w:pStyle w:val="null3"/>
                    <w:jc w:val="both"/>
                  </w:pPr>
                  <w:r>
                    <w:rPr>
                      <w:rFonts w:ascii="宋体" w:hAnsi="宋体" w:cs="宋体" w:eastAsia="宋体"/>
                      <w:sz w:val="21"/>
                    </w:rPr>
                    <w:t>3、标配≥32GB高速缓存；</w:t>
                  </w:r>
                </w:p>
                <w:p>
                  <w:pPr>
                    <w:pStyle w:val="null3"/>
                    <w:jc w:val="both"/>
                  </w:pPr>
                  <w:r>
                    <w:rPr>
                      <w:rFonts w:ascii="宋体" w:hAnsi="宋体" w:cs="宋体" w:eastAsia="宋体"/>
                      <w:sz w:val="21"/>
                    </w:rPr>
                    <w:t>4、标配≥iSCSI 1Gb *1主机端口；</w:t>
                  </w:r>
                </w:p>
                <w:p>
                  <w:pPr>
                    <w:pStyle w:val="null3"/>
                    <w:jc w:val="both"/>
                  </w:pPr>
                  <w:r>
                    <w:rPr>
                      <w:rFonts w:ascii="calibri" w:hAnsi="calibri" w:cs="calibri" w:eastAsia="calibri"/>
                      <w:sz w:val="21"/>
                    </w:rPr>
                    <w:t>▲</w:t>
                  </w:r>
                  <w:r>
                    <w:rPr>
                      <w:rFonts w:ascii="宋体" w:hAnsi="宋体" w:cs="宋体" w:eastAsia="宋体"/>
                      <w:sz w:val="21"/>
                    </w:rPr>
                    <w:t>5、系统最大支持24片2.5英寸/3.5英寸近线SAS/SATA硬盘；本次配置6*8T硬盘，总容量：48T，实际配置方法为5*8T配置raid5，第6块需要做热备使用，最终使用容量在4*8T</w:t>
                  </w:r>
                </w:p>
                <w:p>
                  <w:pPr>
                    <w:pStyle w:val="null3"/>
                    <w:jc w:val="both"/>
                  </w:pPr>
                  <w:r>
                    <w:rPr>
                      <w:rFonts w:ascii="宋体" w:hAnsi="宋体" w:cs="宋体" w:eastAsia="宋体"/>
                      <w:sz w:val="21"/>
                    </w:rPr>
                    <w:t>6、冗余电源≥550W；</w:t>
                  </w:r>
                </w:p>
                <w:p>
                  <w:pPr>
                    <w:pStyle w:val="null3"/>
                    <w:jc w:val="both"/>
                  </w:pPr>
                  <w:r>
                    <w:rPr>
                      <w:rFonts w:ascii="宋体" w:hAnsi="宋体" w:cs="宋体" w:eastAsia="宋体"/>
                      <w:sz w:val="21"/>
                    </w:rPr>
                    <w:t>7、内置系统盘；</w:t>
                  </w:r>
                </w:p>
                <w:p>
                  <w:pPr>
                    <w:pStyle w:val="null3"/>
                    <w:jc w:val="both"/>
                  </w:pPr>
                  <w:r>
                    <w:rPr>
                      <w:rFonts w:ascii="宋体" w:hAnsi="宋体" w:cs="宋体" w:eastAsia="宋体"/>
                      <w:sz w:val="21"/>
                    </w:rPr>
                    <w:t>8、内置阵列卡；</w:t>
                  </w:r>
                </w:p>
                <w:p>
                  <w:pPr>
                    <w:pStyle w:val="null3"/>
                    <w:jc w:val="both"/>
                  </w:pPr>
                  <w:r>
                    <w:rPr>
                      <w:rFonts w:ascii="宋体" w:hAnsi="宋体" w:cs="宋体" w:eastAsia="宋体"/>
                      <w:sz w:val="21"/>
                    </w:rPr>
                    <w:t>9、含托架，上架套件，网线1条；</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1（台）</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color w:val="000000"/>
                    </w:rPr>
                    <w:t>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服务器</w:t>
                  </w:r>
                </w:p>
                <w:p>
                  <w:pPr>
                    <w:pStyle w:val="null3"/>
                    <w:jc w:val="center"/>
                  </w:pPr>
                  <w:r>
                    <w:rPr>
                      <w:rFonts w:ascii="宋体" w:hAnsi="宋体" w:cs="宋体" w:eastAsia="宋体"/>
                      <w:sz w:val="21"/>
                      <w:color w:val="000000"/>
                    </w:rPr>
                    <w:t>操作系统</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服务器版，同源构建支持六款自主</w:t>
                  </w:r>
                  <w:r>
                    <w:rPr>
                      <w:rFonts w:ascii="宋体" w:hAnsi="宋体" w:cs="宋体" w:eastAsia="宋体"/>
                      <w:sz w:val="21"/>
                    </w:rPr>
                    <w:t>CPU平台(飞腾、鲲鹏、龙芯、申威、海光、兆芯等国产CPU)，所有组件基于同一套源代码构建。针对不同自主CPU平台在内核层、RAS特性、I/O性能、虚拟化和国产硬件(桥片、网卡、显卡、Al卡、加速卡等)及驱动支持等方面优化增强，以及工控机支持。针对指令级别进行创新优化，性能表现提升5%以上。云原生特性增强，实现QAS、EDT网络带宽分级管控。优化支持KVM、Docker、LXC等虚拟化，以及Ceph、GlusterFS、OpenStack、k8s等原生技术生态，实现对容器、虚拟化、云平台、大数据等云原生应用的良好支持；提供新业务容器化运行和高性能可伸缩的容器应用管理平台。通过XFS文件系统、备份恢复、网卡绑定、硬件冗余等技术和配套的麒麟高可用集群软件，做到系统可靠、数据可靠、应用可靠，确保集群或单系统上关键业务、核心应用的稳定性和可靠性。通过XFS文件系统、备份恢复、网卡绑定、硬件冗余等技术和配套的麒麟高可用集群软件，做到系统可靠、数据可靠、应用可靠，确保集群或单系统上关键业务、核心应用的稳定性和可靠性。通过XFS文件系统、备份恢复、网卡绑定、硬件冗余等技术和配套的麒麟高可用集群软件，做到系统可靠、数据可靠、应用可靠，确保集群或单系统上关键业务、核心应用的稳定性和可靠性。</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1（套）</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color w:val="000000"/>
                    </w:rPr>
                    <w:t>7</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服务器</w:t>
                  </w:r>
                </w:p>
                <w:p>
                  <w:pPr>
                    <w:pStyle w:val="null3"/>
                    <w:jc w:val="center"/>
                  </w:pPr>
                  <w:r>
                    <w:rPr>
                      <w:rFonts w:ascii="宋体" w:hAnsi="宋体" w:cs="宋体" w:eastAsia="宋体"/>
                      <w:sz w:val="21"/>
                      <w:color w:val="000000"/>
                    </w:rPr>
                    <w:t>系统数据库</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1、产品支持大数据分析，具有灵活的水平扩展能力；</w:t>
                  </w:r>
                </w:p>
                <w:p>
                  <w:pPr>
                    <w:pStyle w:val="null3"/>
                    <w:jc w:val="both"/>
                  </w:pPr>
                  <w:r>
                    <w:rPr>
                      <w:rFonts w:ascii="宋体" w:hAnsi="宋体" w:cs="宋体" w:eastAsia="宋体"/>
                      <w:sz w:val="21"/>
                    </w:rPr>
                    <w:t>2、产品支持中标麒麟、银河麒麟、中科方德、UOS等国产操作系统，产品具有跨操作系统平台的能力，支持X86、ARM、龙芯等主流国产化服务器中央处理器CPU体系架构；</w:t>
                  </w:r>
                </w:p>
                <w:p>
                  <w:pPr>
                    <w:pStyle w:val="null3"/>
                    <w:jc w:val="both"/>
                  </w:pPr>
                  <w:r>
                    <w:rPr>
                      <w:rFonts w:ascii="宋体" w:hAnsi="宋体" w:cs="宋体" w:eastAsia="宋体"/>
                      <w:sz w:val="21"/>
                    </w:rPr>
                    <w:t>3、产品具备单机单表支持140TB级大数据量存储的能力；单机单表支持万亿条数据记录存储；并基于140TB（万亿条记录）数据的单表上，支持对数据的插入、查询、更新、删除操作，单机支持不少于8万个并发直连会话连接数，24小时不掉线。</w:t>
                  </w:r>
                </w:p>
                <w:p>
                  <w:pPr>
                    <w:pStyle w:val="null3"/>
                    <w:jc w:val="both"/>
                  </w:pPr>
                  <w:r>
                    <w:rPr>
                      <w:rFonts w:ascii="宋体" w:hAnsi="宋体" w:cs="宋体" w:eastAsia="宋体"/>
                      <w:sz w:val="21"/>
                    </w:rPr>
                    <w:t>4、产品支持逻辑备份恢复、增量备份联机热备份技术，并且备份文件可以跨windows和linux、32位和64位等不同的操作系统平台；</w:t>
                  </w:r>
                </w:p>
                <w:p>
                  <w:pPr>
                    <w:pStyle w:val="null3"/>
                    <w:jc w:val="both"/>
                  </w:pPr>
                  <w:r>
                    <w:rPr>
                      <w:rFonts w:ascii="宋体" w:hAnsi="宋体" w:cs="宋体" w:eastAsia="宋体"/>
                      <w:sz w:val="21"/>
                    </w:rPr>
                    <w:t>5、产品支持至少四权的角色划分，充分保障数据库的安全管理要求；支持通信和存储加密功能，支持针对不同数据库对象和不同用户使用可配置的加密算法和密钥，加密过程对用户透明，支持加载第三方加密算法；</w:t>
                  </w:r>
                </w:p>
                <w:p>
                  <w:pPr>
                    <w:pStyle w:val="null3"/>
                    <w:jc w:val="both"/>
                  </w:pPr>
                  <w:r>
                    <w:rPr>
                      <w:rFonts w:ascii="宋体" w:hAnsi="宋体" w:cs="宋体" w:eastAsia="宋体"/>
                      <w:sz w:val="21"/>
                    </w:rPr>
                    <w:t>6、产品支持提供与异构数据库兼容的语法与功能，支持</w:t>
                  </w:r>
                  <w:r>
                    <w:rPr>
                      <w:rFonts w:ascii="宋体" w:hAnsi="宋体" w:cs="宋体" w:eastAsia="宋体"/>
                      <w:sz w:val="21"/>
                    </w:rPr>
                    <w:t>将其他</w:t>
                  </w:r>
                  <w:r>
                    <w:rPr>
                      <w:rFonts w:ascii="宋体" w:hAnsi="宋体" w:cs="宋体" w:eastAsia="宋体"/>
                      <w:sz w:val="21"/>
                    </w:rPr>
                    <w:t>主流数据库的数据无损迁移到本地数据库，包括国内外主流数据库管理系统；</w:t>
                  </w:r>
                </w:p>
                <w:p>
                  <w:pPr>
                    <w:pStyle w:val="null3"/>
                    <w:jc w:val="both"/>
                  </w:pPr>
                  <w:r>
                    <w:rPr>
                      <w:rFonts w:ascii="宋体" w:hAnsi="宋体" w:cs="宋体" w:eastAsia="宋体"/>
                      <w:sz w:val="21"/>
                    </w:rPr>
                    <w:t>7、产品有配套的智能报表平台、安全智能数据整合平台、企业级数据库加速引擎系统、数据整合系统（ETL）、OLAP分析系统，基于日志或者归档文件的Oracle数据库实时同步功能；</w:t>
                  </w:r>
                </w:p>
                <w:p>
                  <w:pPr>
                    <w:pStyle w:val="null3"/>
                    <w:jc w:val="both"/>
                  </w:pPr>
                  <w:r>
                    <w:rPr>
                      <w:rFonts w:ascii="宋体" w:hAnsi="宋体" w:cs="宋体" w:eastAsia="宋体"/>
                      <w:sz w:val="21"/>
                    </w:rPr>
                    <w:t>8、产品具有良好的容灾恢复能力，支持双机热备功能。提供多种备份/恢复手段，支持事务故障、系统故障和介质故障恢复，可以恢复到任意指定时间点；</w:t>
                  </w:r>
                </w:p>
                <w:p>
                  <w:pPr>
                    <w:pStyle w:val="null3"/>
                    <w:jc w:val="left"/>
                  </w:pPr>
                  <w:r>
                    <w:rPr>
                      <w:rFonts w:ascii="宋体" w:hAnsi="宋体" w:cs="宋体" w:eastAsia="宋体"/>
                      <w:sz w:val="21"/>
                    </w:rPr>
                    <w:t>9、产品支持免费的、集中式的数据库管理工具，支持跨平台统一界面。包括远程跨平台数据库管理工具，图形的性能监控等。</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1（套）</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color w:val="000000"/>
                    </w:rPr>
                    <w:t>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杀毒软件</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基于涉密及国产化操作系统使用。</w:t>
                  </w:r>
                  <w:r>
                    <w:rPr>
                      <w:rFonts w:ascii="宋体" w:hAnsi="宋体" w:cs="宋体" w:eastAsia="宋体"/>
                      <w:sz w:val="21"/>
                    </w:rPr>
                    <w:t>1管理中心+10客户端</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1（套）</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color w:val="000000"/>
                    </w:rPr>
                    <w:t>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中间件</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1.应用服务器为企业级应用提供更可靠，更稳定的基础支撑环境，支持JavaEE5、Java EE6、JavaEE7、JavaEE8规范，提供从开发到生产的整个应用生命周期和多种主流的应用框架。</w:t>
                  </w:r>
                </w:p>
                <w:p>
                  <w:pPr>
                    <w:pStyle w:val="null3"/>
                    <w:jc w:val="left"/>
                  </w:pPr>
                  <w:r>
                    <w:rPr>
                      <w:rFonts w:ascii="宋体" w:hAnsi="宋体" w:cs="宋体" w:eastAsia="宋体"/>
                      <w:sz w:val="21"/>
                    </w:rPr>
                    <w:t>2.基本能力：包括但不限于：开发工具支持、集群能力、session高可用、监控、集中管理能力等，涵盖了应用的开发、部署、运维的各个方面，为应用平稳商业化运行提供全面支持。提供了成熟的应用移植方法步骤说明和相关支撑工具，可快速实现应用移植。</w:t>
                  </w:r>
                </w:p>
                <w:p>
                  <w:pPr>
                    <w:pStyle w:val="null3"/>
                    <w:jc w:val="left"/>
                  </w:pPr>
                  <w:r>
                    <w:rPr>
                      <w:rFonts w:ascii="宋体" w:hAnsi="宋体" w:cs="宋体" w:eastAsia="宋体"/>
                      <w:sz w:val="21"/>
                    </w:rPr>
                    <w:t>3.具备统一管控、安全管理、应用性能管理等诸多管理特性，可以满足用户应用管理需求。在云平台环境下，集群节点支持智能化自动管理，能够自动、及时、适当的根据应用负荷的变化而动态调整，调整过程不影响业务的连续运行，从而提高资源利用率、节约运营成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1套</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小型集成工作站</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国产化工作站，</w:t>
                  </w:r>
                  <w:r>
                    <w:rPr>
                      <w:rFonts w:ascii="宋体" w:hAnsi="宋体" w:cs="宋体" w:eastAsia="宋体"/>
                      <w:sz w:val="21"/>
                      <w:color w:val="000000"/>
                    </w:rPr>
                    <w:t>八核处理器，主频</w:t>
                  </w:r>
                  <w:r>
                    <w:rPr>
                      <w:rFonts w:ascii="宋体" w:hAnsi="宋体" w:cs="宋体" w:eastAsia="宋体"/>
                      <w:sz w:val="21"/>
                    </w:rPr>
                    <w:t>≥</w:t>
                  </w:r>
                  <w:r>
                    <w:rPr>
                      <w:rFonts w:ascii="宋体" w:hAnsi="宋体" w:cs="宋体" w:eastAsia="宋体"/>
                      <w:sz w:val="21"/>
                      <w:color w:val="000000"/>
                    </w:rPr>
                    <w:t>3.0</w:t>
                  </w:r>
                  <w:r>
                    <w:rPr>
                      <w:rFonts w:ascii="宋体" w:hAnsi="宋体" w:cs="宋体" w:eastAsia="宋体"/>
                      <w:sz w:val="21"/>
                      <w:color w:val="000000"/>
                    </w:rPr>
                    <w:t>GH</w:t>
                  </w:r>
                  <w:r>
                    <w:rPr>
                      <w:rFonts w:ascii="宋体" w:hAnsi="宋体" w:cs="宋体" w:eastAsia="宋体"/>
                      <w:sz w:val="21"/>
                      <w:color w:val="000000"/>
                    </w:rPr>
                    <w:t>；</w:t>
                  </w:r>
                  <w:r>
                    <w:rPr>
                      <w:rFonts w:ascii="宋体" w:hAnsi="宋体" w:cs="宋体" w:eastAsia="宋体"/>
                      <w:sz w:val="21"/>
                      <w:color w:val="000000"/>
                    </w:rPr>
                    <w:t>内存：支持</w:t>
                  </w:r>
                  <w:r>
                    <w:rPr>
                      <w:rFonts w:ascii="宋体" w:hAnsi="宋体" w:cs="宋体" w:eastAsia="宋体"/>
                      <w:sz w:val="21"/>
                      <w:color w:val="000000"/>
                    </w:rPr>
                    <w:t xml:space="preserve">DDR4 </w:t>
                  </w:r>
                  <w:r>
                    <w:rPr>
                      <w:rFonts w:ascii="宋体" w:hAnsi="宋体" w:cs="宋体" w:eastAsia="宋体"/>
                      <w:sz w:val="21"/>
                      <w:color w:val="000000"/>
                    </w:rPr>
                    <w:t>3200</w:t>
                  </w:r>
                  <w:r>
                    <w:rPr>
                      <w:rFonts w:ascii="宋体" w:hAnsi="宋体" w:cs="宋体" w:eastAsia="宋体"/>
                      <w:sz w:val="21"/>
                      <w:color w:val="000000"/>
                    </w:rPr>
                    <w:t>MHz，本次配置</w:t>
                  </w:r>
                  <w:r>
                    <w:rPr>
                      <w:rFonts w:ascii="宋体" w:hAnsi="宋体" w:cs="宋体" w:eastAsia="宋体"/>
                      <w:sz w:val="21"/>
                    </w:rPr>
                    <w:t>≥</w:t>
                  </w:r>
                  <w:r>
                    <w:rPr>
                      <w:rFonts w:ascii="宋体" w:hAnsi="宋体" w:cs="宋体" w:eastAsia="宋体"/>
                      <w:sz w:val="21"/>
                      <w:color w:val="000000"/>
                    </w:rPr>
                    <w:t>64</w:t>
                  </w:r>
                  <w:r>
                    <w:rPr>
                      <w:rFonts w:ascii="宋体" w:hAnsi="宋体" w:cs="宋体" w:eastAsia="宋体"/>
                      <w:sz w:val="21"/>
                      <w:color w:val="000000"/>
                    </w:rPr>
                    <w:t>GB</w:t>
                  </w:r>
                  <w:r>
                    <w:rPr>
                      <w:rFonts w:ascii="宋体" w:hAnsi="宋体" w:cs="宋体" w:eastAsia="宋体"/>
                      <w:sz w:val="21"/>
                      <w:color w:val="000000"/>
                    </w:rPr>
                    <w:t>；硬盘：</w:t>
                  </w:r>
                  <w:r>
                    <w:rPr>
                      <w:rFonts w:ascii="宋体" w:hAnsi="宋体" w:cs="宋体" w:eastAsia="宋体"/>
                      <w:sz w:val="21"/>
                      <w:color w:val="000000"/>
                    </w:rPr>
                    <w:t>配置</w:t>
                  </w:r>
                  <w:r>
                    <w:rPr>
                      <w:rFonts w:ascii="宋体" w:hAnsi="宋体" w:cs="宋体" w:eastAsia="宋体"/>
                      <w:sz w:val="21"/>
                    </w:rPr>
                    <w:t>≥</w:t>
                  </w:r>
                  <w:r>
                    <w:rPr>
                      <w:rFonts w:ascii="宋体" w:hAnsi="宋体" w:cs="宋体" w:eastAsia="宋体"/>
                      <w:sz w:val="21"/>
                      <w:color w:val="000000"/>
                    </w:rPr>
                    <w:t>512</w:t>
                  </w:r>
                  <w:r>
                    <w:rPr>
                      <w:rFonts w:ascii="宋体" w:hAnsi="宋体" w:cs="宋体" w:eastAsia="宋体"/>
                      <w:sz w:val="21"/>
                      <w:color w:val="000000"/>
                    </w:rPr>
                    <w:t>G固态硬盘</w:t>
                  </w:r>
                  <w:r>
                    <w:rPr>
                      <w:rFonts w:ascii="宋体" w:hAnsi="宋体" w:cs="宋体" w:eastAsia="宋体"/>
                      <w:sz w:val="21"/>
                      <w:color w:val="000000"/>
                    </w:rPr>
                    <w:t>+</w:t>
                  </w:r>
                  <w:r>
                    <w:rPr>
                      <w:rFonts w:ascii="宋体" w:hAnsi="宋体" w:cs="宋体" w:eastAsia="宋体"/>
                      <w:sz w:val="21"/>
                    </w:rPr>
                    <w:t>≥</w:t>
                  </w:r>
                  <w:r>
                    <w:rPr>
                      <w:rFonts w:ascii="宋体" w:hAnsi="宋体" w:cs="宋体" w:eastAsia="宋体"/>
                      <w:sz w:val="21"/>
                      <w:color w:val="000000"/>
                    </w:rPr>
                    <w:t>1</w:t>
                  </w:r>
                  <w:r>
                    <w:rPr>
                      <w:rFonts w:ascii="宋体" w:hAnsi="宋体" w:cs="宋体" w:eastAsia="宋体"/>
                      <w:sz w:val="21"/>
                      <w:color w:val="000000"/>
                    </w:rPr>
                    <w:t>0</w:t>
                  </w:r>
                  <w:r>
                    <w:rPr>
                      <w:rFonts w:ascii="宋体" w:hAnsi="宋体" w:cs="宋体" w:eastAsia="宋体"/>
                      <w:sz w:val="21"/>
                      <w:color w:val="000000"/>
                    </w:rPr>
                    <w:t>T HHD/</w:t>
                  </w:r>
                  <w:r>
                    <w:rPr>
                      <w:rFonts w:ascii="宋体" w:hAnsi="宋体" w:cs="宋体" w:eastAsia="宋体"/>
                      <w:sz w:val="21"/>
                    </w:rPr>
                    <w:t>≥</w:t>
                  </w:r>
                  <w:r>
                    <w:rPr>
                      <w:rFonts w:ascii="宋体" w:hAnsi="宋体" w:cs="宋体" w:eastAsia="宋体"/>
                      <w:sz w:val="21"/>
                      <w:color w:val="000000"/>
                    </w:rPr>
                    <w:t>4</w:t>
                  </w:r>
                  <w:r>
                    <w:rPr>
                      <w:rFonts w:ascii="宋体" w:hAnsi="宋体" w:cs="宋体" w:eastAsia="宋体"/>
                      <w:sz w:val="21"/>
                      <w:color w:val="000000"/>
                    </w:rPr>
                    <w:t>G显卡</w:t>
                  </w:r>
                  <w:r>
                    <w:rPr>
                      <w:rFonts w:ascii="宋体" w:hAnsi="宋体" w:cs="宋体" w:eastAsia="宋体"/>
                      <w:sz w:val="21"/>
                      <w:color w:val="000000"/>
                    </w:rPr>
                    <w:t>/</w:t>
                  </w:r>
                  <w:r>
                    <w:rPr>
                      <w:rFonts w:ascii="宋体" w:hAnsi="宋体" w:cs="宋体" w:eastAsia="宋体"/>
                      <w:sz w:val="21"/>
                      <w:color w:val="000000"/>
                    </w:rPr>
                    <w:t>DVDRW/键盘/鼠标/</w:t>
                  </w:r>
                  <w:r>
                    <w:rPr>
                      <w:rFonts w:ascii="宋体" w:hAnsi="宋体" w:cs="宋体" w:eastAsia="宋体"/>
                      <w:sz w:val="21"/>
                    </w:rPr>
                    <w:t>≥</w:t>
                  </w:r>
                  <w:r>
                    <w:rPr>
                      <w:rFonts w:ascii="宋体" w:hAnsi="宋体" w:cs="宋体" w:eastAsia="宋体"/>
                      <w:sz w:val="21"/>
                      <w:color w:val="000000"/>
                    </w:rPr>
                    <w:t>23.8寸</w:t>
                  </w:r>
                  <w:r>
                    <w:rPr>
                      <w:rFonts w:ascii="宋体" w:hAnsi="宋体" w:cs="宋体" w:eastAsia="宋体"/>
                      <w:sz w:val="21"/>
                      <w:color w:val="000000"/>
                    </w:rPr>
                    <w:t>;</w:t>
                  </w:r>
                  <w:r>
                    <w:rPr>
                      <w:rFonts w:ascii="宋体" w:hAnsi="宋体" w:cs="宋体" w:eastAsia="宋体"/>
                      <w:sz w:val="21"/>
                      <w:color w:val="000000"/>
                    </w:rPr>
                    <w:t>操作系统</w:t>
                  </w:r>
                  <w:r>
                    <w:rPr>
                      <w:rFonts w:ascii="宋体" w:hAnsi="宋体" w:cs="宋体" w:eastAsia="宋体"/>
                      <w:sz w:val="21"/>
                      <w:color w:val="000000"/>
                    </w:rPr>
                    <w:t>+</w:t>
                  </w:r>
                  <w:r>
                    <w:rPr>
                      <w:rFonts w:ascii="宋体" w:hAnsi="宋体" w:cs="宋体" w:eastAsia="宋体"/>
                      <w:sz w:val="21"/>
                      <w:color w:val="000000"/>
                    </w:rPr>
                    <w:t>文</w:t>
                  </w:r>
                  <w:r>
                    <w:rPr>
                      <w:rFonts w:ascii="宋体" w:hAnsi="宋体" w:cs="宋体" w:eastAsia="宋体"/>
                      <w:sz w:val="21"/>
                      <w:color w:val="000000"/>
                    </w:rPr>
                    <w:t>字处理</w:t>
                  </w:r>
                  <w:r>
                    <w:rPr>
                      <w:rFonts w:ascii="宋体" w:hAnsi="宋体" w:cs="宋体" w:eastAsia="宋体"/>
                      <w:sz w:val="21"/>
                      <w:color w:val="000000"/>
                    </w:rPr>
                    <w:t>，</w:t>
                  </w:r>
                  <w:r>
                    <w:rPr>
                      <w:rFonts w:ascii="宋体" w:hAnsi="宋体" w:cs="宋体" w:eastAsia="宋体"/>
                      <w:sz w:val="21"/>
                      <w:color w:val="000000"/>
                    </w:rPr>
                    <w:t>包含杀毒软件，</w:t>
                  </w:r>
                </w:p>
                <w:p>
                  <w:pPr>
                    <w:pStyle w:val="null3"/>
                    <w:jc w:val="left"/>
                  </w:pPr>
                  <w:r>
                    <w:rPr>
                      <w:rFonts w:ascii="calibri" w:hAnsi="calibri" w:cs="calibri" w:eastAsia="calibri"/>
                      <w:sz w:val="21"/>
                    </w:rPr>
                    <w:t>▲</w:t>
                  </w:r>
                  <w:r>
                    <w:rPr>
                      <w:rFonts w:ascii="宋体" w:hAnsi="宋体" w:cs="宋体" w:eastAsia="宋体"/>
                      <w:sz w:val="21"/>
                      <w:color w:val="000000"/>
                    </w:rPr>
                    <w:t>包含</w:t>
                  </w:r>
                  <w:r>
                    <w:rPr>
                      <w:rFonts w:ascii="宋体" w:hAnsi="宋体" w:cs="宋体" w:eastAsia="宋体"/>
                      <w:sz w:val="21"/>
                      <w:color w:val="000000"/>
                    </w:rPr>
                    <w:t>OFD版式阅读及格式转换，</w:t>
                  </w:r>
                  <w:r>
                    <w:rPr>
                      <w:rFonts w:ascii="宋体" w:hAnsi="宋体" w:cs="宋体" w:eastAsia="宋体"/>
                      <w:sz w:val="21"/>
                      <w:color w:val="000000"/>
                    </w:rPr>
                    <w:t>1、无需安装插件或者客户端程序，即可以打开本地或者服务端OFD文件，快速阅读；</w:t>
                  </w:r>
                </w:p>
                <w:p>
                  <w:pPr>
                    <w:pStyle w:val="null3"/>
                    <w:jc w:val="left"/>
                  </w:pPr>
                  <w:r>
                    <w:rPr>
                      <w:rFonts w:ascii="宋体" w:hAnsi="宋体" w:cs="宋体" w:eastAsia="宋体"/>
                      <w:sz w:val="21"/>
                      <w:color w:val="000000"/>
                    </w:rPr>
                    <w:t>2、版式文档在服务端进行解析处理，以加密的文件流（非HTML）传输到前端进行渲染展现，保证传输过程的可靠和安全；</w:t>
                  </w:r>
                </w:p>
                <w:p>
                  <w:pPr>
                    <w:pStyle w:val="null3"/>
                    <w:jc w:val="left"/>
                  </w:pPr>
                  <w:r>
                    <w:rPr>
                      <w:rFonts w:ascii="宋体" w:hAnsi="宋体" w:cs="宋体" w:eastAsia="宋体"/>
                      <w:sz w:val="21"/>
                      <w:color w:val="000000"/>
                    </w:rPr>
                    <w:t>3、集成后支持OFD/PDF文档的打开、保存、另存、搜索、打印、阅读、页面旋转、缩放以及全屏显示、自动缩放、翻页、页面跳转等功能；</w:t>
                  </w:r>
                </w:p>
                <w:p>
                  <w:pPr>
                    <w:pStyle w:val="null3"/>
                    <w:jc w:val="left"/>
                  </w:pPr>
                  <w:r>
                    <w:rPr>
                      <w:rFonts w:ascii="宋体" w:hAnsi="宋体" w:cs="宋体" w:eastAsia="宋体"/>
                      <w:sz w:val="21"/>
                      <w:color w:val="000000"/>
                    </w:rPr>
                    <w:t>4、集成后业务系统前端可对文件特定内容进行检索并高亮显示；</w:t>
                  </w:r>
                </w:p>
                <w:p>
                  <w:pPr>
                    <w:pStyle w:val="null3"/>
                    <w:jc w:val="left"/>
                  </w:pPr>
                  <w:r>
                    <w:rPr>
                      <w:rFonts w:ascii="宋体" w:hAnsi="宋体" w:cs="宋体" w:eastAsia="宋体"/>
                      <w:sz w:val="21"/>
                      <w:color w:val="000000"/>
                    </w:rPr>
                    <w:t>5、</w:t>
                  </w:r>
                  <w:r>
                    <w:rPr>
                      <w:rFonts w:ascii="宋体" w:hAnsi="宋体" w:cs="宋体" w:eastAsia="宋体"/>
                      <w:sz w:val="21"/>
                      <w:color w:val="000000"/>
                    </w:rPr>
                    <w:t>支持</w:t>
                  </w:r>
                  <w:r>
                    <w:rPr>
                      <w:rFonts w:ascii="宋体" w:hAnsi="宋体" w:cs="宋体" w:eastAsia="宋体"/>
                      <w:sz w:val="21"/>
                      <w:color w:val="000000"/>
                    </w:rPr>
                    <w:t>电子签章集成，签章查验；</w:t>
                  </w:r>
                </w:p>
                <w:p>
                  <w:pPr>
                    <w:pStyle w:val="null3"/>
                    <w:jc w:val="left"/>
                  </w:pPr>
                  <w:r>
                    <w:rPr>
                      <w:rFonts w:ascii="宋体" w:hAnsi="宋体" w:cs="宋体" w:eastAsia="宋体"/>
                      <w:sz w:val="21"/>
                      <w:color w:val="000000"/>
                    </w:rPr>
                    <w:t>6、支持OFD中添加支持图形批注、文字批注及水印功能；</w:t>
                  </w:r>
                </w:p>
                <w:p>
                  <w:pPr>
                    <w:pStyle w:val="null3"/>
                    <w:jc w:val="left"/>
                  </w:pPr>
                  <w:r>
                    <w:rPr>
                      <w:rFonts w:ascii="宋体" w:hAnsi="宋体" w:cs="宋体" w:eastAsia="宋体"/>
                      <w:sz w:val="21"/>
                      <w:color w:val="000000"/>
                    </w:rPr>
                    <w:t>7、支持用户自定义元数据、标引、附件、多文件、多版本等的查看功能；</w:t>
                  </w:r>
                </w:p>
                <w:p>
                  <w:pPr>
                    <w:pStyle w:val="null3"/>
                    <w:jc w:val="left"/>
                  </w:pPr>
                  <w:r>
                    <w:rPr>
                      <w:rFonts w:ascii="宋体" w:hAnsi="宋体" w:cs="宋体" w:eastAsia="宋体"/>
                      <w:sz w:val="21"/>
                      <w:color w:val="000000"/>
                    </w:rPr>
                    <w:t>8、支持移动端阅览，可集成至移动端网页；</w:t>
                  </w:r>
                </w:p>
                <w:p>
                  <w:pPr>
                    <w:pStyle w:val="null3"/>
                    <w:jc w:val="left"/>
                  </w:pPr>
                  <w:r>
                    <w:rPr>
                      <w:rFonts w:ascii="宋体" w:hAnsi="宋体" w:cs="宋体" w:eastAsia="宋体"/>
                      <w:sz w:val="21"/>
                      <w:color w:val="000000"/>
                    </w:rPr>
                    <w:t>9、提供打印和显示两种文件实时遮掩机制，实现敏感内容遮盖；</w:t>
                  </w:r>
                </w:p>
                <w:p>
                  <w:pPr>
                    <w:pStyle w:val="null3"/>
                    <w:jc w:val="left"/>
                  </w:pPr>
                  <w:r>
                    <w:rPr>
                      <w:rFonts w:ascii="宋体" w:hAnsi="宋体" w:cs="宋体" w:eastAsia="宋体"/>
                      <w:sz w:val="21"/>
                      <w:color w:val="000000"/>
                    </w:rPr>
                    <w:t>10、支持Edge，Firefox，chrome，Safari，Opera，360浏览器，奇安信浏览器等桌面或移动端浏览器；</w:t>
                  </w:r>
                </w:p>
                <w:p>
                  <w:pPr>
                    <w:pStyle w:val="null3"/>
                    <w:jc w:val="left"/>
                  </w:pPr>
                  <w:r>
                    <w:rPr>
                      <w:rFonts w:ascii="宋体" w:hAnsi="宋体" w:cs="宋体" w:eastAsia="宋体"/>
                      <w:sz w:val="21"/>
                      <w:color w:val="000000"/>
                    </w:rPr>
                    <w:t>包含三年</w:t>
                  </w:r>
                  <w:r>
                    <w:rPr>
                      <w:rFonts w:ascii="宋体" w:hAnsi="宋体" w:cs="宋体" w:eastAsia="宋体"/>
                      <w:sz w:val="21"/>
                      <w:color w:val="000000"/>
                    </w:rPr>
                    <w:t>使用权</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1（台）</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color w:val="000000"/>
                    </w:rPr>
                    <w:t>注：以上软件和硬件设备参数为保证档案管理正常运行的基本参数，各投标供应商提供的软硬件设备参数可优于以上基本参数。</w:t>
                  </w:r>
                </w:p>
              </w:tc>
            </w:tr>
          </w:tbl>
          <w:p>
            <w:pPr>
              <w:pStyle w:val="null3"/>
              <w:jc w:val="both"/>
            </w:pPr>
          </w:p>
        </w:tc>
      </w:tr>
    </w:tbl>
    <w:p>
      <w:pPr>
        <w:pStyle w:val="null3"/>
        <w:outlineLvl w:val="2"/>
      </w:pPr>
      <w:r>
        <w:rPr>
          <w:sz w:val="28"/>
          <w:b/>
        </w:rPr>
        <w:t>3.2.3人员配置要求</w:t>
      </w:r>
    </w:p>
    <w:p>
      <w:pPr>
        <w:pStyle w:val="null3"/>
      </w:pPr>
      <w:r>
        <w:rPr/>
        <w:t>采购包1：</w:t>
      </w:r>
    </w:p>
    <w:p>
      <w:pPr>
        <w:pStyle w:val="null3"/>
      </w:pPr>
      <w:r>
        <w:rPr/>
        <w:t>供应商应该按照项目的需求配备合理的服务人员，确保项目实施质量。</w:t>
      </w:r>
    </w:p>
    <w:p>
      <w:pPr>
        <w:pStyle w:val="null3"/>
        <w:outlineLvl w:val="2"/>
      </w:pPr>
      <w:r>
        <w:rPr>
          <w:sz w:val="28"/>
          <w:b/>
        </w:rPr>
        <w:t>3.2.4设施设备要求</w:t>
      </w:r>
    </w:p>
    <w:p>
      <w:pPr>
        <w:pStyle w:val="null3"/>
      </w:pPr>
      <w:r>
        <w:rPr/>
        <w:t>采购包1：</w:t>
      </w:r>
    </w:p>
    <w:p>
      <w:pPr>
        <w:pStyle w:val="null3"/>
      </w:pPr>
      <w:r>
        <w:rPr/>
        <w:t>供应商应该按照项目的需求配备合理的设备设施，以确保项目顺利实施。</w:t>
      </w:r>
    </w:p>
    <w:p>
      <w:pPr>
        <w:pStyle w:val="null3"/>
        <w:outlineLvl w:val="2"/>
      </w:pPr>
      <w:r>
        <w:rPr>
          <w:sz w:val="28"/>
          <w:b/>
        </w:rPr>
        <w:t>3.2.5其他要求</w:t>
      </w:r>
    </w:p>
    <w:p>
      <w:pPr>
        <w:pStyle w:val="null3"/>
      </w:pPr>
      <w:r>
        <w:rPr/>
        <w:t>采购包1：</w:t>
      </w:r>
    </w:p>
    <w:p>
      <w:pPr>
        <w:pStyle w:val="null3"/>
      </w:pPr>
      <w:r>
        <w:rPr/>
        <w:t>售后服务承诺函 1.质量保证期3年（自提交服务成果并交付验收合格之日起计）。 2.处理问题响应时间：接到采购人处理问题通知后24小时内解决。 3.供货商需提供售后服务承诺函。 其他详见采购内容及要求。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工期：30个日历日；服务期一年。</w:t>
      </w:r>
    </w:p>
    <w:p>
      <w:pPr>
        <w:pStyle w:val="null3"/>
        <w:outlineLvl w:val="3"/>
      </w:pPr>
      <w:r>
        <w:rPr>
          <w:sz w:val="24"/>
          <w:b/>
        </w:rPr>
        <w:t>3.3.2服务地点</w:t>
      </w:r>
    </w:p>
    <w:p>
      <w:pPr>
        <w:pStyle w:val="null3"/>
      </w:pPr>
      <w:r>
        <w:rPr/>
        <w:t>采购包1：</w:t>
      </w:r>
    </w:p>
    <w:p>
      <w:pPr>
        <w:pStyle w:val="null3"/>
      </w:pPr>
      <w:r>
        <w:rPr/>
        <w:t>铜川市耀州区档案馆</w:t>
      </w:r>
    </w:p>
    <w:p>
      <w:pPr>
        <w:pStyle w:val="null3"/>
        <w:outlineLvl w:val="3"/>
      </w:pPr>
      <w:r>
        <w:rPr>
          <w:sz w:val="24"/>
          <w:b/>
        </w:rPr>
        <w:t>3.3.3考核（验收）标准和方法</w:t>
      </w:r>
    </w:p>
    <w:p>
      <w:pPr>
        <w:pStyle w:val="null3"/>
      </w:pPr>
      <w:r>
        <w:rPr/>
        <w:t>采购包1：</w:t>
      </w:r>
    </w:p>
    <w:p>
      <w:pPr>
        <w:pStyle w:val="null3"/>
      </w:pPr>
      <w:r>
        <w:rPr/>
        <w:t>符合国家、地方、行业相关合格标准及采购人要求。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 xml:space="preserve">签订合同后15个工作日内，由中标人书面提出支付申请函及拟支付金额等额的符合采购人财务管理要求的相应发票，采购人确认后启动支付流程 </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 xml:space="preserve">项目交付验收通过后，由中标人书面提出支付申请函及拟支付金额等额的符合采购人财务管理要求的相应发票，采购人确认后启动进度款支付流程 </w:t>
      </w:r>
      <w:r>
        <w:rPr/>
        <w:t xml:space="preserve"> ，达到付款条件起 </w:t>
      </w:r>
      <w:r>
        <w:rPr/>
        <w:t>30</w:t>
      </w:r>
      <w:r>
        <w:rPr/>
        <w:t xml:space="preserve"> 日内，支付合同总金额的 </w:t>
      </w:r>
      <w:r>
        <w:rPr/>
        <w:t>70.00</w:t>
      </w:r>
      <w:r>
        <w:rPr/>
        <w:t>%。</w:t>
      </w:r>
    </w:p>
    <w:p>
      <w:pPr>
        <w:pStyle w:val="null3"/>
        <w:outlineLvl w:val="3"/>
      </w:pPr>
      <w:r>
        <w:rPr>
          <w:sz w:val="24"/>
          <w:b/>
        </w:rPr>
        <w:t>3.3.6违约责任及解决争议的方法</w:t>
      </w:r>
    </w:p>
    <w:p>
      <w:pPr>
        <w:pStyle w:val="null3"/>
      </w:pPr>
      <w:r>
        <w:rPr/>
        <w:t>采购包1：</w:t>
      </w:r>
    </w:p>
    <w:p>
      <w:pPr>
        <w:pStyle w:val="null3"/>
      </w:pPr>
      <w:r>
        <w:rPr/>
        <w:t>根据竞争性磋商文件要求及合同约定执行</w:t>
      </w:r>
    </w:p>
    <w:p>
      <w:pPr>
        <w:pStyle w:val="null3"/>
        <w:outlineLvl w:val="2"/>
      </w:pPr>
      <w:r>
        <w:rPr>
          <w:sz w:val="28"/>
          <w:b/>
        </w:rPr>
        <w:t>3.4其他要求</w:t>
      </w:r>
    </w:p>
    <w:p>
      <w:pPr>
        <w:pStyle w:val="null3"/>
      </w:pPr>
      <w:r>
        <w:rPr/>
        <w:t>1.合同单价以磋商最终报价与一次报价的下浮比例，对所有单价进行同比例下浮，以下浮后的价格作为合同执行单价。 2.中标供应商在领取中标通知书时提供2套纸质投标文件（1正1副），纸质版投标文件应与线上电子投标文件保持一致并加盖公章。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服务内容及服务邀请应答表 商务应答表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财务状况报告（任选其一）</w:t>
            </w:r>
          </w:p>
        </w:tc>
        <w:tc>
          <w:tcPr>
            <w:tcW w:type="dxa" w:w="3322"/>
          </w:tcPr>
          <w:p>
            <w:pPr>
              <w:pStyle w:val="null3"/>
            </w:pPr>
            <w:r>
              <w:rPr/>
              <w:t>财务状况报告（任选其一）1、2023年度经审计的财务会计报告（至少包括审计报告、资产负债表和利润表，成立时间至提交响应文件截止时间不足一年的可提供成立后任意时段的资产负债表）； 2、提交响应文件截止时间三个月内其基本账户开户银行出具的资信证明（附基本存款账户信息）；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社保资金缴纳证明：</w:t>
            </w:r>
          </w:p>
        </w:tc>
        <w:tc>
          <w:tcPr>
            <w:tcW w:type="dxa" w:w="3322"/>
          </w:tcPr>
          <w:p>
            <w:pPr>
              <w:pStyle w:val="null3"/>
            </w:pPr>
            <w:r>
              <w:rPr/>
              <w:t>提交响应文件截止时间前一年内至少一个月的社会保障资金缴存单据或社保机构开具的社会保险参保缴费情况证明，单据或证明上应有社保机构或代收机构的公章或业务专用章；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提交响应文件截止时间前一年内至少一个月的纳税证明或完税证明（增值税、营业税、企业所得税至少提供一种，以税款所属时间为准），纳税证明或完税证明上应有代收机构或税务机关的公章或业务专用章；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无重大违法记录声明：</w:t>
            </w:r>
          </w:p>
        </w:tc>
        <w:tc>
          <w:tcPr>
            <w:tcW w:type="dxa" w:w="3322"/>
          </w:tcPr>
          <w:p>
            <w:pPr>
              <w:pStyle w:val="null3"/>
            </w:pPr>
            <w:r>
              <w:rPr/>
              <w:t>参加本次采购活动前3年内在经营活动中没有重大违法记录，以及未被列入失信被执行人、重大税收违法案件当事人名单的书面声明；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信用记录审查结果：</w:t>
            </w:r>
          </w:p>
        </w:tc>
        <w:tc>
          <w:tcPr>
            <w:tcW w:type="dxa" w:w="3322"/>
          </w:tcPr>
          <w:p>
            <w:pPr>
              <w:pStyle w:val="null3"/>
            </w:pPr>
            <w:r>
              <w:rPr/>
              <w:t>磋商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后由代理公司查询，文件中不须提供）</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法定代表人（主要负责人）委托授权书/身份证明：</w:t>
            </w:r>
          </w:p>
        </w:tc>
        <w:tc>
          <w:tcPr>
            <w:tcW w:type="dxa" w:w="3322"/>
          </w:tcPr>
          <w:p>
            <w:pPr>
              <w:pStyle w:val="null3"/>
            </w:pPr>
            <w:r>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供应商应提交的相关资格证明材料 报价表</w:t>
            </w:r>
          </w:p>
        </w:tc>
      </w:tr>
      <w:tr>
        <w:tc>
          <w:tcPr>
            <w:tcW w:type="dxa" w:w="831"/>
          </w:tcPr>
          <w:p>
            <w:pPr>
              <w:pStyle w:val="null3"/>
            </w:pPr>
            <w:r>
              <w:rPr/>
              <w:t>2</w:t>
            </w:r>
          </w:p>
        </w:tc>
        <w:tc>
          <w:tcPr>
            <w:tcW w:type="dxa" w:w="2492"/>
          </w:tcPr>
          <w:p>
            <w:pPr>
              <w:pStyle w:val="null3"/>
            </w:pPr>
            <w:r>
              <w:rPr/>
              <w:t>与项目的一致性</w:t>
            </w:r>
          </w:p>
        </w:tc>
        <w:tc>
          <w:tcPr>
            <w:tcW w:type="dxa" w:w="3322"/>
          </w:tcPr>
          <w:p>
            <w:pPr>
              <w:pStyle w:val="null3"/>
            </w:pPr>
            <w:r>
              <w:rPr/>
              <w:t>至少以下三处的项目名称、项目编号、分包（未分包的除外）与本项目完全一致：（1）磋商响应文件封面 （2）磋商函 （3）法定代表人（主要负 责人）委托授权书\身份证明</w:t>
            </w:r>
          </w:p>
        </w:tc>
        <w:tc>
          <w:tcPr>
            <w:tcW w:type="dxa" w:w="1661"/>
          </w:tcPr>
          <w:p>
            <w:pPr>
              <w:pStyle w:val="null3"/>
            </w:pPr>
            <w:r>
              <w:rPr/>
              <w:t>响应文件封面 服务内容及服务邀请应答表 商务应答表 服务方案 供应商应提交的相关资格证明材料 标的清单 报价表 响应函</w:t>
            </w:r>
          </w:p>
        </w:tc>
      </w:tr>
      <w:tr>
        <w:tc>
          <w:tcPr>
            <w:tcW w:type="dxa" w:w="831"/>
          </w:tcPr>
          <w:p>
            <w:pPr>
              <w:pStyle w:val="null3"/>
            </w:pPr>
            <w:r>
              <w:rPr/>
              <w:t>3</w:t>
            </w:r>
          </w:p>
        </w:tc>
        <w:tc>
          <w:tcPr>
            <w:tcW w:type="dxa" w:w="2492"/>
          </w:tcPr>
          <w:p>
            <w:pPr>
              <w:pStyle w:val="null3"/>
            </w:pPr>
            <w:r>
              <w:rPr/>
              <w:t>响应文件组成</w:t>
            </w:r>
          </w:p>
        </w:tc>
        <w:tc>
          <w:tcPr>
            <w:tcW w:type="dxa" w:w="3322"/>
          </w:tcPr>
          <w:p>
            <w:pPr>
              <w:pStyle w:val="null3"/>
            </w:pPr>
            <w:r>
              <w:rPr/>
              <w:t>文件应包含以下部分： （1）响应函、（2）报价表、（3）标的清单、（4）供应商应提供的资格证明文件、（5）商务应答表、（6）服务方案、（7）其他资料</w:t>
            </w:r>
          </w:p>
        </w:tc>
        <w:tc>
          <w:tcPr>
            <w:tcW w:type="dxa" w:w="1661"/>
          </w:tcPr>
          <w:p>
            <w:pPr>
              <w:pStyle w:val="null3"/>
            </w:pPr>
            <w:r>
              <w:rPr/>
              <w:t>响应文件封面 服务内容及服务邀请应答表 商务应答表 服务方案 供应商应提交的相关资格证明材料 响应函</w:t>
            </w:r>
          </w:p>
        </w:tc>
      </w:tr>
      <w:tr>
        <w:tc>
          <w:tcPr>
            <w:tcW w:type="dxa" w:w="831"/>
          </w:tcPr>
          <w:p>
            <w:pPr>
              <w:pStyle w:val="null3"/>
            </w:pPr>
            <w:r>
              <w:rPr/>
              <w:t>4</w:t>
            </w:r>
          </w:p>
        </w:tc>
        <w:tc>
          <w:tcPr>
            <w:tcW w:type="dxa" w:w="2492"/>
          </w:tcPr>
          <w:p>
            <w:pPr>
              <w:pStyle w:val="null3"/>
            </w:pPr>
            <w:r>
              <w:rPr/>
              <w:t>签章</w:t>
            </w:r>
          </w:p>
        </w:tc>
        <w:tc>
          <w:tcPr>
            <w:tcW w:type="dxa" w:w="3322"/>
          </w:tcPr>
          <w:p>
            <w:pPr>
              <w:pStyle w:val="null3"/>
            </w:pPr>
            <w:r>
              <w:rPr/>
              <w:t>签章均符合响应文件要求，且无遗漏。</w:t>
            </w:r>
          </w:p>
        </w:tc>
        <w:tc>
          <w:tcPr>
            <w:tcW w:type="dxa" w:w="1661"/>
          </w:tcPr>
          <w:p>
            <w:pPr>
              <w:pStyle w:val="null3"/>
            </w:pPr>
            <w:r>
              <w:rPr/>
              <w:t>响应文件封面 服务内容及服务邀请应答表 商务应答表 服务方案 供应商应提交的相关资格证明材料 标的清单 报价表 响应函</w:t>
            </w:r>
          </w:p>
        </w:tc>
      </w:tr>
      <w:tr>
        <w:tc>
          <w:tcPr>
            <w:tcW w:type="dxa" w:w="831"/>
          </w:tcPr>
          <w:p>
            <w:pPr>
              <w:pStyle w:val="null3"/>
            </w:pPr>
            <w:r>
              <w:rPr/>
              <w:t>5</w:t>
            </w:r>
          </w:p>
        </w:tc>
        <w:tc>
          <w:tcPr>
            <w:tcW w:type="dxa" w:w="2492"/>
          </w:tcPr>
          <w:p>
            <w:pPr>
              <w:pStyle w:val="null3"/>
            </w:pPr>
            <w:r>
              <w:rPr/>
              <w:t>语言和计量单位</w:t>
            </w:r>
          </w:p>
        </w:tc>
        <w:tc>
          <w:tcPr>
            <w:tcW w:type="dxa" w:w="3322"/>
          </w:tcPr>
          <w:p>
            <w:pPr>
              <w:pStyle w:val="null3"/>
            </w:pPr>
            <w:r>
              <w:rPr/>
              <w:t>符合磋商文件要求</w:t>
            </w:r>
          </w:p>
        </w:tc>
        <w:tc>
          <w:tcPr>
            <w:tcW w:type="dxa" w:w="1661"/>
          </w:tcPr>
          <w:p>
            <w:pPr>
              <w:pStyle w:val="null3"/>
            </w:pPr>
            <w:r>
              <w:rPr/>
              <w:t>响应文件封面 标的清单 报价表 响应函</w:t>
            </w:r>
          </w:p>
        </w:tc>
      </w:tr>
      <w:tr>
        <w:tc>
          <w:tcPr>
            <w:tcW w:type="dxa" w:w="831"/>
          </w:tcPr>
          <w:p>
            <w:pPr>
              <w:pStyle w:val="null3"/>
            </w:pPr>
            <w:r>
              <w:rPr/>
              <w:t>6</w:t>
            </w:r>
          </w:p>
        </w:tc>
        <w:tc>
          <w:tcPr>
            <w:tcW w:type="dxa" w:w="2492"/>
          </w:tcPr>
          <w:p>
            <w:pPr>
              <w:pStyle w:val="null3"/>
            </w:pPr>
            <w:r>
              <w:rPr/>
              <w:t>有效期</w:t>
            </w:r>
          </w:p>
        </w:tc>
        <w:tc>
          <w:tcPr>
            <w:tcW w:type="dxa" w:w="3322"/>
          </w:tcPr>
          <w:p>
            <w:pPr>
              <w:pStyle w:val="null3"/>
            </w:pPr>
            <w:r>
              <w:rPr/>
              <w:t>符合磋商文件要求</w:t>
            </w:r>
          </w:p>
        </w:tc>
        <w:tc>
          <w:tcPr>
            <w:tcW w:type="dxa" w:w="1661"/>
          </w:tcPr>
          <w:p>
            <w:pPr>
              <w:pStyle w:val="null3"/>
            </w:pPr>
            <w:r>
              <w:rPr/>
              <w:t>响应文件封面 响应函</w:t>
            </w:r>
          </w:p>
        </w:tc>
      </w:tr>
      <w:tr>
        <w:tc>
          <w:tcPr>
            <w:tcW w:type="dxa" w:w="831"/>
          </w:tcPr>
          <w:p>
            <w:pPr>
              <w:pStyle w:val="null3"/>
            </w:pPr>
            <w:r>
              <w:rPr/>
              <w:t>7</w:t>
            </w:r>
          </w:p>
        </w:tc>
        <w:tc>
          <w:tcPr>
            <w:tcW w:type="dxa" w:w="2492"/>
          </w:tcPr>
          <w:p>
            <w:pPr>
              <w:pStyle w:val="null3"/>
            </w:pPr>
            <w:r>
              <w:rPr/>
              <w:t>报价</w:t>
            </w:r>
          </w:p>
        </w:tc>
        <w:tc>
          <w:tcPr>
            <w:tcW w:type="dxa" w:w="3322"/>
          </w:tcPr>
          <w:p>
            <w:pPr>
              <w:pStyle w:val="null3"/>
            </w:pPr>
            <w:r>
              <w:rPr/>
              <w:t>报价未超过采购预算及最高限价</w:t>
            </w:r>
          </w:p>
        </w:tc>
        <w:tc>
          <w:tcPr>
            <w:tcW w:type="dxa" w:w="1661"/>
          </w:tcPr>
          <w:p>
            <w:pPr>
              <w:pStyle w:val="null3"/>
            </w:pPr>
            <w:r>
              <w:rPr/>
              <w:t>响应文件封面 标的清单 报价表</w:t>
            </w:r>
          </w:p>
        </w:tc>
      </w:tr>
      <w:tr>
        <w:tc>
          <w:tcPr>
            <w:tcW w:type="dxa" w:w="831"/>
          </w:tcPr>
          <w:p>
            <w:pPr>
              <w:pStyle w:val="null3"/>
            </w:pPr>
            <w:r>
              <w:rPr/>
              <w:t>8</w:t>
            </w:r>
          </w:p>
        </w:tc>
        <w:tc>
          <w:tcPr>
            <w:tcW w:type="dxa" w:w="2492"/>
          </w:tcPr>
          <w:p>
            <w:pPr>
              <w:pStyle w:val="null3"/>
            </w:pPr>
            <w:r>
              <w:rPr/>
              <w:t>实质性条款响应</w:t>
            </w:r>
          </w:p>
        </w:tc>
        <w:tc>
          <w:tcPr>
            <w:tcW w:type="dxa" w:w="3322"/>
          </w:tcPr>
          <w:p>
            <w:pPr>
              <w:pStyle w:val="null3"/>
            </w:pPr>
            <w:r>
              <w:rPr/>
              <w:t>完全响应磋商文件要求的各项技术（服务）、 商务实质性条款。</w:t>
            </w:r>
          </w:p>
        </w:tc>
        <w:tc>
          <w:tcPr>
            <w:tcW w:type="dxa" w:w="1661"/>
          </w:tcPr>
          <w:p>
            <w:pPr>
              <w:pStyle w:val="null3"/>
            </w:pPr>
            <w:r>
              <w:rPr/>
              <w:t>响应文件封面 服务内容及服务邀请应答表 商务应答表 服务方案 响应函</w:t>
            </w:r>
          </w:p>
        </w:tc>
      </w:tr>
      <w:tr>
        <w:tc>
          <w:tcPr>
            <w:tcW w:type="dxa" w:w="831"/>
          </w:tcPr>
          <w:p>
            <w:pPr>
              <w:pStyle w:val="null3"/>
            </w:pPr>
            <w:r>
              <w:rPr/>
              <w:t>9</w:t>
            </w:r>
          </w:p>
        </w:tc>
        <w:tc>
          <w:tcPr>
            <w:tcW w:type="dxa" w:w="2492"/>
          </w:tcPr>
          <w:p>
            <w:pPr>
              <w:pStyle w:val="null3"/>
            </w:pPr>
            <w:r>
              <w:rPr/>
              <w:t>合同条款响应</w:t>
            </w:r>
          </w:p>
        </w:tc>
        <w:tc>
          <w:tcPr>
            <w:tcW w:type="dxa" w:w="3322"/>
          </w:tcPr>
          <w:p>
            <w:pPr>
              <w:pStyle w:val="null3"/>
            </w:pPr>
            <w:r>
              <w:rPr/>
              <w:t>完全理解并响应磋商文件合同条款的要求，且未含有采购人不能接受的附加条件的。</w:t>
            </w:r>
          </w:p>
        </w:tc>
        <w:tc>
          <w:tcPr>
            <w:tcW w:type="dxa" w:w="1661"/>
          </w:tcPr>
          <w:p>
            <w:pPr>
              <w:pStyle w:val="null3"/>
            </w:pPr>
            <w:r>
              <w:rPr/>
              <w:t>响应文件封面 服务内容及服务邀请应答表 服务方案</w:t>
            </w:r>
          </w:p>
        </w:tc>
      </w:tr>
      <w:tr>
        <w:tc>
          <w:tcPr>
            <w:tcW w:type="dxa" w:w="831"/>
          </w:tcPr>
          <w:p>
            <w:pPr>
              <w:pStyle w:val="null3"/>
            </w:pPr>
            <w:r>
              <w:rPr/>
              <w:t>10</w:t>
            </w:r>
          </w:p>
        </w:tc>
        <w:tc>
          <w:tcPr>
            <w:tcW w:type="dxa" w:w="2492"/>
          </w:tcPr>
          <w:p>
            <w:pPr>
              <w:pStyle w:val="null3"/>
            </w:pPr>
            <w:r>
              <w:rPr/>
              <w:t>其他</w:t>
            </w:r>
          </w:p>
        </w:tc>
        <w:tc>
          <w:tcPr>
            <w:tcW w:type="dxa" w:w="3322"/>
          </w:tcPr>
          <w:p>
            <w:pPr>
              <w:pStyle w:val="null3"/>
            </w:pPr>
            <w:r>
              <w:rPr/>
              <w:t>完全理解并接受法律法规和磋商文件对供应商 合法经营的各类规约和责任义务要求，没有出 现法律法规或磋商文件规定的其他无效情形。</w:t>
            </w:r>
          </w:p>
        </w:tc>
        <w:tc>
          <w:tcPr>
            <w:tcW w:type="dxa" w:w="1661"/>
          </w:tcPr>
          <w:p>
            <w:pPr>
              <w:pStyle w:val="null3"/>
            </w:pPr>
            <w:r>
              <w:rPr/>
              <w:t>响应文件封面 服务内容及服务邀请应答表 商务应答表 服务方案</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磋商小组应当根据综合评分情况，按照评审得分由高到低顺序推荐如下成交候选供应商，并编写磋商报告。 3家；评审得分相同的，按照最后报价由低到高的顺序推荐。评审得分且最后报价相同的，按照技术指标优劣顺序推荐。评审得分且最后报价且技术指标得分均相同的，成交候选供应商并列。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功能及配置</w:t>
            </w:r>
          </w:p>
        </w:tc>
        <w:tc>
          <w:tcPr>
            <w:tcW w:type="dxa" w:w="2492"/>
          </w:tcPr>
          <w:p>
            <w:pPr>
              <w:pStyle w:val="null3"/>
            </w:pPr>
            <w:r>
              <w:rPr/>
              <w:t>根据供应商提供服务的技术偏离，经评审专家审定得分。 基本分（17分）：完全符合、响应招标文件要求，没有负偏离计15分，“▲”的参数每负偏离一项扣2分（需提供相应证明材料，包括但不限于测试报告、功能截图等技术证明材料）；非“▲”每负偏离一项扣0.5分，扣完为止。</w:t>
            </w:r>
          </w:p>
        </w:tc>
        <w:tc>
          <w:tcPr>
            <w:tcW w:type="dxa" w:w="831"/>
          </w:tcPr>
          <w:p>
            <w:pPr>
              <w:pStyle w:val="null3"/>
              <w:jc w:val="right"/>
            </w:pPr>
            <w:r>
              <w:rPr/>
              <w:t>17.0000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实施方案</w:t>
            </w:r>
          </w:p>
        </w:tc>
        <w:tc>
          <w:tcPr>
            <w:tcW w:type="dxa" w:w="2492"/>
          </w:tcPr>
          <w:p>
            <w:pPr>
              <w:pStyle w:val="null3"/>
            </w:pPr>
            <w:r>
              <w:rPr/>
              <w:t>对本项目工作的理解和分析。 1.项目总体实施方案； 2.项目团队方案； 3.项目实施时间安排方案； 4.配送方案； 5.应急方案； 6.项目验收方案。每提供一项最高计4分，满分24分，不提供不得分。</w:t>
            </w:r>
          </w:p>
        </w:tc>
        <w:tc>
          <w:tcPr>
            <w:tcW w:type="dxa" w:w="831"/>
          </w:tcPr>
          <w:p>
            <w:pPr>
              <w:pStyle w:val="null3"/>
              <w:jc w:val="right"/>
            </w:pPr>
            <w:r>
              <w:rPr/>
              <w:t>24.0000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根据所提供产品合法来源渠道的证明文件（包括但不限于代理协议或原厂授权等），提供齐全最高计5分，不提供不得分，满分5分。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人员配置方案</w:t>
            </w:r>
          </w:p>
        </w:tc>
        <w:tc>
          <w:tcPr>
            <w:tcW w:type="dxa" w:w="2492"/>
          </w:tcPr>
          <w:p>
            <w:pPr>
              <w:pStyle w:val="null3"/>
            </w:pPr>
            <w:r>
              <w:rPr/>
              <w:t>供应商提供针对本项目拟投入的工作组成员的情况。方案内容包含: 1、工作组成员管理组织架构、人员分工； 2、工作职责划分、业务管理流程等内容； 3、人员数量配合的合理性； 4、人员方案的可行性。 每项最高计3分，满分12分，未提供不得分。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服务培训计划</w:t>
            </w:r>
          </w:p>
        </w:tc>
        <w:tc>
          <w:tcPr>
            <w:tcW w:type="dxa" w:w="2492"/>
          </w:tcPr>
          <w:p>
            <w:pPr>
              <w:pStyle w:val="null3"/>
            </w:pPr>
            <w:r>
              <w:rPr/>
              <w:t>结合采购人需求针对本项目具有可行的技术培训方案，培训采购人使用人员，制定培训方案，培训方案应包括： 1、操作维护方法； 2、排除故障； 每项最高计2分，满分4分，未提供不得分。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1、货物质量标准； 2、质量保证措施； 3、安装、调试内容、计划、措施； 4、产品质量可追溯制度； 5、货物到场后未验收合格前的保管制度措施； 6、与采购人配合、沟通方案； 7、预防性维护计划等。 每项最高计2分，满分14分，未提供不得分。</w:t>
            </w:r>
          </w:p>
        </w:tc>
        <w:tc>
          <w:tcPr>
            <w:tcW w:type="dxa" w:w="831"/>
          </w:tcPr>
          <w:p>
            <w:pPr>
              <w:pStyle w:val="null3"/>
              <w:jc w:val="right"/>
            </w:pPr>
            <w:r>
              <w:rPr/>
              <w:t>14.0000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售后服务方案</w:t>
            </w:r>
          </w:p>
        </w:tc>
        <w:tc>
          <w:tcPr>
            <w:tcW w:type="dxa" w:w="2492"/>
          </w:tcPr>
          <w:p>
            <w:pPr>
              <w:pStyle w:val="null3"/>
            </w:pPr>
            <w:r>
              <w:rPr/>
              <w:t>针对本项目产品使用环境及采购人实际需求，提供：1、具体可行的售后服务措施承诺及明确详细的售后服务人员组成和安排，并设有售后服务机构，确保7*24小时的技术服务； 2、积极协助采购人解决问题，保证设备正常运行。 提供售后方案的同时，需提供相关的佐证材料，如售后服务机构工作场所的证明材料 （如：租房协议或产权证明材料，办公场所图片等），售后服务机构专职人员名单及相关行业从业资历，本行业内的技术证书及相关证明材料等资料（复印件加盖公章） 。 每项最高计5分，满分10分。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提供响应人 2021年1月1日至今所投标类似业绩合同 （以合同签订时间为准） ，提供一份计2分，最高得4分，未提供不得分。须提供字迹清晰，无遮盖，无涂改的业绩合同复印件加盖公章。</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满足竞争性磋商文件要求且投标价格最低的投标报价为评标基准价，其价格分为满分。其他供应商的价格分统一按照下列公式计算：投标报价得分=（评标基准价/投标报价）×10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