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铜川市耀州区基层防汛减灾应急能力体系建设项目</w:t>
      </w:r>
    </w:p>
    <w:p>
      <w:pPr>
        <w:pStyle w:val="null3"/>
        <w:jc w:val="center"/>
        <w:outlineLvl w:val="2"/>
      </w:pPr>
      <w:r>
        <w:rPr>
          <w:sz w:val="28"/>
          <w:b/>
        </w:rPr>
        <w:t>采购项目编号：</w:t>
      </w:r>
      <w:r>
        <w:rPr>
          <w:sz w:val="28"/>
          <w:b/>
        </w:rPr>
        <w:t>QSHP-CG-24-013</w:t>
      </w:r>
      <w:r>
        <w:br/>
      </w:r>
      <w:r>
        <w:br/>
      </w:r>
      <w:r>
        <w:br/>
      </w:r>
    </w:p>
    <w:p>
      <w:pPr>
        <w:pStyle w:val="null3"/>
        <w:jc w:val="center"/>
        <w:outlineLvl w:val="2"/>
      </w:pPr>
      <w:r>
        <w:rPr>
          <w:sz w:val="28"/>
          <w:b/>
        </w:rPr>
        <w:t>铜川市耀州区应急管理局</w:t>
      </w:r>
    </w:p>
    <w:p>
      <w:pPr>
        <w:pStyle w:val="null3"/>
        <w:jc w:val="center"/>
        <w:outlineLvl w:val="2"/>
      </w:pPr>
      <w:r>
        <w:rPr>
          <w:sz w:val="28"/>
          <w:b/>
        </w:rPr>
        <w:t>陕西乾盛汇鹏项目管理有限公司</w:t>
      </w:r>
      <w:r>
        <w:rPr>
          <w:sz w:val="28"/>
          <w:b/>
        </w:rPr>
        <w:t>共同编制</w:t>
      </w:r>
    </w:p>
    <w:p>
      <w:pPr>
        <w:pStyle w:val="null3"/>
        <w:jc w:val="center"/>
        <w:outlineLvl w:val="2"/>
      </w:pPr>
      <w:r>
        <w:rPr>
          <w:sz w:val="28"/>
          <w:b/>
        </w:rPr>
        <w:t>2024年11月06日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陕西乾盛汇鹏项目管理有限公司</w:t>
      </w:r>
      <w:r>
        <w:rPr/>
        <w:t>（以下简称“代理机构”）受</w:t>
      </w:r>
      <w:r>
        <w:rPr/>
        <w:t>铜川市耀州区应急管理局</w:t>
      </w:r>
      <w:r>
        <w:rPr/>
        <w:t>委托，拟对</w:t>
      </w:r>
      <w:r>
        <w:rPr/>
        <w:t>铜川市耀州区基层防汛减灾应急能力体系建设项目</w:t>
      </w:r>
      <w:r>
        <w:rPr/>
        <w:t>采用竞争性磋商采购方式进行采购，兹邀请供应商参加本项目的竞争性磋商。</w:t>
      </w:r>
    </w:p>
    <w:p>
      <w:pPr>
        <w:pStyle w:val="null3"/>
        <w:outlineLvl w:val="2"/>
      </w:pPr>
      <w:r>
        <w:rPr>
          <w:sz w:val="28"/>
          <w:b/>
        </w:rPr>
        <w:t>一、项目编号：</w:t>
      </w:r>
      <w:r>
        <w:rPr>
          <w:sz w:val="28"/>
          <w:b/>
        </w:rPr>
        <w:t>QSHP-CG-24-013</w:t>
      </w:r>
    </w:p>
    <w:p>
      <w:pPr>
        <w:pStyle w:val="null3"/>
        <w:outlineLvl w:val="2"/>
      </w:pPr>
      <w:r>
        <w:rPr>
          <w:sz w:val="28"/>
          <w:b/>
        </w:rPr>
        <w:t>二、项目名称：</w:t>
      </w:r>
      <w:r>
        <w:rPr>
          <w:sz w:val="28"/>
          <w:b/>
        </w:rPr>
        <w:t>铜川市耀州区基层防汛减灾应急能力体系建设项目</w:t>
      </w:r>
    </w:p>
    <w:p>
      <w:pPr>
        <w:pStyle w:val="null3"/>
        <w:outlineLvl w:val="2"/>
      </w:pPr>
      <w:r>
        <w:rPr>
          <w:sz w:val="28"/>
          <w:b/>
        </w:rPr>
        <w:t>三、磋商项目简介</w:t>
      </w:r>
    </w:p>
    <w:p>
      <w:pPr>
        <w:pStyle w:val="null3"/>
        <w:ind w:firstLine="480"/>
      </w:pPr>
      <w:r>
        <w:rPr/>
        <w:t>铜川市耀州区基层防汛减灾应急能力体系建设项目通过绘制镇村(社区)防汛转移避险路线图和网格管理图，开展防汛减灾业务专题培训，印制防汛应急行动指南等宣传资料，全面提升基层防汛减灾综合能力。</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采购包1（铜川市耀州区基层防汛减灾应急能力体系建设项目）：属于专门面向中小企业采购。</w:t>
      </w:r>
    </w:p>
    <w:p>
      <w:pPr>
        <w:pStyle w:val="null3"/>
        <w:ind w:firstLine="480"/>
      </w:pPr>
      <w:r>
        <w:rPr/>
        <w:t>（三）本项目的特定资格要求：</w:t>
      </w:r>
    </w:p>
    <w:p>
      <w:pPr>
        <w:pStyle w:val="null3"/>
      </w:pPr>
      <w:r>
        <w:rPr/>
        <w:t>采购包1：</w:t>
      </w:r>
    </w:p>
    <w:p>
      <w:pPr>
        <w:pStyle w:val="null3"/>
      </w:pPr>
      <w:r>
        <w:rPr/>
        <w:t>1、有效的主体资格证明：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t>2、法定代表人（主要负责人）委托授权书：法定代表人（主要负责人）委托代理人参加投标时，应提供法定代表人（主要负责人）授权委托书；法定代表人（主要负责人）亲自参加投标时，应提供法定代表人（主要负责人）身份证明书。供应商需在项目电子化交易系统中按要求上传相应证明文件并进行电子签章；</w:t>
      </w:r>
    </w:p>
    <w:p>
      <w:pPr>
        <w:pStyle w:val="null3"/>
      </w:pPr>
      <w:r>
        <w:rPr/>
        <w:t>3、财务状况报告：提供2023年度经审计的财务报告（包括“四表一注”即《资产负债表》《利润表》《现金流量表》《所有者权益变动表》及其附注；成立时间至提交投标文件截止时间不足一年的可提供成立后任意时段的资产负债表）或截至响应文件提交截止日一年内基本存款账户开户银行出具的资信证明及基本存款账户开户许可证（基本账户信息）或财政部门认可的政府采购专业担保机构出具的担保函；</w:t>
      </w:r>
    </w:p>
    <w:p>
      <w:pPr>
        <w:pStyle w:val="null3"/>
      </w:pPr>
      <w:r>
        <w:rPr/>
        <w:t>4、履约能力：提供具有履行合同所必需的设备和专业技术能力的承诺；</w:t>
      </w:r>
    </w:p>
    <w:p>
      <w:pPr>
        <w:pStyle w:val="null3"/>
      </w:pPr>
      <w:r>
        <w:rPr/>
        <w:t>5、税收缴纳证明：提供投标文件递交截止日前一年内已缴纳的至少一个月的纳税证明或完税证明（应至少包含增值税或企业所得税任意一种），依法免税的单位应提供相关证明材料；</w:t>
      </w:r>
    </w:p>
    <w:p>
      <w:pPr>
        <w:pStyle w:val="null3"/>
      </w:pPr>
      <w:r>
        <w:rPr/>
        <w:t>6、社保资金缴纳证明：提供投标文件递交截止日前一年内已缴存的至少一个月的城镇职工基本养老保险参保缴费证明，依法不需要缴纳的单位应提供相关证明材料；</w:t>
      </w:r>
    </w:p>
    <w:p>
      <w:pPr>
        <w:pStyle w:val="null3"/>
      </w:pPr>
      <w:r>
        <w:rPr/>
        <w:t>7、无重大违法记录声明：截至响应文件递交截止时间，供应商被列入《信用中国》“严重失信主体”及“重大税收违法失信主体”名单的，被列入《中国执行信息公开网》“失信被执行人”名单的，被列入《中国政府采购网》记录的“政府采购严重违法失信行为记录名单”中的，不得参加本项目的采购活动。供应商提供参加本次政府采购活动前3年内在经营活动中没有重大违法记录，以及未被列入严重失信主体、重大税收违法失信主体、失信被执行人、政府采购严重违法失信行为记录名单的书面声明。供应商需在项目电子化交易系统中按要求完成书面声明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铜川市耀州区应急管理局</w:t>
      </w:r>
    </w:p>
    <w:p>
      <w:pPr>
        <w:pStyle w:val="null3"/>
      </w:pPr>
      <w:r>
        <w:rPr/>
        <w:t xml:space="preserve"> 地址： </w:t>
      </w:r>
      <w:r>
        <w:rPr/>
        <w:t>铜川市耀州区文营西路煤炭局一层</w:t>
      </w:r>
    </w:p>
    <w:p>
      <w:pPr>
        <w:pStyle w:val="null3"/>
      </w:pPr>
      <w:r>
        <w:rPr/>
        <w:t xml:space="preserve"> 邮编： </w:t>
      </w:r>
      <w:r>
        <w:rPr/>
        <w:t>727100</w:t>
      </w:r>
    </w:p>
    <w:p>
      <w:pPr>
        <w:pStyle w:val="null3"/>
      </w:pPr>
      <w:r>
        <w:rPr/>
        <w:t xml:space="preserve"> 联系人： </w:t>
      </w:r>
      <w:r>
        <w:rPr/>
        <w:t>刘钊</w:t>
      </w:r>
    </w:p>
    <w:p>
      <w:pPr>
        <w:pStyle w:val="null3"/>
      </w:pPr>
      <w:r>
        <w:rPr/>
        <w:t xml:space="preserve"> 联系电话： </w:t>
      </w:r>
      <w:r>
        <w:rPr/>
        <w:t>13379175887</w:t>
      </w:r>
    </w:p>
    <w:p>
      <w:pPr>
        <w:pStyle w:val="null3"/>
        <w:outlineLvl w:val="3"/>
      </w:pPr>
      <w:r>
        <w:rPr>
          <w:sz w:val="24"/>
          <w:b/>
        </w:rPr>
        <w:t>代理机构：</w:t>
      </w:r>
      <w:r>
        <w:rPr>
          <w:sz w:val="24"/>
          <w:b/>
        </w:rPr>
        <w:t>陕西乾盛汇鹏项目管理有限公司</w:t>
      </w:r>
    </w:p>
    <w:p>
      <w:pPr>
        <w:pStyle w:val="null3"/>
      </w:pPr>
      <w:r>
        <w:rPr/>
        <w:t xml:space="preserve"> 地址： </w:t>
      </w:r>
      <w:r>
        <w:rPr/>
        <w:t>陕西省铜川市新区长虹南路长虹办公三楼</w:t>
      </w:r>
    </w:p>
    <w:p>
      <w:pPr>
        <w:pStyle w:val="null3"/>
      </w:pPr>
      <w:r>
        <w:rPr/>
        <w:t xml:space="preserve"> 邮编： </w:t>
      </w:r>
      <w:r>
        <w:rPr/>
        <w:t>727031</w:t>
      </w:r>
    </w:p>
    <w:p>
      <w:pPr>
        <w:pStyle w:val="null3"/>
      </w:pPr>
      <w:r>
        <w:rPr/>
        <w:t xml:space="preserve"> 联系人： </w:t>
      </w:r>
      <w:r>
        <w:rPr/>
        <w:t>吴兰兰</w:t>
      </w:r>
    </w:p>
    <w:p>
      <w:pPr>
        <w:pStyle w:val="null3"/>
      </w:pPr>
      <w:r>
        <w:rPr/>
        <w:t xml:space="preserve"> 联系电话： </w:t>
      </w:r>
      <w:r>
        <w:rPr/>
        <w:t>18717595266</w:t>
      </w:r>
    </w:p>
    <w:p>
      <w:pPr>
        <w:pStyle w:val="null3"/>
        <w:outlineLvl w:val="3"/>
      </w:pPr>
      <w:r>
        <w:rPr>
          <w:sz w:val="24"/>
          <w:b/>
        </w:rPr>
        <w:t>采购监督机构：</w:t>
      </w:r>
      <w:r>
        <w:rPr>
          <w:sz w:val="24"/>
          <w:b/>
        </w:rPr>
        <w:t>铜川市耀州区政府采购管理股</w:t>
      </w:r>
    </w:p>
    <w:p>
      <w:pPr>
        <w:pStyle w:val="null3"/>
        <w:ind w:firstLine="480"/>
      </w:pPr>
      <w:r>
        <w:rPr/>
        <w:t>联系人：</w:t>
      </w:r>
      <w:r>
        <w:rPr/>
        <w:t>肖静</w:t>
      </w:r>
    </w:p>
    <w:p>
      <w:pPr>
        <w:pStyle w:val="null3"/>
        <w:ind w:firstLine="480"/>
      </w:pPr>
      <w:r>
        <w:rPr/>
        <w:t>联系电话：</w:t>
      </w:r>
      <w:r>
        <w:rPr/>
        <w:t>0919-6602227</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代理服务费用收取对象：成交供应商 代理服务费收费标准：参考《国家计委关于印发〈招标代理服务费管理暂行办法〉的通知》（ 计价格【2002】1980号）、《国家发展和改革委员会办公厅关于招标代理服务收费有关问题 的通知》（发改办价格〔2003〕857号）、国家发展改革委《关于进一步放开建设项目专业服 务价格的通知》（发改价格〔2015〕299号）。</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铜川市耀州区应急管理局</w:t>
      </w:r>
      <w:r>
        <w:rPr/>
        <w:t>和</w:t>
      </w:r>
      <w:r>
        <w:rPr/>
        <w:t>陕西乾盛汇鹏项目管理有限公司</w:t>
      </w:r>
      <w:r>
        <w:rPr/>
        <w:t>享有。对磋商文件中供应商参加本次政府采购活动应当具备的条件，磋商项目技术、服务、商务及其他要求，评审细则及标准由</w:t>
      </w:r>
      <w:r>
        <w:rPr/>
        <w:t>铜川市耀州区应急管理局</w:t>
      </w:r>
      <w:r>
        <w:rPr/>
        <w:t>负责解释。除上述磋商文件内容，其他内容由</w:t>
      </w:r>
      <w:r>
        <w:rPr/>
        <w:t>陕西乾盛汇鹏项目管理有限公司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铜川市耀州区应急管理局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陕西乾盛汇鹏项目管理有限公司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符合国家及行业标准。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陕西乾盛汇鹏项目管理有限公司</w:t>
      </w:r>
      <w:r>
        <w:rPr/>
        <w:t xml:space="preserve"> 负责答复；供应商对除采购需求外的采购文件的询问、质疑由</w:t>
      </w:r>
      <w:r>
        <w:rPr/>
        <w:t>陕西乾盛汇鹏项目管理有限公司</w:t>
      </w:r>
      <w:r>
        <w:rPr/>
        <w:t xml:space="preserve"> 负责答复；供应商对采购过程、采购结果的询问、质疑由 </w:t>
      </w:r>
      <w:r>
        <w:rPr/>
        <w:t>陕西乾盛汇鹏项目管理有限公司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联系人：吴兰兰</w:t>
      </w:r>
    </w:p>
    <w:p>
      <w:pPr>
        <w:pStyle w:val="null3"/>
      </w:pPr>
      <w:r>
        <w:rPr/>
        <w:t>联系电话：18717595266</w:t>
      </w:r>
    </w:p>
    <w:p>
      <w:pPr>
        <w:pStyle w:val="null3"/>
      </w:pPr>
      <w:r>
        <w:rPr/>
        <w:t>地址：陕西省铜川市新区长虹南路长虹办公三楼</w:t>
      </w:r>
    </w:p>
    <w:p>
      <w:pPr>
        <w:pStyle w:val="null3"/>
      </w:pPr>
      <w:r>
        <w:rPr/>
        <w:t>邮编：727031</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铜川市耀州区基层防汛减灾应急能力体系建设项目通过绘制镇村(社区)防汛转移避险路线图和网格管理图，开展防汛减灾业务专题培训，印制防汛应急行动指南等宣传资料，全面提升基层防汛减灾综合能力。</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300,000.00</w:t>
      </w:r>
    </w:p>
    <w:p>
      <w:pPr>
        <w:pStyle w:val="null3"/>
      </w:pPr>
      <w:r>
        <w:rPr/>
        <w:t>采购包最高限价（元）: 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铜川市耀州区基层防汛减灾应急能力体系建设项目</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标的名称：铜川市耀州区基层防汛减灾应急能力体系建设项目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calibri" w:hAnsi="calibri" w:cs="calibri" w:eastAsia="calibri"/>
                <w:sz w:val="21"/>
              </w:rPr>
              <w:t>(</w:t>
            </w:r>
            <w:r>
              <w:rPr>
                <w:rFonts w:ascii="宋体" w:hAnsi="宋体" w:cs="宋体" w:eastAsia="宋体"/>
                <w:sz w:val="21"/>
              </w:rPr>
              <w:t>一</w:t>
            </w:r>
            <w:r>
              <w:rPr>
                <w:rFonts w:ascii="calibri" w:hAnsi="calibri" w:cs="calibri" w:eastAsia="calibri"/>
                <w:sz w:val="21"/>
              </w:rPr>
              <w:t>)</w:t>
            </w:r>
            <w:r>
              <w:rPr>
                <w:rFonts w:ascii="宋体" w:hAnsi="宋体" w:cs="宋体" w:eastAsia="宋体"/>
                <w:sz w:val="21"/>
              </w:rPr>
              <w:t>全区各镇办</w:t>
            </w:r>
            <w:r>
              <w:rPr>
                <w:rFonts w:ascii="calibri" w:hAnsi="calibri" w:cs="calibri" w:eastAsia="calibri"/>
                <w:sz w:val="21"/>
              </w:rPr>
              <w:t>32</w:t>
            </w:r>
            <w:r>
              <w:rPr>
                <w:rFonts w:ascii="宋体" w:hAnsi="宋体" w:cs="宋体" w:eastAsia="宋体"/>
                <w:sz w:val="21"/>
              </w:rPr>
              <w:t>个村</w:t>
            </w:r>
            <w:r>
              <w:rPr>
                <w:rFonts w:ascii="calibri" w:hAnsi="calibri" w:cs="calibri" w:eastAsia="calibri"/>
                <w:sz w:val="21"/>
              </w:rPr>
              <w:t>1</w:t>
            </w:r>
            <w:r>
              <w:rPr>
                <w:rFonts w:ascii="宋体" w:hAnsi="宋体" w:cs="宋体" w:eastAsia="宋体"/>
                <w:sz w:val="21"/>
              </w:rPr>
              <w:t>个社区实施以下内容</w:t>
            </w:r>
          </w:p>
          <w:p>
            <w:pPr>
              <w:pStyle w:val="null3"/>
              <w:jc w:val="both"/>
            </w:pPr>
            <w:r>
              <w:rPr>
                <w:rFonts w:ascii="calibri" w:hAnsi="calibri" w:cs="calibri" w:eastAsia="calibri"/>
                <w:sz w:val="21"/>
              </w:rPr>
              <w:t>1.</w:t>
            </w:r>
            <w:r>
              <w:rPr>
                <w:rFonts w:ascii="宋体" w:hAnsi="宋体" w:cs="宋体" w:eastAsia="宋体"/>
                <w:sz w:val="21"/>
              </w:rPr>
              <w:t>绘制村</w:t>
            </w:r>
            <w:r>
              <w:rPr>
                <w:rFonts w:ascii="calibri" w:hAnsi="calibri" w:cs="calibri" w:eastAsia="calibri"/>
                <w:sz w:val="21"/>
              </w:rPr>
              <w:t>(</w:t>
            </w:r>
            <w:r>
              <w:rPr>
                <w:rFonts w:ascii="宋体" w:hAnsi="宋体" w:cs="宋体" w:eastAsia="宋体"/>
                <w:sz w:val="21"/>
              </w:rPr>
              <w:t>社区</w:t>
            </w:r>
            <w:r>
              <w:rPr>
                <w:rFonts w:ascii="calibri" w:hAnsi="calibri" w:cs="calibri" w:eastAsia="calibri"/>
                <w:sz w:val="21"/>
              </w:rPr>
              <w:t>)</w:t>
            </w:r>
            <w:r>
              <w:rPr>
                <w:rFonts w:ascii="宋体" w:hAnsi="宋体" w:cs="宋体" w:eastAsia="宋体"/>
                <w:sz w:val="21"/>
              </w:rPr>
              <w:t>防汛转移避险路线图</w:t>
            </w:r>
          </w:p>
          <w:p>
            <w:pPr>
              <w:pStyle w:val="null3"/>
              <w:ind w:firstLine="420"/>
              <w:jc w:val="both"/>
            </w:pPr>
            <w:r>
              <w:rPr>
                <w:rFonts w:ascii="宋体" w:hAnsi="宋体" w:cs="宋体" w:eastAsia="宋体"/>
                <w:sz w:val="21"/>
              </w:rPr>
              <w:t>组织专业人员和村组</w:t>
            </w:r>
            <w:r>
              <w:rPr>
                <w:rFonts w:ascii="calibri" w:hAnsi="calibri" w:cs="calibri" w:eastAsia="calibri"/>
                <w:sz w:val="21"/>
              </w:rPr>
              <w:t>(</w:t>
            </w:r>
            <w:r>
              <w:rPr>
                <w:rFonts w:ascii="宋体" w:hAnsi="宋体" w:cs="宋体" w:eastAsia="宋体"/>
                <w:sz w:val="21"/>
              </w:rPr>
              <w:t>社区</w:t>
            </w:r>
            <w:r>
              <w:rPr>
                <w:rFonts w:ascii="calibri" w:hAnsi="calibri" w:cs="calibri" w:eastAsia="calibri"/>
                <w:sz w:val="21"/>
              </w:rPr>
              <w:t>)</w:t>
            </w:r>
            <w:r>
              <w:rPr>
                <w:rFonts w:ascii="宋体" w:hAnsi="宋体" w:cs="宋体" w:eastAsia="宋体"/>
                <w:sz w:val="21"/>
              </w:rPr>
              <w:t>骨干对辖区内公共基础设施</w:t>
            </w:r>
            <w:r>
              <w:rPr>
                <w:rFonts w:ascii="calibri" w:hAnsi="calibri" w:cs="calibri" w:eastAsia="calibri"/>
                <w:sz w:val="21"/>
              </w:rPr>
              <w:t>:</w:t>
            </w:r>
            <w:r>
              <w:rPr>
                <w:rFonts w:ascii="宋体" w:hAnsi="宋体" w:cs="宋体" w:eastAsia="宋体"/>
                <w:sz w:val="21"/>
              </w:rPr>
              <w:t>居民住房和河流等进行全面调查，对防汛隐患及时开展风险评估，明确灾害风险的时间、空间分布，重点突出防汛紧急疏散和转移安置路线，标注清楚危险点或风险区的人员居住区域、转移避险路线、安置场所、河流走向分布、公共设施分布等，据实绘制村社区防汛转移避险路线图，按实际需要设置成公示专栏</w:t>
            </w:r>
            <w:r>
              <w:rPr>
                <w:rFonts w:ascii="calibri" w:hAnsi="calibri" w:cs="calibri" w:eastAsia="calibri"/>
                <w:sz w:val="21"/>
              </w:rPr>
              <w:t>1</w:t>
            </w:r>
            <w:r>
              <w:rPr>
                <w:rFonts w:ascii="宋体" w:hAnsi="宋体" w:cs="宋体" w:eastAsia="宋体"/>
                <w:sz w:val="21"/>
              </w:rPr>
              <w:t>处，同时设置防汛减灾科普知识宣传栏</w:t>
            </w:r>
            <w:r>
              <w:rPr>
                <w:rFonts w:ascii="calibri" w:hAnsi="calibri" w:cs="calibri" w:eastAsia="calibri"/>
                <w:sz w:val="21"/>
              </w:rPr>
              <w:t>33</w:t>
            </w:r>
            <w:r>
              <w:rPr>
                <w:rFonts w:ascii="宋体" w:hAnsi="宋体" w:cs="宋体" w:eastAsia="宋体"/>
                <w:sz w:val="21"/>
              </w:rPr>
              <w:t>处，全区共设专栏</w:t>
            </w:r>
            <w:r>
              <w:rPr>
                <w:rFonts w:ascii="calibri" w:hAnsi="calibri" w:cs="calibri" w:eastAsia="calibri"/>
                <w:sz w:val="21"/>
              </w:rPr>
              <w:t>33</w:t>
            </w:r>
            <w:r>
              <w:rPr>
                <w:rFonts w:ascii="宋体" w:hAnsi="宋体" w:cs="宋体" w:eastAsia="宋体"/>
                <w:sz w:val="21"/>
              </w:rPr>
              <w:t>处。</w:t>
            </w:r>
          </w:p>
          <w:p>
            <w:pPr>
              <w:pStyle w:val="null3"/>
              <w:jc w:val="both"/>
            </w:pPr>
            <w:r>
              <w:rPr>
                <w:rFonts w:ascii="calibri" w:hAnsi="calibri" w:cs="calibri" w:eastAsia="calibri"/>
                <w:sz w:val="21"/>
              </w:rPr>
              <w:t>2.</w:t>
            </w:r>
            <w:r>
              <w:rPr>
                <w:rFonts w:ascii="宋体" w:hAnsi="宋体" w:cs="宋体" w:eastAsia="宋体"/>
                <w:sz w:val="21"/>
              </w:rPr>
              <w:t>绘制防汛减灾网格化管理图</w:t>
            </w:r>
          </w:p>
          <w:p>
            <w:pPr>
              <w:pStyle w:val="null3"/>
              <w:ind w:firstLine="420"/>
              <w:jc w:val="both"/>
            </w:pPr>
            <w:r>
              <w:rPr>
                <w:rFonts w:ascii="宋体" w:hAnsi="宋体" w:cs="宋体" w:eastAsia="宋体"/>
                <w:sz w:val="21"/>
              </w:rPr>
              <w:t>按照防汛转移避险工作网格化管理要求，通过实地调查，形成清单台账，绘制成村</w:t>
            </w:r>
            <w:r>
              <w:rPr>
                <w:rFonts w:ascii="calibri" w:hAnsi="calibri" w:cs="calibri" w:eastAsia="calibri"/>
                <w:sz w:val="21"/>
              </w:rPr>
              <w:t>(</w:t>
            </w:r>
            <w:r>
              <w:rPr>
                <w:rFonts w:ascii="宋体" w:hAnsi="宋体" w:cs="宋体" w:eastAsia="宋体"/>
                <w:sz w:val="21"/>
              </w:rPr>
              <w:t>社区</w:t>
            </w:r>
            <w:r>
              <w:rPr>
                <w:rFonts w:ascii="calibri" w:hAnsi="calibri" w:cs="calibri" w:eastAsia="calibri"/>
                <w:sz w:val="21"/>
              </w:rPr>
              <w:t>)</w:t>
            </w:r>
            <w:r>
              <w:rPr>
                <w:rFonts w:ascii="宋体" w:hAnsi="宋体" w:cs="宋体" w:eastAsia="宋体"/>
                <w:sz w:val="21"/>
              </w:rPr>
              <w:t xml:space="preserve">防汛减灾网格化管理图，明确山洪危险点、地质灾害威胁区、城市低洼点需要转移的群众户数人数，公布联户叫醒责任人姓名及电话，被联户叫醒的群众姓名，公布转移避险时使用的叫醒方式及信号等信息，设置成公示专栏，全区共设专栏 </w:t>
            </w:r>
            <w:r>
              <w:rPr>
                <w:rFonts w:ascii="calibri" w:hAnsi="calibri" w:cs="calibri" w:eastAsia="calibri"/>
                <w:sz w:val="21"/>
              </w:rPr>
              <w:t xml:space="preserve">33 </w:t>
            </w:r>
            <w:r>
              <w:rPr>
                <w:rFonts w:ascii="宋体" w:hAnsi="宋体" w:cs="宋体" w:eastAsia="宋体"/>
                <w:sz w:val="21"/>
              </w:rPr>
              <w:t>处。</w:t>
            </w:r>
          </w:p>
          <w:p>
            <w:pPr>
              <w:pStyle w:val="null3"/>
              <w:jc w:val="both"/>
            </w:pPr>
            <w:r>
              <w:rPr>
                <w:rFonts w:ascii="calibri" w:hAnsi="calibri" w:cs="calibri" w:eastAsia="calibri"/>
                <w:sz w:val="21"/>
              </w:rPr>
              <w:t>(</w:t>
            </w:r>
            <w:r>
              <w:rPr>
                <w:rFonts w:ascii="宋体" w:hAnsi="宋体" w:cs="宋体" w:eastAsia="宋体"/>
                <w:sz w:val="21"/>
              </w:rPr>
              <w:t>二</w:t>
            </w:r>
            <w:r>
              <w:rPr>
                <w:rFonts w:ascii="calibri" w:hAnsi="calibri" w:cs="calibri" w:eastAsia="calibri"/>
                <w:sz w:val="21"/>
              </w:rPr>
              <w:t>)</w:t>
            </w:r>
            <w:r>
              <w:rPr>
                <w:rFonts w:ascii="宋体" w:hAnsi="宋体" w:cs="宋体" w:eastAsia="宋体"/>
                <w:sz w:val="21"/>
              </w:rPr>
              <w:t>全区各镇办开展防汛减灾专题培训共</w:t>
            </w:r>
            <w:r>
              <w:rPr>
                <w:rFonts w:ascii="calibri" w:hAnsi="calibri" w:cs="calibri" w:eastAsia="calibri"/>
                <w:sz w:val="21"/>
              </w:rPr>
              <w:t>11</w:t>
            </w:r>
            <w:r>
              <w:rPr>
                <w:rFonts w:ascii="宋体" w:hAnsi="宋体" w:cs="宋体" w:eastAsia="宋体"/>
                <w:sz w:val="21"/>
              </w:rPr>
              <w:t>场次</w:t>
            </w:r>
          </w:p>
          <w:p>
            <w:pPr>
              <w:pStyle w:val="null3"/>
              <w:ind w:firstLine="420"/>
              <w:jc w:val="both"/>
            </w:pPr>
            <w:r>
              <w:rPr>
                <w:rFonts w:ascii="calibri" w:hAnsi="calibri" w:cs="calibri" w:eastAsia="calibri"/>
                <w:sz w:val="21"/>
              </w:rPr>
              <w:t>1.</w:t>
            </w:r>
            <w:r>
              <w:rPr>
                <w:rFonts w:ascii="宋体" w:hAnsi="宋体" w:cs="宋体" w:eastAsia="宋体"/>
                <w:sz w:val="21"/>
              </w:rPr>
              <w:t>邀请防汛减灾领域专家或业务骨干，围绕“基层防汛防滑日常业务、防汛应急演练实操、防汛应急抢险、防汛典型案例经验分享、防灾减灾常识和查灾报灾业务等方面进行专题培训，每个镇办利用半天时间开展专题培训</w:t>
            </w:r>
            <w:r>
              <w:rPr>
                <w:rFonts w:ascii="calibri" w:hAnsi="calibri" w:cs="calibri" w:eastAsia="calibri"/>
                <w:sz w:val="21"/>
              </w:rPr>
              <w:t>1</w:t>
            </w:r>
            <w:r>
              <w:rPr>
                <w:rFonts w:ascii="宋体" w:hAnsi="宋体" w:cs="宋体" w:eastAsia="宋体"/>
                <w:sz w:val="21"/>
              </w:rPr>
              <w:t>次</w:t>
            </w:r>
            <w:r>
              <w:rPr>
                <w:rFonts w:ascii="calibri" w:hAnsi="calibri" w:cs="calibri" w:eastAsia="calibri"/>
                <w:sz w:val="21"/>
              </w:rPr>
              <w:t>,</w:t>
            </w:r>
            <w:r>
              <w:rPr>
                <w:rFonts w:ascii="宋体" w:hAnsi="宋体" w:cs="宋体" w:eastAsia="宋体"/>
                <w:sz w:val="21"/>
              </w:rPr>
              <w:t>每次组织专业讲师</w:t>
            </w:r>
            <w:r>
              <w:rPr>
                <w:rFonts w:ascii="calibri" w:hAnsi="calibri" w:cs="calibri" w:eastAsia="calibri"/>
                <w:sz w:val="21"/>
              </w:rPr>
              <w:t>3</w:t>
            </w:r>
            <w:r>
              <w:rPr>
                <w:rFonts w:ascii="宋体" w:hAnsi="宋体" w:cs="宋体" w:eastAsia="宋体"/>
                <w:sz w:val="21"/>
              </w:rPr>
              <w:t>名，</w:t>
            </w:r>
            <w:r>
              <w:rPr>
                <w:rFonts w:ascii="宋体" w:hAnsi="宋体" w:cs="宋体" w:eastAsia="宋体"/>
                <w:sz w:val="21"/>
              </w:rPr>
              <w:t>分别制作讲课</w:t>
            </w:r>
            <w:r>
              <w:rPr>
                <w:rFonts w:ascii="calibri" w:hAnsi="calibri" w:cs="calibri" w:eastAsia="calibri"/>
                <w:sz w:val="21"/>
              </w:rPr>
              <w:t>PPT</w:t>
            </w:r>
            <w:r>
              <w:rPr>
                <w:rFonts w:ascii="宋体" w:hAnsi="宋体" w:cs="宋体" w:eastAsia="宋体"/>
                <w:sz w:val="21"/>
              </w:rPr>
              <w:t>课件</w:t>
            </w:r>
            <w:r>
              <w:rPr>
                <w:rFonts w:ascii="calibri" w:hAnsi="calibri" w:cs="calibri" w:eastAsia="calibri"/>
                <w:sz w:val="21"/>
              </w:rPr>
              <w:t>3</w:t>
            </w:r>
            <w:r>
              <w:rPr>
                <w:rFonts w:ascii="宋体" w:hAnsi="宋体" w:cs="宋体" w:eastAsia="宋体"/>
                <w:sz w:val="21"/>
              </w:rPr>
              <w:t>个</w:t>
            </w:r>
            <w:r>
              <w:rPr>
                <w:rFonts w:ascii="calibri" w:hAnsi="calibri" w:cs="calibri" w:eastAsia="calibri"/>
                <w:sz w:val="21"/>
              </w:rPr>
              <w:t>,</w:t>
            </w:r>
            <w:r>
              <w:rPr>
                <w:rFonts w:ascii="宋体" w:hAnsi="宋体" w:cs="宋体" w:eastAsia="宋体"/>
                <w:sz w:val="21"/>
              </w:rPr>
              <w:t>每场次每人印制并提供学习手提袋一个，包含笔记本</w:t>
            </w:r>
            <w:r>
              <w:rPr>
                <w:rFonts w:ascii="calibri" w:hAnsi="calibri" w:cs="calibri" w:eastAsia="calibri"/>
                <w:sz w:val="21"/>
              </w:rPr>
              <w:t>1</w:t>
            </w:r>
            <w:r>
              <w:rPr>
                <w:rFonts w:ascii="宋体" w:hAnsi="宋体" w:cs="宋体" w:eastAsia="宋体"/>
                <w:sz w:val="21"/>
              </w:rPr>
              <w:t>本、中性笔</w:t>
            </w:r>
            <w:r>
              <w:rPr>
                <w:rFonts w:ascii="calibri" w:hAnsi="calibri" w:cs="calibri" w:eastAsia="calibri"/>
                <w:sz w:val="21"/>
              </w:rPr>
              <w:t>1</w:t>
            </w:r>
            <w:r>
              <w:rPr>
                <w:rFonts w:ascii="宋体" w:hAnsi="宋体" w:cs="宋体" w:eastAsia="宋体"/>
                <w:sz w:val="21"/>
              </w:rPr>
              <w:t>个、培训指南</w:t>
            </w:r>
            <w:r>
              <w:rPr>
                <w:rFonts w:ascii="calibri" w:hAnsi="calibri" w:cs="calibri" w:eastAsia="calibri"/>
                <w:sz w:val="21"/>
              </w:rPr>
              <w:t>1</w:t>
            </w:r>
            <w:r>
              <w:rPr>
                <w:rFonts w:ascii="宋体" w:hAnsi="宋体" w:cs="宋体" w:eastAsia="宋体"/>
                <w:sz w:val="21"/>
              </w:rPr>
              <w:t>份、学习资料</w:t>
            </w:r>
            <w:r>
              <w:rPr>
                <w:rFonts w:ascii="calibri" w:hAnsi="calibri" w:cs="calibri" w:eastAsia="calibri"/>
                <w:sz w:val="21"/>
              </w:rPr>
              <w:t>1</w:t>
            </w:r>
            <w:r>
              <w:rPr>
                <w:rFonts w:ascii="宋体" w:hAnsi="宋体" w:cs="宋体" w:eastAsia="宋体"/>
                <w:sz w:val="21"/>
              </w:rPr>
              <w:t>套</w:t>
            </w:r>
            <w:r>
              <w:rPr>
                <w:rFonts w:ascii="calibri" w:hAnsi="calibri" w:cs="calibri" w:eastAsia="calibri"/>
                <w:sz w:val="21"/>
              </w:rPr>
              <w:t>(</w:t>
            </w:r>
            <w:r>
              <w:rPr>
                <w:rFonts w:ascii="宋体" w:hAnsi="宋体" w:cs="宋体" w:eastAsia="宋体"/>
                <w:sz w:val="21"/>
              </w:rPr>
              <w:t>课件资料、防汛应急行动指南、典型案例单行本等</w:t>
            </w:r>
            <w:r>
              <w:rPr>
                <w:rFonts w:ascii="calibri" w:hAnsi="calibri" w:cs="calibri" w:eastAsia="calibri"/>
                <w:sz w:val="21"/>
              </w:rPr>
              <w:t>)</w:t>
            </w:r>
            <w:r>
              <w:rPr>
                <w:rFonts w:ascii="宋体" w:hAnsi="宋体" w:cs="宋体" w:eastAsia="宋体"/>
                <w:sz w:val="21"/>
              </w:rPr>
              <w:t>、口杯和雨伞各</w:t>
            </w:r>
            <w:r>
              <w:rPr>
                <w:rFonts w:ascii="calibri" w:hAnsi="calibri" w:cs="calibri" w:eastAsia="calibri"/>
                <w:sz w:val="21"/>
              </w:rPr>
              <w:t>1</w:t>
            </w:r>
            <w:r>
              <w:rPr>
                <w:rFonts w:ascii="宋体" w:hAnsi="宋体" w:cs="宋体" w:eastAsia="宋体"/>
                <w:sz w:val="21"/>
              </w:rPr>
              <w:t>个。落实会场</w:t>
            </w:r>
            <w:r>
              <w:rPr>
                <w:rFonts w:ascii="calibri" w:hAnsi="calibri" w:cs="calibri" w:eastAsia="calibri"/>
                <w:sz w:val="21"/>
              </w:rPr>
              <w:t>1</w:t>
            </w:r>
            <w:r>
              <w:rPr>
                <w:rFonts w:ascii="宋体" w:hAnsi="宋体" w:cs="宋体" w:eastAsia="宋体"/>
                <w:sz w:val="21"/>
              </w:rPr>
              <w:t>处，租用笔记本、投影仪、扩音话简等设备，培训期间提供一次性水杯、茶叶等，培训实行走读模式，不提供餐食服务。</w:t>
            </w:r>
          </w:p>
          <w:p>
            <w:pPr>
              <w:pStyle w:val="null3"/>
              <w:jc w:val="both"/>
            </w:pPr>
            <w:r>
              <w:rPr>
                <w:rFonts w:ascii="calibri" w:hAnsi="calibri" w:cs="calibri" w:eastAsia="calibri"/>
                <w:sz w:val="21"/>
              </w:rPr>
              <w:t>(</w:t>
            </w:r>
            <w:r>
              <w:rPr>
                <w:rFonts w:ascii="宋体" w:hAnsi="宋体" w:cs="宋体" w:eastAsia="宋体"/>
                <w:sz w:val="21"/>
              </w:rPr>
              <w:t>三</w:t>
            </w:r>
            <w:r>
              <w:rPr>
                <w:rFonts w:ascii="calibri" w:hAnsi="calibri" w:cs="calibri" w:eastAsia="calibri"/>
                <w:sz w:val="21"/>
              </w:rPr>
              <w:t>)</w:t>
            </w:r>
            <w:r>
              <w:rPr>
                <w:rFonts w:ascii="宋体" w:hAnsi="宋体" w:cs="宋体" w:eastAsia="宋体"/>
                <w:sz w:val="21"/>
              </w:rPr>
              <w:t>为各镇办印制防汛减灾相关手册、宣传资料</w:t>
            </w:r>
          </w:p>
          <w:p>
            <w:pPr>
              <w:pStyle w:val="null3"/>
              <w:ind w:firstLine="420"/>
              <w:jc w:val="both"/>
            </w:pPr>
            <w:r>
              <w:rPr>
                <w:rFonts w:ascii="calibri" w:hAnsi="calibri" w:cs="calibri" w:eastAsia="calibri"/>
                <w:sz w:val="21"/>
              </w:rPr>
              <w:t>1.</w:t>
            </w:r>
            <w:r>
              <w:rPr>
                <w:rFonts w:ascii="宋体" w:hAnsi="宋体" w:cs="宋体" w:eastAsia="宋体"/>
                <w:sz w:val="21"/>
              </w:rPr>
              <w:t>汇编《耀州区防汛应急系行动指南》</w:t>
            </w:r>
            <w:r>
              <w:rPr>
                <w:rFonts w:ascii="calibri" w:hAnsi="calibri" w:cs="calibri" w:eastAsia="calibri"/>
                <w:sz w:val="21"/>
              </w:rPr>
              <w:t>500</w:t>
            </w:r>
            <w:r>
              <w:rPr>
                <w:rFonts w:ascii="宋体" w:hAnsi="宋体" w:cs="宋体" w:eastAsia="宋体"/>
                <w:sz w:val="21"/>
              </w:rPr>
              <w:t>册</w:t>
            </w:r>
            <w:r>
              <w:rPr>
                <w:rFonts w:ascii="calibri" w:hAnsi="calibri" w:cs="calibri" w:eastAsia="calibri"/>
                <w:sz w:val="21"/>
              </w:rPr>
              <w:t>(</w:t>
            </w:r>
            <w:r>
              <w:rPr>
                <w:rFonts w:ascii="宋体" w:hAnsi="宋体" w:cs="宋体" w:eastAsia="宋体"/>
                <w:sz w:val="21"/>
              </w:rPr>
              <w:t>每册</w:t>
            </w:r>
            <w:r>
              <w:rPr>
                <w:rFonts w:ascii="calibri" w:hAnsi="calibri" w:cs="calibri" w:eastAsia="calibri"/>
                <w:sz w:val="21"/>
              </w:rPr>
              <w:t>350</w:t>
            </w:r>
            <w:r>
              <w:rPr>
                <w:rFonts w:ascii="宋体" w:hAnsi="宋体" w:cs="宋体" w:eastAsia="宋体"/>
                <w:sz w:val="21"/>
              </w:rPr>
              <w:t>页</w:t>
            </w:r>
            <w:r>
              <w:rPr>
                <w:rFonts w:ascii="calibri" w:hAnsi="calibri" w:cs="calibri" w:eastAsia="calibri"/>
                <w:sz w:val="21"/>
              </w:rPr>
              <w:t>).</w:t>
            </w:r>
            <w:r>
              <w:rPr>
                <w:rFonts w:ascii="宋体" w:hAnsi="宋体" w:cs="宋体" w:eastAsia="宋体"/>
                <w:sz w:val="21"/>
              </w:rPr>
              <w:t>通过对全区各镇办进行实地调查，形成各镇办防汛总清单、总台账，包含防汛组织体系图、应急响应流程图、镇办领导防汛站位、村组领导防汛站位、防汛抗旱指挥部成员单位联络表、山洪灾害危险区防汛责任清单、地质灾害点防汛防滑责任清单、农村道路防汛责任清单、鱼塘防汛责任清单、易受灾住房和临河临沟住户防汛责任清单、桥梁和涵洞防汛责任清单、临时转移安置点清单、应急抢险队伍列表、镇村</w:t>
            </w:r>
            <w:r>
              <w:rPr>
                <w:rFonts w:ascii="calibri" w:hAnsi="calibri" w:cs="calibri" w:eastAsia="calibri"/>
                <w:sz w:val="21"/>
              </w:rPr>
              <w:t>(</w:t>
            </w:r>
            <w:r>
              <w:rPr>
                <w:rFonts w:ascii="宋体" w:hAnsi="宋体" w:cs="宋体" w:eastAsia="宋体"/>
                <w:sz w:val="21"/>
              </w:rPr>
              <w:t>社区</w:t>
            </w:r>
            <w:r>
              <w:rPr>
                <w:rFonts w:ascii="calibri" w:hAnsi="calibri" w:cs="calibri" w:eastAsia="calibri"/>
                <w:sz w:val="21"/>
              </w:rPr>
              <w:t>)</w:t>
            </w:r>
            <w:r>
              <w:rPr>
                <w:rFonts w:ascii="宋体" w:hAnsi="宋体" w:cs="宋体" w:eastAsia="宋体"/>
                <w:sz w:val="21"/>
              </w:rPr>
              <w:t>卫星电话联络表、防汛抢险物资储备情况表、医疗救护资源信息表、防汛防滑抢险车辆情况表、转移避险撤离路线图等内容。</w:t>
            </w:r>
          </w:p>
          <w:p>
            <w:pPr>
              <w:pStyle w:val="null3"/>
              <w:ind w:firstLine="420"/>
              <w:jc w:val="both"/>
            </w:pPr>
            <w:r>
              <w:rPr>
                <w:rFonts w:ascii="calibri" w:hAnsi="calibri" w:cs="calibri" w:eastAsia="calibri"/>
                <w:sz w:val="21"/>
              </w:rPr>
              <w:t>2.</w:t>
            </w:r>
            <w:r>
              <w:rPr>
                <w:rFonts w:ascii="宋体" w:hAnsi="宋体" w:cs="宋体" w:eastAsia="宋体"/>
                <w:sz w:val="21"/>
              </w:rPr>
              <w:t>编写《城市内涝复盘经验启示》读本</w:t>
            </w:r>
            <w:r>
              <w:rPr>
                <w:rFonts w:ascii="calibri" w:hAnsi="calibri" w:cs="calibri" w:eastAsia="calibri"/>
                <w:sz w:val="21"/>
              </w:rPr>
              <w:t>600</w:t>
            </w:r>
            <w:r>
              <w:rPr>
                <w:rFonts w:ascii="宋体" w:hAnsi="宋体" w:cs="宋体" w:eastAsia="宋体"/>
                <w:sz w:val="21"/>
              </w:rPr>
              <w:t>册</w:t>
            </w:r>
            <w:r>
              <w:rPr>
                <w:rFonts w:ascii="calibri" w:hAnsi="calibri" w:cs="calibri" w:eastAsia="calibri"/>
                <w:sz w:val="21"/>
              </w:rPr>
              <w:t>(</w:t>
            </w:r>
            <w:r>
              <w:rPr>
                <w:rFonts w:ascii="宋体" w:hAnsi="宋体" w:cs="宋体" w:eastAsia="宋体"/>
                <w:sz w:val="21"/>
              </w:rPr>
              <w:t>每册</w:t>
            </w:r>
            <w:r>
              <w:rPr>
                <w:rFonts w:ascii="calibri" w:hAnsi="calibri" w:cs="calibri" w:eastAsia="calibri"/>
                <w:sz w:val="21"/>
              </w:rPr>
              <w:t>10</w:t>
            </w:r>
            <w:r>
              <w:rPr>
                <w:rFonts w:ascii="宋体" w:hAnsi="宋体" w:cs="宋体" w:eastAsia="宋体"/>
                <w:sz w:val="21"/>
              </w:rPr>
              <w:t>页</w:t>
            </w:r>
            <w:r>
              <w:rPr>
                <w:rFonts w:ascii="calibri" w:hAnsi="calibri" w:cs="calibri" w:eastAsia="calibri"/>
                <w:sz w:val="21"/>
              </w:rPr>
              <w:t>)</w:t>
            </w:r>
            <w:r>
              <w:rPr>
                <w:rFonts w:ascii="宋体" w:hAnsi="宋体" w:cs="宋体" w:eastAsia="宋体"/>
                <w:sz w:val="21"/>
              </w:rPr>
              <w:t>通过对城市内涝典型案例正反面经验进行总结和复盘，对照耀州区防汛及城市防内涝的客观形势，逐项列出正面经验和负面经验，形成经验总结性材料，印制成册，供全区各镇办借鉴学习</w:t>
            </w:r>
          </w:p>
          <w:p>
            <w:pPr>
              <w:pStyle w:val="null3"/>
              <w:ind w:firstLine="420"/>
              <w:jc w:val="both"/>
            </w:pPr>
            <w:r>
              <w:rPr>
                <w:rFonts w:ascii="calibri" w:hAnsi="calibri" w:cs="calibri" w:eastAsia="calibri"/>
                <w:sz w:val="21"/>
              </w:rPr>
              <w:t>3.</w:t>
            </w:r>
            <w:r>
              <w:rPr>
                <w:rFonts w:ascii="宋体" w:hAnsi="宋体" w:cs="宋体" w:eastAsia="宋体"/>
                <w:sz w:val="21"/>
              </w:rPr>
              <w:t>印制防汛防滑、防灾减灾等科普知识宣传单页</w:t>
            </w:r>
            <w:r>
              <w:rPr>
                <w:rFonts w:ascii="calibri" w:hAnsi="calibri" w:cs="calibri" w:eastAsia="calibri"/>
                <w:sz w:val="21"/>
              </w:rPr>
              <w:t>2</w:t>
            </w:r>
            <w:r>
              <w:rPr>
                <w:rFonts w:ascii="宋体" w:hAnsi="宋体" w:cs="宋体" w:eastAsia="宋体"/>
                <w:sz w:val="21"/>
              </w:rPr>
              <w:t>万份发放给各镇办、各村组和社区，提高全民防汛减灾安全防范意识，加大科普防汛知识力度，有效提高基层一线群众防汛减灾和应急避险的常识和能力。</w:t>
            </w:r>
          </w:p>
          <w:p>
            <w:pPr>
              <w:pStyle w:val="null3"/>
              <w:ind w:firstLine="420"/>
              <w:jc w:val="both"/>
            </w:pPr>
          </w:p>
        </w:tc>
      </w:tr>
    </w:tbl>
    <w:p>
      <w:pPr>
        <w:pStyle w:val="null3"/>
        <w:outlineLvl w:val="2"/>
      </w:pPr>
      <w:r>
        <w:rPr>
          <w:sz w:val="28"/>
          <w:b/>
        </w:rPr>
        <w:t>3.2.3人员配置要求</w:t>
      </w:r>
    </w:p>
    <w:p>
      <w:pPr>
        <w:pStyle w:val="null3"/>
      </w:pPr>
      <w:r>
        <w:rPr/>
        <w:t>采购包1：</w:t>
      </w:r>
    </w:p>
    <w:p>
      <w:pPr>
        <w:pStyle w:val="null3"/>
      </w:pPr>
      <w:r>
        <w:rPr/>
        <w:t>供应商根据服务要求自行响应</w:t>
      </w:r>
    </w:p>
    <w:p>
      <w:pPr>
        <w:pStyle w:val="null3"/>
        <w:outlineLvl w:val="2"/>
      </w:pPr>
      <w:r>
        <w:rPr>
          <w:sz w:val="28"/>
          <w:b/>
        </w:rPr>
        <w:t>3.2.4设施设备要求</w:t>
      </w:r>
    </w:p>
    <w:p>
      <w:pPr>
        <w:pStyle w:val="null3"/>
      </w:pPr>
      <w:r>
        <w:rPr/>
        <w:t>采购包1：</w:t>
      </w:r>
    </w:p>
    <w:p>
      <w:pPr>
        <w:pStyle w:val="null3"/>
      </w:pPr>
      <w:r>
        <w:rPr/>
        <w:t>供应商根据服务要求自行响应</w:t>
      </w:r>
    </w:p>
    <w:p>
      <w:pPr>
        <w:pStyle w:val="null3"/>
        <w:outlineLvl w:val="2"/>
      </w:pPr>
      <w:r>
        <w:rPr>
          <w:sz w:val="28"/>
          <w:b/>
        </w:rPr>
        <w:t>3.2.5其他要求</w:t>
      </w:r>
    </w:p>
    <w:p>
      <w:pPr>
        <w:pStyle w:val="null3"/>
      </w:pPr>
      <w:r>
        <w:rPr/>
        <w:t>采购包1：</w:t>
      </w:r>
    </w:p>
    <w:p>
      <w:pPr>
        <w:pStyle w:val="null3"/>
      </w:pPr>
      <w:r>
        <w:rPr/>
        <w:t>供应商根据服务要求自行响应</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60日历天</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项目完成后，成交供应商书面提出验收申请，由采购人或组织相关人员成立验收小组对项目进行验收，完善项目资料， 形成验收报告。 2.其他未尽事宜应严格按照《财政部关于进一步加强政府采购需求和履约验收管理的指导意见》(财库(2016) 205号)的要求进行。</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完成服务内容并验收合格</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按《中华人民共和国政府采购法》第七十三条、《中华人民共和国民法典》第五百七十七条中的相关条款执行。未按合同 或磋商文件要求提供的产品或者服务，质量不能满足采购人技术要求，采购单位有权终止合同，甚至对供应商违约行为进行追 究。供应商的磋商响应文件为签订正式书面合同书不可分割的部分，磋商响应应履行相应的责任。</w:t>
      </w:r>
    </w:p>
    <w:p>
      <w:pPr>
        <w:pStyle w:val="null3"/>
        <w:outlineLvl w:val="2"/>
      </w:pPr>
      <w:r>
        <w:rPr>
          <w:sz w:val="28"/>
          <w:b/>
        </w:rPr>
        <w:t>3.4其他要求</w:t>
      </w:r>
    </w:p>
    <w:p>
      <w:pPr>
        <w:pStyle w:val="null3"/>
      </w:pPr>
      <w:r>
        <w:rPr/>
        <w:t>各供应商应根据“陕西省财政厅 陕财办采函[2023]14号文”《陕西省财政厅关于省级预算单位全面推行政府采购项目电子化交易的通知》、“陕西省财政厅陕财办采[2022]9号文”《政府采购项目电子化交易规则》等文件的要求，做好人员配备、设施设备的相应准备，熟悉并正确实施相关操作流程，承担由于操作或其他因素造成的不利后果。</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①可提供2023年度经审计的财务报告（包含审计报告和审计报告中所涉及的财务报表和报表附注），②可提供2023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法定代表人（主要负责人）委托授权书</w:t>
            </w:r>
          </w:p>
        </w:tc>
        <w:tc>
          <w:tcPr>
            <w:tcW w:type="dxa" w:w="3322"/>
          </w:tcPr>
          <w:p>
            <w:pPr>
              <w:pStyle w:val="null3"/>
            </w:pPr>
            <w:r>
              <w:rPr/>
              <w:t>法定代表人（主要负责人）委托代理人参加投标时，应提供法定代表人（主要负责人）授权委托书；法定代表人（主要负责人）亲自参加投标时，应提供法定代表人（主要负责人）身份证明书。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2023年度经审计的财务报告（包括“四表一注”即《资产负债表》《利润表》《现金流量表》《所有者权益变动表》及其附注；成立时间至提交投标文件截止时间不足一年的可提供成立后任意时段的资产负债表）或截至响应文件提交截止日一年内基本存款账户开户银行出具的资信证明及基本存款账户开户许可证（基本账户信息）或财政部门认可的政府采购专业担保机构出具的担保函；</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履约能力</w:t>
            </w:r>
          </w:p>
        </w:tc>
        <w:tc>
          <w:tcPr>
            <w:tcW w:type="dxa" w:w="3322"/>
          </w:tcPr>
          <w:p>
            <w:pPr>
              <w:pStyle w:val="null3"/>
            </w:pPr>
            <w:r>
              <w:rPr/>
              <w:t>提供具有履行合同所必需的设备和专业技术能力的承诺；</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提供投标文件递交截止日前一年内已缴纳的至少一个月的纳税证明或完税证明（应至少包含增值税或企业所得税任意一种），依法免税的单位应提供相关证明材料；</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社保资金缴纳证明</w:t>
            </w:r>
          </w:p>
        </w:tc>
        <w:tc>
          <w:tcPr>
            <w:tcW w:type="dxa" w:w="3322"/>
          </w:tcPr>
          <w:p>
            <w:pPr>
              <w:pStyle w:val="null3"/>
            </w:pPr>
            <w:r>
              <w:rPr/>
              <w:t>提供投标文件递交截止日前一年内已缴存的至少一个月的城镇职工基本养老保险参保缴费证明，依法不需要缴纳的单位应提供相关证明材料；</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无重大违法记录声明</w:t>
            </w:r>
          </w:p>
        </w:tc>
        <w:tc>
          <w:tcPr>
            <w:tcW w:type="dxa" w:w="3322"/>
          </w:tcPr>
          <w:p>
            <w:pPr>
              <w:pStyle w:val="null3"/>
            </w:pPr>
            <w:r>
              <w:rPr/>
              <w:t>截至响应文件递交截止时间，供应商被列入《信用中国》“严重失信主体”及“重大税收违法失信主体”名单的，被列入《中国执行信息公开网》“失信被执行人”名单的，被列入《中国政府采购网》记录的“政府采购严重违法失信行为记录名单”中的，不得参加本项目的采购活动。供应商提供参加本次政府采购活动前3年内在经营活动中没有重大违法记录，以及未被列入严重失信主体、重大税收违法失信主体、失信被执行人、政府采购严重违法失信行为记录名单的书面声明。供应商需在项目电子化交易系统中按要求完成书面声明并进行电子签章。</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投标单位名称</w:t>
            </w:r>
          </w:p>
        </w:tc>
        <w:tc>
          <w:tcPr>
            <w:tcW w:type="dxa" w:w="3322"/>
          </w:tcPr>
          <w:p>
            <w:pPr>
              <w:pStyle w:val="null3"/>
            </w:pPr>
            <w:r>
              <w:rPr/>
              <w:t>与营业执照一致</w:t>
            </w:r>
          </w:p>
        </w:tc>
        <w:tc>
          <w:tcPr>
            <w:tcW w:type="dxa" w:w="1661"/>
          </w:tcPr>
          <w:p>
            <w:pPr>
              <w:pStyle w:val="null3"/>
            </w:pPr>
            <w:r>
              <w:rPr/>
              <w:t>响应文件封面 服务内容及服务邀请应答表 中小企业声明函 服务方案 供应商应提交的相关资格证明材料 标的清单 报价表 响应函</w:t>
            </w:r>
          </w:p>
        </w:tc>
      </w:tr>
      <w:tr>
        <w:tc>
          <w:tcPr>
            <w:tcW w:type="dxa" w:w="831"/>
          </w:tcPr>
          <w:p>
            <w:pPr>
              <w:pStyle w:val="null3"/>
            </w:pPr>
            <w:r>
              <w:rPr/>
              <w:t>3</w:t>
            </w:r>
          </w:p>
        </w:tc>
        <w:tc>
          <w:tcPr>
            <w:tcW w:type="dxa" w:w="2492"/>
          </w:tcPr>
          <w:p>
            <w:pPr>
              <w:pStyle w:val="null3"/>
            </w:pPr>
            <w:r>
              <w:rPr/>
              <w:t>投标文件组成</w:t>
            </w:r>
          </w:p>
        </w:tc>
        <w:tc>
          <w:tcPr>
            <w:tcW w:type="dxa" w:w="3322"/>
          </w:tcPr>
          <w:p>
            <w:pPr>
              <w:pStyle w:val="null3"/>
            </w:pPr>
            <w:r>
              <w:rPr/>
              <w:t>未出现实质性内容的缺漏项</w:t>
            </w:r>
          </w:p>
        </w:tc>
        <w:tc>
          <w:tcPr>
            <w:tcW w:type="dxa" w:w="1661"/>
          </w:tcPr>
          <w:p>
            <w:pPr>
              <w:pStyle w:val="null3"/>
            </w:pPr>
            <w:r>
              <w:rPr/>
              <w:t>响应文件封面 服务内容及服务邀请应答表 中小企业声明函 残疾人福利性单位声明函 商务应答表 服务方案 标的清单 供应商应提交的相关资格证明材料 报价表 响应函 监狱企业的证明文件</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符合磋商文件要求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投标报价</w:t>
            </w:r>
          </w:p>
        </w:tc>
        <w:tc>
          <w:tcPr>
            <w:tcW w:type="dxa" w:w="3322"/>
          </w:tcPr>
          <w:p>
            <w:pPr>
              <w:pStyle w:val="null3"/>
            </w:pPr>
            <w:r>
              <w:rPr/>
              <w:t>同时满足以下条款：（1）报价唯一 （2）未超 出采购预算或最高限价</w:t>
            </w:r>
          </w:p>
        </w:tc>
        <w:tc>
          <w:tcPr>
            <w:tcW w:type="dxa" w:w="1661"/>
          </w:tcPr>
          <w:p>
            <w:pPr>
              <w:pStyle w:val="null3"/>
            </w:pPr>
            <w:r>
              <w:rPr/>
              <w:t>报价表</w:t>
            </w:r>
          </w:p>
        </w:tc>
      </w:tr>
      <w:tr>
        <w:tc>
          <w:tcPr>
            <w:tcW w:type="dxa" w:w="831"/>
          </w:tcPr>
          <w:p>
            <w:pPr>
              <w:pStyle w:val="null3"/>
            </w:pPr>
            <w:r>
              <w:rPr/>
              <w:t>6</w:t>
            </w:r>
          </w:p>
        </w:tc>
        <w:tc>
          <w:tcPr>
            <w:tcW w:type="dxa" w:w="2492"/>
          </w:tcPr>
          <w:p>
            <w:pPr>
              <w:pStyle w:val="null3"/>
            </w:pPr>
            <w:r>
              <w:rPr/>
              <w:t>商务要求</w:t>
            </w:r>
          </w:p>
        </w:tc>
        <w:tc>
          <w:tcPr>
            <w:tcW w:type="dxa" w:w="3322"/>
          </w:tcPr>
          <w:p>
            <w:pPr>
              <w:pStyle w:val="null3"/>
            </w:pPr>
            <w:r>
              <w:rPr/>
              <w:t>投标文件商务要求未出现重大负偏离</w:t>
            </w:r>
          </w:p>
        </w:tc>
        <w:tc>
          <w:tcPr>
            <w:tcW w:type="dxa" w:w="1661"/>
          </w:tcPr>
          <w:p>
            <w:pPr>
              <w:pStyle w:val="null3"/>
            </w:pPr>
            <w:r>
              <w:rPr/>
              <w:t>商务应答表</w:t>
            </w:r>
          </w:p>
        </w:tc>
      </w:tr>
      <w:tr>
        <w:tc>
          <w:tcPr>
            <w:tcW w:type="dxa" w:w="831"/>
          </w:tcPr>
          <w:p>
            <w:pPr>
              <w:pStyle w:val="null3"/>
            </w:pPr>
            <w:r>
              <w:rPr/>
              <w:t>7</w:t>
            </w:r>
          </w:p>
        </w:tc>
        <w:tc>
          <w:tcPr>
            <w:tcW w:type="dxa" w:w="2492"/>
          </w:tcPr>
          <w:p>
            <w:pPr>
              <w:pStyle w:val="null3"/>
            </w:pPr>
            <w:r>
              <w:rPr/>
              <w:t>投标文件签署、盖章</w:t>
            </w:r>
          </w:p>
        </w:tc>
        <w:tc>
          <w:tcPr>
            <w:tcW w:type="dxa" w:w="3322"/>
          </w:tcPr>
          <w:p>
            <w:pPr>
              <w:pStyle w:val="null3"/>
            </w:pPr>
            <w:r>
              <w:rPr/>
              <w:t>投标文件的签署、盖章合法、有效</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对采购人提出的各项服务内容提供具体详细的实施方案，方案总体思路清晰，实施方法及工作安排合理，涵盖内容全面，符合项目立项目的，得15-20分； 实施方案总体思路较清晰，实施方法及工作安排较合理，涵盖内容较全面，基本符合项目立项目的，得10-15分； 实施方案总体思路不成熟，实施方法略有欠缺，涵盖内容不够全面，与项目立项目的有偏差的，得0-10分。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质量保证措施</w:t>
            </w:r>
          </w:p>
        </w:tc>
        <w:tc>
          <w:tcPr>
            <w:tcW w:type="dxa" w:w="2492"/>
          </w:tcPr>
          <w:p>
            <w:pPr>
              <w:pStyle w:val="null3"/>
            </w:pPr>
            <w:r>
              <w:rPr/>
              <w:t>质量措施方案科学、合理可行得10-15分； 质量措施方案较科学、较合理可行得5-10分； 质量措施方案一般，可行性差得0-5分。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管理措施及制度</w:t>
            </w:r>
          </w:p>
        </w:tc>
        <w:tc>
          <w:tcPr>
            <w:tcW w:type="dxa" w:w="2492"/>
          </w:tcPr>
          <w:p>
            <w:pPr>
              <w:pStyle w:val="null3"/>
            </w:pPr>
            <w:r>
              <w:rPr/>
              <w:t>项目管理措施完善、规范，能有效地保障项目实施过程的衔接、保证项目质量，具有突发事件应急预案，具有完备的质量保障系统、管理制度、具体措施和承诺，可行性高的，得10-15分； 项目管理措施较完善、规范，具有质量保障系统、管理制度、具体措施和承诺，得5-10分； 具有项目管理措施及制度，但内容简单，可行度不高的，得0-5分。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拟派项目团队配置齐全、结构合理、分工明确，具有相关职称和资格、从业经历、参与经验等，由磋商小组对各供应商响应情况，自主赋：0-10分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项目进度</w:t>
            </w:r>
          </w:p>
        </w:tc>
        <w:tc>
          <w:tcPr>
            <w:tcW w:type="dxa" w:w="2492"/>
          </w:tcPr>
          <w:p>
            <w:pPr>
              <w:pStyle w:val="null3"/>
            </w:pPr>
            <w:r>
              <w:rPr/>
              <w:t>进度计划时间安排得当，重点突出，能充分体现工作效率及工作效果；全面高效，可行性高，得7-10分；不全面，可行性一般，得3-7分；内容简单，不可行，得0-3分。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硬件设施</w:t>
            </w:r>
          </w:p>
        </w:tc>
        <w:tc>
          <w:tcPr>
            <w:tcW w:type="dxa" w:w="2492"/>
          </w:tcPr>
          <w:p>
            <w:pPr>
              <w:pStyle w:val="null3"/>
            </w:pPr>
            <w:r>
              <w:rPr/>
              <w:t>针对本项目拟配备的硬件设施（包含但不限于培训场所、多媒体设施等），按其响应程度自主赋分： 设备配备齐全，环境优良，完全满足本项目需求，计[7-10]分； 设备配备基本齐全，环境一般，基本满足本项目需求，计[4-7)分； 设备配备不齐全，环境较差，不够满足本项目需求，计[0-4)分。 评审依据：提供图片等相关证明材料，仅文字说明的不得分。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供应商针对本项目提供切实合理的服务承诺，根据供应商响应情况赋0-5分。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投标人近三年（2021年11月至今）具有类似项目业绩，每提供一份计1分，满分5分。 评审依据：提供投标人加盖公章的合同协议书复印件，以合同签订时间为准。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价格分</w:t>
            </w:r>
          </w:p>
        </w:tc>
        <w:tc>
          <w:tcPr>
            <w:tcW w:type="dxa" w:w="2492"/>
          </w:tcPr>
          <w:p>
            <w:pPr>
              <w:pStyle w:val="null3"/>
            </w:pPr>
            <w:r>
              <w:rPr/>
              <w:t>1.满足磋商文件实质性要求且最终报价最低的供应商的价格为磋商基准价，其价格分为满分10分。 2.磋商报价得分=（磋商基准价/最终磋商报价）×10的公式计算得分。 3.磋商报价不完整的，不进入磋商标准价的计算，本项得0分。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详见附件：供应商应提交的相关资格证明材料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