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val="0"/>
        <w:pageBreakBefore w:val="0"/>
        <w:widowControl w:val="0"/>
        <w:kinsoku/>
        <w:wordWrap/>
        <w:overflowPunct/>
        <w:topLinePunct w:val="0"/>
        <w:autoSpaceDE/>
        <w:autoSpaceDN/>
        <w:bidi w:val="0"/>
        <w:adjustRightInd/>
        <w:snapToGrid/>
        <w:textAlignment w:val="auto"/>
        <w:rPr>
          <w:rFonts w:ascii="宋体" w:hAnsi="宋体" w:cs="宋体"/>
        </w:rPr>
      </w:pPr>
      <w:bookmarkStart w:id="0" w:name="_Toc692"/>
      <w:bookmarkStart w:id="1" w:name="_Toc1236"/>
      <w:bookmarkStart w:id="2" w:name="_Toc18676"/>
      <w:r>
        <w:rPr>
          <w:rFonts w:hint="eastAsia" w:ascii="宋体" w:hAnsi="宋体" w:cs="宋体"/>
        </w:rPr>
        <w:t xml:space="preserve"> 合同条款及格式</w:t>
      </w:r>
      <w:bookmarkEnd w:id="0"/>
      <w:bookmarkEnd w:id="1"/>
      <w:bookmarkEnd w:id="2"/>
    </w:p>
    <w:p>
      <w:pPr>
        <w:pStyle w:val="4"/>
        <w:jc w:val="both"/>
        <w:rPr>
          <w:rFonts w:ascii="宋体" w:hAnsi="宋体" w:cs="宋体"/>
        </w:rPr>
      </w:pPr>
    </w:p>
    <w:p>
      <w:pPr>
        <w:spacing w:line="360" w:lineRule="auto"/>
        <w:jc w:val="both"/>
        <w:rPr>
          <w:rFonts w:cs="宋体"/>
          <w:b/>
          <w:bCs/>
          <w:sz w:val="48"/>
          <w:szCs w:val="48"/>
        </w:rPr>
      </w:pPr>
    </w:p>
    <w:p>
      <w:pPr>
        <w:spacing w:line="360" w:lineRule="auto"/>
        <w:rPr>
          <w:rFonts w:cs="宋体"/>
          <w:b/>
          <w:bCs/>
          <w:sz w:val="48"/>
          <w:szCs w:val="48"/>
        </w:rPr>
      </w:pPr>
    </w:p>
    <w:p>
      <w:pPr>
        <w:jc w:val="center"/>
        <w:rPr>
          <w:rFonts w:cs="宋体"/>
          <w:b/>
          <w:bCs/>
          <w:sz w:val="44"/>
          <w:szCs w:val="44"/>
        </w:rPr>
      </w:pPr>
    </w:p>
    <w:p>
      <w:pPr>
        <w:jc w:val="center"/>
        <w:rPr>
          <w:rFonts w:cs="宋体"/>
          <w:b/>
          <w:bCs/>
          <w:sz w:val="44"/>
          <w:szCs w:val="44"/>
        </w:rPr>
      </w:pPr>
    </w:p>
    <w:p>
      <w:pPr>
        <w:jc w:val="center"/>
        <w:rPr>
          <w:rFonts w:cs="宋体"/>
          <w:b/>
          <w:bCs/>
          <w:sz w:val="44"/>
          <w:szCs w:val="44"/>
        </w:rPr>
      </w:pPr>
    </w:p>
    <w:p>
      <w:pPr>
        <w:jc w:val="center"/>
        <w:rPr>
          <w:rFonts w:cs="宋体"/>
          <w:b/>
          <w:bCs/>
          <w:sz w:val="44"/>
          <w:szCs w:val="44"/>
        </w:rPr>
      </w:pPr>
    </w:p>
    <w:p>
      <w:pPr>
        <w:jc w:val="center"/>
        <w:rPr>
          <w:rFonts w:cs="宋体"/>
          <w:b/>
          <w:bCs/>
          <w:sz w:val="36"/>
          <w:szCs w:val="36"/>
        </w:rPr>
      </w:pPr>
      <w:r>
        <w:rPr>
          <w:rFonts w:hint="eastAsia" w:cs="宋体"/>
          <w:b/>
          <w:bCs/>
          <w:sz w:val="36"/>
          <w:szCs w:val="36"/>
        </w:rPr>
        <w:t>铜川市印台区生态文明建设示范区规划编制项目</w:t>
      </w:r>
    </w:p>
    <w:p>
      <w:pPr>
        <w:rPr>
          <w:rFonts w:cs="宋体"/>
        </w:rPr>
      </w:pPr>
    </w:p>
    <w:p>
      <w:pPr>
        <w:pStyle w:val="9"/>
        <w:spacing w:line="360" w:lineRule="auto"/>
        <w:ind w:firstLine="562"/>
        <w:jc w:val="center"/>
        <w:rPr>
          <w:rFonts w:hint="eastAsia" w:ascii="宋体" w:hAnsi="宋体" w:eastAsia="宋体" w:cs="宋体"/>
          <w:sz w:val="24"/>
          <w:szCs w:val="24"/>
        </w:rPr>
      </w:pPr>
      <w:r>
        <w:rPr>
          <w:rFonts w:hint="eastAsia" w:ascii="宋体" w:hAnsi="宋体" w:eastAsia="宋体" w:cs="宋体"/>
          <w:b/>
          <w:bCs/>
          <w:color w:val="000000"/>
          <w:sz w:val="24"/>
          <w:szCs w:val="24"/>
        </w:rPr>
        <w:t>《最终以签订的为准》</w:t>
      </w:r>
    </w:p>
    <w:p>
      <w:pPr>
        <w:rPr>
          <w:rFonts w:cs="宋体"/>
        </w:rPr>
      </w:pPr>
    </w:p>
    <w:p>
      <w:pPr>
        <w:rPr>
          <w:rFonts w:cs="宋体"/>
        </w:rPr>
      </w:pPr>
    </w:p>
    <w:p>
      <w:pPr>
        <w:jc w:val="center"/>
        <w:rPr>
          <w:rFonts w:cs="宋体"/>
          <w:b/>
          <w:sz w:val="36"/>
          <w:szCs w:val="36"/>
        </w:rPr>
      </w:pPr>
      <w:r>
        <w:rPr>
          <w:rFonts w:hint="eastAsia" w:cs="宋体"/>
          <w:b/>
          <w:sz w:val="36"/>
          <w:szCs w:val="36"/>
        </w:rPr>
        <w:t>（示范文本）</w:t>
      </w:r>
    </w:p>
    <w:p>
      <w:pPr>
        <w:pStyle w:val="4"/>
        <w:rPr>
          <w:rFonts w:ascii="宋体" w:hAnsi="宋体" w:cs="宋体"/>
        </w:rPr>
      </w:pPr>
      <w:r>
        <w:rPr>
          <w:rFonts w:hint="eastAsia" w:ascii="宋体" w:hAnsi="宋体" w:cs="宋体"/>
          <w:bCs w:val="0"/>
          <w:sz w:val="48"/>
          <w:szCs w:val="48"/>
        </w:rPr>
        <w:br w:type="page"/>
      </w:r>
      <w:bookmarkStart w:id="3" w:name="_Toc8935"/>
      <w:bookmarkStart w:id="4" w:name="_Toc15561"/>
      <w:bookmarkStart w:id="5" w:name="_Toc21991"/>
      <w:bookmarkStart w:id="6" w:name="_Toc2202"/>
      <w:bookmarkStart w:id="7" w:name="_Toc1527"/>
      <w:bookmarkStart w:id="8" w:name="_Toc10629"/>
      <w:r>
        <w:rPr>
          <w:rFonts w:hint="eastAsia" w:ascii="宋体" w:hAnsi="宋体" w:cs="宋体"/>
        </w:rPr>
        <w:t>第一部分  协议书</w:t>
      </w:r>
      <w:bookmarkEnd w:id="3"/>
      <w:bookmarkEnd w:id="4"/>
      <w:bookmarkEnd w:id="5"/>
      <w:bookmarkEnd w:id="6"/>
      <w:bookmarkEnd w:id="7"/>
      <w:bookmarkEnd w:id="8"/>
    </w:p>
    <w:p>
      <w:pPr>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采购人（全称）：</w:t>
      </w:r>
      <w:r>
        <w:rPr>
          <w:rFonts w:hint="eastAsia" w:asciiTheme="minorEastAsia" w:hAnsiTheme="minorEastAsia" w:eastAsiaTheme="minorEastAsia" w:cstheme="minorEastAsia"/>
          <w:b/>
          <w:sz w:val="24"/>
          <w:szCs w:val="24"/>
          <w:u w:val="single"/>
        </w:rPr>
        <w:t xml:space="preserve">                                      </w:t>
      </w:r>
    </w:p>
    <w:p>
      <w:pPr>
        <w:spacing w:line="360" w:lineRule="auto"/>
        <w:ind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供应商（全称）：</w:t>
      </w:r>
      <w:r>
        <w:rPr>
          <w:rFonts w:hint="eastAsia" w:asciiTheme="minorEastAsia" w:hAnsiTheme="minorEastAsia" w:eastAsiaTheme="minorEastAsia" w:cstheme="minorEastAsia"/>
          <w:b/>
          <w:sz w:val="24"/>
          <w:szCs w:val="24"/>
          <w:u w:val="single"/>
        </w:rPr>
        <w:t xml:space="preserve">                                   </w:t>
      </w:r>
      <w:r>
        <w:rPr>
          <w:rFonts w:hint="eastAsia" w:asciiTheme="minorEastAsia" w:hAnsiTheme="minorEastAsia" w:eastAsiaTheme="minorEastAsia" w:cstheme="minorEastAsia"/>
          <w:sz w:val="24"/>
          <w:szCs w:val="24"/>
          <w:u w:val="single"/>
        </w:rPr>
        <w:t xml:space="preserve">   </w:t>
      </w:r>
    </w:p>
    <w:p>
      <w:pPr>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根据《中华人民共和国民法典》及其他有关法律、法规，遵循平等、自愿、公平和诚信的原则，双方就下述项目范围与相关服务事项协商一致，订立本合同。</w:t>
      </w:r>
    </w:p>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一、项目概况</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项目名称：</w:t>
      </w:r>
      <w:r>
        <w:rPr>
          <w:rFonts w:hint="eastAsia" w:asciiTheme="minorEastAsia" w:hAnsiTheme="minorEastAsia" w:eastAsiaTheme="minorEastAsia" w:cstheme="minorEastAsia"/>
          <w:sz w:val="24"/>
          <w:szCs w:val="24"/>
          <w:u w:val="single"/>
        </w:rPr>
        <w:t xml:space="preserve">                                        ；</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项目地点：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二、组成本合同的文件</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协议书；</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中标通知书、投标文件、</w:t>
      </w:r>
      <w:r>
        <w:rPr>
          <w:rFonts w:hint="eastAsia" w:asciiTheme="minorEastAsia" w:hAnsiTheme="minorEastAsia" w:eastAsiaTheme="minorEastAsia" w:cstheme="minorEastAsia"/>
          <w:sz w:val="24"/>
          <w:szCs w:val="24"/>
          <w:lang w:val="en-US" w:eastAsia="zh-CN"/>
        </w:rPr>
        <w:t>竞争性磋商</w:t>
      </w:r>
      <w:r>
        <w:rPr>
          <w:rFonts w:hint="eastAsia" w:asciiTheme="minorEastAsia" w:hAnsiTheme="minorEastAsia" w:eastAsiaTheme="minorEastAsia" w:cstheme="minorEastAsia"/>
          <w:sz w:val="24"/>
          <w:szCs w:val="24"/>
        </w:rPr>
        <w:t>文件、澄清、补充文件；</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相关服务建议书；</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 附录，即：附表内相关服务的范围和内容；</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本合同签订后，双方依法签订的补充协议也是本合同文件的组成部分。</w:t>
      </w:r>
    </w:p>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三、合同金额</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1.合同金额</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合同金额（大写）：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合同总价即中标价，为一次性报价，不受市场价变化或实际工作量变化的影响。合同价格为含税价。</w:t>
      </w:r>
    </w:p>
    <w:p>
      <w:pPr>
        <w:pStyle w:val="6"/>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付款方式：（1）合同签订后七个工作日内，甲方向乙方支付合同总价款的50%；（2）乙方向甲方交付编制初步成果七个工作日内，甲方向乙方支付合同总价款的40%；（3）最终成果提交通过评审后七个工作日内，甲方向乙方支付合同总价款的10%。（4）在每次支付费用前，乙方应提交甲方等额发票。</w:t>
      </w:r>
    </w:p>
    <w:p>
      <w:pPr>
        <w:numPr>
          <w:ilvl w:val="0"/>
          <w:numId w:val="1"/>
        </w:num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采购内容及要求： </w:t>
      </w:r>
    </w:p>
    <w:p>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五、交付时间、地点、方式</w:t>
      </w:r>
      <w:bookmarkStart w:id="9" w:name="_GoBack"/>
      <w:bookmarkEnd w:id="9"/>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1.交付时间：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2.交付地点：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3.交付条件：</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六、双方权利与义务：</w:t>
      </w:r>
    </w:p>
    <w:p>
      <w:pPr>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1.甲方权利与义务 </w:t>
      </w:r>
    </w:p>
    <w:p>
      <w:pPr>
        <w:pStyle w:val="5"/>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（1）按照合同约定支付项目费用。</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（2）甲方应为乙方完成本项目服务提供必要的协助，在各类评审、评议会后，甲方应及时与乙方沟通，并就需乙方进行项目修改、完善之处出具书面意见。</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（3）甲方对乙方所提交的成果文件拥有使用权和处置权，其知识产权归甲方所有，甲方有权选用、修改相关方案成果。乙方不得将甲方的设计方案及成果转让第三方。</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（4）甲方保证对在讨论、签订、执行本合同过程中所获悉的属于乙方的且无法自公开渠道获得的文件及资料（包括商业秘密、财务信息、技术信息、经营信息等）予以保密。</w:t>
      </w:r>
    </w:p>
    <w:p>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2.乙方权利与义务</w:t>
      </w:r>
    </w:p>
    <w:p>
      <w:pPr>
        <w:numPr>
          <w:ilvl w:val="0"/>
          <w:numId w:val="2"/>
        </w:num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向甲方提出技术基础资料提纲，及时组织人员开展项目编制工作。</w:t>
      </w:r>
    </w:p>
    <w:p>
      <w:pPr>
        <w:numPr>
          <w:ilvl w:val="0"/>
          <w:numId w:val="2"/>
        </w:num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乙方应根据甲方要求以及项目进展、审批需要，提供必要的配合与协助。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（3）按照合同约定及时向甲方汇报相应阶段规划成果，根据修改意见在合同约定的技术范围内修改完善后提交最终成果。</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（4）按照合同约定要求和国家有关规定标准完成规划任务。仅因乙方原因造成技术服务成果未通过验收的，乙方应按采购人意见进行修改完善直至通过验收，所产生费用由乙方承担。</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乙方应按照合同约定内容提供技术服务，解决技术问题，保证质量完成服务成果，但是甲方在合同约定外增加或变更项目内容，甲乙双方需另行协商补充协议，重新明确有关条款。乙方不得以资金不到位原因拒绝履行合同约定或交付技术服务成果。</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（6）乙方应按照国家和地方有关法律法规、技术规范标准以及合同要求，在约定期间内完成技术咨询服务，并对成果质量负责，确保成果的合理性、一致性和规范性。</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（7）乙方对在提供服务过程中知悉的甲方技术、规划资料、数字数据及经营等保密信息，未经甲方许可不得对外泄漏。</w:t>
      </w:r>
    </w:p>
    <w:p>
      <w:pPr>
        <w:tabs>
          <w:tab w:val="left" w:pos="84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七、质量保证：</w:t>
      </w:r>
    </w:p>
    <w:p>
      <w:pPr>
        <w:tabs>
          <w:tab w:val="left" w:pos="840"/>
        </w:tabs>
        <w:spacing w:line="360" w:lineRule="auto"/>
        <w:ind w:firstLine="480"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供应商提供的服务，应全面满足招标文件的要求，招标文件未明确要求的内容，供应商须按采购人的补充要求为准。</w:t>
      </w:r>
    </w:p>
    <w:p>
      <w:pPr>
        <w:tabs>
          <w:tab w:val="left" w:pos="84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八、售后服务：</w:t>
      </w:r>
    </w:p>
    <w:p>
      <w:pPr>
        <w:tabs>
          <w:tab w:val="left" w:pos="84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九、验收</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1.本项目由采购人进行阶段性验收。</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2.验收标准：按</w:t>
      </w:r>
      <w:r>
        <w:rPr>
          <w:rFonts w:hint="eastAsia" w:asciiTheme="minorEastAsia" w:hAnsiTheme="minorEastAsia" w:eastAsiaTheme="minorEastAsia" w:cstheme="minorEastAsia"/>
          <w:sz w:val="24"/>
          <w:szCs w:val="24"/>
          <w:lang w:val="en-US" w:eastAsia="zh-CN"/>
        </w:rPr>
        <w:t>竞争性磋商</w:t>
      </w:r>
      <w:r>
        <w:rPr>
          <w:rFonts w:hint="eastAsia" w:asciiTheme="minorEastAsia" w:hAnsiTheme="minorEastAsia" w:eastAsiaTheme="minorEastAsia" w:cstheme="minorEastAsia"/>
          <w:sz w:val="24"/>
          <w:szCs w:val="24"/>
        </w:rPr>
        <w:t>文件、投标文件、项目检查情况等综合指标进行验收。各项指标均应符合验收标准及要求。</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3.验收合格后，填写验收单，双方签字生效。</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4.验收依据：</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a)合同文本；</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b)招标文件及投标文件；</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c)国家和行业制定的相应的标准和规范；</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d)验收清单。</w:t>
      </w:r>
    </w:p>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十、保密</w:t>
      </w:r>
    </w:p>
    <w:p>
      <w:pPr>
        <w:tabs>
          <w:tab w:val="left" w:pos="1080"/>
        </w:tabs>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对工作中了解到的采购人的技术、机密等进行严格保密，不得向他人泄漏。本合同的解除或终止不免除供应商应承担的保密义务。</w:t>
      </w:r>
    </w:p>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十一、合同争议的解决</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合同执行中发生争议的，当事人双方应协商解决。协商达不成一致时，双方任何一方可向当地行政仲裁机关申请仲裁或者向人民法院提请诉讼。</w:t>
      </w:r>
    </w:p>
    <w:p>
      <w:pPr>
        <w:spacing w:line="360" w:lineRule="auto"/>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十二、不可抗力情况下的免责约定</w:t>
      </w:r>
    </w:p>
    <w:p>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双方约定不可抗力情况指：双方不可预见、不可避免、不可克服的客观情况，但不包括双方的违约或疏忽。这些事件包括但不限于：战争、严重火灾、洪水、台风、地震等。</w:t>
      </w:r>
    </w:p>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十三、违约责任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依据《中华人民共和国民法典》、《中华人民共和国政府采购法》、《中华人民共和国政府采购法实施条例》的相关条款和本合同约定，中标供应商未全面履行合同义务或者发生违约，采购单位有权终止合同，依法向中标供应商进行经济索赔，并报请政府采购监督管理机关进行相应的行政处罚。采购单位违约的，应当赔偿给中标供应商造成的经济损失。</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十三、其他（</w:t>
      </w:r>
      <w:r>
        <w:rPr>
          <w:rFonts w:hint="eastAsia" w:asciiTheme="minorEastAsia" w:hAnsiTheme="minorEastAsia" w:eastAsiaTheme="minorEastAsia" w:cstheme="minorEastAsia"/>
          <w:sz w:val="24"/>
          <w:szCs w:val="24"/>
        </w:rPr>
        <w:t>在合同中具体明确）</w:t>
      </w:r>
    </w:p>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十四、合同订立</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订立时间：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订立地点：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tabs>
          <w:tab w:val="left" w:pos="980"/>
        </w:tabs>
        <w:kinsoku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本合同一式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份，具有同等法律效力，双方各执</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份。各方签字盖章后生效，合同执行完毕自动失效。（合同的服务承诺则长期有效）。</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采购人：</w:t>
      </w:r>
      <w:r>
        <w:rPr>
          <w:rFonts w:hint="eastAsia" w:asciiTheme="minorEastAsia" w:hAnsiTheme="minorEastAsia" w:eastAsiaTheme="minorEastAsia" w:cstheme="minorEastAsia"/>
          <w:sz w:val="24"/>
          <w:szCs w:val="24"/>
          <w:u w:val="single"/>
        </w:rPr>
        <w:t xml:space="preserve">   （盖章）     </w:t>
      </w:r>
      <w:r>
        <w:rPr>
          <w:rFonts w:hint="eastAsia" w:asciiTheme="minorEastAsia" w:hAnsiTheme="minorEastAsia" w:eastAsiaTheme="minorEastAsia" w:cstheme="minorEastAsia"/>
          <w:sz w:val="24"/>
          <w:szCs w:val="24"/>
        </w:rPr>
        <w:t xml:space="preserve">           供应商：</w:t>
      </w:r>
      <w:r>
        <w:rPr>
          <w:rFonts w:hint="eastAsia" w:asciiTheme="minorEastAsia" w:hAnsiTheme="minorEastAsia" w:eastAsiaTheme="minorEastAsia" w:cstheme="minorEastAsia"/>
          <w:sz w:val="24"/>
          <w:szCs w:val="24"/>
          <w:u w:val="single"/>
        </w:rPr>
        <w:t xml:space="preserve">   （盖章）    </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地址：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地址： </w:t>
      </w:r>
      <w:r>
        <w:rPr>
          <w:rFonts w:hint="eastAsia" w:asciiTheme="minorEastAsia" w:hAnsiTheme="minorEastAsia" w:eastAsiaTheme="minorEastAsia" w:cstheme="minorEastAsia"/>
          <w:sz w:val="24"/>
          <w:szCs w:val="24"/>
          <w:u w:val="single"/>
        </w:rPr>
        <w:t xml:space="preserve">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邮政编码：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邮政编码：</w:t>
      </w:r>
      <w:r>
        <w:rPr>
          <w:rFonts w:hint="eastAsia" w:asciiTheme="minorEastAsia" w:hAnsiTheme="minorEastAsia" w:eastAsiaTheme="minorEastAsia" w:cstheme="minorEastAsia"/>
          <w:sz w:val="24"/>
          <w:szCs w:val="24"/>
          <w:u w:val="single"/>
        </w:rPr>
        <w:t xml:space="preserve">                  </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法定代表人或其授权                 法定代表人或其授权</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的代理人：</w:t>
      </w:r>
      <w:r>
        <w:rPr>
          <w:rFonts w:hint="eastAsia" w:asciiTheme="minorEastAsia" w:hAnsiTheme="minorEastAsia" w:eastAsiaTheme="minorEastAsia" w:cstheme="minorEastAsia"/>
          <w:sz w:val="24"/>
          <w:szCs w:val="24"/>
          <w:u w:val="single"/>
        </w:rPr>
        <w:t xml:space="preserve">（签字）      </w:t>
      </w:r>
      <w:r>
        <w:rPr>
          <w:rFonts w:hint="eastAsia" w:asciiTheme="minorEastAsia" w:hAnsiTheme="minorEastAsia" w:eastAsiaTheme="minorEastAsia" w:cstheme="minorEastAsia"/>
          <w:sz w:val="24"/>
          <w:szCs w:val="24"/>
        </w:rPr>
        <w:t xml:space="preserve">           的代理人：</w:t>
      </w:r>
      <w:r>
        <w:rPr>
          <w:rFonts w:hint="eastAsia" w:asciiTheme="minorEastAsia" w:hAnsiTheme="minorEastAsia" w:eastAsiaTheme="minorEastAsia" w:cstheme="minorEastAsia"/>
          <w:sz w:val="24"/>
          <w:szCs w:val="24"/>
          <w:u w:val="single"/>
        </w:rPr>
        <w:t xml:space="preserve">（签字）          </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开户银行：</w:t>
      </w:r>
      <w:r>
        <w:rPr>
          <w:rFonts w:hint="eastAsia" w:asciiTheme="minorEastAsia" w:hAnsiTheme="minorEastAsia" w:eastAsiaTheme="minorEastAsia" w:cstheme="minorEastAsia"/>
          <w:sz w:val="24"/>
          <w:szCs w:val="24"/>
          <w:u w:val="single"/>
        </w:rPr>
        <w:t xml:space="preserve">                  </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账号：</w:t>
      </w:r>
      <w:r>
        <w:rPr>
          <w:rFonts w:hint="eastAsia" w:asciiTheme="minorEastAsia" w:hAnsiTheme="minorEastAsia" w:eastAsiaTheme="minorEastAsia" w:cstheme="minorEastAsia"/>
          <w:sz w:val="24"/>
          <w:szCs w:val="24"/>
          <w:u w:val="single"/>
        </w:rPr>
        <w:t xml:space="preserve">                       </w:t>
      </w:r>
    </w:p>
    <w:p>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电话：</w:t>
      </w:r>
      <w:r>
        <w:rPr>
          <w:rFonts w:hint="eastAsia" w:asciiTheme="minorEastAsia" w:hAnsiTheme="minorEastAsia" w:eastAsiaTheme="minorEastAsia" w:cstheme="minorEastAsia"/>
          <w:sz w:val="24"/>
          <w:szCs w:val="24"/>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0470C0"/>
    <w:multiLevelType w:val="singleLevel"/>
    <w:tmpl w:val="FF0470C0"/>
    <w:lvl w:ilvl="0" w:tentative="0">
      <w:start w:val="4"/>
      <w:numFmt w:val="chineseCounting"/>
      <w:suff w:val="nothing"/>
      <w:lvlText w:val="%1、"/>
      <w:lvlJc w:val="left"/>
      <w:rPr>
        <w:rFonts w:hint="eastAsia"/>
      </w:rPr>
    </w:lvl>
  </w:abstractNum>
  <w:abstractNum w:abstractNumId="1">
    <w:nsid w:val="18C879E4"/>
    <w:multiLevelType w:val="singleLevel"/>
    <w:tmpl w:val="18C879E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EA15B4"/>
    <w:rsid w:val="41EA15B4"/>
    <w:rsid w:val="6F422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sz w:val="21"/>
      <w:lang w:val="en-US" w:eastAsia="zh-CN" w:bidi="ar-SA"/>
    </w:rPr>
  </w:style>
  <w:style w:type="paragraph" w:styleId="3">
    <w:name w:val="heading 1"/>
    <w:basedOn w:val="1"/>
    <w:next w:val="1"/>
    <w:qFormat/>
    <w:uiPriority w:val="0"/>
    <w:pPr>
      <w:keepNext/>
      <w:jc w:val="center"/>
      <w:outlineLvl w:val="0"/>
    </w:pPr>
    <w:rPr>
      <w:rFonts w:ascii="Times New Roman" w:hAnsi="Times New Roman"/>
      <w:b/>
      <w:kern w:val="2"/>
      <w:sz w:val="32"/>
    </w:rPr>
  </w:style>
  <w:style w:type="paragraph" w:styleId="4">
    <w:name w:val="heading 2"/>
    <w:basedOn w:val="1"/>
    <w:next w:val="1"/>
    <w:qFormat/>
    <w:uiPriority w:val="9"/>
    <w:pPr>
      <w:keepNext/>
      <w:keepLines/>
      <w:widowControl/>
      <w:jc w:val="center"/>
      <w:outlineLvl w:val="1"/>
    </w:pPr>
    <w:rPr>
      <w:rFonts w:ascii="Times New Roman" w:hAnsi="Times New Roman"/>
      <w:b/>
      <w:bCs/>
      <w:sz w:val="24"/>
      <w:szCs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ind w:firstLine="420" w:firstLineChars="200"/>
    </w:pPr>
    <w:rPr>
      <w:rFonts w:ascii="Times New Roman" w:hAnsi="Times New Roman"/>
      <w:kern w:val="2"/>
      <w:szCs w:val="24"/>
    </w:rPr>
  </w:style>
  <w:style w:type="paragraph" w:styleId="6">
    <w:name w:val="Body Text 2"/>
    <w:basedOn w:val="1"/>
    <w:qFormat/>
    <w:uiPriority w:val="0"/>
    <w:rPr>
      <w:rFonts w:ascii="楷体_GB2312" w:hAnsi="Copperplate Gothic Bold" w:eastAsia="楷体_GB2312"/>
      <w:kern w:val="2"/>
      <w:sz w:val="28"/>
    </w:r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1979</Words>
  <Characters>2009</Characters>
  <Lines>0</Lines>
  <Paragraphs>0</Paragraphs>
  <TotalTime>0</TotalTime>
  <ScaleCrop>false</ScaleCrop>
  <LinksUpToDate>false</LinksUpToDate>
  <CharactersWithSpaces>2734</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2024-09-05T01:59:00Z</dcterms:created>
  <dc:creator>Administrator</dc:creator>
  <cp:lastModifiedBy>Administrator</cp:lastModifiedBy>
  <dcterms:modified xsi:type="dcterms:W3CDTF">2024-09-05T02:44:29Z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FDC831297B6547138E3340A5A26569E2</vt:lpwstr>
  </property>
</Properties>
</file>