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center"/>
        <w:textAlignment w:val="auto"/>
        <w:outlineLvl w:val="0"/>
        <w:rPr>
          <w:rFonts w:hint="eastAsia" w:ascii="宋体" w:hAnsi="宋体" w:eastAsia="宋体" w:cs="Times New Roman"/>
          <w:b/>
          <w:bCs/>
          <w:sz w:val="32"/>
          <w:szCs w:val="32"/>
        </w:rPr>
      </w:pPr>
      <w:bookmarkStart w:id="0" w:name="_Toc5237"/>
      <w:bookmarkStart w:id="23" w:name="_GoBack"/>
      <w:bookmarkEnd w:id="23"/>
      <w:r>
        <w:rPr>
          <w:rFonts w:hint="eastAsia" w:ascii="宋体" w:hAnsi="宋体" w:eastAsia="宋体" w:cs="Times New Roman"/>
          <w:b/>
          <w:bCs/>
          <w:sz w:val="32"/>
          <w:szCs w:val="32"/>
        </w:rPr>
        <w:t>商务要求</w:t>
      </w:r>
      <w:bookmarkEnd w:id="0"/>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rPr>
      </w:pPr>
      <w:bookmarkStart w:id="1" w:name="_Toc167715263"/>
      <w:bookmarkStart w:id="2" w:name="_Toc167714066"/>
      <w:bookmarkStart w:id="3" w:name="_Toc167712868"/>
      <w:r>
        <w:rPr>
          <w:rFonts w:hint="eastAsia" w:ascii="宋体" w:hAnsi="宋体"/>
          <w:sz w:val="24"/>
        </w:rPr>
        <w:t>一、</w:t>
      </w:r>
      <w:r>
        <w:rPr>
          <w:rFonts w:hint="eastAsia" w:ascii="宋体" w:hAnsi="宋体"/>
          <w:sz w:val="24"/>
          <w:lang w:eastAsia="zh-CN"/>
        </w:rPr>
        <w:t>服务周期</w:t>
      </w:r>
      <w:r>
        <w:rPr>
          <w:rFonts w:hint="eastAsia" w:ascii="宋体" w:hAnsi="宋体"/>
          <w:sz w:val="24"/>
        </w:rPr>
        <w:t>及</w:t>
      </w:r>
      <w:r>
        <w:rPr>
          <w:rFonts w:hint="eastAsia" w:ascii="宋体" w:hAnsi="宋体"/>
          <w:sz w:val="24"/>
          <w:lang w:eastAsia="zh-CN"/>
        </w:rPr>
        <w:t>服务</w:t>
      </w:r>
      <w:r>
        <w:rPr>
          <w:rFonts w:hint="eastAsia" w:ascii="宋体" w:hAnsi="宋体"/>
          <w:sz w:val="24"/>
        </w:rPr>
        <w:t>地点：</w:t>
      </w:r>
      <w:bookmarkStart w:id="4" w:name="_Toc167712839"/>
      <w:bookmarkStart w:id="5" w:name="_Toc167714037"/>
      <w:bookmarkStart w:id="6" w:name="_Toc167715234"/>
    </w:p>
    <w:p>
      <w:pPr>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hAnsi="宋体"/>
          <w:sz w:val="24"/>
          <w:szCs w:val="24"/>
        </w:rPr>
      </w:pPr>
      <w:r>
        <w:rPr>
          <w:rFonts w:hint="eastAsia" w:hAnsi="宋体"/>
          <w:sz w:val="24"/>
          <w:szCs w:val="24"/>
        </w:rPr>
        <w:t>1、</w:t>
      </w:r>
      <w:bookmarkEnd w:id="4"/>
      <w:bookmarkEnd w:id="5"/>
      <w:bookmarkEnd w:id="6"/>
      <w:r>
        <w:rPr>
          <w:rFonts w:hint="eastAsia" w:hAnsi="宋体"/>
          <w:sz w:val="24"/>
          <w:szCs w:val="24"/>
          <w:lang w:eastAsia="zh-CN"/>
        </w:rPr>
        <w:t>服务周期</w:t>
      </w:r>
      <w:r>
        <w:rPr>
          <w:rFonts w:hint="eastAsia" w:hAnsi="宋体"/>
          <w:sz w:val="24"/>
          <w:szCs w:val="24"/>
        </w:rPr>
        <w:t>：</w:t>
      </w:r>
      <w:r>
        <w:rPr>
          <w:rFonts w:hint="eastAsia"/>
          <w:sz w:val="24"/>
          <w:szCs w:val="24"/>
          <w:lang w:val="en-US" w:eastAsia="zh-CN"/>
        </w:rPr>
        <w:t>自合同签订之日起一年</w:t>
      </w:r>
      <w:r>
        <w:rPr>
          <w:rFonts w:hint="eastAsia" w:hAnsi="宋体"/>
          <w:sz w:val="24"/>
          <w:szCs w:val="24"/>
        </w:rPr>
        <w:t>；</w:t>
      </w:r>
    </w:p>
    <w:p>
      <w:pPr>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sz w:val="24"/>
        </w:rPr>
      </w:pPr>
      <w:r>
        <w:rPr>
          <w:rFonts w:hint="eastAsia" w:ascii="宋体" w:hAnsi="宋体"/>
          <w:sz w:val="24"/>
        </w:rPr>
        <w:t>2、服务地点：</w:t>
      </w:r>
      <w:r>
        <w:rPr>
          <w:rFonts w:hint="eastAsia"/>
          <w:sz w:val="24"/>
          <w:lang w:val="en-US" w:eastAsia="zh-CN"/>
        </w:rPr>
        <w:t>采购人指定地点</w:t>
      </w:r>
      <w:r>
        <w:rPr>
          <w:rFonts w:hint="eastAsia" w:ascii="宋体" w:hAnsi="宋体"/>
          <w:sz w:val="24"/>
        </w:rPr>
        <w:t>。</w:t>
      </w:r>
    </w:p>
    <w:p>
      <w:pPr>
        <w:spacing w:line="360" w:lineRule="auto"/>
        <w:outlineLvl w:val="1"/>
        <w:rPr>
          <w:rFonts w:hint="eastAsia" w:hAnsi="宋体"/>
          <w:sz w:val="24"/>
          <w:szCs w:val="24"/>
        </w:rPr>
      </w:pPr>
      <w:bookmarkStart w:id="7" w:name="_Toc25447"/>
      <w:bookmarkStart w:id="8" w:name="_Toc31030"/>
      <w:bookmarkStart w:id="9" w:name="_Toc27300"/>
      <w:bookmarkStart w:id="10" w:name="_Toc31906"/>
      <w:bookmarkStart w:id="11" w:name="_Toc16091"/>
      <w:r>
        <w:rPr>
          <w:rFonts w:hint="eastAsia" w:hAnsi="宋体"/>
          <w:sz w:val="24"/>
          <w:szCs w:val="24"/>
        </w:rPr>
        <w:t>二、付款方式：</w:t>
      </w:r>
      <w:bookmarkEnd w:id="7"/>
      <w:bookmarkEnd w:id="8"/>
      <w:bookmarkEnd w:id="9"/>
      <w:bookmarkEnd w:id="10"/>
      <w:bookmarkEnd w:id="11"/>
    </w:p>
    <w:p>
      <w:pPr>
        <w:spacing w:line="360" w:lineRule="auto"/>
        <w:ind w:firstLine="480" w:firstLineChars="200"/>
        <w:outlineLvl w:val="1"/>
        <w:rPr>
          <w:rFonts w:hint="default" w:ascii="宋体" w:hAnsi="宋体" w:eastAsia="宋体" w:cs="Times New Roman"/>
          <w:color w:val="auto"/>
          <w:sz w:val="24"/>
          <w:szCs w:val="24"/>
          <w:lang w:val="en-US" w:eastAsia="zh-CN"/>
        </w:rPr>
      </w:pPr>
      <w:bookmarkStart w:id="12" w:name="_Toc19392"/>
      <w:bookmarkStart w:id="13" w:name="_Toc16715"/>
      <w:bookmarkStart w:id="14" w:name="_Toc21749"/>
      <w:bookmarkStart w:id="15" w:name="_Toc9255"/>
      <w:bookmarkStart w:id="16" w:name="_Toc12683"/>
      <w:r>
        <w:rPr>
          <w:rFonts w:hint="default" w:ascii="宋体" w:hAnsi="宋体" w:eastAsia="宋体" w:cs="Times New Roman"/>
          <w:color w:val="auto"/>
          <w:sz w:val="24"/>
          <w:szCs w:val="24"/>
          <w:lang w:val="en-US" w:eastAsia="zh-CN"/>
        </w:rPr>
        <w:t>（1）合同签订后七个工作日内，甲方向乙方支付合同总价款的50%；（2）乙方向甲方交付编制初步成果七个工作日内，甲方向乙方支付合同总价款的40%；（3）最终成果提交通过评审后七个工作日内，甲方向乙方支付合同总价款的10%。（4）在每次支付费用前，乙方应提交</w:t>
      </w:r>
      <w:r>
        <w:rPr>
          <w:rFonts w:hint="eastAsia" w:cs="Times New Roman"/>
          <w:color w:val="auto"/>
          <w:sz w:val="24"/>
          <w:szCs w:val="24"/>
          <w:lang w:val="en-US" w:eastAsia="zh-CN"/>
        </w:rPr>
        <w:t>甲方</w:t>
      </w:r>
      <w:r>
        <w:rPr>
          <w:rFonts w:hint="default" w:ascii="宋体" w:hAnsi="宋体" w:eastAsia="宋体" w:cs="Times New Roman"/>
          <w:color w:val="auto"/>
          <w:sz w:val="24"/>
          <w:szCs w:val="24"/>
          <w:lang w:val="en-US" w:eastAsia="zh-CN"/>
        </w:rPr>
        <w:t>等额发票。</w:t>
      </w:r>
      <w:bookmarkEnd w:id="12"/>
      <w:bookmarkEnd w:id="13"/>
      <w:bookmarkEnd w:id="14"/>
      <w:bookmarkEnd w:id="15"/>
      <w:bookmarkEnd w:id="16"/>
    </w:p>
    <w:p>
      <w:pPr>
        <w:pageBreakBefore w:val="0"/>
        <w:widowControl w:val="0"/>
        <w:numPr>
          <w:ilvl w:val="0"/>
          <w:numId w:val="1"/>
        </w:numPr>
        <w:kinsoku/>
        <w:wordWrap/>
        <w:overflowPunct/>
        <w:topLinePunct w:val="0"/>
        <w:autoSpaceDE/>
        <w:autoSpaceDN/>
        <w:bidi w:val="0"/>
        <w:adjustRightInd w:val="0"/>
        <w:spacing w:line="460" w:lineRule="exact"/>
        <w:textAlignment w:val="auto"/>
        <w:rPr>
          <w:rFonts w:hint="eastAsia"/>
          <w:color w:val="000000"/>
          <w:sz w:val="24"/>
          <w:szCs w:val="24"/>
          <w:lang w:eastAsia="zh-CN"/>
        </w:rPr>
      </w:pPr>
      <w:r>
        <w:rPr>
          <w:rFonts w:hint="eastAsia" w:hAnsi="宋体"/>
          <w:color w:val="000000"/>
          <w:sz w:val="24"/>
          <w:szCs w:val="24"/>
        </w:rPr>
        <w:t>验收</w:t>
      </w:r>
      <w:r>
        <w:rPr>
          <w:rFonts w:hint="eastAsia"/>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1.本项目由采购人及相关部门按法定规划要求定期对项目进行阶段性验收。</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2.验收标准：编制内容和深度应符合相关规范和标准的要求。</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3.验收合格后，填写验收单，双方签字生效。</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4.验收依据：</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1）合同文本；</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2）招标文件及澄清函、投标文件；</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3）国家和行业制定的相应标准和规范；</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textAlignment w:val="auto"/>
        <w:rPr>
          <w:rFonts w:hint="eastAsia"/>
          <w:color w:val="000000"/>
          <w:sz w:val="24"/>
          <w:szCs w:val="24"/>
          <w:lang w:eastAsia="zh-CN"/>
        </w:rPr>
      </w:pPr>
      <w:r>
        <w:rPr>
          <w:rFonts w:hint="eastAsia"/>
          <w:color w:val="000000"/>
          <w:sz w:val="24"/>
          <w:szCs w:val="24"/>
          <w:lang w:eastAsia="zh-CN"/>
        </w:rPr>
        <w:t>4）验收清单。</w:t>
      </w:r>
    </w:p>
    <w:p>
      <w:pPr>
        <w:pageBreakBefore w:val="0"/>
        <w:widowControl w:val="0"/>
        <w:numPr>
          <w:ilvl w:val="0"/>
          <w:numId w:val="0"/>
        </w:numPr>
        <w:kinsoku/>
        <w:wordWrap/>
        <w:overflowPunct/>
        <w:topLinePunct w:val="0"/>
        <w:autoSpaceDE/>
        <w:autoSpaceDN/>
        <w:bidi w:val="0"/>
        <w:adjustRightInd w:val="0"/>
        <w:spacing w:line="460" w:lineRule="exact"/>
        <w:textAlignment w:val="auto"/>
        <w:rPr>
          <w:rFonts w:hint="eastAsia" w:ascii="宋体" w:hAnsi="宋体"/>
          <w:sz w:val="24"/>
          <w:szCs w:val="24"/>
        </w:rPr>
      </w:pPr>
      <w:r>
        <w:rPr>
          <w:rFonts w:hint="eastAsia" w:ascii="宋体" w:hAnsi="宋体"/>
          <w:sz w:val="24"/>
          <w:szCs w:val="24"/>
        </w:rPr>
        <w:t>四、合同实施：</w:t>
      </w:r>
      <w:bookmarkEnd w:id="1"/>
      <w:bookmarkEnd w:id="2"/>
      <w:bookmarkEnd w:id="3"/>
      <w:bookmarkStart w:id="17" w:name="_Toc167712869"/>
      <w:bookmarkStart w:id="18" w:name="_Toc167714067"/>
      <w:bookmarkStart w:id="19" w:name="_Toc167715264"/>
    </w:p>
    <w:p>
      <w:pPr>
        <w:pageBreakBefore w:val="0"/>
        <w:widowControl w:val="0"/>
        <w:kinsoku/>
        <w:wordWrap/>
        <w:overflowPunct/>
        <w:topLinePunct w:val="0"/>
        <w:autoSpaceDE/>
        <w:autoSpaceDN/>
        <w:bidi w:val="0"/>
        <w:adjustRightInd w:val="0"/>
        <w:spacing w:line="460" w:lineRule="exact"/>
        <w:ind w:firstLine="480" w:firstLineChars="200"/>
        <w:textAlignment w:val="auto"/>
        <w:rPr>
          <w:rFonts w:hint="eastAsia" w:ascii="宋体" w:hAnsi="宋体"/>
          <w:sz w:val="24"/>
          <w:szCs w:val="24"/>
        </w:rPr>
      </w:pPr>
      <w:r>
        <w:rPr>
          <w:rFonts w:hint="eastAsia" w:ascii="宋体" w:hAnsi="宋体"/>
          <w:sz w:val="24"/>
          <w:szCs w:val="24"/>
        </w:rPr>
        <w:t>1</w:t>
      </w:r>
      <w:bookmarkEnd w:id="17"/>
      <w:bookmarkEnd w:id="18"/>
      <w:bookmarkEnd w:id="19"/>
      <w:r>
        <w:rPr>
          <w:rFonts w:hint="eastAsia" w:ascii="宋体" w:hAnsi="宋体"/>
          <w:sz w:val="24"/>
          <w:szCs w:val="24"/>
        </w:rPr>
        <w:t>、中标人应在合同签订后7个日历日内安排人员（项目组成人员简历表所列）与使用单位就规划方案编制实施等工作进行安排、部署。</w:t>
      </w:r>
      <w:bookmarkStart w:id="20" w:name="_Toc167715265"/>
      <w:bookmarkStart w:id="21" w:name="_Toc167712870"/>
      <w:bookmarkStart w:id="22" w:name="_Toc167714068"/>
    </w:p>
    <w:p>
      <w:pPr>
        <w:pageBreakBefore w:val="0"/>
        <w:widowControl w:val="0"/>
        <w:kinsoku/>
        <w:wordWrap/>
        <w:overflowPunct/>
        <w:topLinePunct w:val="0"/>
        <w:autoSpaceDE/>
        <w:autoSpaceDN/>
        <w:bidi w:val="0"/>
        <w:adjustRightInd w:val="0"/>
        <w:spacing w:line="460" w:lineRule="exact"/>
        <w:ind w:firstLine="480" w:firstLineChars="200"/>
        <w:textAlignment w:val="auto"/>
        <w:rPr>
          <w:rFonts w:hint="eastAsia" w:ascii="宋体" w:hAnsi="宋体"/>
          <w:sz w:val="24"/>
          <w:szCs w:val="24"/>
        </w:rPr>
      </w:pPr>
      <w:r>
        <w:rPr>
          <w:rFonts w:hint="eastAsia" w:ascii="宋体" w:hAnsi="宋体"/>
          <w:sz w:val="24"/>
          <w:szCs w:val="24"/>
        </w:rPr>
        <w:t>2</w:t>
      </w:r>
      <w:bookmarkEnd w:id="20"/>
      <w:bookmarkEnd w:id="21"/>
      <w:bookmarkEnd w:id="22"/>
      <w:r>
        <w:rPr>
          <w:rFonts w:hint="eastAsia" w:ascii="宋体" w:hAnsi="宋体"/>
          <w:sz w:val="24"/>
          <w:szCs w:val="24"/>
        </w:rPr>
        <w:t>、若未能在</w:t>
      </w:r>
      <w:r>
        <w:rPr>
          <w:rFonts w:hint="eastAsia" w:ascii="宋体" w:hAnsi="宋体"/>
          <w:sz w:val="24"/>
          <w:szCs w:val="24"/>
          <w:lang w:eastAsia="zh-CN"/>
        </w:rPr>
        <w:t>服务</w:t>
      </w:r>
      <w:r>
        <w:rPr>
          <w:rFonts w:hint="eastAsia" w:ascii="宋体" w:hAnsi="宋体"/>
          <w:sz w:val="24"/>
          <w:szCs w:val="24"/>
        </w:rPr>
        <w:t>周期内完成合同规定的义务，由此对采购人造成的延误和一切损失，由中标人承担和赔偿。</w:t>
      </w:r>
    </w:p>
    <w:p>
      <w:pPr>
        <w:adjustRightInd w:val="0"/>
        <w:spacing w:line="480" w:lineRule="exact"/>
        <w:rPr>
          <w:rFonts w:hint="eastAsia" w:ascii="宋体" w:hAnsi="宋体"/>
          <w:sz w:val="24"/>
          <w:szCs w:val="24"/>
        </w:rPr>
      </w:pPr>
      <w:r>
        <w:rPr>
          <w:rFonts w:hint="eastAsia" w:ascii="宋体" w:hAnsi="宋体"/>
          <w:sz w:val="24"/>
          <w:szCs w:val="24"/>
        </w:rPr>
        <w:t>五、违约责任：</w:t>
      </w:r>
    </w:p>
    <w:p>
      <w:pPr>
        <w:pageBreakBefore w:val="0"/>
        <w:widowControl w:val="0"/>
        <w:kinsoku/>
        <w:wordWrap/>
        <w:overflowPunct/>
        <w:topLinePunct w:val="0"/>
        <w:autoSpaceDE/>
        <w:autoSpaceDN/>
        <w:bidi w:val="0"/>
        <w:adjustRightInd w:val="0"/>
        <w:spacing w:line="460" w:lineRule="exact"/>
        <w:ind w:firstLine="480" w:firstLineChars="200"/>
        <w:textAlignment w:val="auto"/>
        <w:rPr>
          <w:rFonts w:hint="eastAsia" w:ascii="宋体" w:hAnsi="宋体"/>
          <w:b/>
          <w:szCs w:val="24"/>
        </w:rPr>
      </w:pPr>
      <w:r>
        <w:rPr>
          <w:rFonts w:hint="eastAsia" w:ascii="宋体" w:hAnsi="宋体" w:cs="Times New Roman"/>
          <w:sz w:val="24"/>
          <w:szCs w:val="24"/>
        </w:rPr>
        <w:t>依据《中华人民共和国民法典》、《中华人民共和国政府采购法》的相关条款和本合同约定，中标单位未全面履行合同义务或者发生违约，采购人有权终止合同，依法向中标单位进行经济索赔，并报请政府采购监督管理机关进行相应的行政处罚。采购人违约的，应当赔偿给中标单位造成的经济损失。</w:t>
      </w:r>
    </w:p>
    <w:p>
      <w:pPr>
        <w:keepLines w:val="0"/>
        <w:pageBreakBefore w:val="0"/>
        <w:widowControl w:val="0"/>
        <w:tabs>
          <w:tab w:val="left" w:pos="3485"/>
        </w:tabs>
        <w:kinsoku/>
        <w:wordWrap/>
        <w:overflowPunct/>
        <w:topLinePunct w:val="0"/>
        <w:autoSpaceDE/>
        <w:autoSpaceDN/>
        <w:bidi w:val="0"/>
        <w:adjustRightInd/>
        <w:snapToGrid/>
        <w:spacing w:line="520" w:lineRule="exact"/>
        <w:jc w:val="left"/>
        <w:textAlignment w:val="auto"/>
        <w:outlineLvl w:val="9"/>
        <w:rPr>
          <w:rFonts w:hint="eastAsia" w:ascii="宋体" w:hAnsi="宋体" w:cs="宋体"/>
        </w:rPr>
      </w:pPr>
      <w:r>
        <w:rPr>
          <w:rFonts w:hint="eastAsia" w:ascii="宋体" w:hAnsi="宋体"/>
          <w:b/>
          <w:szCs w:val="24"/>
        </w:rPr>
        <w:t>注：商务要求为实质性要求，不得负偏离</w:t>
      </w:r>
      <w:r>
        <w:rPr>
          <w:rFonts w:hint="eastAsia"/>
          <w:b/>
          <w:szCs w:val="24"/>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291027"/>
    <w:multiLevelType w:val="singleLevel"/>
    <w:tmpl w:val="D329102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A20267"/>
    <w:rsid w:val="34A20267"/>
    <w:rsid w:val="55325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sz w:val="21"/>
      <w:lang w:val="en-US" w:eastAsia="zh-CN" w:bidi="ar-SA"/>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594</Words>
  <Characters>604</Characters>
  <Lines>0</Lines>
  <Paragraphs>0</Paragraphs>
  <TotalTime>1</TotalTime>
  <ScaleCrop>false</ScaleCrop>
  <LinksUpToDate>false</LinksUpToDate>
  <CharactersWithSpaces>604</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2024-09-05T02:49:00Z</dcterms:created>
  <dc:creator>Administrator</dc:creator>
  <cp:lastModifiedBy>Administrator</cp:lastModifiedBy>
  <dcterms:modified xsi:type="dcterms:W3CDTF">2024-09-05T02:50:31Z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D9DB5A580B9E49C6B4DC3EAB1366507E</vt:lpwstr>
  </property>
</Properties>
</file>