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铜川照金王益臻选展厅装饰装修工程</w:t>
      </w:r>
    </w:p>
    <w:p>
      <w:pPr>
        <w:pStyle w:val="null3"/>
        <w:jc w:val="center"/>
        <w:outlineLvl w:val="2"/>
      </w:pPr>
      <w:r>
        <w:rPr>
          <w:sz w:val="28"/>
          <w:b/>
        </w:rPr>
        <w:t>采购项目编号：</w:t>
      </w:r>
      <w:r>
        <w:rPr>
          <w:sz w:val="28"/>
          <w:b/>
        </w:rPr>
        <w:t>DZDL-2024-057Z</w:t>
      </w:r>
      <w:r>
        <w:br/>
      </w:r>
      <w:r>
        <w:br/>
      </w:r>
      <w:r>
        <w:br/>
      </w:r>
    </w:p>
    <w:p>
      <w:pPr>
        <w:pStyle w:val="null3"/>
        <w:jc w:val="center"/>
        <w:outlineLvl w:val="2"/>
      </w:pPr>
      <w:r>
        <w:rPr>
          <w:sz w:val="28"/>
          <w:b/>
        </w:rPr>
        <w:t>铜川市王益区对外经济合作中心</w:t>
      </w:r>
    </w:p>
    <w:p>
      <w:pPr>
        <w:pStyle w:val="null3"/>
        <w:jc w:val="center"/>
        <w:outlineLvl w:val="2"/>
      </w:pPr>
      <w:r>
        <w:rPr>
          <w:sz w:val="28"/>
          <w:b/>
        </w:rPr>
        <w:t>中建鼎正项目管理有限公司</w:t>
      </w:r>
      <w:r>
        <w:rPr>
          <w:sz w:val="28"/>
          <w:b/>
        </w:rPr>
        <w:t>共同编制</w:t>
      </w:r>
    </w:p>
    <w:p>
      <w:pPr>
        <w:pStyle w:val="null3"/>
        <w:jc w:val="center"/>
        <w:outlineLvl w:val="2"/>
      </w:pPr>
      <w:r>
        <w:rPr>
          <w:sz w:val="28"/>
          <w:b/>
        </w:rPr>
        <w:t>2024年09月19日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中建鼎正项目管理有限公司</w:t>
      </w:r>
      <w:r>
        <w:rPr/>
        <w:t>（以下简称“代理机构”）受</w:t>
      </w:r>
      <w:r>
        <w:rPr/>
        <w:t>铜川市王益区对外经济合作中心</w:t>
      </w:r>
      <w:r>
        <w:rPr/>
        <w:t>委托，拟对</w:t>
      </w:r>
      <w:r>
        <w:rPr/>
        <w:t>铜川照金王益臻选展厅装饰装修工程</w:t>
      </w:r>
      <w:r>
        <w:rPr/>
        <w:t>采用竞争性磋商采购方式进行采购，兹邀请供应商参加本项目的竞争性磋商。</w:t>
      </w:r>
    </w:p>
    <w:p>
      <w:pPr>
        <w:pStyle w:val="null3"/>
        <w:outlineLvl w:val="2"/>
      </w:pPr>
      <w:r>
        <w:rPr>
          <w:sz w:val="28"/>
          <w:b/>
        </w:rPr>
        <w:t>一、采购项目编号：</w:t>
      </w:r>
      <w:r>
        <w:rPr>
          <w:sz w:val="28"/>
          <w:b/>
        </w:rPr>
        <w:t>DZDL-2024-057Z</w:t>
      </w:r>
    </w:p>
    <w:p>
      <w:pPr>
        <w:pStyle w:val="null3"/>
        <w:outlineLvl w:val="2"/>
      </w:pPr>
      <w:r>
        <w:rPr>
          <w:sz w:val="28"/>
          <w:b/>
        </w:rPr>
        <w:t>二、采购项目名称：</w:t>
      </w:r>
      <w:r>
        <w:rPr>
          <w:sz w:val="28"/>
          <w:b/>
        </w:rPr>
        <w:t>铜川照金王益臻选展厅装饰装修工程</w:t>
      </w:r>
    </w:p>
    <w:p>
      <w:pPr>
        <w:pStyle w:val="null3"/>
        <w:outlineLvl w:val="2"/>
      </w:pPr>
      <w:r>
        <w:rPr>
          <w:sz w:val="28"/>
          <w:b/>
        </w:rPr>
        <w:t>三、磋商项目简介</w:t>
      </w:r>
    </w:p>
    <w:p>
      <w:pPr>
        <w:pStyle w:val="null3"/>
        <w:ind w:firstLine="480"/>
      </w:pPr>
      <w:r>
        <w:rPr/>
        <w:t>本项目建筑面积共计180㎡，主要建设内容为室内装修，包括墙、顶、地面装饰工程以及相应装饰水、电等安装工程。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采购包1（铜川照金王益臻选展厅装饰装修工程）：属于专门面向小微企业采购。</w:t>
      </w:r>
    </w:p>
    <w:p>
      <w:pPr>
        <w:pStyle w:val="null3"/>
        <w:ind w:firstLine="480"/>
      </w:pPr>
      <w:r>
        <w:rPr/>
        <w:t>（三）本项目的特定资格要求：</w:t>
      </w:r>
    </w:p>
    <w:p>
      <w:pPr>
        <w:pStyle w:val="null3"/>
      </w:pPr>
      <w:r>
        <w:rPr/>
        <w:t>采购包1：</w:t>
      </w:r>
    </w:p>
    <w:p>
      <w:pPr>
        <w:pStyle w:val="null3"/>
      </w:pPr>
      <w:r>
        <w:rPr/>
        <w:t>1、身份证明：法定代表人参加磋商须出具法定代表人身份证明（并附有效证件），被授权代理人参加磋商须出具法定代表人授权书及被授权人有效证件</w:t>
      </w:r>
    </w:p>
    <w:p>
      <w:pPr>
        <w:pStyle w:val="null3"/>
      </w:pPr>
      <w:r>
        <w:rPr/>
        <w:t>2、合格供应商：具有独立承担民事责任的能力，提供法人或者其他组织的营业执照等证明文件，自然人的身份证明</w:t>
      </w:r>
    </w:p>
    <w:p>
      <w:pPr>
        <w:pStyle w:val="null3"/>
      </w:pPr>
      <w:r>
        <w:rPr/>
        <w:t>3、无重大违法记录声明：参加政府采购活动近三年内，在经营活动中没有重大违法记录，提供书面声明</w:t>
      </w:r>
    </w:p>
    <w:p>
      <w:pPr>
        <w:pStyle w:val="null3"/>
      </w:pPr>
      <w:r>
        <w:rPr/>
        <w:t>4、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t>5、财务状况报告：提供具有财务审计资质单位出具的2023年度财务报告或磋商前六个月内其基本账户银行出具的资信证明或政府采购信用担保机构出具的磋商担保函。</w:t>
      </w:r>
    </w:p>
    <w:p>
      <w:pPr>
        <w:pStyle w:val="null3"/>
      </w:pPr>
      <w:r>
        <w:rPr/>
        <w:t>6、设备和专业技术能力承诺：具有履行合同所必需的设备和专业技术能力，提供证明材料或书面承诺并加盖公章</w:t>
      </w:r>
    </w:p>
    <w:p>
      <w:pPr>
        <w:pStyle w:val="null3"/>
      </w:pPr>
      <w:r>
        <w:rPr/>
        <w:t>7、税收缴纳证明：提供响应文件递交截止时间前6个月内任意1个月已缴纳完税凭证（任意税种）或税务机关开具的完税证明（任意税种）</w:t>
      </w:r>
    </w:p>
    <w:p>
      <w:pPr>
        <w:pStyle w:val="null3"/>
      </w:pPr>
      <w:r>
        <w:rPr/>
        <w:t>8、社会保障资金缴纳证明：提供响应文件递交截止时间前6个月内任意1个月已缴存的任意时段的社会保障资金缴存单据或社保机构开具的社会保险参保缴费情况证明</w:t>
      </w:r>
    </w:p>
    <w:p>
      <w:pPr>
        <w:pStyle w:val="null3"/>
      </w:pPr>
      <w:r>
        <w:rPr/>
        <w:t>9、资质要求：供应商须具有建筑工程施工总承包三级及以上资质，且具有有效的安全生产许可证</w:t>
      </w:r>
    </w:p>
    <w:p>
      <w:pPr>
        <w:pStyle w:val="null3"/>
      </w:pPr>
      <w:r>
        <w:rPr/>
        <w:t>10、项目经理：拟派项目经理具备建筑工程二级注册建造师及以上执业资格，且具备有效的安全生产考核合格证书</w:t>
      </w:r>
    </w:p>
    <w:p>
      <w:pPr>
        <w:pStyle w:val="null3"/>
      </w:pPr>
      <w:r>
        <w:rPr/>
        <w:t>11、中小企业声明函：本项目专门面向中小企业采购。符合要求的中小企业须提供签字盖章的《中小企业声明函》；满足要求的监狱企业、福利性企业参加政府采购活动时，视同小微企业</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铜川市王益区对外经济合作中心</w:t>
      </w:r>
    </w:p>
    <w:p>
      <w:pPr>
        <w:pStyle w:val="null3"/>
      </w:pPr>
      <w:r>
        <w:rPr/>
        <w:t xml:space="preserve"> 地址： </w:t>
      </w:r>
      <w:r>
        <w:rPr/>
        <w:t>铜川市王益区红旗街9号</w:t>
      </w:r>
    </w:p>
    <w:p>
      <w:pPr>
        <w:pStyle w:val="null3"/>
      </w:pPr>
      <w:r>
        <w:rPr/>
        <w:t xml:space="preserve"> 邮编： </w:t>
      </w:r>
      <w:r>
        <w:rPr/>
        <w:t>727000</w:t>
      </w:r>
    </w:p>
    <w:p>
      <w:pPr>
        <w:pStyle w:val="null3"/>
      </w:pPr>
      <w:r>
        <w:rPr/>
        <w:t xml:space="preserve"> 联系人： </w:t>
      </w:r>
      <w:r>
        <w:rPr/>
        <w:t>铜川市王益区对外经济合作中心经办</w:t>
      </w:r>
    </w:p>
    <w:p>
      <w:pPr>
        <w:pStyle w:val="null3"/>
      </w:pPr>
      <w:r>
        <w:rPr/>
        <w:t xml:space="preserve"> 联系电话： </w:t>
      </w:r>
      <w:r>
        <w:rPr/>
        <w:t>18691908365</w:t>
      </w:r>
    </w:p>
    <w:p>
      <w:pPr>
        <w:pStyle w:val="null3"/>
        <w:outlineLvl w:val="3"/>
      </w:pPr>
      <w:r>
        <w:rPr>
          <w:sz w:val="24"/>
          <w:b/>
        </w:rPr>
        <w:t>代理机构：</w:t>
      </w:r>
      <w:r>
        <w:rPr>
          <w:sz w:val="24"/>
          <w:b/>
        </w:rPr>
        <w:t>中建鼎正项目管理有限公司</w:t>
      </w:r>
    </w:p>
    <w:p>
      <w:pPr>
        <w:pStyle w:val="null3"/>
      </w:pPr>
      <w:r>
        <w:rPr/>
        <w:t xml:space="preserve"> 地址： </w:t>
      </w:r>
      <w:r>
        <w:rPr/>
        <w:t>陕西省西安市雁塔区高新区科技路金桥国际广场12009号</w:t>
      </w:r>
    </w:p>
    <w:p>
      <w:pPr>
        <w:pStyle w:val="null3"/>
      </w:pPr>
      <w:r>
        <w:rPr/>
        <w:t xml:space="preserve"> 邮编： </w:t>
      </w:r>
      <w:r>
        <w:rPr/>
        <w:t>710000</w:t>
      </w:r>
    </w:p>
    <w:p>
      <w:pPr>
        <w:pStyle w:val="null3"/>
      </w:pPr>
      <w:r>
        <w:rPr/>
        <w:t xml:space="preserve"> 联系人： </w:t>
      </w:r>
      <w:r>
        <w:rPr/>
        <w:t>安文彬</w:t>
      </w:r>
    </w:p>
    <w:p>
      <w:pPr>
        <w:pStyle w:val="null3"/>
      </w:pPr>
      <w:r>
        <w:rPr/>
        <w:t xml:space="preserve"> 联系电话： </w:t>
      </w:r>
      <w:r>
        <w:rPr/>
        <w:t>18909195425</w:t>
      </w:r>
    </w:p>
    <w:p>
      <w:pPr>
        <w:pStyle w:val="null3"/>
        <w:outlineLvl w:val="3"/>
      </w:pPr>
      <w:r>
        <w:rPr>
          <w:sz w:val="24"/>
          <w:b/>
        </w:rPr>
        <w:t>采购监督机构：</w:t>
      </w:r>
      <w:r>
        <w:rPr>
          <w:sz w:val="24"/>
          <w:b/>
        </w:rPr>
        <w:t>铜川市王益区政府采购管理股</w:t>
      </w:r>
    </w:p>
    <w:p>
      <w:pPr>
        <w:pStyle w:val="null3"/>
        <w:ind w:firstLine="480"/>
      </w:pPr>
      <w:r>
        <w:rPr/>
        <w:t>联系人：</w:t>
      </w:r>
      <w:r>
        <w:rPr/>
        <w:t>段鹏</w:t>
      </w:r>
    </w:p>
    <w:p>
      <w:pPr>
        <w:pStyle w:val="null3"/>
        <w:ind w:firstLine="480"/>
      </w:pPr>
      <w:r>
        <w:rPr/>
        <w:t>联系电话：</w:t>
      </w:r>
      <w:r>
        <w:rPr/>
        <w:t>0919-2582209</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采购包1：880,071.00元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代理服务费收费标准：按项目招标代理服务费按发改价格[2002]1980号文件及陕价行法[2012]72号文件规定收取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铜川市王益区对外经济合作中心</w:t>
      </w:r>
      <w:r>
        <w:rPr/>
        <w:t>和</w:t>
      </w:r>
      <w:r>
        <w:rPr/>
        <w:t>中建鼎正项目管理有限公司</w:t>
      </w:r>
      <w:r>
        <w:rPr/>
        <w:t>享有。对磋商文件中供应商参加本次政府采购活动应当具备的条件，磋商项目技术、服务、商务及其他要求，评审细则及标准由</w:t>
      </w:r>
      <w:r>
        <w:rPr/>
        <w:t>铜川市王益区对外经济合作中心</w:t>
      </w:r>
      <w:r>
        <w:rPr/>
        <w:t>负责解释。除上述磋商文件内容，其他内容由</w:t>
      </w:r>
      <w:r>
        <w:rPr/>
        <w:t>中建鼎正项目管理有限公司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铜川市王益区对外经济合作中心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中建鼎正项目管理有限公司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达到国家规定相关工程验收合格标准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中建鼎正项目管理有限公司</w:t>
      </w:r>
      <w:r>
        <w:rPr/>
        <w:t xml:space="preserve"> 负责答复；供应商对采购过程的询问、质疑由</w:t>
      </w:r>
      <w:r>
        <w:rPr/>
        <w:t>中建鼎正项目管理有限公司</w:t>
      </w:r>
      <w:r>
        <w:rPr/>
        <w:t xml:space="preserve"> 负责答复；供应商对采购结果的询问、质疑由 </w:t>
      </w:r>
      <w:r>
        <w:rPr/>
        <w:t>中建鼎正项目管理有限公司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联系人：安文彬</w:t>
      </w:r>
    </w:p>
    <w:p>
      <w:pPr>
        <w:pStyle w:val="null3"/>
      </w:pPr>
      <w:r>
        <w:rPr/>
        <w:t>联系电话：18909195425</w:t>
      </w:r>
    </w:p>
    <w:p>
      <w:pPr>
        <w:pStyle w:val="null3"/>
      </w:pPr>
      <w:r>
        <w:rPr/>
        <w:t>地址：陕西省铜川市新区金谟西路崇文街64号</w:t>
      </w:r>
    </w:p>
    <w:p>
      <w:pPr>
        <w:pStyle w:val="null3"/>
      </w:pPr>
      <w:r>
        <w:rPr/>
        <w:t>邮编：727031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880,071.00</w:t>
      </w:r>
    </w:p>
    <w:p>
      <w:pPr>
        <w:pStyle w:val="null3"/>
      </w:pPr>
      <w:r>
        <w:rPr/>
        <w:t>采购包最高限价（元）: 880,071.00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铜川照金王益臻选展厅装饰装修工程</w:t>
            </w:r>
          </w:p>
        </w:tc>
        <w:tc>
          <w:tcPr>
            <w:tcW w:type="dxa" w:w="1384"/>
          </w:tcPr>
          <w:p>
            <w:pPr>
              <w:pStyle w:val="null3"/>
              <w:jc w:val="right"/>
            </w:pPr>
            <w:r>
              <w:rPr/>
              <w:t>1.00</w:t>
            </w:r>
          </w:p>
        </w:tc>
        <w:tc>
          <w:tcPr>
            <w:tcW w:type="dxa" w:w="1384"/>
          </w:tcPr>
          <w:p>
            <w:pPr>
              <w:pStyle w:val="null3"/>
              <w:jc w:val="right"/>
            </w:pPr>
            <w:r>
              <w:rPr/>
              <w:t>880,071.00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标的名称：铜川照金王益臻选展厅装饰装修工程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一、技术、服务标准和要求：</w:t>
            </w:r>
            <w:r>
              <w:br/>
            </w:r>
            <w:r>
              <w:rPr/>
              <w:t xml:space="preserve"> 1.本工程的施工过程和成果必须符合国家有关工程建设标准强制性条文和国家或有关部门关于工程施工方面现行的标准、规范、规程、定额、办法、示例，以及陕西省关于工程施工方面的文件、规定。</w:t>
            </w:r>
            <w:r>
              <w:br/>
            </w:r>
            <w:r>
              <w:rPr/>
              <w:t xml:space="preserve"> 2.供应商在施工过程中使用或参考上述标准、规范以外的技术标准、规范时，应征得采购人的同意。</w:t>
            </w:r>
            <w:r>
              <w:br/>
            </w:r>
            <w:r>
              <w:rPr/>
              <w:t xml:space="preserve"> 3.在施工过程中，如果国家或有关部门颁布了新的技术标准或规范，则承包人应采用新的标准或规范进行施工。</w:t>
            </w:r>
            <w:r>
              <w:br/>
            </w:r>
            <w:r>
              <w:rPr/>
              <w:t xml:space="preserve"> 4.采购人提供工程的施工图纸和相关技术文件，是采购人现有的能被供应商利用的资料，采购人对供应商做出的任何推论、理解均不负责任。</w:t>
            </w:r>
            <w:r>
              <w:br/>
            </w:r>
            <w:r>
              <w:rPr/>
              <w:t xml:space="preserve"> 5.供应商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r>
              <w:br/>
            </w:r>
            <w:r>
              <w:rPr/>
              <w:t xml:space="preserve"> 6.供应商所提供的材料如需向第三方外购时，供应商应对质量负责，并提供相应的出厂和验收证明及相关技术文件。同时，还应满足本磋商文件、工程量清单、施工图纸中的相关技术要求。</w:t>
            </w:r>
            <w:r>
              <w:br/>
            </w:r>
            <w:r>
              <w:rPr/>
              <w:t xml:space="preserve"> 7.质量必须达到现行合格标准，符合国家、行业、地方规定以及竞争性磋商文件规定的强制性质量和安全标准要求。</w:t>
            </w:r>
            <w:r>
              <w:br/>
            </w:r>
            <w:r>
              <w:rPr/>
              <w:t xml:space="preserve"> 8.供应商中标后，磋商响应文件中拟派项目经理必须与施工时实际委派项目经理一致，采购人将在签署施工合同前查验项目经理相关资质、身份材料以及中标人为项目经理最近半年缴纳社保的缴费凭据。项目经理必须履职尽责，全程参与施工、例会、解决施工中的问题，严禁挂名挂证。</w:t>
            </w:r>
            <w:r>
              <w:br/>
            </w:r>
            <w:r>
              <w:rPr/>
              <w:t xml:space="preserve"> 9.本项目如涉及与政府部门（包含且不限于）环保、城管、地铁、规划等沟通协调或办理手续，费用及手续办理均由承包人负责，如因沟通协调及办理手续原因造成工期延误或费用增加等由承包人负责。</w:t>
            </w:r>
            <w:r>
              <w:br/>
            </w:r>
            <w:r>
              <w:rPr/>
              <w:t xml:space="preserve"> 10.施工过程中，供应商应制定详细可行的防污降噪处理措施，减少对周围环境的影响，每天施工结束后对施工现场进行清扫。</w:t>
            </w:r>
            <w:r>
              <w:br/>
            </w:r>
            <w:r>
              <w:rPr/>
              <w:t xml:space="preserve"> 11.承包人需要将专业工程或劳务进行分包的，应分包给具有相应资质的专业或劳务企业，并与分包企业签订分包合同。</w:t>
            </w:r>
            <w:r>
              <w:br/>
            </w:r>
            <w:r>
              <w:rPr/>
              <w:t xml:space="preserve"> 12.承包人不得将其承包的工程转包给他人，也不得将其承包的工程以分包的名义转包给他人。</w:t>
            </w:r>
            <w:r>
              <w:br/>
            </w:r>
            <w:r>
              <w:rPr/>
              <w:t xml:space="preserve"> 13.工程分包不能解除承包人任何责任与义务。承包人应在分包场地派驻相应管理人员，保证本合同的履行。分包单位的任何违约行为或疏忽导致工程损害或给发包人造成其他损失，承包人承担连带责任。其他详见设计说明及施工设计图等。</w:t>
            </w:r>
            <w:r>
              <w:br/>
            </w:r>
            <w:r>
              <w:rPr/>
              <w:t xml:space="preserve"> 二、本工程合同形式为固定综合单价合同：</w:t>
            </w:r>
            <w:r>
              <w:br/>
            </w:r>
            <w:r>
              <w:rPr/>
              <w:t xml:space="preserve"> 1.本工程计价采用固定综合单价，各供应商依据企业自身情况自主报价、风险自负。所有投标报价中的单价和合价均以人民币表示。</w:t>
            </w:r>
            <w:r>
              <w:br/>
            </w:r>
            <w:r>
              <w:rPr/>
              <w:t xml:space="preserve"> 2.供应商在投标报价时应仔细对磋商文件进行透彻的分析研究，对图纸进行仔细的阅读和理解。</w:t>
            </w:r>
            <w:r>
              <w:br/>
            </w:r>
            <w:r>
              <w:rPr/>
              <w:t xml:space="preserve"> 3.各供应商对分部分项工程费、措施项目费、其他项目费等进行自主报价、风险自负。</w:t>
            </w:r>
            <w:r>
              <w:br/>
            </w:r>
            <w:r>
              <w:rPr/>
              <w:t xml:space="preserve"> 4.招标工程量清单的工程项目仅表达了主要工程做法，报价时各投标单位应依据图纸用料说明、相关图集，结合图纸、磋商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r>
              <w:br/>
            </w:r>
            <w:r>
              <w:rPr/>
              <w:t xml:space="preserve"> 5.供应商在投标截止前修改投标函中的投标总报价，应同时修改“已标价工程量清单”中的相应报价。</w:t>
            </w:r>
            <w:r>
              <w:br/>
            </w:r>
            <w:r>
              <w:rPr/>
              <w:t xml:space="preserve"> 三、其他：无</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达到合格标准</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工期：30日历天，质量：合格</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强制优先采购产品承诺函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提供具有财务审计资质单位出具的2023年度财务报告或磋商前六个月内其基本账户银行出具的资信证明或政府采购信用担保机构出具的磋商担保函。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参与的供应商（联合体）工程的施工单位全部为符合政策要求的小微企业。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身份证明</w:t>
            </w:r>
          </w:p>
        </w:tc>
        <w:tc>
          <w:tcPr>
            <w:tcW w:type="dxa" w:w="3322"/>
          </w:tcPr>
          <w:p>
            <w:pPr>
              <w:pStyle w:val="null3"/>
            </w:pPr>
            <w:r>
              <w:rPr/>
              <w:t>法定代表人参加磋商须出具法定代表人身份证明（并附有效证件），被授权代理人参加磋商须出具法定代表人授权书及被授权人有效证件</w:t>
            </w:r>
          </w:p>
        </w:tc>
        <w:tc>
          <w:tcPr>
            <w:tcW w:type="dxa" w:w="1661"/>
          </w:tcPr>
          <w:p>
            <w:pPr>
              <w:pStyle w:val="null3"/>
            </w:pPr>
            <w:r>
              <w:rPr/>
              <w:t>法人证明及委托书</w:t>
            </w:r>
          </w:p>
        </w:tc>
      </w:tr>
      <w:tr>
        <w:tc>
          <w:tcPr>
            <w:tcW w:type="dxa" w:w="831"/>
          </w:tcPr>
          <w:p>
            <w:pPr>
              <w:pStyle w:val="null3"/>
            </w:pPr>
            <w:r>
              <w:rPr/>
              <w:t>2</w:t>
            </w:r>
          </w:p>
        </w:tc>
        <w:tc>
          <w:tcPr>
            <w:tcW w:type="dxa" w:w="2492"/>
          </w:tcPr>
          <w:p>
            <w:pPr>
              <w:pStyle w:val="null3"/>
            </w:pPr>
            <w:r>
              <w:rPr/>
              <w:t>合格供应商</w:t>
            </w:r>
          </w:p>
        </w:tc>
        <w:tc>
          <w:tcPr>
            <w:tcW w:type="dxa" w:w="3322"/>
          </w:tcPr>
          <w:p>
            <w:pPr>
              <w:pStyle w:val="null3"/>
            </w:pPr>
            <w:r>
              <w:rPr/>
              <w:t>具有独立承担民事责任的能力，提供法人或者其他组织的营业执照等证明文件，自然人的身份证明</w:t>
            </w:r>
          </w:p>
        </w:tc>
        <w:tc>
          <w:tcPr>
            <w:tcW w:type="dxa" w:w="1661"/>
          </w:tcPr>
          <w:p>
            <w:pPr>
              <w:pStyle w:val="null3"/>
            </w:pPr>
            <w:r>
              <w:rPr/>
              <w:t>项目管理机构组成表</w:t>
            </w:r>
          </w:p>
        </w:tc>
      </w:tr>
      <w:tr>
        <w:tc>
          <w:tcPr>
            <w:tcW w:type="dxa" w:w="831"/>
          </w:tcPr>
          <w:p>
            <w:pPr>
              <w:pStyle w:val="null3"/>
            </w:pPr>
            <w:r>
              <w:rPr/>
              <w:t>3</w:t>
            </w:r>
          </w:p>
        </w:tc>
        <w:tc>
          <w:tcPr>
            <w:tcW w:type="dxa" w:w="2492"/>
          </w:tcPr>
          <w:p>
            <w:pPr>
              <w:pStyle w:val="null3"/>
            </w:pPr>
            <w:r>
              <w:rPr/>
              <w:t>无重大违法记录声明</w:t>
            </w:r>
          </w:p>
        </w:tc>
        <w:tc>
          <w:tcPr>
            <w:tcW w:type="dxa" w:w="3322"/>
          </w:tcPr>
          <w:p>
            <w:pPr>
              <w:pStyle w:val="null3"/>
            </w:pPr>
            <w:r>
              <w:rPr/>
              <w:t>参加政府采购活动近三年内，在经营活动中没有重大违法记录，提供书面声明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供应商信誉</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财务状况报告</w:t>
            </w:r>
          </w:p>
        </w:tc>
        <w:tc>
          <w:tcPr>
            <w:tcW w:type="dxa" w:w="3322"/>
          </w:tcPr>
          <w:p>
            <w:pPr>
              <w:pStyle w:val="null3"/>
            </w:pPr>
            <w:r>
              <w:rPr/>
              <w:t>提供具有财务审计资质单位出具的2023年度财务报告或磋商前六个月内其基本账户银行出具的资信证明或政府采购信用担保机构出具的磋商担保函。</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设备和专业技术能力承诺</w:t>
            </w:r>
          </w:p>
        </w:tc>
        <w:tc>
          <w:tcPr>
            <w:tcW w:type="dxa" w:w="3322"/>
          </w:tcPr>
          <w:p>
            <w:pPr>
              <w:pStyle w:val="null3"/>
            </w:pPr>
            <w:r>
              <w:rPr/>
              <w:t>具有履行合同所必需的设备和专业技术能力，提供证明材料或书面承诺并加盖公章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税收缴纳证明</w:t>
            </w:r>
          </w:p>
        </w:tc>
        <w:tc>
          <w:tcPr>
            <w:tcW w:type="dxa" w:w="3322"/>
          </w:tcPr>
          <w:p>
            <w:pPr>
              <w:pStyle w:val="null3"/>
            </w:pPr>
            <w:r>
              <w:rPr/>
              <w:t>提供响应文件递交截止时间前6个月内任意1个月已缴纳完税凭证（任意税种）或税务机关开具的完税证明（任意税种）</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社会保障资金缴纳证明</w:t>
            </w:r>
          </w:p>
        </w:tc>
        <w:tc>
          <w:tcPr>
            <w:tcW w:type="dxa" w:w="3322"/>
          </w:tcPr>
          <w:p>
            <w:pPr>
              <w:pStyle w:val="null3"/>
            </w:pPr>
            <w:r>
              <w:rPr/>
              <w:t>提供响应文件递交截止时间前6个月内任意1个月已缴存的任意时段的社会保障资金缴存单据或社保机构开具的社会保险参保缴费情况证明</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资质要求</w:t>
            </w:r>
          </w:p>
        </w:tc>
        <w:tc>
          <w:tcPr>
            <w:tcW w:type="dxa" w:w="3322"/>
          </w:tcPr>
          <w:p>
            <w:pPr>
              <w:pStyle w:val="null3"/>
            </w:pPr>
            <w:r>
              <w:rPr/>
              <w:t>供应商须具有建筑工程施工总承包三级及以上资质，且具有有效的安全生产许可证</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项目经理</w:t>
            </w:r>
          </w:p>
        </w:tc>
        <w:tc>
          <w:tcPr>
            <w:tcW w:type="dxa" w:w="3322"/>
          </w:tcPr>
          <w:p>
            <w:pPr>
              <w:pStyle w:val="null3"/>
            </w:pPr>
            <w:r>
              <w:rPr/>
              <w:t>拟派项目经理具备建筑工程二级注册建造师及以上执业资格，且具备有效的安全生产考核合格证书</w:t>
            </w:r>
          </w:p>
        </w:tc>
        <w:tc>
          <w:tcPr>
            <w:tcW w:type="dxa" w:w="1661"/>
          </w:tcPr>
          <w:p>
            <w:pPr>
              <w:pStyle w:val="null3"/>
            </w:pPr>
            <w:r>
              <w:rPr/>
              <w:t>项目管理机构组成表 主要人员简历表</w:t>
            </w:r>
          </w:p>
        </w:tc>
      </w:tr>
      <w:tr>
        <w:tc>
          <w:tcPr>
            <w:tcW w:type="dxa" w:w="831"/>
          </w:tcPr>
          <w:p>
            <w:pPr>
              <w:pStyle w:val="null3"/>
            </w:pPr>
            <w:r>
              <w:rPr/>
              <w:t>11</w:t>
            </w:r>
          </w:p>
        </w:tc>
        <w:tc>
          <w:tcPr>
            <w:tcW w:type="dxa" w:w="2492"/>
          </w:tcPr>
          <w:p>
            <w:pPr>
              <w:pStyle w:val="null3"/>
            </w:pPr>
            <w:r>
              <w:rPr/>
              <w:t>中小企业声明函</w:t>
            </w:r>
          </w:p>
        </w:tc>
        <w:tc>
          <w:tcPr>
            <w:tcW w:type="dxa" w:w="3322"/>
          </w:tcPr>
          <w:p>
            <w:pPr>
              <w:pStyle w:val="null3"/>
            </w:pPr>
            <w:r>
              <w:rPr/>
              <w:t>本项目专门面向中小企业采购。符合要求的中小企业须提供签字盖章的《中小企业声明函》；满足要求的监狱企业、福利性企业参加政府采购活动时，视同小微企业</w:t>
            </w:r>
          </w:p>
        </w:tc>
        <w:tc>
          <w:tcPr>
            <w:tcW w:type="dxa" w:w="1661"/>
          </w:tcPr>
          <w:p>
            <w:pPr>
              <w:pStyle w:val="null3"/>
            </w:pPr>
            <w:r>
              <w:rPr/>
              <w:t>中小企业声明函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响应文件封面 已标价工程量清单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项目实施人员配备</w:t>
            </w:r>
          </w:p>
        </w:tc>
        <w:tc>
          <w:tcPr>
            <w:tcW w:type="dxa" w:w="2492"/>
          </w:tcPr>
          <w:p>
            <w:pPr>
              <w:pStyle w:val="null3"/>
            </w:pPr>
            <w:r>
              <w:rPr/>
              <w:t>提供完整的项目团队信息和分工信息，项目负责人信息明确，组织结构完整，主要人员具备相关项目经历；由评审专家对投标人响应内容进行对比，根据优良程度打分：（优 10-8 分、良 7-5 分、一般 4-1分）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技术部分</w:t>
            </w:r>
          </w:p>
          <w:p>
            <w:pPr>
              <w:pStyle w:val="null3"/>
            </w:pPr>
            <w:r>
              <w:rPr/>
              <w:t>技术服务合同条款及其他商务要求应答表</w:t>
            </w:r>
          </w:p>
        </w:tc>
      </w:tr>
      <w:tr>
        <w:tc>
          <w:tcPr>
            <w:tcW w:type="dxa" w:w="831"/>
            <w:vMerge/>
          </w:tcPr>
          <w:p/>
        </w:tc>
        <w:tc>
          <w:tcPr>
            <w:tcW w:type="dxa" w:w="1661"/>
          </w:tcPr>
          <w:p>
            <w:pPr>
              <w:pStyle w:val="null3"/>
            </w:pPr>
            <w:r>
              <w:rPr/>
              <w:t>施工方案</w:t>
            </w:r>
          </w:p>
        </w:tc>
        <w:tc>
          <w:tcPr>
            <w:tcW w:type="dxa" w:w="2492"/>
          </w:tcPr>
          <w:p>
            <w:pPr>
              <w:pStyle w:val="null3"/>
            </w:pPr>
            <w:r>
              <w:rPr/>
              <w:t>技术方案完善、合理、先进、可靠、稳定。功能完善、目标明确，充分满足用户需求，有详细的规划。根据优良程度打分：（优秀：10-8 分；良好：7-5 分；一般：4-1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技术部分</w:t>
            </w:r>
          </w:p>
        </w:tc>
      </w:tr>
      <w:tr>
        <w:tc>
          <w:tcPr>
            <w:tcW w:type="dxa" w:w="831"/>
            <w:vMerge/>
          </w:tcPr>
          <w:p/>
        </w:tc>
        <w:tc>
          <w:tcPr>
            <w:tcW w:type="dxa" w:w="1661"/>
          </w:tcPr>
          <w:p>
            <w:pPr>
              <w:pStyle w:val="null3"/>
            </w:pPr>
            <w:r>
              <w:rPr/>
              <w:t>确保工期的技术组织措施</w:t>
            </w:r>
          </w:p>
        </w:tc>
        <w:tc>
          <w:tcPr>
            <w:tcW w:type="dxa" w:w="2492"/>
          </w:tcPr>
          <w:p>
            <w:pPr>
              <w:pStyle w:val="null3"/>
            </w:pPr>
            <w:r>
              <w:rPr/>
              <w:t>确保工期的技术组织措施（工期满足招标文件要求，施工进度计划图示清晰、科学合理基本合理计0-3分；合理计3-6分）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技术部分</w:t>
            </w:r>
          </w:p>
        </w:tc>
      </w:tr>
      <w:tr>
        <w:tc>
          <w:tcPr>
            <w:tcW w:type="dxa" w:w="831"/>
            <w:vMerge/>
          </w:tcPr>
          <w:p/>
        </w:tc>
        <w:tc>
          <w:tcPr>
            <w:tcW w:type="dxa" w:w="1661"/>
          </w:tcPr>
          <w:p>
            <w:pPr>
              <w:pStyle w:val="null3"/>
            </w:pPr>
            <w:r>
              <w:rPr/>
              <w:t>确保工程质量的技术措施</w:t>
            </w:r>
          </w:p>
        </w:tc>
        <w:tc>
          <w:tcPr>
            <w:tcW w:type="dxa" w:w="2492"/>
          </w:tcPr>
          <w:p>
            <w:pPr>
              <w:pStyle w:val="null3"/>
            </w:pPr>
            <w:r>
              <w:rPr/>
              <w:t>确保工程质量的技术措施；（安全目标明确、能满足招标人要求的、基本合理计0-3分；合理计3-6分）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技术部分</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确保安全生产的技术组织措施（安全目标明确、能满足招标人要求的安保措施基本合理计0-2分；合理计2-5分）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技术部分</w:t>
            </w:r>
          </w:p>
        </w:tc>
      </w:tr>
      <w:tr>
        <w:tc>
          <w:tcPr>
            <w:tcW w:type="dxa" w:w="831"/>
            <w:vMerge/>
          </w:tcPr>
          <w:p/>
        </w:tc>
        <w:tc>
          <w:tcPr>
            <w:tcW w:type="dxa" w:w="1661"/>
          </w:tcPr>
          <w:p>
            <w:pPr>
              <w:pStyle w:val="null3"/>
            </w:pPr>
            <w:r>
              <w:rPr/>
              <w:t>施工部署及临时设施临时用地表</w:t>
            </w:r>
          </w:p>
        </w:tc>
        <w:tc>
          <w:tcPr>
            <w:tcW w:type="dxa" w:w="2492"/>
          </w:tcPr>
          <w:p>
            <w:pPr>
              <w:pStyle w:val="null3"/>
            </w:pPr>
            <w:r>
              <w:rPr/>
              <w:t>施工部署及临时设施临时用地表（0-3分；）根据优劣由评审专家自主赋分。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技术部分</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确保文明施工的技术组织措施及环境保护措施、满足环保目标要求（基本合理计0-2分；合理计2-5分）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技术部分</w:t>
            </w:r>
          </w:p>
        </w:tc>
      </w:tr>
      <w:tr>
        <w:tc>
          <w:tcPr>
            <w:tcW w:type="dxa" w:w="831"/>
            <w:vMerge/>
          </w:tcPr>
          <w:p/>
        </w:tc>
        <w:tc>
          <w:tcPr>
            <w:tcW w:type="dxa" w:w="1661"/>
          </w:tcPr>
          <w:p>
            <w:pPr>
              <w:pStyle w:val="null3"/>
            </w:pPr>
            <w:r>
              <w:rPr/>
              <w:t>工程进度计划与措施</w:t>
            </w:r>
          </w:p>
        </w:tc>
        <w:tc>
          <w:tcPr>
            <w:tcW w:type="dxa" w:w="2492"/>
          </w:tcPr>
          <w:p>
            <w:pPr>
              <w:pStyle w:val="null3"/>
            </w:pPr>
            <w:r>
              <w:rPr/>
              <w:t>总体施工保证措施合理，计划安排、工序衔接科学，制定详细的施工进度计划，施工进度计划的编制符合国家法律规定和一般工程实践惯例，工期保证措施得力；由评审专家对供应商响应内容进行对比，根据优良程度打分：（优 10-8 分、良 7-5 分、一般 4-1分）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技术部分</w:t>
            </w:r>
          </w:p>
        </w:tc>
      </w:tr>
      <w:tr>
        <w:tc>
          <w:tcPr>
            <w:tcW w:type="dxa" w:w="831"/>
            <w:vMerge/>
          </w:tcPr>
          <w:p/>
        </w:tc>
        <w:tc>
          <w:tcPr>
            <w:tcW w:type="dxa" w:w="1661"/>
          </w:tcPr>
          <w:p>
            <w:pPr>
              <w:pStyle w:val="null3"/>
            </w:pPr>
            <w:r>
              <w:rPr/>
              <w:t>服务方案</w:t>
            </w:r>
          </w:p>
        </w:tc>
        <w:tc>
          <w:tcPr>
            <w:tcW w:type="dxa" w:w="2492"/>
          </w:tcPr>
          <w:p>
            <w:pPr>
              <w:pStyle w:val="null3"/>
            </w:pPr>
            <w:r>
              <w:rPr/>
              <w:t>工程竣工验收合格后，发生质量问题有补救措施、质保期有承诺、方案切实可行，根据其方案的针对性、科学性、合理性和完善性横向对比，进行赋分0-5分；缺项不得分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技术部分</w:t>
            </w:r>
          </w:p>
        </w:tc>
      </w:tr>
      <w:tr>
        <w:tc>
          <w:tcPr>
            <w:tcW w:type="dxa" w:w="831"/>
            <w:vMerge/>
          </w:tcPr>
          <w:p/>
        </w:tc>
        <w:tc>
          <w:tcPr>
            <w:tcW w:type="dxa" w:w="1661"/>
          </w:tcPr>
          <w:p>
            <w:pPr>
              <w:pStyle w:val="null3"/>
            </w:pPr>
            <w:r>
              <w:rPr/>
              <w:t>应急方案</w:t>
            </w:r>
          </w:p>
        </w:tc>
        <w:tc>
          <w:tcPr>
            <w:tcW w:type="dxa" w:w="2492"/>
          </w:tcPr>
          <w:p>
            <w:pPr>
              <w:pStyle w:val="null3"/>
            </w:pPr>
            <w:r>
              <w:rPr/>
              <w:t>项目风险预测与防范，事故应急预案的全面性、合理性的比较；由评审专家对供应商响应内容进行对比，根据优良程度打分：（优 5-4 分、良3-2 分、一般 1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技术部分</w:t>
            </w:r>
          </w:p>
        </w:tc>
      </w:tr>
      <w:tr>
        <w:tc>
          <w:tcPr>
            <w:tcW w:type="dxa" w:w="831"/>
            <w:vMerge/>
          </w:tcPr>
          <w:p/>
        </w:tc>
        <w:tc>
          <w:tcPr>
            <w:tcW w:type="dxa" w:w="1661"/>
          </w:tcPr>
          <w:p>
            <w:pPr>
              <w:pStyle w:val="null3"/>
            </w:pPr>
            <w:r>
              <w:rPr/>
              <w:t>业绩</w:t>
            </w:r>
          </w:p>
        </w:tc>
        <w:tc>
          <w:tcPr>
            <w:tcW w:type="dxa" w:w="2492"/>
          </w:tcPr>
          <w:p>
            <w:pPr>
              <w:pStyle w:val="null3"/>
            </w:pPr>
            <w:r>
              <w:rPr/>
              <w:t>提供2022年至今的同类项目业绩，每有一项得5分，最多得5分。 评审依据：以投标人加盖公章的中标通知书或施工合同证明复印件为准。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磋商报价：以最终报价为准，并计算。 计算方式：统一采用低价优先法计算，即满足磋商文件要求且磋商价格最低的磋商报价为评标基准价，其价格分为满分。其他供应商的价格分统一按照下列公式计算： 磋商报价得分=（磋商基准价/最终磋商报价）×35计算得分；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详见附件：法人证明及委托书</w:t>
      </w:r>
    </w:p>
    <w:p>
      <w:pPr>
        <w:pStyle w:val="null3"/>
        <w:ind w:firstLine="960"/>
      </w:pPr>
      <w:r>
        <w:rPr/>
        <w:t>详见附件：技术部分</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