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1EEEC">
      <w:pPr>
        <w:pStyle w:val="2"/>
        <w:spacing w:before="0" w:after="0" w:line="360" w:lineRule="auto"/>
        <w:jc w:val="center"/>
        <w:rPr>
          <w:rFonts w:hint="eastAsia" w:ascii="宋体" w:hAnsi="Times New Roman" w:eastAsia="宋体" w:cs="宋体"/>
          <w:b/>
          <w:bCs/>
          <w:kern w:val="0"/>
          <w:lang w:bidi="ar-SA"/>
        </w:rPr>
      </w:pPr>
      <w:r>
        <w:rPr>
          <w:rFonts w:hint="eastAsia" w:ascii="宋体" w:hAnsi="Times New Roman" w:eastAsia="宋体" w:cs="宋体"/>
          <w:b/>
          <w:bCs/>
          <w:kern w:val="0"/>
          <w:lang w:bidi="ar-SA"/>
        </w:rPr>
        <w:t>合同范本（参考格式）</w:t>
      </w:r>
    </w:p>
    <w:p w14:paraId="3EED980B">
      <w:pPr>
        <w:rPr>
          <w:b/>
          <w:bCs/>
          <w:szCs w:val="21"/>
        </w:rPr>
      </w:pPr>
    </w:p>
    <w:p w14:paraId="71CB2F60">
      <w:pPr>
        <w:rPr>
          <w:b/>
          <w:bCs/>
          <w:szCs w:val="21"/>
        </w:rPr>
      </w:pPr>
      <w:r>
        <w:rPr>
          <w:rFonts w:hint="eastAsia"/>
          <w:b/>
          <w:bCs/>
          <w:szCs w:val="21"/>
        </w:rPr>
        <w:t xml:space="preserve">    </w:t>
      </w:r>
    </w:p>
    <w:p w14:paraId="691A3B5D">
      <w:pPr>
        <w:jc w:val="center"/>
        <w:rPr>
          <w:b/>
          <w:bCs/>
          <w:szCs w:val="21"/>
        </w:rPr>
      </w:pPr>
    </w:p>
    <w:p w14:paraId="10480F85">
      <w:pPr>
        <w:jc w:val="center"/>
        <w:rPr>
          <w:b/>
          <w:bCs/>
          <w:szCs w:val="21"/>
        </w:rPr>
      </w:pPr>
    </w:p>
    <w:p w14:paraId="1D8603E3">
      <w:pPr>
        <w:ind w:firstLine="602"/>
        <w:jc w:val="center"/>
        <w:rPr>
          <w:rFonts w:ascii="宋体" w:hAnsi="宋体" w:cs="宋体"/>
          <w:b/>
          <w:bCs/>
          <w:snapToGrid w:val="0"/>
          <w:color w:val="000000"/>
          <w:sz w:val="30"/>
          <w:szCs w:val="30"/>
          <w:u w:val="single"/>
        </w:rPr>
      </w:pPr>
      <w:r>
        <w:rPr>
          <w:rFonts w:hint="eastAsia" w:ascii="宋体" w:hAnsi="宋体" w:cs="宋体"/>
          <w:b/>
          <w:bCs/>
          <w:snapToGrid w:val="0"/>
          <w:color w:val="000000"/>
          <w:sz w:val="30"/>
          <w:szCs w:val="30"/>
          <w:u w:val="single"/>
        </w:rPr>
        <w:t>（项目名称）</w:t>
      </w:r>
    </w:p>
    <w:p w14:paraId="706F9A1E">
      <w:pPr>
        <w:ind w:firstLine="602"/>
        <w:jc w:val="center"/>
        <w:rPr>
          <w:rFonts w:ascii="宋体" w:hAnsi="宋体" w:cs="宋体"/>
          <w:b/>
          <w:bCs/>
          <w:color w:val="000000"/>
          <w:sz w:val="30"/>
          <w:szCs w:val="30"/>
        </w:rPr>
      </w:pPr>
      <w:r>
        <w:rPr>
          <w:rFonts w:hint="eastAsia" w:ascii="宋体" w:hAnsi="宋体" w:cs="宋体"/>
          <w:b/>
          <w:bCs/>
          <w:color w:val="000000"/>
          <w:sz w:val="30"/>
          <w:szCs w:val="30"/>
        </w:rPr>
        <w:t>（项目编号：</w:t>
      </w:r>
      <w:r>
        <w:rPr>
          <w:rFonts w:hint="eastAsia" w:ascii="宋体" w:hAnsi="宋体" w:cs="宋体"/>
          <w:b/>
          <w:bCs/>
          <w:color w:val="000000"/>
          <w:sz w:val="30"/>
          <w:szCs w:val="30"/>
          <w:u w:val="single"/>
        </w:rPr>
        <w:t xml:space="preserve">            </w:t>
      </w:r>
      <w:r>
        <w:rPr>
          <w:rFonts w:hint="eastAsia" w:ascii="宋体" w:hAnsi="宋体" w:cs="宋体"/>
          <w:b/>
          <w:bCs/>
          <w:color w:val="000000"/>
          <w:sz w:val="30"/>
          <w:szCs w:val="30"/>
        </w:rPr>
        <w:t>）</w:t>
      </w:r>
    </w:p>
    <w:p w14:paraId="470FB88F">
      <w:pPr>
        <w:pStyle w:val="10"/>
        <w:rPr>
          <w:rFonts w:ascii="宋体" w:hAnsi="宋体" w:cs="宋体"/>
          <w:b/>
          <w:bCs/>
          <w:snapToGrid w:val="0"/>
          <w:color w:val="000000"/>
          <w:sz w:val="48"/>
          <w:szCs w:val="48"/>
        </w:rPr>
      </w:pPr>
    </w:p>
    <w:p w14:paraId="6D6A39FD">
      <w:pPr>
        <w:pStyle w:val="10"/>
        <w:rPr>
          <w:rFonts w:ascii="宋体" w:hAnsi="宋体" w:cs="宋体"/>
          <w:b/>
          <w:bCs/>
          <w:snapToGrid w:val="0"/>
          <w:color w:val="000000"/>
          <w:sz w:val="48"/>
          <w:szCs w:val="48"/>
        </w:rPr>
      </w:pPr>
    </w:p>
    <w:p w14:paraId="6078AA7B">
      <w:pPr>
        <w:jc w:val="center"/>
        <w:rPr>
          <w:rFonts w:ascii="宋体" w:hAnsi="宋体" w:cs="宋体"/>
          <w:b/>
          <w:bCs/>
          <w:color w:val="000000"/>
          <w:sz w:val="72"/>
          <w:szCs w:val="72"/>
        </w:rPr>
      </w:pPr>
      <w:r>
        <w:rPr>
          <w:rFonts w:hint="eastAsia" w:ascii="宋体" w:hAnsi="宋体" w:cs="宋体"/>
          <w:b/>
          <w:bCs/>
          <w:color w:val="000000"/>
          <w:sz w:val="72"/>
          <w:szCs w:val="72"/>
        </w:rPr>
        <w:t>合 同</w:t>
      </w:r>
    </w:p>
    <w:p w14:paraId="12322159">
      <w:pPr>
        <w:ind w:firstLine="600"/>
        <w:jc w:val="center"/>
        <w:rPr>
          <w:rFonts w:ascii="宋体" w:hAnsi="宋体" w:cs="宋体"/>
          <w:b/>
          <w:bCs/>
          <w:color w:val="000000"/>
          <w:sz w:val="30"/>
          <w:szCs w:val="30"/>
        </w:rPr>
      </w:pPr>
    </w:p>
    <w:p w14:paraId="3A1FF720">
      <w:pPr>
        <w:ind w:firstLine="600"/>
        <w:jc w:val="center"/>
        <w:rPr>
          <w:rFonts w:ascii="宋体" w:hAnsi="宋体" w:cs="宋体"/>
          <w:b/>
          <w:bCs/>
          <w:color w:val="000000"/>
          <w:sz w:val="30"/>
          <w:szCs w:val="30"/>
        </w:rPr>
      </w:pPr>
    </w:p>
    <w:p w14:paraId="290D43FC">
      <w:pPr>
        <w:pStyle w:val="5"/>
        <w:rPr>
          <w:rFonts w:hint="eastAsia" w:ascii="宋体" w:hAnsi="宋体" w:cs="宋体"/>
          <w:b/>
          <w:bCs/>
          <w:color w:val="000000"/>
          <w:sz w:val="30"/>
          <w:szCs w:val="30"/>
        </w:rPr>
      </w:pPr>
    </w:p>
    <w:p w14:paraId="4B81A124">
      <w:pPr>
        <w:pStyle w:val="5"/>
        <w:rPr>
          <w:rFonts w:hint="eastAsia" w:ascii="宋体" w:hAnsi="宋体" w:cs="宋体"/>
          <w:b/>
          <w:bCs/>
          <w:color w:val="000000"/>
          <w:sz w:val="30"/>
          <w:szCs w:val="30"/>
        </w:rPr>
      </w:pPr>
    </w:p>
    <w:p w14:paraId="30EE82A6">
      <w:pPr>
        <w:ind w:firstLine="1600" w:firstLineChars="500"/>
        <w:rPr>
          <w:b/>
          <w:bCs/>
          <w:color w:val="000000"/>
          <w:sz w:val="32"/>
          <w:szCs w:val="32"/>
        </w:rPr>
      </w:pPr>
      <w:r>
        <w:rPr>
          <w:rFonts w:hint="eastAsia"/>
          <w:b/>
          <w:bCs/>
          <w:color w:val="000000"/>
          <w:sz w:val="32"/>
          <w:szCs w:val="32"/>
        </w:rPr>
        <w:t>甲  方：</w:t>
      </w:r>
    </w:p>
    <w:p w14:paraId="5695406D">
      <w:pPr>
        <w:ind w:firstLine="1600" w:firstLineChars="500"/>
        <w:rPr>
          <w:b/>
          <w:bCs/>
          <w:color w:val="000000"/>
          <w:sz w:val="32"/>
          <w:szCs w:val="32"/>
        </w:rPr>
      </w:pPr>
      <w:r>
        <w:rPr>
          <w:rFonts w:hint="eastAsia"/>
          <w:b/>
          <w:bCs/>
          <w:color w:val="000000"/>
          <w:sz w:val="32"/>
          <w:szCs w:val="32"/>
        </w:rPr>
        <w:t>乙  方：</w:t>
      </w:r>
    </w:p>
    <w:p w14:paraId="3FE3927A">
      <w:pPr>
        <w:ind w:firstLine="1600" w:firstLineChars="500"/>
        <w:rPr>
          <w:b/>
          <w:bCs/>
          <w:color w:val="000000"/>
          <w:sz w:val="32"/>
          <w:szCs w:val="32"/>
        </w:rPr>
      </w:pPr>
    </w:p>
    <w:p w14:paraId="0B4E8AA3">
      <w:pPr>
        <w:jc w:val="center"/>
        <w:rPr>
          <w:rFonts w:ascii="宋体" w:hAnsi="宋体" w:cs="宋体"/>
          <w:b/>
          <w:bCs/>
          <w:color w:val="000000"/>
          <w:sz w:val="32"/>
          <w:szCs w:val="32"/>
        </w:rPr>
      </w:pPr>
      <w:r>
        <w:rPr>
          <w:rFonts w:hint="eastAsia" w:ascii="宋体" w:hAnsi="宋体" w:cs="宋体"/>
          <w:b/>
          <w:bCs/>
          <w:color w:val="000000"/>
          <w:sz w:val="32"/>
          <w:szCs w:val="32"/>
        </w:rPr>
        <w:t>年  月</w:t>
      </w:r>
    </w:p>
    <w:p w14:paraId="01EACDD4">
      <w:pPr>
        <w:pStyle w:val="10"/>
        <w:jc w:val="center"/>
        <w:rPr>
          <w:rFonts w:hint="eastAsia" w:ascii="宋体" w:eastAsia="宋体" w:cs="宋体"/>
          <w:b/>
          <w:bCs/>
          <w:highlight w:val="yellow"/>
          <w:lang w:eastAsia="zh-CN" w:bidi="ar-SA"/>
        </w:rPr>
        <w:sectPr>
          <w:footerReference r:id="rId3" w:type="default"/>
          <w:pgSz w:w="11906" w:h="16838"/>
          <w:pgMar w:top="1417" w:right="1531" w:bottom="1417" w:left="1531" w:header="1134" w:footer="397" w:gutter="0"/>
          <w:pgNumType w:fmt="decimal"/>
          <w:cols w:space="720" w:num="1"/>
          <w:docGrid w:type="linesAndChars" w:linePitch="312" w:charSpace="0"/>
        </w:sectPr>
      </w:pPr>
      <w:r>
        <w:rPr>
          <w:rFonts w:hint="eastAsia" w:ascii="宋体" w:hAnsi="宋体" w:cs="宋体"/>
          <w:b/>
          <w:bCs/>
          <w:color w:val="000000"/>
          <w:sz w:val="32"/>
          <w:szCs w:val="32"/>
        </w:rPr>
        <w:t xml:space="preserve">中国  </w:t>
      </w:r>
      <w:r>
        <w:rPr>
          <w:rFonts w:hint="eastAsia" w:ascii="宋体" w:hAnsi="宋体" w:cs="宋体"/>
          <w:b/>
          <w:bCs/>
          <w:color w:val="000000"/>
          <w:sz w:val="32"/>
          <w:szCs w:val="32"/>
          <w:lang w:eastAsia="zh-CN"/>
        </w:rPr>
        <w:t>铜川</w:t>
      </w:r>
      <w:bookmarkStart w:id="0" w:name="_GoBack"/>
      <w:bookmarkEnd w:id="0"/>
    </w:p>
    <w:p w14:paraId="2A47CD01">
      <w:pPr>
        <w:keepNext w:val="0"/>
        <w:keepLines w:val="0"/>
        <w:widowControl/>
        <w:suppressLineNumbers w:val="0"/>
        <w:jc w:val="center"/>
        <w:rPr>
          <w:b w:val="0"/>
          <w:bCs w:val="0"/>
        </w:rPr>
      </w:pPr>
      <w:r>
        <w:rPr>
          <w:rFonts w:ascii="仿宋" w:hAnsi="仿宋" w:eastAsia="仿宋" w:cs="仿宋"/>
          <w:b w:val="0"/>
          <w:bCs w:val="0"/>
          <w:color w:val="000000"/>
          <w:kern w:val="0"/>
          <w:sz w:val="36"/>
          <w:szCs w:val="36"/>
          <w:lang w:val="en-US" w:eastAsia="zh-CN" w:bidi="ar"/>
        </w:rPr>
        <w:t>合同（参考）</w:t>
      </w:r>
    </w:p>
    <w:p w14:paraId="436FDBE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甲方（采购人）： </w:t>
      </w:r>
    </w:p>
    <w:p w14:paraId="101257B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乙方（成交供应商）： </w:t>
      </w:r>
    </w:p>
    <w:p w14:paraId="2411384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val="0"/>
          <w:bCs w:val="0"/>
          <w:szCs w:val="21"/>
          <w:highlight w:val="none"/>
          <w:lang w:val="en-US" w:eastAsia="zh-CN"/>
        </w:rPr>
      </w:pPr>
      <w:r>
        <w:rPr>
          <w:rFonts w:hint="eastAsia" w:ascii="宋体" w:hAnsi="宋体" w:eastAsia="宋体" w:cs="宋体"/>
          <w:b w:val="0"/>
          <w:bCs w:val="0"/>
          <w:kern w:val="2"/>
          <w:sz w:val="21"/>
          <w:szCs w:val="21"/>
          <w:highlight w:val="none"/>
          <w:u w:val="single"/>
          <w:lang w:val="en-US" w:eastAsia="zh-CN" w:bidi="ar-SA"/>
        </w:rPr>
        <w:t>2024年新区城市道路地下空洞检测项目</w:t>
      </w:r>
      <w:r>
        <w:rPr>
          <w:rFonts w:hint="eastAsia" w:ascii="宋体" w:hAnsi="宋体" w:eastAsia="宋体" w:cs="宋体"/>
          <w:b w:val="0"/>
          <w:bCs w:val="0"/>
          <w:kern w:val="2"/>
          <w:sz w:val="21"/>
          <w:szCs w:val="21"/>
          <w:highlight w:val="none"/>
          <w:lang w:val="en-US" w:eastAsia="zh-CN" w:bidi="ar-SA"/>
        </w:rPr>
        <w:t>在</w:t>
      </w:r>
      <w:r>
        <w:rPr>
          <w:rFonts w:hint="eastAsia" w:cs="宋体"/>
          <w:b w:val="0"/>
          <w:bCs w:val="0"/>
          <w:kern w:val="2"/>
          <w:sz w:val="21"/>
          <w:szCs w:val="21"/>
          <w:highlight w:val="none"/>
          <w:lang w:val="en-US" w:eastAsia="zh-CN" w:bidi="ar-SA"/>
        </w:rPr>
        <w:t>铜川</w:t>
      </w:r>
      <w:r>
        <w:rPr>
          <w:rFonts w:hint="eastAsia" w:ascii="宋体" w:hAnsi="宋体" w:eastAsia="宋体" w:cs="宋体"/>
          <w:b w:val="0"/>
          <w:bCs w:val="0"/>
          <w:kern w:val="2"/>
          <w:sz w:val="21"/>
          <w:szCs w:val="21"/>
          <w:highlight w:val="none"/>
          <w:lang w:val="en-US" w:eastAsia="zh-CN" w:bidi="ar-SA"/>
        </w:rPr>
        <w:t>市财政局政府采购管理处的监督管理下， 由陕西鑫越项目咨询管理有限公司组织竞争性</w:t>
      </w:r>
      <w:r>
        <w:rPr>
          <w:rFonts w:hint="eastAsia" w:cs="宋体"/>
          <w:b w:val="0"/>
          <w:bCs w:val="0"/>
          <w:kern w:val="2"/>
          <w:sz w:val="21"/>
          <w:szCs w:val="21"/>
          <w:highlight w:val="none"/>
          <w:lang w:val="en-US" w:eastAsia="zh-CN" w:bidi="ar-SA"/>
        </w:rPr>
        <w:t>磋商</w:t>
      </w:r>
      <w:r>
        <w:rPr>
          <w:rFonts w:hint="eastAsia" w:ascii="宋体" w:hAnsi="宋体" w:eastAsia="宋体" w:cs="宋体"/>
          <w:b w:val="0"/>
          <w:bCs w:val="0"/>
          <w:kern w:val="2"/>
          <w:sz w:val="21"/>
          <w:szCs w:val="21"/>
          <w:highlight w:val="none"/>
          <w:lang w:val="en-US" w:eastAsia="zh-CN" w:bidi="ar-SA"/>
        </w:rPr>
        <w:t>，</w:t>
      </w:r>
      <w:r>
        <w:rPr>
          <w:rFonts w:hint="eastAsia" w:ascii="宋体" w:hAnsi="宋体" w:eastAsia="宋体" w:cs="宋体"/>
          <w:b/>
          <w:bCs/>
          <w:kern w:val="2"/>
          <w:sz w:val="21"/>
          <w:szCs w:val="21"/>
          <w:highlight w:val="none"/>
          <w:lang w:val="en-US" w:eastAsia="zh-CN" w:bidi="ar-SA"/>
        </w:rPr>
        <w:t>铜川市城市管理执法局新耀分局</w:t>
      </w:r>
      <w:r>
        <w:rPr>
          <w:rFonts w:hint="eastAsia" w:ascii="宋体" w:hAnsi="宋体" w:eastAsia="宋体" w:cs="宋体"/>
          <w:b w:val="0"/>
          <w:bCs w:val="0"/>
          <w:kern w:val="2"/>
          <w:sz w:val="21"/>
          <w:szCs w:val="21"/>
          <w:highlight w:val="none"/>
          <w:lang w:val="en-US" w:eastAsia="zh-CN" w:bidi="ar-SA"/>
        </w:rPr>
        <w:t>以下简称 “甲方”)确定 （以下简称“乙方”）为该项目中标供应商，接受乙方在</w:t>
      </w:r>
      <w:r>
        <w:rPr>
          <w:rFonts w:hint="eastAsia" w:ascii="宋体" w:hAnsi="宋体" w:eastAsia="宋体" w:cs="宋体"/>
          <w:b w:val="0"/>
          <w:bCs w:val="0"/>
          <w:kern w:val="2"/>
          <w:sz w:val="21"/>
          <w:szCs w:val="21"/>
          <w:highlight w:val="none"/>
          <w:u w:val="none"/>
          <w:lang w:val="en-US" w:eastAsia="zh-CN" w:bidi="ar-SA"/>
        </w:rPr>
        <w:t>2024年新区城市道路地下空洞检测项目</w:t>
      </w:r>
      <w:r>
        <w:rPr>
          <w:rFonts w:hint="eastAsia" w:ascii="宋体" w:hAnsi="宋体" w:eastAsia="宋体" w:cs="宋体"/>
          <w:b w:val="0"/>
          <w:bCs w:val="0"/>
          <w:kern w:val="2"/>
          <w:sz w:val="21"/>
          <w:szCs w:val="21"/>
          <w:highlight w:val="none"/>
          <w:lang w:val="en-US" w:eastAsia="zh-CN" w:bidi="ar-SA"/>
        </w:rPr>
        <w:t xml:space="preserve">中提供的产品及服务。 </w:t>
      </w:r>
    </w:p>
    <w:p w14:paraId="57375511">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依据《中华人民共和国民法典》和《中华人民共和国政府采购法》，经双方协商 按下述条款和条件签署本合同。 </w:t>
      </w:r>
    </w:p>
    <w:p w14:paraId="17D0D5FF">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一、合同价款 </w:t>
      </w:r>
    </w:p>
    <w:p w14:paraId="2AE8B4CC">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（一）合同总价款为人民币（大写）：</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p>
    <w:p w14:paraId="1AD6339E">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（二）合同总价一次性包死，不受市场价格变化因素的影响。 </w:t>
      </w:r>
    </w:p>
    <w:p w14:paraId="379A638A">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二、款项结算 </w:t>
      </w:r>
    </w:p>
    <w:p w14:paraId="5E17729A">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（一）付款方式：合同签订生效后,最终按签订合同总人数据实结算（总人数*最终报价</w:t>
      </w:r>
      <w:r>
        <w:rPr>
          <w:rFonts w:hint="eastAsia" w:ascii="宋体" w:hAnsi="宋体" w:eastAsia="宋体" w:cs="宋体"/>
          <w:b w:val="0"/>
          <w:bCs w:val="0"/>
          <w:szCs w:val="21"/>
          <w:u w:val="single"/>
          <w:lang w:val="en-US" w:eastAsia="zh-CN"/>
        </w:rPr>
        <w:t xml:space="preserve">     元/年/人</w:t>
      </w:r>
      <w:r>
        <w:rPr>
          <w:rFonts w:hint="eastAsia" w:ascii="宋体" w:hAnsi="宋体" w:eastAsia="宋体" w:cs="宋体"/>
          <w:b w:val="0"/>
          <w:bCs w:val="0"/>
          <w:szCs w:val="21"/>
          <w:lang w:val="en-US" w:eastAsia="zh-CN"/>
        </w:rPr>
        <w:t xml:space="preserve">）。 </w:t>
      </w:r>
    </w:p>
    <w:p w14:paraId="69FAAB9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（二）支付方式：银行转账。 </w:t>
      </w:r>
    </w:p>
    <w:p w14:paraId="25F55E01">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（三）结算方式：</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p>
    <w:p w14:paraId="3E1345C3">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三、服务地点及服务期 </w:t>
      </w:r>
    </w:p>
    <w:p w14:paraId="3115F61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（一）项目服务地点：采购人指定地点。 </w:t>
      </w:r>
    </w:p>
    <w:p w14:paraId="6EF1500E">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w:t>
      </w:r>
      <w:r>
        <w:rPr>
          <w:rFonts w:hint="eastAsia" w:ascii="宋体" w:hAnsi="宋体" w:cs="宋体"/>
          <w:b w:val="0"/>
          <w:bCs w:val="0"/>
          <w:szCs w:val="21"/>
          <w:lang w:val="en-US" w:eastAsia="zh-CN"/>
        </w:rPr>
        <w:t>服务</w:t>
      </w:r>
      <w:r>
        <w:rPr>
          <w:rFonts w:hint="eastAsia" w:ascii="宋体" w:hAnsi="宋体" w:eastAsia="宋体" w:cs="宋体"/>
          <w:b w:val="0"/>
          <w:bCs w:val="0"/>
          <w:szCs w:val="21"/>
          <w:lang w:val="en-US" w:eastAsia="zh-CN"/>
        </w:rPr>
        <w:t>期限：自合同签订生效之日起</w:t>
      </w:r>
      <w:r>
        <w:rPr>
          <w:rFonts w:hint="eastAsia" w:ascii="宋体" w:hAnsi="宋体" w:cs="宋体"/>
          <w:b w:val="0"/>
          <w:bCs w:val="0"/>
          <w:szCs w:val="21"/>
          <w:lang w:val="en-US" w:eastAsia="zh-CN"/>
        </w:rPr>
        <w:t>10个工作日</w:t>
      </w:r>
      <w:r>
        <w:rPr>
          <w:rFonts w:hint="eastAsia" w:ascii="宋体" w:hAnsi="宋体" w:eastAsia="宋体" w:cs="宋体"/>
          <w:b w:val="0"/>
          <w:bCs w:val="0"/>
          <w:szCs w:val="21"/>
          <w:lang w:val="en-US" w:eastAsia="zh-CN"/>
        </w:rPr>
        <w:t>；</w:t>
      </w:r>
    </w:p>
    <w:p w14:paraId="62FE12FA">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四、服务内容及承诺 </w:t>
      </w:r>
    </w:p>
    <w:p w14:paraId="6BEF082F">
      <w:pPr>
        <w:tabs>
          <w:tab w:val="left" w:pos="480"/>
        </w:tabs>
        <w:spacing w:line="360" w:lineRule="auto"/>
        <w:rPr>
          <w:rFonts w:hint="eastAsia" w:ascii="宋体" w:hAnsi="宋体" w:eastAsia="宋体" w:cs="宋体"/>
          <w:b/>
          <w:bCs/>
          <w:szCs w:val="21"/>
        </w:rPr>
      </w:pPr>
      <w:r>
        <w:rPr>
          <w:rFonts w:hint="eastAsia" w:ascii="宋体" w:hAnsi="宋体" w:eastAsia="宋体" w:cs="宋体"/>
          <w:b w:val="0"/>
          <w:bCs w:val="0"/>
          <w:szCs w:val="21"/>
          <w:lang w:val="en-US" w:eastAsia="zh-CN"/>
        </w:rPr>
        <w:t>以</w:t>
      </w:r>
      <w:r>
        <w:rPr>
          <w:rFonts w:hint="eastAsia" w:ascii="宋体" w:hAnsi="宋体" w:cs="宋体"/>
          <w:b w:val="0"/>
          <w:bCs w:val="0"/>
          <w:szCs w:val="21"/>
          <w:lang w:val="en-US" w:eastAsia="zh-CN"/>
        </w:rPr>
        <w:t>磋商</w:t>
      </w:r>
      <w:r>
        <w:rPr>
          <w:rFonts w:hint="eastAsia" w:ascii="宋体" w:hAnsi="宋体" w:eastAsia="宋体" w:cs="宋体"/>
          <w:b w:val="0"/>
          <w:bCs w:val="0"/>
          <w:szCs w:val="21"/>
          <w:lang w:val="en-US" w:eastAsia="zh-CN"/>
        </w:rPr>
        <w:t>文件、响应文件、合同等相关文件为准。</w:t>
      </w:r>
      <w:r>
        <w:rPr>
          <w:rFonts w:hint="eastAsia" w:ascii="宋体" w:hAnsi="宋体" w:eastAsia="宋体" w:cs="宋体"/>
          <w:b/>
          <w:bCs/>
          <w:szCs w:val="21"/>
          <w:lang w:val="en-US" w:eastAsia="zh-CN"/>
        </w:rPr>
        <w:t xml:space="preserve"> </w:t>
      </w:r>
    </w:p>
    <w:p w14:paraId="3E398779">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五、合同条款及附件 </w:t>
      </w:r>
    </w:p>
    <w:p w14:paraId="0A69D1DC">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（一）合同条款 </w:t>
      </w:r>
    </w:p>
    <w:p w14:paraId="26882E1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（二）合同条款附件 </w:t>
      </w:r>
    </w:p>
    <w:p w14:paraId="6E711BBA">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附件 1—服务内容与说明 </w:t>
      </w:r>
    </w:p>
    <w:p w14:paraId="307B814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附件 2—服务方案 </w:t>
      </w:r>
    </w:p>
    <w:p w14:paraId="3F128FDA">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（三）成交通知书</w:t>
      </w:r>
    </w:p>
    <w:p w14:paraId="3AB2EA0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w:t>
      </w:r>
      <w:r>
        <w:rPr>
          <w:rFonts w:hint="eastAsia" w:ascii="宋体" w:hAnsi="宋体" w:cs="宋体"/>
          <w:b w:val="0"/>
          <w:bCs w:val="0"/>
          <w:szCs w:val="21"/>
          <w:lang w:val="en-US" w:eastAsia="zh-CN"/>
        </w:rPr>
        <w:t>磋商</w:t>
      </w:r>
      <w:r>
        <w:rPr>
          <w:rFonts w:hint="eastAsia" w:ascii="宋体" w:hAnsi="宋体" w:eastAsia="宋体" w:cs="宋体"/>
          <w:b w:val="0"/>
          <w:bCs w:val="0"/>
          <w:szCs w:val="21"/>
          <w:lang w:val="en-US" w:eastAsia="zh-CN"/>
        </w:rPr>
        <w:t xml:space="preserve">文件 </w:t>
      </w:r>
    </w:p>
    <w:p w14:paraId="62D9B51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（五）响应文件 </w:t>
      </w:r>
    </w:p>
    <w:p w14:paraId="23DF4FC6">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六、合同双方的权利和义务 </w:t>
      </w:r>
    </w:p>
    <w:p w14:paraId="271964D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（一）甲方的权利和义务 </w:t>
      </w:r>
    </w:p>
    <w:p w14:paraId="1A9FE407">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14:paraId="448A4E1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2、甲方有权对投保人员参保情况进行定期检查。 </w:t>
      </w:r>
    </w:p>
    <w:p w14:paraId="3A1FF01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3、乙方应在合同签订后立即启动合同工作内容，并保证在本合同执行过程中根据甲方的实际情况，向甲方提供符合国家有关法规和行业规范的服务。 </w:t>
      </w:r>
    </w:p>
    <w:p w14:paraId="5204C5A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4、根据本合同规定，按时向乙方支付应付服务费用。 </w:t>
      </w:r>
    </w:p>
    <w:p w14:paraId="765C33B1">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5、国家法律、法规所规定由甲方承担的其它责任。 </w:t>
      </w:r>
    </w:p>
    <w:p w14:paraId="3B98BC9E">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（二）乙方的权利和义务 </w:t>
      </w:r>
    </w:p>
    <w:p w14:paraId="36BBEA6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1、对本合同规定的委托服务范围内的项目享有管理权及服务义务。 </w:t>
      </w:r>
    </w:p>
    <w:p w14:paraId="3A994DBE">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2、根据本合同的规定向甲方收取相关服务费用，并有权在本项目管理范围内管理及合理使用。 </w:t>
      </w:r>
    </w:p>
    <w:p w14:paraId="18B4CF2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3、及时向甲方通告本项目服务范围内有关服务的重大事项，及时配合处理投诉。 </w:t>
      </w:r>
    </w:p>
    <w:p w14:paraId="41F4FC05">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4、接受项目行业管理部门及政府有关部门的指导，接受甲方的监督。 </w:t>
      </w:r>
    </w:p>
    <w:p w14:paraId="052406FC">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5、国家法律、法规所规定由乙方承担的其它责任。 </w:t>
      </w:r>
    </w:p>
    <w:p w14:paraId="6A68877A">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七、乙方违约责任 </w:t>
      </w:r>
    </w:p>
    <w:p w14:paraId="4D071DEB">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1、不按约定时间开始承担保险责任。 </w:t>
      </w:r>
    </w:p>
    <w:p w14:paraId="1395FC3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2、保险人不向投保人说明保险合同条款的内容，尤其是责任免除条款未向投保人明确说明。 </w:t>
      </w:r>
    </w:p>
    <w:p w14:paraId="5AAC70C3">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3、不按合同约定对保险标的的安全状况进行检查，并及时向投保人、被保险人提出消除不安全因素和隐患的书面建议。 </w:t>
      </w:r>
    </w:p>
    <w:p w14:paraId="6172F59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4、在保险有效期间，未经投保人和被保险人的同意擅自批单变更合同内容。 </w:t>
      </w:r>
    </w:p>
    <w:p w14:paraId="24A74C0E">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5、保险事故发生后，不履行合同约定责任范围内的保险赔付，不及时核损支付赔款。 </w:t>
      </w:r>
    </w:p>
    <w:p w14:paraId="68EBB59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6、若保险人单方面终止合同或逾期完成合同任务，则视为保险人违约，保险人违约应按照合同总金额的双倍金额向投标人或被保险人支付违约金；</w:t>
      </w:r>
    </w:p>
    <w:p w14:paraId="75A01D1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7、保险人应当及时理赔、核定损失并履行赔偿或给付保险金，如果未及时履行前 述义务，保险人除给付保险金外，应当赔偿投标人或被保险人因此收到的损失。 </w:t>
      </w:r>
    </w:p>
    <w:p w14:paraId="64691E5E">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八、合同的变更与解除 </w:t>
      </w:r>
    </w:p>
    <w:p w14:paraId="3676FD35">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1、本合同的变更必须由双方协商一致，并以书面形式确定。但有下列情形之一的，一方可以向另一方提出变更合同权利与义务的请求，另一方应当在十日内予以答复；逾期未予答复的，视为同意： </w:t>
      </w:r>
    </w:p>
    <w:p w14:paraId="7B8AF012">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（1）项目发生严重的技术风险； </w:t>
      </w:r>
    </w:p>
    <w:p w14:paraId="3E9FDD53">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（2）本合同签署后，国家相关法规政策的变动导致项目的实施发生变动，需要补充约定的。 </w:t>
      </w:r>
    </w:p>
    <w:p w14:paraId="335528E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2、双方确定，出现下列情形，致使本合同的履行成为不必要或不可能的，可以解除本合同： </w:t>
      </w:r>
    </w:p>
    <w:p w14:paraId="0C48A3C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（1）因发生不可抗力； </w:t>
      </w:r>
    </w:p>
    <w:p w14:paraId="1DC8B995">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（2）因国家相关法规政策的变动导致项目无法完成 ； </w:t>
      </w:r>
    </w:p>
    <w:p w14:paraId="07F6CC5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（3）无论何等原因，合同一方未能履行本合同规定的主要义务，守约方有权解除。 </w:t>
      </w:r>
    </w:p>
    <w:p w14:paraId="5302E4D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3、双方协商一致可以解除本合同。 </w:t>
      </w:r>
    </w:p>
    <w:p w14:paraId="7EEF9858">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九、合同争议解决的方式 </w:t>
      </w:r>
    </w:p>
    <w:p w14:paraId="775838D3">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本合同在履行过程中发生的争议，由甲、乙双方当事人协商解决，协商不成的按 下列第（二）种方式解决： </w:t>
      </w:r>
    </w:p>
    <w:p w14:paraId="7C919375">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（一）提交</w:t>
      </w:r>
      <w:r>
        <w:rPr>
          <w:rFonts w:hint="eastAsia" w:ascii="宋体" w:hAnsi="宋体" w:cs="宋体"/>
          <w:b w:val="0"/>
          <w:bCs w:val="0"/>
          <w:szCs w:val="21"/>
          <w:lang w:val="en-US" w:eastAsia="zh-CN"/>
        </w:rPr>
        <w:t>铜川</w:t>
      </w:r>
      <w:r>
        <w:rPr>
          <w:rFonts w:hint="eastAsia" w:ascii="宋体" w:hAnsi="宋体" w:eastAsia="宋体" w:cs="宋体"/>
          <w:b w:val="0"/>
          <w:bCs w:val="0"/>
          <w:szCs w:val="21"/>
          <w:lang w:val="en-US" w:eastAsia="zh-CN"/>
        </w:rPr>
        <w:t xml:space="preserve">仲裁委员会仲裁； </w:t>
      </w:r>
    </w:p>
    <w:p w14:paraId="6FF62FC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（二）依法向甲方所在地人民法院起诉。 </w:t>
      </w:r>
    </w:p>
    <w:p w14:paraId="296178EC">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十、其他 </w:t>
      </w:r>
    </w:p>
    <w:p w14:paraId="1D2B804B">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（一）乙方在日常服务、索赔过程中的过失或疏忽或其它任何违反本合同的行为所造成的后果，由乙方统一承担； </w:t>
      </w:r>
    </w:p>
    <w:p w14:paraId="591729D7">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（二）本合同项下双方相互提供的文件、资料，双方除为履行合同的目的外，均不得泄漏给其他方； </w:t>
      </w:r>
    </w:p>
    <w:p w14:paraId="28B8A47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（三）任何一方向其他方提出的函电通知和要求，按合同地址派员递送或挂号、传真发送的，在取得对方人员接收确认后，即被认为已经被正式接收； </w:t>
      </w:r>
    </w:p>
    <w:p w14:paraId="6AA8EFF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（四）承保人在接到出单通知后，按照出单通知书提供的保险信息出具保单，保单由经纪人审核无误后，送交各方； </w:t>
      </w:r>
    </w:p>
    <w:p w14:paraId="1990E4CD">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（五）本合同未定事宜，双方可根据具体情况结合有关规定另行签订补充协议，补充协议与本合同具有同等法律效力。 </w:t>
      </w:r>
    </w:p>
    <w:p w14:paraId="5AA1CD27">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十一、合同生效 </w:t>
      </w:r>
    </w:p>
    <w:p w14:paraId="1A5FF69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（一）本合同经双方签字盖章后生效。 </w:t>
      </w:r>
    </w:p>
    <w:p w14:paraId="1D30160B">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（二）本合同须经甲、乙双方的法定代表人（授权代理人）在合同书上签字并加 盖本单位公章后正式生效。 </w:t>
      </w:r>
    </w:p>
    <w:p w14:paraId="38DA709B">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（三）合同生效后，甲、乙双方须严格执行本合同条款的规定，全面履行合同，违者按《中华人民共和国民法典》的有关规定承担相应责任。 </w:t>
      </w:r>
    </w:p>
    <w:p w14:paraId="0D693781">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（四）本合同一式</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份，甲乙双方各执</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份，鉴证方执</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份。 </w:t>
      </w:r>
    </w:p>
    <w:p w14:paraId="11F7E3A7">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（五）本合同如有未尽事宜，甲、乙双方协商解决。 </w:t>
      </w:r>
    </w:p>
    <w:p w14:paraId="25D6FE38">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（以下无正文）</w:t>
      </w:r>
    </w:p>
    <w:p w14:paraId="567CF69D">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甲  方（盖章）                             乙  方（盖章）</w:t>
      </w:r>
    </w:p>
    <w:p w14:paraId="0B2E2947">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单位名称：                                 单位名称：</w:t>
      </w:r>
    </w:p>
    <w:p w14:paraId="1955DCC5">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地  址：                                   地  址：</w:t>
      </w:r>
    </w:p>
    <w:p w14:paraId="275CDDF7">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法定代表人                                 法定代表人</w:t>
      </w:r>
    </w:p>
    <w:p w14:paraId="4BBA4929">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或授权委托人（签字或盖章）：               或授权委托人（签字或盖章）：</w:t>
      </w:r>
    </w:p>
    <w:p w14:paraId="5BB2506E">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 xml:space="preserve">                                           开户银行：</w:t>
      </w:r>
    </w:p>
    <w:p w14:paraId="0AF91766">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 xml:space="preserve">                                           账  号：       </w:t>
      </w:r>
    </w:p>
    <w:p w14:paraId="1E06EA7E">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联系电话：                                 联系电话：</w:t>
      </w:r>
    </w:p>
    <w:p w14:paraId="1ED8675A">
      <w:pPr>
        <w:ind w:firstLine="420" w:firstLineChars="200"/>
        <w:rPr>
          <w:rFonts w:hint="eastAsia" w:ascii="宋体" w:hAnsi="宋体" w:cs="宋体"/>
          <w:b w:val="0"/>
          <w:bCs w:val="0"/>
          <w:szCs w:val="21"/>
        </w:rPr>
      </w:pPr>
      <w:r>
        <w:rPr>
          <w:rFonts w:hint="eastAsia" w:ascii="宋体" w:hAnsi="宋体" w:cs="宋体"/>
          <w:b w:val="0"/>
          <w:bCs w:val="0"/>
          <w:szCs w:val="21"/>
        </w:rPr>
        <w:t>签订日期：     年    月      日            签订日期：     年    月   日</w:t>
      </w:r>
    </w:p>
    <w:p w14:paraId="062124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BA018">
    <w:pPr>
      <w:spacing w:line="280" w:lineRule="exact"/>
      <w:rPr>
        <w:rFonts w:hint="eastAsia" w:ascii="宋体"/>
        <w:b/>
        <w:sz w:val="18"/>
        <w:szCs w:val="18"/>
      </w:rPr>
    </w:pPr>
    <w:r>
      <w:rPr>
        <w:rFonts w:hint="eastAsia" w:ascii="宋体"/>
        <w:b/>
        <w:sz w:val="18"/>
        <w:szCs w:val="18"/>
      </w:rPr>
      <w:t xml:space="preserve">         </w:t>
    </w:r>
  </w:p>
  <w:p w14:paraId="5CD9612D">
    <w:pPr>
      <w:spacing w:line="280" w:lineRule="exact"/>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A54EE1D">
                          <w:pPr>
                            <w:spacing w:line="280" w:lineRule="exact"/>
                            <w:jc w:val="center"/>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0A54EE1D">
                    <w:pPr>
                      <w:spacing w:line="280" w:lineRule="exact"/>
                      <w:jc w:val="center"/>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OTAxOTdjYjk5YzZkNjRhNmM1YjgzN2IyY2I4YTEifQ=="/>
  </w:docVars>
  <w:rsids>
    <w:rsidRoot w:val="693C1A21"/>
    <w:rsid w:val="3DC40D3D"/>
    <w:rsid w:val="52455887"/>
    <w:rsid w:val="5B7B28FD"/>
    <w:rsid w:val="62AD61CA"/>
    <w:rsid w:val="693C1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val="0"/>
      <w:spacing w:before="340" w:after="330" w:line="576" w:lineRule="auto"/>
      <w:outlineLvl w:val="0"/>
    </w:pPr>
    <w:rPr>
      <w:b/>
      <w:bCs/>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keepLines/>
      <w:widowControl w:val="0"/>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2197</Words>
  <Characters>2204</Characters>
  <Lines>0</Lines>
  <Paragraphs>0</Paragraphs>
  <TotalTime>5</TotalTime>
  <ScaleCrop>false</ScaleCrop>
  <LinksUpToDate>false</LinksUpToDate>
  <CharactersWithSpaces>2699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2024-08-05T05:04:00Z</dcterms:created>
  <dc:creator>WPS_1664263601</dc:creator>
  <cp:lastModifiedBy>WPS_1664263601</cp:lastModifiedBy>
  <dcterms:modified xsi:type="dcterms:W3CDTF">2025-02-26T07:36:11Z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51DCE470C9D5466B90C17AAA350DBF7C_13</vt:lpwstr>
  </property>
  <property fmtid="{D5CDD505-2E9C-101B-9397-08002B2CF9AE}" pid="4" name="KSOTemplateDocerSaveRecord">
    <vt:lpwstr>eyJoZGlkIjoiYTc1OTAxOTdjYjk5YzZkNjRhNmM1YjgzN2IyY2I4YTEiLCJ1c2VySWQiOiIxNDEzODkxNzQ3In0=</vt:lpwstr>
  </property>
</Properties>
</file>