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监控系统升级更换项目</w:t>
      </w:r>
    </w:p>
    <w:p>
      <w:pPr>
        <w:pStyle w:val="null3"/>
        <w:jc w:val="center"/>
        <w:outlineLvl w:val="2"/>
      </w:pPr>
      <w:r>
        <w:rPr>
          <w:sz w:val="28"/>
          <w:b/>
        </w:rPr>
        <w:t>采购项目编号：</w:t>
      </w:r>
      <w:r>
        <w:rPr>
          <w:sz w:val="28"/>
          <w:b/>
        </w:rPr>
        <w:t>SXGLZFCG2024-041号</w:t>
      </w:r>
      <w:r>
        <w:br/>
      </w:r>
      <w:r>
        <w:br/>
      </w:r>
      <w:r>
        <w:br/>
      </w:r>
    </w:p>
    <w:p>
      <w:pPr>
        <w:pStyle w:val="null3"/>
        <w:jc w:val="center"/>
        <w:outlineLvl w:val="2"/>
      </w:pPr>
      <w:r>
        <w:rPr>
          <w:sz w:val="28"/>
          <w:b/>
        </w:rPr>
        <w:t>陕甘边革命根据地照金纪念馆</w:t>
      </w:r>
    </w:p>
    <w:p>
      <w:pPr>
        <w:pStyle w:val="null3"/>
        <w:jc w:val="center"/>
        <w:outlineLvl w:val="2"/>
      </w:pPr>
      <w:r>
        <w:rPr>
          <w:sz w:val="28"/>
          <w:b/>
        </w:rPr>
        <w:t>陕西公立工程项目管理咨询有限公司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陕西公立工程项目管理咨询有限公司</w:t>
      </w:r>
      <w:r>
        <w:rPr/>
        <w:t>（以下简称“代理机构”）受</w:t>
      </w:r>
      <w:r>
        <w:rPr/>
        <w:t>陕甘边革命根据地照金纪念馆</w:t>
      </w:r>
      <w:r>
        <w:rPr/>
        <w:t>委托，拟对</w:t>
      </w:r>
      <w:r>
        <w:rPr/>
        <w:t>监控系统升级更换项目</w:t>
      </w:r>
      <w:r>
        <w:rPr/>
        <w:t>采用竞争性磋商采购方式进行采购，兹邀请供应商参加本项目的竞争性磋商。</w:t>
      </w:r>
    </w:p>
    <w:p>
      <w:pPr>
        <w:pStyle w:val="null3"/>
        <w:outlineLvl w:val="2"/>
      </w:pPr>
      <w:r>
        <w:rPr>
          <w:sz w:val="28"/>
          <w:b/>
        </w:rPr>
        <w:t>一、项目编号：</w:t>
      </w:r>
      <w:r>
        <w:rPr>
          <w:sz w:val="28"/>
          <w:b/>
        </w:rPr>
        <w:t>SXGLZFCG2024-041号</w:t>
      </w:r>
    </w:p>
    <w:p>
      <w:pPr>
        <w:pStyle w:val="null3"/>
        <w:outlineLvl w:val="2"/>
      </w:pPr>
      <w:r>
        <w:rPr>
          <w:sz w:val="28"/>
          <w:b/>
        </w:rPr>
        <w:t>二、项目名称：</w:t>
      </w:r>
      <w:r>
        <w:rPr>
          <w:sz w:val="28"/>
          <w:b/>
        </w:rPr>
        <w:t>监控系统升级更换项目</w:t>
      </w:r>
    </w:p>
    <w:p>
      <w:pPr>
        <w:pStyle w:val="null3"/>
        <w:outlineLvl w:val="2"/>
      </w:pPr>
      <w:r>
        <w:rPr>
          <w:sz w:val="28"/>
          <w:b/>
        </w:rPr>
        <w:t>三、磋商项目简介</w:t>
      </w:r>
    </w:p>
    <w:p>
      <w:pPr>
        <w:pStyle w:val="null3"/>
        <w:ind w:firstLine="480"/>
      </w:pPr>
      <w:r>
        <w:rPr/>
        <w:t>监控系统升级更换项目，具体内容以后附清单为准。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采购包1（监控系统升级更换项目）：属于专门面向小微企业采购。</w:t>
      </w:r>
    </w:p>
    <w:p>
      <w:pPr>
        <w:pStyle w:val="null3"/>
        <w:ind w:firstLine="480"/>
      </w:pPr>
      <w:r>
        <w:rPr/>
        <w:t>（三）本项目的特定资格要求：</w:t>
      </w:r>
    </w:p>
    <w:p>
      <w:pPr>
        <w:pStyle w:val="null3"/>
      </w:pPr>
      <w:r>
        <w:rPr/>
        <w:t>采购包1：</w:t>
      </w:r>
    </w:p>
    <w:p>
      <w:pPr>
        <w:pStyle w:val="null3"/>
      </w:pPr>
      <w:r>
        <w:rPr/>
        <w:t>1、营业执照：具有独立承担民事责任的能力，提供法人或者其他组织的营业执照等证明文件，自然人的身份证明 ；</w:t>
      </w:r>
    </w:p>
    <w:p>
      <w:pPr>
        <w:pStyle w:val="null3"/>
      </w:pPr>
      <w:r>
        <w:rPr/>
        <w:t>2、授权委托书：法定代表人直接参加投标的，须出具法人身份证，并与营业执照上信息一致；法定代表人授权代表 参加投标的，须出具法定代表人授权书及授权代表身份证；</w:t>
      </w:r>
    </w:p>
    <w:p>
      <w:pPr>
        <w:pStyle w:val="null3"/>
      </w:pPr>
      <w:r>
        <w:rPr/>
        <w:t>3、无重大违法记录声明：参加政府采购活动前三年内，在经营活动中没有重大违法记录，提供书面声明；</w:t>
      </w:r>
    </w:p>
    <w:p>
      <w:pPr>
        <w:pStyle w:val="null3"/>
      </w:pPr>
      <w:r>
        <w:rPr/>
        <w:t>4、供应商信誉：供应商不得为“信用中国”网站（www.creditchina.gov.cn）中列入失信被执行人和重大税收违法案 件当事人名单的供应商，不得为中国政府采购网（www.ccgp.gov.cn）政府采购严重违法失信行为 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陕甘边革命根据地照金纪念馆</w:t>
      </w:r>
    </w:p>
    <w:p>
      <w:pPr>
        <w:pStyle w:val="null3"/>
      </w:pPr>
      <w:r>
        <w:rPr/>
        <w:t xml:space="preserve"> 地址： </w:t>
      </w:r>
      <w:r>
        <w:rPr/>
        <w:t>陕西省铜川市耀州区照金镇</w:t>
      </w:r>
    </w:p>
    <w:p>
      <w:pPr>
        <w:pStyle w:val="null3"/>
      </w:pPr>
      <w:r>
        <w:rPr/>
        <w:t xml:space="preserve"> 邮编： </w:t>
      </w:r>
      <w:r>
        <w:rPr/>
        <w:t>727031</w:t>
      </w:r>
    </w:p>
    <w:p>
      <w:pPr>
        <w:pStyle w:val="null3"/>
      </w:pPr>
      <w:r>
        <w:rPr/>
        <w:t xml:space="preserve"> 联系人： </w:t>
      </w:r>
      <w:r>
        <w:rPr/>
        <w:t>陕甘边革命根据地照金纪念馆经办</w:t>
      </w:r>
    </w:p>
    <w:p>
      <w:pPr>
        <w:pStyle w:val="null3"/>
      </w:pPr>
      <w:r>
        <w:rPr/>
        <w:t xml:space="preserve"> 联系电话： </w:t>
      </w:r>
      <w:r>
        <w:rPr/>
        <w:t>0919-3589086</w:t>
      </w:r>
    </w:p>
    <w:p>
      <w:pPr>
        <w:pStyle w:val="null3"/>
        <w:outlineLvl w:val="3"/>
      </w:pPr>
      <w:r>
        <w:rPr>
          <w:sz w:val="24"/>
          <w:b/>
        </w:rPr>
        <w:t>代理机构：</w:t>
      </w:r>
      <w:r>
        <w:rPr>
          <w:sz w:val="24"/>
          <w:b/>
        </w:rPr>
        <w:t>陕西公立工程项目管理咨询有限公司</w:t>
      </w:r>
    </w:p>
    <w:p>
      <w:pPr>
        <w:pStyle w:val="null3"/>
      </w:pPr>
      <w:r>
        <w:rPr/>
        <w:t xml:space="preserve"> 地址： </w:t>
      </w:r>
      <w:r>
        <w:rPr/>
        <w:t>陕西省铜川市王益区七一路25号工行三楼313室</w:t>
      </w:r>
    </w:p>
    <w:p>
      <w:pPr>
        <w:pStyle w:val="null3"/>
      </w:pPr>
      <w:r>
        <w:rPr/>
        <w:t xml:space="preserve"> 邮编： </w:t>
      </w:r>
      <w:r>
        <w:rPr/>
        <w:t>727000</w:t>
      </w:r>
    </w:p>
    <w:p>
      <w:pPr>
        <w:pStyle w:val="null3"/>
      </w:pPr>
      <w:r>
        <w:rPr/>
        <w:t xml:space="preserve"> 联系人： </w:t>
      </w:r>
      <w:r>
        <w:rPr/>
        <w:t>王工</w:t>
      </w:r>
    </w:p>
    <w:p>
      <w:pPr>
        <w:pStyle w:val="null3"/>
      </w:pPr>
      <w:r>
        <w:rPr/>
        <w:t xml:space="preserve"> 联系电话： </w:t>
      </w:r>
      <w:r>
        <w:rPr/>
        <w:t>0919-2182986</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代理服务费收费标准：采购代理机构参照国家计委关于印发《招标代理服务收费管理暂行办法 》的通知（计价格（2002)1980号）、《国家发展和改革委员会办公厅关于招标代理服务收费 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陕甘边革命根据地照金纪念馆</w:t>
      </w:r>
      <w:r>
        <w:rPr/>
        <w:t>和</w:t>
      </w:r>
      <w:r>
        <w:rPr/>
        <w:t>陕西公立工程项目管理咨询有限公司</w:t>
      </w:r>
      <w:r>
        <w:rPr/>
        <w:t>享有。对磋商文件中供应商参加本次政府采购活动应当具备的条件，磋商项目技术、服务、商务及其他要求，评审细则及标准由</w:t>
      </w:r>
      <w:r>
        <w:rPr/>
        <w:t>陕甘边革命根据地照金纪念馆</w:t>
      </w:r>
      <w:r>
        <w:rPr/>
        <w:t>负责解释。除上述磋商文件内容，其他内容由</w:t>
      </w:r>
      <w:r>
        <w:rPr/>
        <w:t>陕西公立工程项目管理咨询有限公司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陕西公立工程项目管理咨询有限公司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按时保质保量按标准完成</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陕西公立工程项目管理咨询有限公司</w:t>
      </w:r>
      <w:r>
        <w:rPr/>
        <w:t xml:space="preserve"> 负责答复；供应商对采购过程的询问、质疑由</w:t>
      </w:r>
      <w:r>
        <w:rPr/>
        <w:t>陕西公立工程项目管理咨询有限公司</w:t>
      </w:r>
      <w:r>
        <w:rPr/>
        <w:t xml:space="preserve"> 负责答复；供应商对采购结果的询问、质疑由 </w:t>
      </w:r>
      <w:r>
        <w:rPr/>
        <w:t>陕西公立工程项目管理咨询有限公司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联系人：王工</w:t>
      </w:r>
    </w:p>
    <w:p>
      <w:pPr>
        <w:pStyle w:val="null3"/>
      </w:pPr>
      <w:r>
        <w:rPr/>
        <w:t>联系电话：0919-2182986</w:t>
      </w:r>
    </w:p>
    <w:p>
      <w:pPr>
        <w:pStyle w:val="null3"/>
      </w:pPr>
      <w:r>
        <w:rPr/>
        <w:t>地址：陕西省铜川市王益区七一路25号工行三楼313室</w:t>
      </w:r>
    </w:p>
    <w:p>
      <w:pPr>
        <w:pStyle w:val="null3"/>
      </w:pPr>
      <w:r>
        <w:rPr/>
        <w:t>邮编：727000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监控系统升级更换项目</w:t>
      </w:r>
    </w:p>
    <w:p>
      <w:pPr>
        <w:pStyle w:val="null3"/>
        <w:outlineLvl w:val="2"/>
      </w:pPr>
      <w:r>
        <w:rPr>
          <w:sz w:val="28"/>
          <w:b/>
        </w:rPr>
        <w:t>3.2采购内容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监控系统升级更换</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标的名称：监控系统升级更换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0"/>
              <w:gridCol w:w="308"/>
              <w:gridCol w:w="1673"/>
              <w:gridCol w:w="175"/>
              <w:gridCol w:w="175"/>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b/>
                      <w:color w:val="000000"/>
                    </w:rPr>
                    <w:t>序号</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b/>
                      <w:color w:val="000000"/>
                    </w:rPr>
                    <w:t>品名</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b/>
                      <w:color w:val="000000"/>
                    </w:rPr>
                    <w:t>技术参数</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b/>
                      <w:color w:val="000000"/>
                    </w:rPr>
                    <w:t>单位</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b/>
                      <w:color w:val="000000"/>
                    </w:rPr>
                    <w:t>数量</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运营维护</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设备及软件运营维护</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年</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2</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2</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UPS控制软件</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套</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3</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安防系统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视频监控系统、防盗报警系统、紧急救援系统</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套</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4</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原有线路改造施工费</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原有线路拆除，部分线路刻槽</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项</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5</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原有拆除</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原有拼接屏、</w:t>
                  </w:r>
                  <w:r>
                    <w:rPr>
                      <w:rFonts w:ascii="仿宋" w:hAnsi="仿宋" w:cs="仿宋" w:eastAsia="仿宋"/>
                      <w:sz w:val="20"/>
                      <w:color w:val="000000"/>
                    </w:rPr>
                    <w:t>LED会标屏、摄像机拆除</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项</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6</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网线</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超六类</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卷</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8</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7</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电缆</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四芯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卷</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8</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8</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辅材</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穿线管、弯头、桥架、水晶头、交换机</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项</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9</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拼接屏</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55寸拼接屏，1.7mm拼缝，3*3</w:t>
                  </w:r>
                  <w:r>
                    <w:br/>
                  </w:r>
                  <w:r>
                    <w:rPr>
                      <w:rFonts w:ascii="仿宋" w:hAnsi="仿宋" w:cs="仿宋" w:eastAsia="仿宋"/>
                      <w:sz w:val="20"/>
                    </w:rPr>
                    <w:t>支持安防、汇报、广告三种场景模式切换</w:t>
                  </w:r>
                  <w:r>
                    <w:rPr>
                      <w:rFonts w:ascii="仿宋" w:hAnsi="仿宋" w:cs="仿宋" w:eastAsia="仿宋"/>
                      <w:sz w:val="20"/>
                    </w:rPr>
                    <w:t>;</w:t>
                  </w:r>
                  <w:r>
                    <w:br/>
                  </w:r>
                  <w:r>
                    <w:rPr>
                      <w:rFonts w:ascii="仿宋" w:hAnsi="仿宋" w:cs="仿宋" w:eastAsia="仿宋"/>
                      <w:sz w:val="20"/>
                    </w:rPr>
                    <w:t>物理分辨率高达</w:t>
                  </w:r>
                  <w:r>
                    <w:rPr>
                      <w:rFonts w:ascii="仿宋" w:hAnsi="仿宋" w:cs="仿宋" w:eastAsia="仿宋"/>
                      <w:sz w:val="20"/>
                    </w:rPr>
                    <w:t>1920 x 1080;</w:t>
                  </w:r>
                  <w:r>
                    <w:br/>
                  </w:r>
                  <w:r>
                    <w:rPr>
                      <w:rFonts w:ascii="仿宋" w:hAnsi="仿宋" w:cs="仿宋" w:eastAsia="仿宋"/>
                      <w:sz w:val="20"/>
                    </w:rPr>
                    <w:t>视角可达</w:t>
                  </w:r>
                  <w:r>
                    <w:rPr>
                      <w:rFonts w:ascii="仿宋" w:hAnsi="仿宋" w:cs="仿宋" w:eastAsia="仿宋"/>
                      <w:sz w:val="20"/>
                    </w:rPr>
                    <w:t>178°，趋近于水平;</w:t>
                  </w:r>
                  <w:r>
                    <w:br/>
                  </w:r>
                  <w:r>
                    <w:rPr>
                      <w:rFonts w:ascii="仿宋" w:hAnsi="仿宋" w:cs="仿宋" w:eastAsia="仿宋"/>
                      <w:sz w:val="20"/>
                    </w:rPr>
                    <w:t>运行稳定，可</w:t>
                  </w:r>
                  <w:r>
                    <w:rPr>
                      <w:rFonts w:ascii="仿宋" w:hAnsi="仿宋" w:cs="仿宋" w:eastAsia="仿宋"/>
                      <w:sz w:val="20"/>
                    </w:rPr>
                    <w:t>24小时持续工作;</w:t>
                  </w:r>
                  <w:r>
                    <w:br/>
                  </w:r>
                  <w:r>
                    <w:rPr>
                      <w:rFonts w:ascii="仿宋" w:hAnsi="仿宋" w:cs="仿宋" w:eastAsia="仿宋"/>
                      <w:sz w:val="20"/>
                    </w:rPr>
                    <w:t>支持壁挂、落地、吊装等多种安装方式</w:t>
                  </w:r>
                  <w:r>
                    <w:rPr>
                      <w:rFonts w:ascii="仿宋" w:hAnsi="仿宋" w:cs="仿宋" w:eastAsia="仿宋"/>
                      <w:sz w:val="20"/>
                    </w:rPr>
                    <w:t>;</w:t>
                  </w:r>
                  <w:r>
                    <w:br/>
                  </w:r>
                  <w:r>
                    <w:rPr>
                      <w:rFonts w:ascii="仿宋" w:hAnsi="仿宋" w:cs="仿宋" w:eastAsia="仿宋"/>
                      <w:sz w:val="20"/>
                    </w:rPr>
                    <w:t>多种拼接方式，能适应各种使用场所</w:t>
                  </w:r>
                  <w:r>
                    <w:rPr>
                      <w:rFonts w:ascii="仿宋" w:hAnsi="仿宋" w:cs="仿宋" w:eastAsia="仿宋"/>
                      <w:sz w:val="20"/>
                    </w:rPr>
                    <w:t>;</w:t>
                  </w:r>
                  <w:r>
                    <w:br/>
                  </w:r>
                  <w:r>
                    <w:rPr>
                      <w:rFonts w:ascii="仿宋" w:hAnsi="仿宋" w:cs="仿宋" w:eastAsia="仿宋"/>
                      <w:sz w:val="20"/>
                    </w:rPr>
                    <w:t>采用金属外壳，防辐射、防磁场、防强电场干扰</w:t>
                  </w:r>
                  <w:r>
                    <w:rPr>
                      <w:rFonts w:ascii="仿宋" w:hAnsi="仿宋" w:cs="仿宋" w:eastAsia="仿宋"/>
                      <w:sz w:val="20"/>
                    </w:rPr>
                    <w:t>;</w:t>
                  </w:r>
                  <w:r>
                    <w:br/>
                  </w:r>
                  <w:r>
                    <w:rPr>
                      <w:rFonts w:ascii="仿宋" w:hAnsi="仿宋" w:cs="仿宋" w:eastAsia="仿宋"/>
                      <w:sz w:val="20"/>
                    </w:rPr>
                    <w:t>支持</w:t>
                  </w:r>
                  <w:r>
                    <w:rPr>
                      <w:rFonts w:ascii="仿宋" w:hAnsi="仿宋" w:cs="仿宋" w:eastAsia="仿宋"/>
                      <w:sz w:val="20"/>
                    </w:rPr>
                    <w:t>HDMI/VGA/CVBS信号环通功能;</w:t>
                  </w:r>
                  <w:r>
                    <w:br/>
                  </w:r>
                  <w:r>
                    <w:rPr>
                      <w:rFonts w:ascii="仿宋" w:hAnsi="仿宋" w:cs="仿宋" w:eastAsia="仿宋"/>
                      <w:sz w:val="20"/>
                    </w:rPr>
                    <w:t>显示尺寸：</w:t>
                  </w:r>
                  <w:r>
                    <w:rPr>
                      <w:rFonts w:ascii="仿宋" w:hAnsi="仿宋" w:cs="仿宋" w:eastAsia="仿宋"/>
                      <w:sz w:val="20"/>
                    </w:rPr>
                    <w:t>55 inch</w:t>
                  </w:r>
                  <w:r>
                    <w:br/>
                  </w:r>
                  <w:r>
                    <w:rPr>
                      <w:rFonts w:ascii="仿宋" w:hAnsi="仿宋" w:cs="仿宋" w:eastAsia="仿宋"/>
                      <w:sz w:val="20"/>
                    </w:rPr>
                    <w:t>边框宽度：</w:t>
                  </w:r>
                  <w:r>
                    <w:rPr>
                      <w:rFonts w:ascii="仿宋" w:hAnsi="仿宋" w:cs="仿宋" w:eastAsia="仿宋"/>
                      <w:sz w:val="20"/>
                    </w:rPr>
                    <w:t>0.88 mm</w:t>
                  </w:r>
                  <w:r>
                    <w:br/>
                  </w:r>
                  <w:r>
                    <w:rPr>
                      <w:rFonts w:ascii="仿宋" w:hAnsi="仿宋" w:cs="仿宋" w:eastAsia="仿宋"/>
                      <w:sz w:val="20"/>
                    </w:rPr>
                    <w:t>对比度：</w:t>
                  </w:r>
                  <w:r>
                    <w:rPr>
                      <w:rFonts w:ascii="仿宋" w:hAnsi="仿宋" w:cs="仿宋" w:eastAsia="仿宋"/>
                      <w:sz w:val="20"/>
                    </w:rPr>
                    <w:t xml:space="preserve">1200 : 1 </w:t>
                  </w:r>
                  <w:r>
                    <w:br/>
                  </w:r>
                  <w:r>
                    <w:rPr>
                      <w:rFonts w:ascii="仿宋" w:hAnsi="仿宋" w:cs="仿宋" w:eastAsia="仿宋"/>
                      <w:sz w:val="20"/>
                    </w:rPr>
                    <w:t>音视频输入接口：</w:t>
                  </w:r>
                  <w:r>
                    <w:rPr>
                      <w:rFonts w:ascii="仿宋" w:hAnsi="仿宋" w:cs="仿宋" w:eastAsia="仿宋"/>
                      <w:sz w:val="20"/>
                    </w:rPr>
                    <w:t>HDMI × 1, DVI × 1, VGA × 1, CVBS × 1, USB × 1</w:t>
                  </w:r>
                  <w:r>
                    <w:br/>
                  </w:r>
                  <w:r>
                    <w:rPr>
                      <w:rFonts w:ascii="仿宋" w:hAnsi="仿宋" w:cs="仿宋" w:eastAsia="仿宋"/>
                      <w:sz w:val="20"/>
                    </w:rPr>
                    <w:t>音视频输出接口：</w:t>
                  </w:r>
                  <w:r>
                    <w:rPr>
                      <w:rFonts w:ascii="仿宋" w:hAnsi="仿宋" w:cs="仿宋" w:eastAsia="仿宋"/>
                      <w:sz w:val="20"/>
                    </w:rPr>
                    <w:t>HDMI × 1, VGA × 1, CVBS × 1</w:t>
                  </w:r>
                  <w:r>
                    <w:br/>
                  </w:r>
                  <w:r>
                    <w:rPr>
                      <w:rFonts w:ascii="仿宋" w:hAnsi="仿宋" w:cs="仿宋" w:eastAsia="仿宋"/>
                      <w:sz w:val="20"/>
                    </w:rPr>
                    <w:t>控制接口：</w:t>
                  </w:r>
                  <w:r>
                    <w:rPr>
                      <w:rFonts w:ascii="仿宋" w:hAnsi="仿宋" w:cs="仿宋" w:eastAsia="仿宋"/>
                      <w:sz w:val="20"/>
                    </w:rPr>
                    <w:t xml:space="preserve">RS232 IN × 1，RS232 OUT × 1 </w:t>
                  </w:r>
                  <w:r>
                    <w:br/>
                  </w:r>
                  <w:r>
                    <w:rPr>
                      <w:rFonts w:ascii="仿宋" w:hAnsi="仿宋" w:cs="仿宋" w:eastAsia="仿宋"/>
                      <w:sz w:val="20"/>
                    </w:rPr>
                    <w:t>电源：</w:t>
                  </w:r>
                  <w:r>
                    <w:rPr>
                      <w:rFonts w:ascii="仿宋" w:hAnsi="仿宋" w:cs="仿宋" w:eastAsia="仿宋"/>
                      <w:sz w:val="20"/>
                    </w:rPr>
                    <w:t>100～240 VAC, 50/60 Hz</w:t>
                  </w:r>
                  <w:r>
                    <w:br/>
                  </w:r>
                  <w:r>
                    <w:rPr>
                      <w:rFonts w:ascii="仿宋" w:hAnsi="仿宋" w:cs="仿宋" w:eastAsia="仿宋"/>
                      <w:sz w:val="20"/>
                    </w:rPr>
                    <w:t>功耗：</w:t>
                  </w:r>
                  <w:r>
                    <w:rPr>
                      <w:rFonts w:ascii="仿宋" w:hAnsi="仿宋" w:cs="仿宋" w:eastAsia="仿宋"/>
                      <w:sz w:val="20"/>
                    </w:rPr>
                    <w:t>≤ 240 W</w:t>
                  </w:r>
                  <w:r>
                    <w:br/>
                  </w:r>
                  <w:r>
                    <w:rPr>
                      <w:rFonts w:ascii="仿宋" w:hAnsi="仿宋" w:cs="仿宋" w:eastAsia="仿宋"/>
                      <w:sz w:val="20"/>
                    </w:rPr>
                    <w:t>待机功耗：</w:t>
                  </w:r>
                  <w:r>
                    <w:rPr>
                      <w:rFonts w:ascii="仿宋" w:hAnsi="仿宋" w:cs="仿宋" w:eastAsia="仿宋"/>
                      <w:sz w:val="20"/>
                    </w:rPr>
                    <w:t xml:space="preserve">≤ 0.5 W </w:t>
                  </w:r>
                  <w:r>
                    <w:br/>
                  </w:r>
                  <w:r>
                    <w:rPr>
                      <w:rFonts w:ascii="仿宋" w:hAnsi="仿宋" w:cs="仿宋" w:eastAsia="仿宋"/>
                      <w:sz w:val="20"/>
                    </w:rPr>
                    <w:t>安装孔距：</w:t>
                  </w:r>
                  <w:r>
                    <w:rPr>
                      <w:rFonts w:ascii="仿宋" w:hAnsi="仿宋" w:cs="仿宋" w:eastAsia="仿宋"/>
                      <w:sz w:val="20"/>
                    </w:rPr>
                    <w:t xml:space="preserve">580 (H) mm × 460 (V) mm </w:t>
                  </w:r>
                  <w:r>
                    <w:br/>
                  </w:r>
                  <w:r>
                    <w:rPr>
                      <w:rFonts w:ascii="仿宋" w:hAnsi="仿宋" w:cs="仿宋" w:eastAsia="仿宋"/>
                      <w:sz w:val="20"/>
                    </w:rPr>
                    <w:t>600 (H) mm × 400 (V) mm</w:t>
                  </w:r>
                  <w:r>
                    <w:br/>
                  </w:r>
                  <w:r>
                    <w:rPr>
                      <w:rFonts w:ascii="仿宋" w:hAnsi="仿宋" w:cs="仿宋" w:eastAsia="仿宋"/>
                      <w:sz w:val="20"/>
                    </w:rPr>
                    <w:t xml:space="preserve"> </w:t>
                  </w:r>
                  <w:r>
                    <w:rPr>
                      <w:rFonts w:ascii="仿宋" w:hAnsi="仿宋" w:cs="仿宋" w:eastAsia="仿宋"/>
                      <w:sz w:val="20"/>
                    </w:rPr>
                    <w:t>产品尺寸：</w:t>
                  </w:r>
                  <w:r>
                    <w:rPr>
                      <w:rFonts w:ascii="仿宋" w:hAnsi="仿宋" w:cs="仿宋" w:eastAsia="仿宋"/>
                      <w:sz w:val="20"/>
                    </w:rPr>
                    <w:t>1212.7 (W) mm × 683.5 (H) mm × 1220.6 (D) mm</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台</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9</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视频处理器</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拼接控制器，</w:t>
                  </w:r>
                  <w:r>
                    <w:rPr>
                      <w:rFonts w:ascii="仿宋" w:hAnsi="仿宋" w:cs="仿宋" w:eastAsia="仿宋"/>
                      <w:sz w:val="20"/>
                    </w:rPr>
                    <w:t>8进8出，HDMI接口</w:t>
                  </w:r>
                  <w:r>
                    <w:br/>
                  </w:r>
                  <w:r>
                    <w:rPr>
                      <w:rFonts w:ascii="仿宋" w:hAnsi="仿宋" w:cs="仿宋" w:eastAsia="仿宋"/>
                      <w:sz w:val="20"/>
                    </w:rPr>
                    <w:t>机箱高度：</w:t>
                  </w:r>
                  <w:r>
                    <w:rPr>
                      <w:rFonts w:ascii="仿宋" w:hAnsi="仿宋" w:cs="仿宋" w:eastAsia="仿宋"/>
                      <w:sz w:val="20"/>
                    </w:rPr>
                    <w:t xml:space="preserve">3U </w:t>
                  </w:r>
                  <w:r>
                    <w:br/>
                  </w:r>
                  <w:r>
                    <w:rPr>
                      <w:rFonts w:ascii="仿宋" w:hAnsi="仿宋" w:cs="仿宋" w:eastAsia="仿宋"/>
                      <w:sz w:val="20"/>
                    </w:rPr>
                    <w:t>电源：</w:t>
                  </w:r>
                  <w:r>
                    <w:rPr>
                      <w:rFonts w:ascii="仿宋" w:hAnsi="仿宋" w:cs="仿宋" w:eastAsia="仿宋"/>
                      <w:sz w:val="20"/>
                    </w:rPr>
                    <w:t>100–240V~,50/60 Hz, 2.6A</w:t>
                  </w:r>
                  <w:r>
                    <w:br/>
                  </w:r>
                  <w:r>
                    <w:rPr>
                      <w:rFonts w:ascii="仿宋" w:hAnsi="仿宋" w:cs="仿宋" w:eastAsia="仿宋"/>
                      <w:sz w:val="20"/>
                    </w:rPr>
                    <w:t>配件：</w:t>
                  </w:r>
                  <w:r>
                    <w:rPr>
                      <w:rFonts w:ascii="仿宋" w:hAnsi="仿宋" w:cs="仿宋" w:eastAsia="仿宋"/>
                      <w:sz w:val="20"/>
                    </w:rPr>
                    <w:t>1×电源线、1×RJ45网线、1×接地线,、1×HDMI线1×合格证</w:t>
                  </w:r>
                  <w:r>
                    <w:br/>
                  </w:r>
                  <w:r>
                    <w:rPr>
                      <w:rFonts w:ascii="仿宋" w:hAnsi="仿宋" w:cs="仿宋" w:eastAsia="仿宋"/>
                      <w:sz w:val="20"/>
                    </w:rPr>
                    <w:t>净重：</w:t>
                  </w:r>
                  <w:r>
                    <w:rPr>
                      <w:rFonts w:ascii="仿宋" w:hAnsi="仿宋" w:cs="仿宋" w:eastAsia="仿宋"/>
                      <w:sz w:val="20"/>
                    </w:rPr>
                    <w:t>7.7kg</w:t>
                  </w:r>
                  <w:r>
                    <w:br/>
                  </w:r>
                  <w:r>
                    <w:rPr>
                      <w:rFonts w:ascii="仿宋" w:hAnsi="仿宋" w:cs="仿宋" w:eastAsia="仿宋"/>
                      <w:sz w:val="20"/>
                    </w:rPr>
                    <w:t>功耗：</w:t>
                  </w:r>
                  <w:r>
                    <w:rPr>
                      <w:rFonts w:ascii="仿宋" w:hAnsi="仿宋" w:cs="仿宋" w:eastAsia="仿宋"/>
                      <w:sz w:val="20"/>
                    </w:rPr>
                    <w:t>150W</w:t>
                  </w:r>
                  <w:r>
                    <w:br/>
                  </w:r>
                  <w:r>
                    <w:rPr>
                      <w:rFonts w:ascii="仿宋" w:hAnsi="仿宋" w:cs="仿宋" w:eastAsia="仿宋"/>
                      <w:sz w:val="20"/>
                    </w:rPr>
                    <w:t>存储温度：</w:t>
                  </w:r>
                  <w:r>
                    <w:rPr>
                      <w:rFonts w:ascii="仿宋" w:hAnsi="仿宋" w:cs="仿宋" w:eastAsia="仿宋"/>
                      <w:sz w:val="20"/>
                    </w:rPr>
                    <w:t>-10°C-60°C</w:t>
                  </w:r>
                  <w:r>
                    <w:br/>
                  </w:r>
                  <w:r>
                    <w:rPr>
                      <w:rFonts w:ascii="仿宋" w:hAnsi="仿宋" w:cs="仿宋" w:eastAsia="仿宋"/>
                      <w:sz w:val="20"/>
                    </w:rPr>
                    <w:t>存储湿度：</w:t>
                  </w:r>
                  <w:r>
                    <w:rPr>
                      <w:rFonts w:ascii="仿宋" w:hAnsi="仿宋" w:cs="仿宋" w:eastAsia="仿宋"/>
                      <w:sz w:val="20"/>
                    </w:rPr>
                    <w:t>0%RH～95%RH，无冷凝</w:t>
                  </w:r>
                  <w:r>
                    <w:br/>
                  </w:r>
                  <w:r>
                    <w:rPr>
                      <w:rFonts w:ascii="仿宋" w:hAnsi="仿宋" w:cs="仿宋" w:eastAsia="仿宋"/>
                      <w:sz w:val="20"/>
                    </w:rPr>
                    <w:t>工作温度：</w:t>
                  </w:r>
                  <w:r>
                    <w:rPr>
                      <w:rFonts w:ascii="仿宋" w:hAnsi="仿宋" w:cs="仿宋" w:eastAsia="仿宋"/>
                      <w:sz w:val="20"/>
                    </w:rPr>
                    <w:t>0℃~45℃</w:t>
                  </w:r>
                  <w:r>
                    <w:br/>
                  </w:r>
                  <w:r>
                    <w:rPr>
                      <w:rFonts w:ascii="仿宋" w:hAnsi="仿宋" w:cs="仿宋" w:eastAsia="仿宋"/>
                      <w:sz w:val="20"/>
                    </w:rPr>
                    <w:t>工作湿度：</w:t>
                  </w:r>
                  <w:r>
                    <w:rPr>
                      <w:rFonts w:ascii="仿宋" w:hAnsi="仿宋" w:cs="仿宋" w:eastAsia="仿宋"/>
                      <w:sz w:val="20"/>
                    </w:rPr>
                    <w:t>0%RH～80%RH，无冷凝</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台</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LED会标屏</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LED会标屏，P3.75mm，单红色显示，支持多种特效显示方式(双层，长3.648米*高0.304米)</w:t>
                  </w:r>
                  <w:r>
                    <w:br/>
                  </w:r>
                  <w:r>
                    <w:rPr>
                      <w:rFonts w:ascii="仿宋" w:hAnsi="仿宋" w:cs="仿宋" w:eastAsia="仿宋"/>
                      <w:sz w:val="20"/>
                    </w:rPr>
                    <w:t>网口发送卡电脑段修改文字</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套</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12</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落地机柜</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支架均采用</w:t>
                  </w:r>
                  <w:r>
                    <w:rPr>
                      <w:rFonts w:ascii="仿宋" w:hAnsi="仿宋" w:cs="仿宋" w:eastAsia="仿宋"/>
                      <w:sz w:val="20"/>
                    </w:rPr>
                    <w:t>SPCC优质冷轧钢板保障质量的源头；表面采用静电喷塑工艺，喷塑固化温度180-210度，涂层厚度80-100微米，对高防腐要求产品还可选择阴极电泳底漆工艺，防腐耐锈。</w:t>
                  </w:r>
                  <w:r>
                    <w:br/>
                  </w:r>
                  <w:r>
                    <w:rPr>
                      <w:rFonts w:ascii="仿宋" w:hAnsi="仿宋" w:cs="仿宋" w:eastAsia="仿宋"/>
                      <w:sz w:val="20"/>
                    </w:rPr>
                    <w:t>长</w:t>
                  </w:r>
                  <w:r>
                    <w:rPr>
                      <w:rFonts w:ascii="仿宋" w:hAnsi="仿宋" w:cs="仿宋" w:eastAsia="仿宋"/>
                      <w:sz w:val="20"/>
                    </w:rPr>
                    <w:t>*高*厚：2.6*3.7*0.55米</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套</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13</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控制电脑</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 xml:space="preserve">I5-12400/16G/1T/集显/无光驱/ 23.8寸显示器   </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台</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14</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HDMI信号线</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6根10mHDMI线缆</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项</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15</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运维大屏系统施工费</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运维大屏系统施工费</w:t>
                  </w:r>
                  <w:r>
                    <w:rPr>
                      <w:rFonts w:ascii="仿宋" w:hAnsi="仿宋" w:cs="仿宋" w:eastAsia="仿宋"/>
                      <w:sz w:val="20"/>
                      <w:color w:val="000000"/>
                    </w:rPr>
                    <w:t>+运输费 （后期培训）</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项</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16</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网络硬盘录像机</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可接驳符合</w:t>
                  </w:r>
                  <w:r>
                    <w:rPr>
                      <w:rFonts w:ascii="仿宋" w:hAnsi="仿宋" w:cs="仿宋" w:eastAsia="仿宋"/>
                      <w:sz w:val="20"/>
                      <w:color w:val="000000"/>
                    </w:rPr>
                    <w:t>ONVIF、RTSP标准的众多主流厂商网络摄像机；</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支持接入</w:t>
                  </w:r>
                  <w:r>
                    <w:rPr>
                      <w:rFonts w:ascii="仿宋" w:hAnsi="仿宋" w:cs="仿宋" w:eastAsia="仿宋"/>
                      <w:sz w:val="20"/>
                      <w:color w:val="000000"/>
                    </w:rPr>
                    <w:t>H.265、Smart265、H.264、Smart264视频编码码流；</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解码性能强劲，最大支持</w:t>
                  </w:r>
                  <w:r>
                    <w:rPr>
                      <w:rFonts w:ascii="仿宋" w:hAnsi="仿宋" w:cs="仿宋" w:eastAsia="仿宋"/>
                      <w:sz w:val="20"/>
                      <w:color w:val="000000"/>
                    </w:rPr>
                    <w:t>12路1080P解码（开启SVC增强模式后，可提升至16路1080P解码）；</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支持</w:t>
                  </w:r>
                  <w:r>
                    <w:rPr>
                      <w:rFonts w:ascii="仿宋" w:hAnsi="仿宋" w:cs="仿宋" w:eastAsia="仿宋"/>
                      <w:sz w:val="20"/>
                      <w:color w:val="000000"/>
                    </w:rPr>
                    <w:t>800万像素高清网络视频的预览、存储与回放；</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支持</w:t>
                  </w:r>
                  <w:r>
                    <w:rPr>
                      <w:rFonts w:ascii="仿宋" w:hAnsi="仿宋" w:cs="仿宋" w:eastAsia="仿宋"/>
                      <w:sz w:val="20"/>
                      <w:color w:val="000000"/>
                    </w:rPr>
                    <w:t>HDMI与VGA同/异源输出，HDMI最大支持4K超高清显示输出，VGA支持1080P高清显示输出；</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自带</w:t>
                  </w:r>
                  <w:r>
                    <w:rPr>
                      <w:rFonts w:ascii="仿宋" w:hAnsi="仿宋" w:cs="仿宋" w:eastAsia="仿宋"/>
                      <w:sz w:val="20"/>
                      <w:color w:val="000000"/>
                    </w:rPr>
                    <w:t>8个SATA接口，最大支持满配10T硬盘。</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台</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8</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17</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机械硬盘</w:t>
                  </w:r>
                  <w:r>
                    <w:br/>
                  </w:r>
                  <w:r>
                    <w:rPr>
                      <w:rFonts w:ascii="仿宋" w:hAnsi="仿宋" w:cs="仿宋" w:eastAsia="仿宋"/>
                      <w:sz w:val="20"/>
                      <w:color w:val="000000"/>
                    </w:rPr>
                    <w:t>3.5英寸-SATA接口</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单盘容量：</w:t>
                  </w:r>
                  <w:r>
                    <w:rPr>
                      <w:rFonts w:ascii="仿宋" w:hAnsi="仿宋" w:cs="仿宋" w:eastAsia="仿宋"/>
                      <w:sz w:val="20"/>
                      <w:color w:val="000000"/>
                    </w:rPr>
                    <w:t>6TB；</w:t>
                  </w:r>
                  <w:r>
                    <w:br/>
                  </w:r>
                  <w:r>
                    <w:rPr>
                      <w:rFonts w:ascii="仿宋" w:hAnsi="仿宋" w:cs="仿宋" w:eastAsia="仿宋"/>
                      <w:sz w:val="20"/>
                      <w:color w:val="000000"/>
                    </w:rPr>
                    <w:t>硬盘接口：</w:t>
                  </w:r>
                  <w:r>
                    <w:rPr>
                      <w:rFonts w:ascii="仿宋" w:hAnsi="仿宋" w:cs="仿宋" w:eastAsia="仿宋"/>
                      <w:sz w:val="20"/>
                      <w:color w:val="000000"/>
                    </w:rPr>
                    <w:t>SATA；</w:t>
                  </w:r>
                  <w:r>
                    <w:br/>
                  </w:r>
                  <w:r>
                    <w:rPr>
                      <w:rFonts w:ascii="仿宋" w:hAnsi="仿宋" w:cs="仿宋" w:eastAsia="仿宋"/>
                      <w:sz w:val="20"/>
                      <w:color w:val="000000"/>
                    </w:rPr>
                    <w:t>转速：</w:t>
                  </w:r>
                  <w:r>
                    <w:rPr>
                      <w:rFonts w:ascii="仿宋" w:hAnsi="仿宋" w:cs="仿宋" w:eastAsia="仿宋"/>
                      <w:sz w:val="20"/>
                      <w:color w:val="000000"/>
                    </w:rPr>
                    <w:t>5400RPM；</w:t>
                  </w:r>
                  <w:r>
                    <w:br/>
                  </w:r>
                  <w:r>
                    <w:rPr>
                      <w:rFonts w:ascii="仿宋" w:hAnsi="仿宋" w:cs="仿宋" w:eastAsia="仿宋"/>
                      <w:sz w:val="20"/>
                      <w:color w:val="000000"/>
                    </w:rPr>
                    <w:t>缓存：</w:t>
                  </w:r>
                  <w:r>
                    <w:rPr>
                      <w:rFonts w:ascii="仿宋" w:hAnsi="仿宋" w:cs="仿宋" w:eastAsia="仿宋"/>
                      <w:sz w:val="20"/>
                      <w:color w:val="000000"/>
                    </w:rPr>
                    <w:t>256MB</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块</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48</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18</w:t>
                  </w:r>
                </w:p>
              </w:tc>
              <w:tc>
                <w:tcPr>
                  <w:tcW w:type="dxa" w:w="3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解码器</w:t>
                  </w:r>
                </w:p>
              </w:tc>
              <w:tc>
                <w:tcPr>
                  <w:tcW w:type="dxa" w:w="16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高清视音频解码器，采用</w:t>
                  </w:r>
                  <w:r>
                    <w:rPr>
                      <w:rFonts w:ascii="仿宋" w:hAnsi="仿宋" w:cs="仿宋" w:eastAsia="仿宋"/>
                      <w:sz w:val="20"/>
                      <w:color w:val="000000"/>
                    </w:rPr>
                    <w:t>Linux操作系统，运行稳定可靠</w:t>
                  </w:r>
                  <w:r>
                    <w:br/>
                  </w:r>
                  <w:r>
                    <w:rPr>
                      <w:rFonts w:ascii="仿宋" w:hAnsi="仿宋" w:cs="仿宋" w:eastAsia="仿宋"/>
                      <w:sz w:val="20"/>
                      <w:color w:val="000000"/>
                    </w:rPr>
                    <w:t>输入接口：支持一路</w:t>
                  </w:r>
                  <w:r>
                    <w:rPr>
                      <w:rFonts w:ascii="仿宋" w:hAnsi="仿宋" w:cs="仿宋" w:eastAsia="仿宋"/>
                      <w:sz w:val="20"/>
                      <w:color w:val="000000"/>
                    </w:rPr>
                    <w:t>VGA和一路DVI接入</w:t>
                  </w:r>
                  <w:r>
                    <w:br/>
                  </w:r>
                  <w:r>
                    <w:rPr>
                      <w:rFonts w:ascii="仿宋" w:hAnsi="仿宋" w:cs="仿宋" w:eastAsia="仿宋"/>
                      <w:sz w:val="20"/>
                      <w:color w:val="000000"/>
                    </w:rPr>
                    <w:t>输出接口：支持</w:t>
                  </w:r>
                  <w:r>
                    <w:rPr>
                      <w:rFonts w:ascii="仿宋" w:hAnsi="仿宋" w:cs="仿宋" w:eastAsia="仿宋"/>
                      <w:sz w:val="20"/>
                      <w:color w:val="000000"/>
                    </w:rPr>
                    <w:t>16路HDMI和8路BNC输出，HDMI（可以转DVI-D）（奇数口）输出分辨率最高支持4K（3840*2160@30HZ）</w:t>
                  </w:r>
                  <w:r>
                    <w:br/>
                  </w:r>
                  <w:r>
                    <w:rPr>
                      <w:rFonts w:ascii="仿宋" w:hAnsi="仿宋" w:cs="仿宋" w:eastAsia="仿宋"/>
                      <w:sz w:val="20"/>
                      <w:color w:val="000000"/>
                    </w:rPr>
                    <w:t>解码能力：支持</w:t>
                  </w:r>
                  <w:r>
                    <w:rPr>
                      <w:rFonts w:ascii="仿宋" w:hAnsi="仿宋" w:cs="仿宋" w:eastAsia="仿宋"/>
                      <w:sz w:val="20"/>
                      <w:color w:val="000000"/>
                    </w:rPr>
                    <w:t>16路1200W，或32路800W，或48路500W，或80路300W，或128路1080P及以下分辨率同时实时解码；</w:t>
                  </w:r>
                  <w:r>
                    <w:br/>
                  </w:r>
                  <w:r>
                    <w:rPr>
                      <w:rFonts w:ascii="仿宋" w:hAnsi="仿宋" w:cs="仿宋" w:eastAsia="仿宋"/>
                      <w:sz w:val="20"/>
                      <w:color w:val="000000"/>
                    </w:rPr>
                    <w:t>画面分割：支持</w:t>
                  </w:r>
                  <w:r>
                    <w:rPr>
                      <w:rFonts w:ascii="仿宋" w:hAnsi="仿宋" w:cs="仿宋" w:eastAsia="仿宋"/>
                      <w:sz w:val="20"/>
                      <w:color w:val="000000"/>
                    </w:rPr>
                    <w:t>1、2、4、6、8、9、10、12、16、25、36画面分割显示。</w:t>
                  </w:r>
                  <w:r>
                    <w:br/>
                  </w:r>
                  <w:r>
                    <w:rPr>
                      <w:rFonts w:ascii="仿宋" w:hAnsi="仿宋" w:cs="仿宋" w:eastAsia="仿宋"/>
                      <w:sz w:val="20"/>
                      <w:color w:val="000000"/>
                    </w:rPr>
                    <w:t>网络接口：</w:t>
                  </w:r>
                  <w:r>
                    <w:rPr>
                      <w:rFonts w:ascii="仿宋" w:hAnsi="仿宋" w:cs="仿宋" w:eastAsia="仿宋"/>
                      <w:sz w:val="20"/>
                      <w:color w:val="000000"/>
                    </w:rPr>
                    <w:t>2光口，2电口</w:t>
                  </w:r>
                  <w:r>
                    <w:br/>
                  </w:r>
                  <w:r>
                    <w:rPr>
                      <w:rFonts w:ascii="仿宋" w:hAnsi="仿宋" w:cs="仿宋" w:eastAsia="仿宋"/>
                      <w:sz w:val="20"/>
                      <w:color w:val="000000"/>
                    </w:rPr>
                    <w:t>音频接口：支持</w:t>
                  </w:r>
                  <w:r>
                    <w:rPr>
                      <w:rFonts w:ascii="仿宋" w:hAnsi="仿宋" w:cs="仿宋" w:eastAsia="仿宋"/>
                      <w:sz w:val="20"/>
                      <w:color w:val="000000"/>
                    </w:rPr>
                    <w:t>16路音频输出，1路对讲输入，1路对讲输出。</w:t>
                  </w:r>
                </w:p>
              </w:tc>
              <w:tc>
                <w:tcPr>
                  <w:tcW w:type="dxa" w:w="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台</w:t>
                  </w:r>
                </w:p>
              </w:tc>
              <w:tc>
                <w:tcPr>
                  <w:tcW w:type="dxa" w:w="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19</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UPS主机</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1主机容量10-40KVA；采用在线式双变换技术，兼容机架式塔式安装。</w:t>
                  </w:r>
                  <w:r>
                    <w:br/>
                  </w:r>
                  <w:r>
                    <w:rPr>
                      <w:rFonts w:ascii="仿宋" w:hAnsi="仿宋" w:cs="仿宋" w:eastAsia="仿宋"/>
                      <w:sz w:val="20"/>
                      <w:color w:val="000000"/>
                    </w:rPr>
                    <w:t>2输入电压制式380V/400V/415V；输入频率50/60Hz。</w:t>
                  </w:r>
                  <w:r>
                    <w:br/>
                  </w:r>
                  <w:r>
                    <w:rPr>
                      <w:rFonts w:ascii="仿宋" w:hAnsi="仿宋" w:cs="仿宋" w:eastAsia="仿宋"/>
                      <w:sz w:val="20"/>
                      <w:color w:val="000000"/>
                    </w:rPr>
                    <w:t>3输入功率因数（100％负载）＞0.99。</w:t>
                  </w:r>
                  <w:r>
                    <w:br/>
                  </w:r>
                  <w:r>
                    <w:rPr>
                      <w:rFonts w:ascii="仿宋" w:hAnsi="仿宋" w:cs="仿宋" w:eastAsia="仿宋"/>
                      <w:sz w:val="20"/>
                      <w:color w:val="000000"/>
                    </w:rPr>
                    <w:t>4输入谐波电流总含量（100％负载）＜3%。</w:t>
                  </w:r>
                  <w:r>
                    <w:br/>
                  </w:r>
                  <w:r>
                    <w:rPr>
                      <w:rFonts w:ascii="仿宋" w:hAnsi="仿宋" w:cs="仿宋" w:eastAsia="仿宋"/>
                      <w:sz w:val="20"/>
                      <w:color w:val="000000"/>
                    </w:rPr>
                    <w:t>5输出电压：380V/400V/415V±1.0%。</w:t>
                  </w:r>
                  <w:r>
                    <w:br/>
                  </w:r>
                  <w:r>
                    <w:rPr>
                      <w:rFonts w:ascii="仿宋" w:hAnsi="仿宋" w:cs="仿宋" w:eastAsia="仿宋"/>
                      <w:sz w:val="20"/>
                      <w:color w:val="000000"/>
                    </w:rPr>
                    <w:t>6输出波形为连续的正弦波，在带100%不均衡负载时，波形失真度：阻性负载＜2％；非线性负载＜5％。</w:t>
                  </w:r>
                  <w:r>
                    <w:br/>
                  </w:r>
                  <w:r>
                    <w:rPr>
                      <w:rFonts w:ascii="仿宋" w:hAnsi="仿宋" w:cs="仿宋" w:eastAsia="仿宋"/>
                      <w:sz w:val="20"/>
                      <w:color w:val="000000"/>
                    </w:rPr>
                    <w:t>7▲输出功率因数：≥0.9。</w:t>
                  </w:r>
                  <w:r>
                    <w:br/>
                  </w:r>
                  <w:r>
                    <w:rPr>
                      <w:rFonts w:ascii="仿宋" w:hAnsi="仿宋" w:cs="仿宋" w:eastAsia="仿宋"/>
                      <w:sz w:val="20"/>
                      <w:color w:val="000000"/>
                    </w:rPr>
                    <w:t>8▲整机效率：在100%负载下双变换模式工作效率＞95%。</w:t>
                  </w:r>
                  <w:r>
                    <w:br/>
                  </w:r>
                  <w:r>
                    <w:rPr>
                      <w:rFonts w:ascii="仿宋" w:hAnsi="仿宋" w:cs="仿宋" w:eastAsia="仿宋"/>
                      <w:sz w:val="20"/>
                      <w:color w:val="000000"/>
                    </w:rPr>
                    <w:t>9输出动态响应：＜5%（0%-100%-0%阶跃负载）。</w:t>
                  </w:r>
                  <w:r>
                    <w:br/>
                  </w:r>
                  <w:r>
                    <w:rPr>
                      <w:rFonts w:ascii="仿宋" w:hAnsi="仿宋" w:cs="仿宋" w:eastAsia="仿宋"/>
                      <w:sz w:val="20"/>
                      <w:color w:val="000000"/>
                    </w:rPr>
                    <w:t>10★UPS采用先进的逆变技术，高效节能，具有先进的逆变电路及电源系统，采用UPS直接将输入交流对外输出,利用母线输出能量对输入电压进行互补输出稳定的交流电压,使得部分交流经过双转换,降低了能量损失﹑提高了转换效率,整流部分不需要全功运转，厂家需提供技术说明并提供第三方证明文件。</w:t>
                  </w:r>
                  <w:r>
                    <w:br/>
                  </w:r>
                  <w:r>
                    <w:rPr>
                      <w:rFonts w:ascii="仿宋" w:hAnsi="仿宋" w:cs="仿宋" w:eastAsia="仿宋"/>
                      <w:sz w:val="20"/>
                      <w:color w:val="000000"/>
                    </w:rPr>
                    <w:t>11★UPS具备高效率的UPS系统，UPS主机市电输入电压能对逆变模块输出电压进行补偿，减少UPS系统在经过两次变换后的能量损失，提升UPS效率，投标说明技术方法和第三方证明文件。</w:t>
                  </w:r>
                  <w:r>
                    <w:br/>
                  </w:r>
                  <w:r>
                    <w:rPr>
                      <w:rFonts w:ascii="仿宋" w:hAnsi="仿宋" w:cs="仿宋" w:eastAsia="仿宋"/>
                      <w:sz w:val="20"/>
                      <w:color w:val="000000"/>
                    </w:rPr>
                    <w:t>12市电电池切换时间：UPS在市电和电池两种状态间切换的时间应为0。</w:t>
                  </w:r>
                  <w:r>
                    <w:br/>
                  </w:r>
                  <w:r>
                    <w:rPr>
                      <w:rFonts w:ascii="仿宋" w:hAnsi="仿宋" w:cs="仿宋" w:eastAsia="仿宋"/>
                      <w:sz w:val="20"/>
                      <w:color w:val="000000"/>
                    </w:rPr>
                    <w:t>13电池可调范围：30-50节。</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台</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20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摄像机</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最高分辨率可达</w:t>
                  </w:r>
                  <w:r>
                    <w:rPr>
                      <w:rFonts w:ascii="仿宋" w:hAnsi="仿宋" w:cs="仿宋" w:eastAsia="仿宋"/>
                      <w:sz w:val="20"/>
                      <w:color w:val="000000"/>
                    </w:rPr>
                    <w:t>3840 × 2160 @20 fps</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支持背光补偿，强光抑制，</w:t>
                  </w:r>
                  <w:r>
                    <w:rPr>
                      <w:rFonts w:ascii="仿宋" w:hAnsi="仿宋" w:cs="仿宋" w:eastAsia="仿宋"/>
                      <w:sz w:val="20"/>
                      <w:color w:val="000000"/>
                    </w:rPr>
                    <w:t>3D数字降噪，120 dB宽动态，适应不同环境</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支持</w:t>
                  </w:r>
                  <w:r>
                    <w:rPr>
                      <w:rFonts w:ascii="仿宋" w:hAnsi="仿宋" w:cs="仿宋" w:eastAsia="仿宋"/>
                      <w:sz w:val="20"/>
                      <w:color w:val="000000"/>
                    </w:rPr>
                    <w:t>Smart侦测：越界侦测，区域入侵侦测</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支持低码率、低延时、</w:t>
                  </w:r>
                  <w:r>
                    <w:rPr>
                      <w:rFonts w:ascii="仿宋" w:hAnsi="仿宋" w:cs="仿宋" w:eastAsia="仿宋"/>
                      <w:sz w:val="20"/>
                      <w:color w:val="000000"/>
                    </w:rPr>
                    <w:t>ROI感兴趣区域增强编码，支持Smart265编码，可根据场景情况自适应调整码率分配，有效节省存储成本</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支持</w:t>
                  </w:r>
                  <w:r>
                    <w:rPr>
                      <w:rFonts w:ascii="仿宋" w:hAnsi="仿宋" w:cs="仿宋" w:eastAsia="仿宋"/>
                      <w:sz w:val="20"/>
                      <w:color w:val="000000"/>
                    </w:rPr>
                    <w:t>MicroSD/MicroSDHC/MicroSDXC卡，最大256 GB本地存储</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1个内置麦克风</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支持白光</w:t>
                  </w:r>
                  <w:r>
                    <w:rPr>
                      <w:rFonts w:ascii="仿宋" w:hAnsi="仿宋" w:cs="仿宋" w:eastAsia="仿宋"/>
                      <w:sz w:val="20"/>
                      <w:color w:val="000000"/>
                    </w:rPr>
                    <w:t>/红外双补光，红外最远可达30 m，白光最远可达20 m</w:t>
                  </w:r>
                  <w:r>
                    <w:br/>
                  </w:r>
                  <w:r>
                    <w:rPr>
                      <w:rFonts w:ascii="times new roman, times, serif" w:hAnsi="times new roman, times, serif" w:cs="times new roman, times, serif" w:eastAsia="times new roman, times, serif"/>
                      <w:sz w:val="20"/>
                      <w:color w:val="000000"/>
                    </w:rPr>
                    <w:t>•</w:t>
                  </w:r>
                  <w:r>
                    <w:rPr>
                      <w:rFonts w:ascii="仿宋" w:hAnsi="仿宋" w:cs="仿宋" w:eastAsia="仿宋"/>
                      <w:sz w:val="20"/>
                      <w:color w:val="000000"/>
                    </w:rPr>
                    <w:t xml:space="preserve"> </w:t>
                  </w:r>
                  <w:r>
                    <w:rPr>
                      <w:rFonts w:ascii="仿宋" w:hAnsi="仿宋" w:cs="仿宋" w:eastAsia="仿宋"/>
                      <w:sz w:val="20"/>
                      <w:color w:val="000000"/>
                    </w:rPr>
                    <w:t>符合</w:t>
                  </w:r>
                  <w:r>
                    <w:rPr>
                      <w:rFonts w:ascii="仿宋" w:hAnsi="仿宋" w:cs="仿宋" w:eastAsia="仿宋"/>
                      <w:sz w:val="20"/>
                      <w:color w:val="000000"/>
                    </w:rPr>
                    <w:t>IP66级防尘防水，可靠性高</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台</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128</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21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电脑主机</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color w:val="000000"/>
                    </w:rPr>
                    <w:t>I5-12500//16G/1T+256G/2G独显/win11/23.8寸显示器</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台</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2</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供货安装期限自合同签订之日起30日历天</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货物验收合格正式使用后 </w:t>
      </w:r>
      <w:r>
        <w:rPr/>
        <w:t xml:space="preserve"> ，达到付款条件起 </w:t>
      </w:r>
      <w:r>
        <w:rPr/>
        <w:t>15</w:t>
      </w:r>
      <w:r>
        <w:rPr/>
        <w:t xml:space="preserve"> 日内，支付合同总金额的 </w:t>
      </w:r>
      <w:r>
        <w:rPr/>
        <w:t>97.00</w:t>
      </w:r>
      <w:r>
        <w:rPr/>
        <w:t>%。</w:t>
      </w:r>
    </w:p>
    <w:p>
      <w:pPr>
        <w:pStyle w:val="null3"/>
      </w:pPr>
      <w:r>
        <w:rPr/>
        <w:t>采购包1：</w:t>
      </w:r>
      <w:r>
        <w:rPr/>
        <w:t xml:space="preserve"> 付款条件说明： </w:t>
      </w:r>
      <w:r>
        <w:rPr/>
        <w:t>预留3%项目保证金，待质保期结束</w:t>
      </w:r>
      <w:r>
        <w:rPr/>
        <w:t xml:space="preserve"> ，达到付款条件起 </w:t>
      </w:r>
      <w:r>
        <w:rPr/>
        <w:t>15</w:t>
      </w:r>
      <w:r>
        <w:rPr/>
        <w:t xml:space="preserve"> 日内，支付合同总金额的 </w:t>
      </w:r>
      <w:r>
        <w:rPr/>
        <w:t>3.00</w:t>
      </w:r>
      <w:r>
        <w:rPr/>
        <w:t>%。</w:t>
      </w:r>
    </w:p>
    <w:p>
      <w:pPr>
        <w:pStyle w:val="null3"/>
        <w:outlineLvl w:val="3"/>
      </w:pPr>
      <w:r>
        <w:rPr>
          <w:sz w:val="24"/>
          <w:b/>
        </w:rPr>
        <w:t>3.4.5验收标准和方法</w:t>
      </w:r>
    </w:p>
    <w:p>
      <w:pPr>
        <w:pStyle w:val="null3"/>
      </w:pPr>
      <w:r>
        <w:rPr/>
        <w:t>采购包1：</w:t>
      </w:r>
    </w:p>
    <w:p>
      <w:pPr>
        <w:pStyle w:val="null3"/>
      </w:pPr>
      <w:r>
        <w:rPr/>
        <w:t>验收标准：参照《财政部关于进一步加强政府采购需求和履约验收管理的指导意见》(财库(2016) 205号)。 验收方法：自行组织项目验收。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招标文件所包含的所有内容；质保期2年</w:t>
      </w:r>
    </w:p>
    <w:p>
      <w:pPr>
        <w:pStyle w:val="null3"/>
        <w:outlineLvl w:val="3"/>
      </w:pPr>
      <w:r>
        <w:rPr>
          <w:sz w:val="24"/>
          <w:b/>
        </w:rPr>
        <w:t>3.4.8违约责任与解决争议的方法</w:t>
      </w:r>
    </w:p>
    <w:p>
      <w:pPr>
        <w:pStyle w:val="null3"/>
      </w:pPr>
      <w:r>
        <w:rPr/>
        <w:t>采购包1：</w:t>
      </w:r>
    </w:p>
    <w:p>
      <w:pPr>
        <w:pStyle w:val="null3"/>
      </w:pPr>
      <w:r>
        <w:rPr/>
        <w:t>如双方违反本协议约定，违约方应当按照【中华人民共和国民法典】相关条款的规定和本协议有关规定承担违约责任。 1.双方确定，任何一方不履行或不完全履行本合同项下的义务，构成违约。违约方应当赔偿因违约给对方造成的损失。 2.甲方未能按照本合同约定支付相关费用的，每逾期[ 5 ]日，甲方应当按照服务费总额的[ 5 ]%向乙方支付违约金。甲方逾期付费累计达[ 20]日的 ，乙方有权终止本合同并不承担任何责任。乙方在追究甲方上述违约责任时，甲方应承担乙方因追讨欠费支出的各项费用（包括但不限于律师费、诉讼费、保全费、财产保全担保费等）。 3.因乙方原因延误交付超过约定日期5个工作日的，或服务后无法达到使用要求，甲方可解除本合同。由此产生的情形乙方应向甲方支付合同总价款[ 5 ]%的违约金，如造成甲方损失超过违约金的，超出部分由乙方继续承担赔偿责任。 4.乙方提供货物不符合本合同要求的，乙方应当负责更正和修改，并承担由此产生的费用。 5.如双方中的任意一方终止合同，需提前一个月通知对方，甲乙双方就已完成工作根据合同约定的结算标准和结算方式予以结算，如一方未尽通知义务解除合同，给对方造成损失的，应当赔偿。</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具有独立承担民事责任的能力，提供法人或者其他组织的营业执照等证明文件，自然人的身份证明 ；</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法定代表人直接参加投标的，须出具法人身份证，并与营业执照上信息一致；法定代表人授权代表 参加投标的，须出具法定代表人授权书及授权代表身份证；</w:t>
            </w:r>
          </w:p>
        </w:tc>
        <w:tc>
          <w:tcPr>
            <w:tcW w:type="dxa" w:w="1661"/>
          </w:tcPr>
          <w:p>
            <w:pPr>
              <w:pStyle w:val="null3"/>
            </w:pPr>
            <w:r>
              <w:rPr/>
              <w:t>法定代表人身份证明书 法定代表人授权委托书</w:t>
            </w:r>
          </w:p>
        </w:tc>
      </w:tr>
      <w:tr>
        <w:tc>
          <w:tcPr>
            <w:tcW w:type="dxa" w:w="831"/>
          </w:tcPr>
          <w:p>
            <w:pPr>
              <w:pStyle w:val="null3"/>
            </w:pPr>
            <w:r>
              <w:rPr/>
              <w:t>3</w:t>
            </w:r>
          </w:p>
        </w:tc>
        <w:tc>
          <w:tcPr>
            <w:tcW w:type="dxa" w:w="2492"/>
          </w:tcPr>
          <w:p>
            <w:pPr>
              <w:pStyle w:val="null3"/>
            </w:pPr>
            <w:r>
              <w:rPr/>
              <w:t>无重大违法记录声明</w:t>
            </w:r>
          </w:p>
        </w:tc>
        <w:tc>
          <w:tcPr>
            <w:tcW w:type="dxa" w:w="3322"/>
          </w:tcPr>
          <w:p>
            <w:pPr>
              <w:pStyle w:val="null3"/>
            </w:pPr>
            <w:r>
              <w:rPr/>
              <w:t>参加政府采购活动前三年内，在经营活动中没有重大违法记录，提供书面声明；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供应商信誉</w:t>
            </w:r>
          </w:p>
        </w:tc>
        <w:tc>
          <w:tcPr>
            <w:tcW w:type="dxa" w:w="3322"/>
          </w:tcPr>
          <w:p>
            <w:pPr>
              <w:pStyle w:val="null3"/>
            </w:pPr>
            <w:r>
              <w:rPr/>
              <w:t>供应商不得为“信用中国”网站（www.creditchina.gov.cn）中列入失信被执行人和重大税收违法案 件当事人名单的供应商，不得为中国政府采购网（www.ccgp.gov.cn）政府采购严重违法失信行为 记录名单中被财政部门禁止参加政府采购活动的供应商；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响应文件的格式、签署盖章</w:t>
            </w:r>
          </w:p>
        </w:tc>
        <w:tc>
          <w:tcPr>
            <w:tcW w:type="dxa" w:w="3322"/>
          </w:tcPr>
          <w:p>
            <w:pPr>
              <w:pStyle w:val="null3"/>
            </w:pPr>
            <w:r>
              <w:rPr/>
              <w:t>应符合“磋商文件格式”要求</w:t>
            </w:r>
          </w:p>
        </w:tc>
        <w:tc>
          <w:tcPr>
            <w:tcW w:type="dxa" w:w="1661"/>
          </w:tcPr>
          <w:p>
            <w:pPr>
              <w:pStyle w:val="null3"/>
            </w:pPr>
            <w:r>
              <w:rPr/>
              <w:t>法定代表人授权委托书 分项报价表 中小企业声明函 商务应答表 技术方案 供应商应提交的相关资格证明材料 报价表 响应文件封面 法定代表人身份证明书 产品技术参数表 其它资料 残疾人福利性单位声明函 标的清单 供应商类似项目业绩一览表 响应函 监狱企业的证明文件</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应满足磋商文件中的规定90天</w:t>
            </w:r>
          </w:p>
        </w:tc>
        <w:tc>
          <w:tcPr>
            <w:tcW w:type="dxa" w:w="1661"/>
          </w:tcPr>
          <w:p>
            <w:pPr>
              <w:pStyle w:val="null3"/>
            </w:pPr>
            <w:r>
              <w:rPr/>
              <w:t>响应函</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供应商所投产品主要技术指标、参数、性能等是否满足采购要求;磋商小组根据供应商所提供证明材料进行横向比较综合赋分。证明材料齐全并完全满足采购需求得:5.1-10分。 证明材料基本齐全核心参数满足采购需求:1-5分。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技术方案</w:t>
            </w:r>
          </w:p>
          <w:p>
            <w:pPr>
              <w:pStyle w:val="null3"/>
            </w:pPr>
            <w:r>
              <w:rPr/>
              <w:t>其它资料</w:t>
            </w:r>
          </w:p>
        </w:tc>
      </w:tr>
      <w:tr>
        <w:tc>
          <w:tcPr>
            <w:tcW w:type="dxa" w:w="831"/>
            <w:vMerge/>
          </w:tcPr>
          <w:p/>
        </w:tc>
        <w:tc>
          <w:tcPr>
            <w:tcW w:type="dxa" w:w="1661"/>
          </w:tcPr>
          <w:p>
            <w:pPr>
              <w:pStyle w:val="null3"/>
            </w:pPr>
            <w:r>
              <w:rPr/>
              <w:t>质量及渠道</w:t>
            </w:r>
          </w:p>
        </w:tc>
        <w:tc>
          <w:tcPr>
            <w:tcW w:type="dxa" w:w="2492"/>
          </w:tcPr>
          <w:p>
            <w:pPr>
              <w:pStyle w:val="null3"/>
            </w:pPr>
            <w:r>
              <w:rPr/>
              <w:t>供应商所投产品及备品备件货源渠道正规、供应充足，产地及制造商明确，货物来源渠道正规可追溯，产品的质量标准符合国家标准及采购人要求，提供相关证明材料。商小组根据供应商所提供证明材料进行横向比较综合赋分。证明材料齐全得:5.1-10分。证明材料基本齐全得:1-5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p>
            <w:pPr>
              <w:pStyle w:val="null3"/>
            </w:pPr>
            <w:r>
              <w:rPr/>
              <w:t>产品技术参数表</w:t>
            </w:r>
          </w:p>
        </w:tc>
      </w:tr>
      <w:tr>
        <w:tc>
          <w:tcPr>
            <w:tcW w:type="dxa" w:w="831"/>
            <w:vMerge/>
          </w:tcPr>
          <w:p/>
        </w:tc>
        <w:tc>
          <w:tcPr>
            <w:tcW w:type="dxa" w:w="1661"/>
          </w:tcPr>
          <w:p>
            <w:pPr>
              <w:pStyle w:val="null3"/>
            </w:pPr>
            <w:r>
              <w:rPr/>
              <w:t>供货方案</w:t>
            </w:r>
          </w:p>
        </w:tc>
        <w:tc>
          <w:tcPr>
            <w:tcW w:type="dxa" w:w="2492"/>
          </w:tcPr>
          <w:p>
            <w:pPr>
              <w:pStyle w:val="null3"/>
            </w:pPr>
            <w:r>
              <w:rPr/>
              <w:t>供应商针对本项目的供货实施方案合理，组织方案全面，技术措施可靠且具有可行性，由磋商小组横向比较后予以赋分(1-12分)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应急方案</w:t>
            </w:r>
          </w:p>
        </w:tc>
        <w:tc>
          <w:tcPr>
            <w:tcW w:type="dxa" w:w="2492"/>
          </w:tcPr>
          <w:p>
            <w:pPr>
              <w:pStyle w:val="null3"/>
            </w:pPr>
            <w:r>
              <w:rPr/>
              <w:t>应急方案是否实际、有效，是否能满足采购人的临时需求，是否存在备品能及时供应，由磋商小组横向比较后予以赋分(1-8分);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售后方案</w:t>
            </w:r>
          </w:p>
        </w:tc>
        <w:tc>
          <w:tcPr>
            <w:tcW w:type="dxa" w:w="2492"/>
          </w:tcPr>
          <w:p>
            <w:pPr>
              <w:pStyle w:val="null3"/>
            </w:pPr>
            <w:r>
              <w:rPr/>
              <w:t>售后服务方案详细、具体、可行拟投入售后服务人员配置情况、磋商小组横向比较综合赋分。合理:6.1-12分，一般1-6分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培训计划</w:t>
            </w:r>
          </w:p>
        </w:tc>
        <w:tc>
          <w:tcPr>
            <w:tcW w:type="dxa" w:w="2492"/>
          </w:tcPr>
          <w:p>
            <w:pPr>
              <w:pStyle w:val="null3"/>
            </w:pPr>
            <w:r>
              <w:rPr/>
              <w:t>针对本项目及采购人实际需求提供具有可行的技术培训措施，保证使用单位能熟练操作维护和正常使用，根据响应程度计(1-8分)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承诺</w:t>
            </w:r>
          </w:p>
        </w:tc>
        <w:tc>
          <w:tcPr>
            <w:tcW w:type="dxa" w:w="2492"/>
          </w:tcPr>
          <w:p>
            <w:pPr>
              <w:pStyle w:val="null3"/>
            </w:pPr>
            <w:r>
              <w:rPr/>
              <w:t>供应商自行拟定关于本项目实施过程中有利于采购人的相关承诺，磋商小组横向比较综合赋分(1-6分)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供应商提供近三年(2021年1月1日以来)类似项目的销售业绩证明材料，业绩证明以供应商提供的销售合同或中标通知书为准;提供一个符合要求的业绩及证明材料得2分，未提供或提供的不符合要求不得分。满分4分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满足磋商文件要求且最后报价最低的供应商的价格为磋商基准价。各供应商的价格分统一按照下列公式计算:磋商报价得分=(磋商基准价/最后磋商报价)x价格权值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详见附件：法定代表人身份证明书</w:t>
      </w:r>
    </w:p>
    <w:p>
      <w:pPr>
        <w:pStyle w:val="null3"/>
        <w:ind w:firstLine="960"/>
      </w:pPr>
      <w:r>
        <w:rPr/>
        <w:t>详见附件：法定代表人授权委托书</w:t>
      </w:r>
    </w:p>
    <w:p>
      <w:pPr>
        <w:pStyle w:val="null3"/>
        <w:ind w:firstLine="960"/>
      </w:pPr>
      <w:r>
        <w:rPr/>
        <w:t>详见附件：分项报价表</w:t>
      </w:r>
    </w:p>
    <w:p>
      <w:pPr>
        <w:pStyle w:val="null3"/>
        <w:ind w:firstLine="960"/>
      </w:pPr>
      <w:r>
        <w:rPr/>
        <w:t>详见附件：供应商类似项目业绩一览表</w:t>
      </w:r>
    </w:p>
    <w:p>
      <w:pPr>
        <w:pStyle w:val="null3"/>
        <w:ind w:firstLine="960"/>
      </w:pPr>
      <w:r>
        <w:rPr/>
        <w:t>详见附件：技术方案</w:t>
      </w:r>
    </w:p>
    <w:p>
      <w:pPr>
        <w:pStyle w:val="null3"/>
        <w:ind w:firstLine="960"/>
      </w:pPr>
      <w:r>
        <w:rPr/>
        <w:t>详见附件：其它资料</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