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人才公寓运营管理</w:t>
      </w:r>
    </w:p>
    <w:p>
      <w:pPr>
        <w:pStyle w:val="null3"/>
        <w:jc w:val="center"/>
        <w:outlineLvl w:val="2"/>
      </w:pPr>
      <w:r>
        <w:rPr>
          <w:b/>
          <w:sz w:val="28"/>
        </w:rPr>
        <w:t>采购项目编号：</w:t>
      </w:r>
      <w:r>
        <w:rPr>
          <w:b/>
          <w:sz w:val="28"/>
        </w:rPr>
        <w:t>GZH-ZB-202404012</w:t>
      </w:r>
      <w:r>
        <w:br/>
      </w:r>
      <w:r>
        <w:br/>
      </w:r>
      <w:r>
        <w:br/>
      </w:r>
    </w:p>
    <w:p>
      <w:pPr>
        <w:pStyle w:val="null3"/>
        <w:jc w:val="center"/>
        <w:outlineLvl w:val="2"/>
      </w:pPr>
      <w:r>
        <w:rPr>
          <w:b/>
          <w:sz w:val="28"/>
        </w:rPr>
        <w:t>铜川市创业服务中心</w:t>
      </w:r>
    </w:p>
    <w:p>
      <w:pPr>
        <w:pStyle w:val="null3"/>
        <w:jc w:val="center"/>
        <w:outlineLvl w:val="2"/>
      </w:pPr>
      <w:r>
        <w:rPr>
          <w:b/>
          <w:sz w:val="28"/>
        </w:rPr>
        <w:t>陕西国中恒工程项目管理有限公司</w:t>
      </w:r>
      <w:r>
        <w:rPr>
          <w:b/>
          <w:sz w:val="28"/>
        </w:rPr>
        <w:t>共同编制</w:t>
      </w:r>
    </w:p>
    <w:p>
      <w:pPr>
        <w:pStyle w:val="null3"/>
        <w:jc w:val="center"/>
        <w:outlineLvl w:val="2"/>
      </w:pPr>
      <w:r>
        <w:rPr>
          <w:b/>
          <w:sz w:val="28"/>
        </w:rPr>
        <w:t>2024年04月23日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陕西国中恒工程项目管理有限公司</w:t>
      </w:r>
      <w:r>
        <w:rPr/>
        <w:t>（以下简称“代理机构”）受</w:t>
      </w:r>
      <w:r>
        <w:rPr/>
        <w:t>铜川市创业服务中心</w:t>
      </w:r>
      <w:r>
        <w:rPr/>
        <w:t>委托，拟对</w:t>
      </w:r>
      <w:r>
        <w:rPr/>
        <w:t>人才公寓运营管理</w:t>
      </w:r>
      <w:r>
        <w:rPr/>
        <w:t>采用竞争性磋商采购方式进行采购，兹邀请供应商参加本项目的竞争性磋商。</w:t>
      </w:r>
    </w:p>
    <w:p>
      <w:pPr>
        <w:pStyle w:val="null3"/>
        <w:outlineLvl w:val="2"/>
      </w:pPr>
      <w:r>
        <w:rPr>
          <w:b/>
          <w:sz w:val="28"/>
        </w:rPr>
        <w:t>一、项目编号：</w:t>
      </w:r>
      <w:r>
        <w:rPr>
          <w:b/>
          <w:sz w:val="28"/>
        </w:rPr>
        <w:t>GZH-ZB-202404012</w:t>
      </w:r>
    </w:p>
    <w:p>
      <w:pPr>
        <w:pStyle w:val="null3"/>
        <w:outlineLvl w:val="2"/>
      </w:pPr>
      <w:r>
        <w:rPr>
          <w:b/>
          <w:sz w:val="28"/>
        </w:rPr>
        <w:t>二、项目名称：</w:t>
      </w:r>
      <w:r>
        <w:rPr>
          <w:b/>
          <w:sz w:val="28"/>
        </w:rPr>
        <w:t>人才公寓运营管理</w:t>
      </w:r>
    </w:p>
    <w:p>
      <w:pPr>
        <w:pStyle w:val="null3"/>
        <w:outlineLvl w:val="2"/>
      </w:pPr>
      <w:r>
        <w:rPr>
          <w:b/>
          <w:sz w:val="28"/>
        </w:rPr>
        <w:t>三、磋商项目简介</w:t>
      </w:r>
    </w:p>
    <w:p>
      <w:pPr>
        <w:pStyle w:val="null3"/>
        <w:ind w:firstLine="480"/>
      </w:pPr>
      <w:r>
        <w:rPr/>
        <w:t>人才公寓运营管理，建立健全人才公寓运营服务组织机构，负责人才公寓服务、管理和运营工作。主要包括：申请入住人员信息初审、前台接待、办理入住手续、物业维护、日常入住人员管理等。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采购包1（人才公寓运营管理）：属于专门面向小微企业采购。</w:t>
      </w:r>
    </w:p>
    <w:p>
      <w:pPr>
        <w:pStyle w:val="null3"/>
        <w:ind w:firstLine="480"/>
      </w:pPr>
      <w:r>
        <w:rPr/>
        <w:t>（三）本项目的特定资格要求：</w:t>
      </w:r>
    </w:p>
    <w:p>
      <w:pPr>
        <w:pStyle w:val="null3"/>
      </w:pPr>
      <w:r>
        <w:rPr/>
        <w:t>采购包1：</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2、财务状况报告：关于财务会计制度的证明材料。 注：①可提供2022或2023年度经审计的财务报告（包含审计报告和审计报告中所涉及的财务报表和报表附注），②可提供2022或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p>
      <w:pPr>
        <w:pStyle w:val="null3"/>
      </w:pPr>
      <w:r>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6、书面声明：提供具有履行合同所必需的设备和专业技术能力的书面声明。</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铜川市创业服务中心</w:t>
      </w:r>
    </w:p>
    <w:p>
      <w:pPr>
        <w:pStyle w:val="null3"/>
      </w:pPr>
      <w:r>
        <w:rPr/>
        <w:t xml:space="preserve"> 地址： </w:t>
      </w:r>
      <w:r>
        <w:rPr/>
        <w:t>铜川市新区齐庆路2号</w:t>
      </w:r>
    </w:p>
    <w:p>
      <w:pPr>
        <w:pStyle w:val="null3"/>
      </w:pPr>
      <w:r>
        <w:rPr/>
        <w:t xml:space="preserve"> 邮编： </w:t>
      </w:r>
      <w:r>
        <w:rPr/>
        <w:t>727031</w:t>
      </w:r>
    </w:p>
    <w:p>
      <w:pPr>
        <w:pStyle w:val="null3"/>
      </w:pPr>
      <w:r>
        <w:rPr/>
        <w:t xml:space="preserve"> 联系人： </w:t>
      </w:r>
      <w:r>
        <w:rPr/>
        <w:t>铜川市创业服务中心经办</w:t>
      </w:r>
    </w:p>
    <w:p>
      <w:pPr>
        <w:pStyle w:val="null3"/>
      </w:pPr>
      <w:r>
        <w:rPr/>
        <w:t xml:space="preserve"> 联系电话： </w:t>
      </w:r>
      <w:r>
        <w:rPr/>
        <w:t>0919-3150236</w:t>
      </w:r>
    </w:p>
    <w:p>
      <w:pPr>
        <w:pStyle w:val="null3"/>
        <w:outlineLvl w:val="3"/>
      </w:pPr>
      <w:r>
        <w:rPr>
          <w:b/>
          <w:sz w:val="24"/>
        </w:rPr>
        <w:t>代理机构：</w:t>
      </w:r>
      <w:r>
        <w:rPr>
          <w:b/>
          <w:sz w:val="24"/>
        </w:rPr>
        <w:t>陕西国中恒工程项目管理有限公司</w:t>
      </w:r>
    </w:p>
    <w:p>
      <w:pPr>
        <w:pStyle w:val="null3"/>
      </w:pPr>
      <w:r>
        <w:rPr/>
        <w:t xml:space="preserve"> 地址： </w:t>
      </w:r>
      <w:r>
        <w:rPr/>
        <w:t>西安市北大街118号宏府大厦A座12F室</w:t>
      </w:r>
    </w:p>
    <w:p>
      <w:pPr>
        <w:pStyle w:val="null3"/>
      </w:pPr>
      <w:r>
        <w:rPr/>
        <w:t xml:space="preserve"> 邮编： </w:t>
      </w:r>
      <w:r>
        <w:rPr/>
        <w:t>710000</w:t>
      </w:r>
    </w:p>
    <w:p>
      <w:pPr>
        <w:pStyle w:val="null3"/>
      </w:pPr>
      <w:r>
        <w:rPr/>
        <w:t xml:space="preserve"> 联系人： </w:t>
      </w:r>
      <w:r>
        <w:rPr/>
        <w:t>成璇</w:t>
      </w:r>
    </w:p>
    <w:p>
      <w:pPr>
        <w:pStyle w:val="null3"/>
      </w:pPr>
      <w:r>
        <w:rPr/>
        <w:t xml:space="preserve"> 联系电话： </w:t>
      </w:r>
      <w:r>
        <w:rPr/>
        <w:t>029-87385052</w:t>
      </w:r>
    </w:p>
    <w:p>
      <w:pPr>
        <w:pStyle w:val="null3"/>
        <w:outlineLvl w:val="3"/>
      </w:pPr>
      <w:r>
        <w:rPr>
          <w:b/>
          <w:sz w:val="24"/>
        </w:rPr>
        <w:t>采购监督机构：</w:t>
      </w:r>
      <w:r>
        <w:rPr>
          <w:b/>
          <w:sz w:val="24"/>
        </w:rPr>
        <w:t>铜川市财政局政府采购管理科</w:t>
      </w:r>
    </w:p>
    <w:p>
      <w:pPr>
        <w:pStyle w:val="null3"/>
        <w:ind w:firstLine="480"/>
      </w:pPr>
      <w:r>
        <w:rPr/>
        <w:t>联系人：</w:t>
      </w:r>
      <w:r>
        <w:rPr/>
        <w:t>徐老师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代理服务费收费标准：根据《国家发展改革委关于降低部分建设项目收费标准规范收费行为等有关问题的通知》(发改价格[2011]534号)标准计取，经计算不足6000的，按6000计取。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铜川市创业服务中心</w:t>
      </w:r>
      <w:r>
        <w:rPr/>
        <w:t>和</w:t>
      </w:r>
      <w:r>
        <w:rPr/>
        <w:t>陕西国中恒工程项目管理有限公司</w:t>
      </w:r>
      <w:r>
        <w:rPr/>
        <w:t>享有。对磋商文件中供应商参加本次政府采购活动应当具备的条件，磋商项目技术、服务、商务及其他要求，评审细则及标准由</w:t>
      </w:r>
      <w:r>
        <w:rPr/>
        <w:t>铜川市创业服务中心</w:t>
      </w:r>
      <w:r>
        <w:rPr/>
        <w:t>负责解释。除上述磋商文件内容，其他内容由</w:t>
      </w:r>
      <w:r>
        <w:rPr/>
        <w:t>陕西国中恒工程项目管理有限公司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铜川市创业服务中心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陕西国中恒工程项目管理有限公司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1、公寓入住人员满意率80%； 2、2024年度入住率达到60%以上。</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陕西国中恒工程项目管理有限公司</w:t>
      </w:r>
      <w:r>
        <w:rPr/>
        <w:t xml:space="preserve"> 负责答复；供应商对除采购需求外的采购文件的询问、质疑由</w:t>
      </w:r>
      <w:r>
        <w:rPr/>
        <w:t>陕西国中恒工程项目管理有限公司</w:t>
      </w:r>
      <w:r>
        <w:rPr/>
        <w:t xml:space="preserve"> 负责答复；供应商对采购过程、采购结果的询问、质疑由 </w:t>
      </w:r>
      <w:r>
        <w:rPr/>
        <w:t>陕西国中恒工程项目管理有限公司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联系人：成璇</w:t>
      </w:r>
    </w:p>
    <w:p>
      <w:pPr>
        <w:pStyle w:val="null3"/>
      </w:pPr>
      <w:r>
        <w:rPr/>
        <w:t>联系电话：029-87385052</w:t>
      </w:r>
    </w:p>
    <w:p>
      <w:pPr>
        <w:pStyle w:val="null3"/>
      </w:pPr>
      <w:r>
        <w:rPr/>
        <w:t>地址：西安市北大街118号宏府大厦A座12F室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人才公寓运营管理，建立健全人才公寓运营服务组织机构，负责人才公寓服务、管理和运营工作。主要包括：申请入住人员信息初审、前台接待、办理入住手续、物业维护、日常入住人员管理等。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人才公寓运营管理</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标的名称：人才公寓运营管理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铜川市2024年人才公寓运营，主要为建立健全人才公寓运营服务组织机构，负责人才公寓服务、管理和运营工作。主要包括</w:t>
            </w:r>
            <w:r>
              <w:rPr>
                <w:rFonts w:ascii="宋体" w:hAnsi="宋体" w:cs="宋体" w:eastAsia="宋体"/>
                <w:sz w:val="24"/>
              </w:rPr>
              <w:t>：</w:t>
            </w:r>
            <w:r>
              <w:rPr>
                <w:rFonts w:ascii="宋体" w:hAnsi="宋体" w:cs="宋体" w:eastAsia="宋体"/>
                <w:sz w:val="24"/>
              </w:rPr>
              <w:t>申请入住人员信息初审、前台接待、办理入住手续、物业维护、日常入住人员管理等。</w:t>
            </w:r>
            <w:r>
              <w:rPr>
                <w:rFonts w:ascii="宋体" w:hAnsi="宋体" w:cs="宋体" w:eastAsia="宋体"/>
                <w:sz w:val="24"/>
              </w:rPr>
              <w:t>包括但不限于以下内容</w:t>
            </w:r>
            <w:r>
              <w:rPr>
                <w:rFonts w:ascii="宋体" w:hAnsi="宋体" w:cs="宋体" w:eastAsia="宋体"/>
                <w:sz w:val="24"/>
              </w:rPr>
              <w:t>：</w:t>
            </w:r>
          </w:p>
          <w:p>
            <w:pPr>
              <w:pStyle w:val="null3"/>
              <w:ind w:firstLine="480"/>
              <w:jc w:val="both"/>
            </w:pPr>
            <w:r>
              <w:rPr>
                <w:rFonts w:ascii="calibri" w:hAnsi="calibri" w:cs="calibri" w:eastAsia="calibri"/>
                <w:sz w:val="24"/>
              </w:rPr>
              <w:t>1</w:t>
            </w:r>
            <w:r>
              <w:rPr>
                <w:rFonts w:ascii="宋体" w:hAnsi="宋体" w:cs="宋体" w:eastAsia="宋体"/>
                <w:sz w:val="24"/>
              </w:rPr>
              <w:t>、为入住人员进行信息登记</w:t>
            </w:r>
            <w:r>
              <w:rPr>
                <w:rFonts w:ascii="宋体" w:hAnsi="宋体" w:cs="宋体" w:eastAsia="宋体"/>
                <w:sz w:val="24"/>
              </w:rPr>
              <w:t>；</w:t>
            </w:r>
          </w:p>
          <w:p>
            <w:pPr>
              <w:pStyle w:val="null3"/>
              <w:ind w:firstLine="480"/>
              <w:jc w:val="both"/>
            </w:pPr>
            <w:r>
              <w:rPr>
                <w:rFonts w:ascii="calibri" w:hAnsi="calibri" w:cs="calibri" w:eastAsia="calibri"/>
                <w:sz w:val="24"/>
              </w:rPr>
              <w:t>2</w:t>
            </w:r>
            <w:r>
              <w:rPr>
                <w:rFonts w:ascii="宋体" w:hAnsi="宋体" w:cs="宋体" w:eastAsia="宋体"/>
                <w:sz w:val="24"/>
              </w:rPr>
              <w:t>、保管并分发房间钥匙、水电卡</w:t>
            </w:r>
            <w:r>
              <w:rPr>
                <w:rFonts w:ascii="宋体" w:hAnsi="宋体" w:cs="宋体" w:eastAsia="宋体"/>
                <w:sz w:val="24"/>
              </w:rPr>
              <w:t>；</w:t>
            </w:r>
          </w:p>
          <w:p>
            <w:pPr>
              <w:pStyle w:val="null3"/>
              <w:ind w:firstLine="480"/>
              <w:jc w:val="both"/>
            </w:pPr>
            <w:r>
              <w:rPr>
                <w:rFonts w:ascii="calibri" w:hAnsi="calibri" w:cs="calibri" w:eastAsia="calibri"/>
                <w:sz w:val="24"/>
              </w:rPr>
              <w:t>3</w:t>
            </w:r>
            <w:r>
              <w:rPr>
                <w:rFonts w:ascii="宋体" w:hAnsi="宋体" w:cs="宋体" w:eastAsia="宋体"/>
                <w:sz w:val="24"/>
              </w:rPr>
              <w:t>、接待日常来访参观人员</w:t>
            </w:r>
            <w:r>
              <w:rPr>
                <w:rFonts w:ascii="宋体" w:hAnsi="宋体" w:cs="宋体" w:eastAsia="宋体"/>
                <w:sz w:val="24"/>
              </w:rPr>
              <w:t>；</w:t>
            </w:r>
          </w:p>
          <w:p>
            <w:pPr>
              <w:pStyle w:val="null3"/>
              <w:ind w:firstLine="480"/>
              <w:jc w:val="both"/>
            </w:pPr>
            <w:r>
              <w:rPr>
                <w:rFonts w:ascii="calibri" w:hAnsi="calibri" w:cs="calibri" w:eastAsia="calibri"/>
                <w:sz w:val="24"/>
              </w:rPr>
              <w:t>4</w:t>
            </w:r>
            <w:r>
              <w:rPr>
                <w:rFonts w:ascii="宋体" w:hAnsi="宋体" w:cs="宋体" w:eastAsia="宋体"/>
                <w:sz w:val="24"/>
              </w:rPr>
              <w:t>、图书登记、管理以及借阅服务</w:t>
            </w:r>
            <w:r>
              <w:rPr>
                <w:rFonts w:ascii="宋体" w:hAnsi="宋体" w:cs="宋体" w:eastAsia="宋体"/>
                <w:sz w:val="24"/>
              </w:rPr>
              <w:t>；</w:t>
            </w:r>
          </w:p>
          <w:p>
            <w:pPr>
              <w:pStyle w:val="null3"/>
              <w:ind w:firstLine="480"/>
              <w:jc w:val="both"/>
            </w:pPr>
            <w:r>
              <w:rPr>
                <w:rFonts w:ascii="calibri" w:hAnsi="calibri" w:cs="calibri" w:eastAsia="calibri"/>
                <w:sz w:val="24"/>
              </w:rPr>
              <w:t>5</w:t>
            </w:r>
            <w:r>
              <w:rPr>
                <w:rFonts w:ascii="宋体" w:hAnsi="宋体" w:cs="宋体" w:eastAsia="宋体"/>
                <w:sz w:val="24"/>
              </w:rPr>
              <w:t>、日常公务接待</w:t>
            </w:r>
            <w:r>
              <w:rPr>
                <w:rFonts w:ascii="宋体" w:hAnsi="宋体" w:cs="宋体" w:eastAsia="宋体"/>
                <w:sz w:val="24"/>
              </w:rPr>
              <w:t>；</w:t>
            </w:r>
          </w:p>
          <w:p>
            <w:pPr>
              <w:pStyle w:val="null3"/>
              <w:ind w:firstLine="480"/>
              <w:jc w:val="both"/>
            </w:pPr>
            <w:r>
              <w:rPr>
                <w:rFonts w:ascii="calibri" w:hAnsi="calibri" w:cs="calibri" w:eastAsia="calibri"/>
                <w:sz w:val="24"/>
              </w:rPr>
              <w:t>6</w:t>
            </w:r>
            <w:r>
              <w:rPr>
                <w:rFonts w:ascii="宋体" w:hAnsi="宋体" w:cs="宋体" w:eastAsia="宋体"/>
                <w:sz w:val="24"/>
              </w:rPr>
              <w:t>、督促物业加强对公寓服务，履行物业合同</w:t>
            </w:r>
            <w:r>
              <w:rPr>
                <w:rFonts w:ascii="宋体" w:hAnsi="宋体" w:cs="宋体" w:eastAsia="宋体"/>
                <w:sz w:val="24"/>
              </w:rPr>
              <w:t>；</w:t>
            </w:r>
          </w:p>
          <w:p>
            <w:pPr>
              <w:pStyle w:val="null3"/>
              <w:ind w:firstLine="480"/>
              <w:jc w:val="both"/>
            </w:pPr>
            <w:r>
              <w:rPr>
                <w:rFonts w:ascii="calibri" w:hAnsi="calibri" w:cs="calibri" w:eastAsia="calibri"/>
                <w:sz w:val="24"/>
              </w:rPr>
              <w:t>7</w:t>
            </w:r>
            <w:r>
              <w:rPr>
                <w:rFonts w:ascii="宋体" w:hAnsi="宋体" w:cs="宋体" w:eastAsia="宋体"/>
                <w:sz w:val="24"/>
              </w:rPr>
              <w:t>、安全保卫、卫生保洁、绿化维护、水电及公用设施维修</w:t>
            </w:r>
            <w:r>
              <w:rPr>
                <w:rFonts w:ascii="宋体" w:hAnsi="宋体" w:cs="宋体" w:eastAsia="宋体"/>
                <w:sz w:val="24"/>
              </w:rPr>
              <w:t>；</w:t>
            </w:r>
          </w:p>
          <w:p>
            <w:pPr>
              <w:pStyle w:val="null3"/>
              <w:jc w:val="both"/>
            </w:pPr>
            <w:r>
              <w:rPr>
                <w:rFonts w:ascii="calibri" w:hAnsi="calibri" w:cs="calibri" w:eastAsia="calibri"/>
                <w:sz w:val="24"/>
              </w:rPr>
              <w:t xml:space="preserve">         8</w:t>
            </w:r>
            <w:r>
              <w:rPr>
                <w:rFonts w:ascii="宋体" w:hAnsi="宋体" w:cs="宋体" w:eastAsia="宋体"/>
                <w:sz w:val="24"/>
              </w:rPr>
              <w:t>、为入住人员提供餐饮服务及订餐服务。</w:t>
            </w:r>
          </w:p>
        </w:tc>
      </w:tr>
    </w:tbl>
    <w:p>
      <w:pPr>
        <w:pStyle w:val="null3"/>
        <w:outlineLvl w:val="2"/>
      </w:pPr>
      <w:r>
        <w:rPr>
          <w:b/>
          <w:sz w:val="28"/>
        </w:rPr>
        <w:t>3.2.3人员配置要求</w:t>
      </w:r>
    </w:p>
    <w:p>
      <w:pPr>
        <w:pStyle w:val="null3"/>
      </w:pPr>
      <w:r>
        <w:rPr/>
        <w:t>采购包1：</w:t>
      </w:r>
    </w:p>
    <w:p>
      <w:pPr>
        <w:pStyle w:val="null3"/>
      </w:pPr>
      <w:r>
        <w:rPr/>
        <w:t>无</w:t>
      </w:r>
    </w:p>
    <w:p>
      <w:pPr>
        <w:pStyle w:val="null3"/>
        <w:outlineLvl w:val="2"/>
      </w:pPr>
      <w:r>
        <w:rPr>
          <w:b/>
          <w:sz w:val="28"/>
        </w:rPr>
        <w:t>3.2.4设施设备要求</w:t>
      </w:r>
    </w:p>
    <w:p>
      <w:pPr>
        <w:pStyle w:val="null3"/>
      </w:pPr>
      <w:r>
        <w:rPr/>
        <w:t>采购包1：</w:t>
      </w:r>
    </w:p>
    <w:p>
      <w:pPr>
        <w:pStyle w:val="null3"/>
      </w:pPr>
      <w:r>
        <w:rPr/>
        <w:t>无</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铜川市人才公寓</w:t>
      </w:r>
    </w:p>
    <w:p>
      <w:pPr>
        <w:pStyle w:val="null3"/>
        <w:outlineLvl w:val="3"/>
      </w:pPr>
      <w:r>
        <w:rPr>
          <w:b/>
          <w:sz w:val="24"/>
        </w:rPr>
        <w:t>3.3.3考核（验收）标准和方法</w:t>
      </w:r>
    </w:p>
    <w:p>
      <w:pPr>
        <w:pStyle w:val="null3"/>
      </w:pPr>
      <w:r>
        <w:rPr/>
        <w:t>采购包1：</w:t>
      </w:r>
    </w:p>
    <w:p>
      <w:pPr>
        <w:pStyle w:val="null3"/>
      </w:pPr>
      <w:r>
        <w:rPr/>
        <w:t>根据磋商文件、采购需求、中标供应商响应文件及铜川市人才公寓管理办法等相关规定组织验收。</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2024年6月30日前</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2024年12月31日前</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违约责任：1、甲乙双方应全面履行协议，不履行或不完全履行协议应负违约责任。除不可抗力外，任何一方拒不履行协议义务，视为违约行为。2、乙方未达到本协议相关要求履约的，须按甲方要求限期整改整改仍未通过的，甲方有权终止合同。 合同争议、解除：1、因履行协议同引起的或与本合同有关的争议，甲、乙双方应通过友好协商解决，如果协商不能解决争议，任何一方均可向甲方所在地管辖权的人民法院提起诉讼。2、因不可抗力使本合同无法履行时，经双方协商一致，可以解除合同。</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关于财务会计制度的证明材料。 注：①可提供2022或2023年度经审计的财务报告（包含审计报告和审计报告中所涉及的财务报表和报表附注），②可提供2022或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响应文件签章</w:t>
            </w:r>
          </w:p>
        </w:tc>
        <w:tc>
          <w:tcPr>
            <w:tcW w:type="dxa" w:w="3322"/>
          </w:tcPr>
          <w:p>
            <w:pPr>
              <w:pStyle w:val="null3"/>
            </w:pPr>
            <w:r>
              <w:rPr/>
              <w:t>响应文件的签章均符合磋商文件要求，且无遗漏。</w:t>
            </w:r>
          </w:p>
        </w:tc>
        <w:tc>
          <w:tcPr>
            <w:tcW w:type="dxa" w:w="1661"/>
          </w:tcPr>
          <w:p>
            <w:pPr>
              <w:pStyle w:val="null3"/>
            </w:pPr>
            <w:r>
              <w:rPr/>
              <w:t>响应文件封面 资格证明文件 标的清单 报价表 供应商承诺书 合同文本条款响应</w:t>
            </w:r>
          </w:p>
        </w:tc>
      </w:tr>
      <w:tr>
        <w:tc>
          <w:tcPr>
            <w:tcW w:type="dxa" w:w="831"/>
          </w:tcPr>
          <w:p>
            <w:pPr>
              <w:pStyle w:val="null3"/>
            </w:pPr>
            <w:r>
              <w:rPr/>
              <w:t>3</w:t>
            </w:r>
          </w:p>
        </w:tc>
        <w:tc>
          <w:tcPr>
            <w:tcW w:type="dxa" w:w="2492"/>
          </w:tcPr>
          <w:p>
            <w:pPr>
              <w:pStyle w:val="null3"/>
            </w:pPr>
            <w:r>
              <w:rPr/>
              <w:t>响应文件有效期</w:t>
            </w:r>
          </w:p>
        </w:tc>
        <w:tc>
          <w:tcPr>
            <w:tcW w:type="dxa" w:w="3322"/>
          </w:tcPr>
          <w:p>
            <w:pPr>
              <w:pStyle w:val="null3"/>
            </w:pPr>
            <w:r>
              <w:rPr/>
              <w:t>符合磋商文件的要求，且不少于90天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同时满足以下条款：（1）货币单位符合磋商文件要求 ；（2）报价符合唯一性要求； （3）未超出采购预算或最高限价 ；（4）符合《报价表》及《标的清单》的填报要求</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6</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完全理解并接受磋商文件《合同文本》条款的要求，且未有采购人不能接受的附加条件的。</w:t>
            </w:r>
          </w:p>
        </w:tc>
        <w:tc>
          <w:tcPr>
            <w:tcW w:type="dxa" w:w="1661"/>
          </w:tcPr>
          <w:p>
            <w:pPr>
              <w:pStyle w:val="null3"/>
            </w:pPr>
            <w:r>
              <w:rPr/>
              <w:t>合同文本条款响应</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经营服务方案</w:t>
            </w:r>
          </w:p>
        </w:tc>
        <w:tc>
          <w:tcPr>
            <w:tcW w:type="dxa" w:w="2492"/>
          </w:tcPr>
          <w:p>
            <w:pPr>
              <w:pStyle w:val="null3"/>
            </w:pPr>
            <w:r>
              <w:rPr/>
              <w:t>针对本项目提出的本项目的经营服务方案（包括但不限于服务管理理念和目标、日常经营管理方案、岗位培训管理方案、服务人员管理方案、客户信息管理方案等）进行综合评审，经营服务方案服务方案内容分析完整、全面、合理，服务目标明确，完全满足采购人需求计（5-8]分；方案内容分析较全面，合理，服务目标基本明确计（3-5]分；方案简单，内容空泛，不利于项目实施的计（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人才公寓安全管理措施</w:t>
            </w:r>
          </w:p>
        </w:tc>
        <w:tc>
          <w:tcPr>
            <w:tcW w:type="dxa" w:w="2492"/>
          </w:tcPr>
          <w:p>
            <w:pPr>
              <w:pStyle w:val="null3"/>
            </w:pPr>
            <w:r>
              <w:rPr/>
              <w:t>针对本项目提出的人才公寓安全管理措施，安全管理措施全面、规范、详细、可行性强，计（5-8]分；管理制度简单，安全管理措施基本可行，计（3-5]分；无明确管理措施，实施计划简单，计（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入住人员信息登记管理制度</w:t>
            </w:r>
          </w:p>
        </w:tc>
        <w:tc>
          <w:tcPr>
            <w:tcW w:type="dxa" w:w="2492"/>
          </w:tcPr>
          <w:p>
            <w:pPr>
              <w:pStyle w:val="null3"/>
            </w:pPr>
            <w:r>
              <w:rPr/>
              <w:t>供应商针对本项目提供的入住人员信息登记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钥匙及水电卡分发管理制度</w:t>
            </w:r>
          </w:p>
        </w:tc>
        <w:tc>
          <w:tcPr>
            <w:tcW w:type="dxa" w:w="2492"/>
          </w:tcPr>
          <w:p>
            <w:pPr>
              <w:pStyle w:val="null3"/>
            </w:pPr>
            <w:r>
              <w:rPr/>
              <w:t>供应商针对本项目提供的钥匙及水电卡分发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日常来访参观人员管理制度</w:t>
            </w:r>
          </w:p>
        </w:tc>
        <w:tc>
          <w:tcPr>
            <w:tcW w:type="dxa" w:w="2492"/>
          </w:tcPr>
          <w:p>
            <w:pPr>
              <w:pStyle w:val="null3"/>
            </w:pPr>
            <w:r>
              <w:rPr/>
              <w:t>供应商针对本项目提供的日常来访参观人员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图书登记借阅管理制度</w:t>
            </w:r>
          </w:p>
        </w:tc>
        <w:tc>
          <w:tcPr>
            <w:tcW w:type="dxa" w:w="2492"/>
          </w:tcPr>
          <w:p>
            <w:pPr>
              <w:pStyle w:val="null3"/>
            </w:pPr>
            <w:r>
              <w:rPr/>
              <w:t>供应商针对本项目提供的图书登记借阅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日常公务接待管理制度</w:t>
            </w:r>
          </w:p>
        </w:tc>
        <w:tc>
          <w:tcPr>
            <w:tcW w:type="dxa" w:w="2492"/>
          </w:tcPr>
          <w:p>
            <w:pPr>
              <w:pStyle w:val="null3"/>
            </w:pPr>
            <w:r>
              <w:rPr/>
              <w:t>供应商针对本项目提供的日常公务接待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人才公寓维护保养制度</w:t>
            </w:r>
          </w:p>
        </w:tc>
        <w:tc>
          <w:tcPr>
            <w:tcW w:type="dxa" w:w="2492"/>
          </w:tcPr>
          <w:p>
            <w:pPr>
              <w:pStyle w:val="null3"/>
            </w:pPr>
            <w:r>
              <w:rPr/>
              <w:t>供应商针对本项目提供的人才公寓维护保养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物业服务管理制度</w:t>
            </w:r>
          </w:p>
        </w:tc>
        <w:tc>
          <w:tcPr>
            <w:tcW w:type="dxa" w:w="2492"/>
          </w:tcPr>
          <w:p>
            <w:pPr>
              <w:pStyle w:val="null3"/>
            </w:pPr>
            <w:r>
              <w:rPr/>
              <w:t>供应商针对本项目提供的物业服务管理制度，管理制度健全、规范，实施计划详细、可行性强计（5-7]分；管理制度简单，实施计划基本可行计（3-5]分；无明确管理制度，实施计划简单计（1-3]分；未提供不计分。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订餐服务制度</w:t>
            </w:r>
          </w:p>
        </w:tc>
        <w:tc>
          <w:tcPr>
            <w:tcW w:type="dxa" w:w="2492"/>
          </w:tcPr>
          <w:p>
            <w:pPr>
              <w:pStyle w:val="null3"/>
            </w:pPr>
            <w:r>
              <w:rPr/>
              <w:t>供应商针对本项目提供的订餐服务制度，管理制度健全、规范，实施计划详细、可行性强计（5-7]分；管理制度简单，实施计划基本可行计（3-5]分；无明确管理制度，实施计划简单计（1-3]分；未提供不计分。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服务措施切实可行，能够考虑并满足服务的多种需求，向采购人提出合理化建议。能够接受采购人对服务的监督、批评和建议。服务措施详尽、全面、有效、合理，可实施性强，计（5-8]分；服务措施有效、合理，具有一定实施性，得，计（3-5]分；服务措施简单、不具有实施性，计（1-3]分；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响应单位的价格为磋商基准价，其价格分为满分。其他响应单位的价格分统一按照下列公式计算：磋商报价得分=（磋商基准价/最后磋商报价）×20%×100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详见附件：合同文本条款响应</w:t>
      </w:r>
    </w:p>
    <w:p>
      <w:pPr>
        <w:pStyle w:val="null3"/>
        <w:ind w:firstLine="960"/>
      </w:pPr>
      <w:r>
        <w:rPr/>
        <w:t>详见附件：供应商承诺书</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