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版本号：ZC2025-GC-02720250324001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庞光街办330kv变电站项目清表及围墙工程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ZC2025-GC-027</w:t>
      </w:r>
      <w:r>
        <w:br/>
      </w:r>
      <w:r>
        <w:br/>
      </w:r>
      <w:r>
        <w:br/>
      </w:r>
    </w:p>
    <w:p>
      <w:pPr>
        <w:pStyle w:val="null3"/>
        <w:jc w:val="center"/>
        <w:outlineLvl w:val="2"/>
      </w:pPr>
      <w:r>
        <w:rPr>
          <w:rFonts w:ascii="仿宋_GB2312" w:hAnsi="仿宋_GB2312" w:cs="仿宋_GB2312" w:eastAsia="仿宋_GB2312"/>
          <w:sz w:val="28"/>
          <w:b/>
        </w:rPr>
        <w:t>西安市鄠邑区庞光街道办事处</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西安市鄠邑区庞光街道办事处</w:t>
      </w:r>
      <w:r>
        <w:rPr>
          <w:rFonts w:ascii="仿宋_GB2312" w:hAnsi="仿宋_GB2312" w:cs="仿宋_GB2312" w:eastAsia="仿宋_GB2312"/>
        </w:rPr>
        <w:t>委托，拟对</w:t>
      </w:r>
      <w:r>
        <w:rPr>
          <w:rFonts w:ascii="仿宋_GB2312" w:hAnsi="仿宋_GB2312" w:cs="仿宋_GB2312" w:eastAsia="仿宋_GB2312"/>
        </w:rPr>
        <w:t>庞光街办330kv变电站项目清表及围墙工程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ZC2025-GC-027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庞光街办330kv变电站项目清表及围墙工程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本项目位于孙姑村以西，主要内容包括：清表、清表垃圾外运、围墙圈扎等，具体内容详见磋商文件及工程量清单。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采购包1（西安市庞光街办330KV变电站项目清表及围墙工程）：属于专门面向中小企业采购。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1、资质要求：供应商须具备建筑工程施工总承包三级及以上资质，且具备有效的安全生产许可证；</w:t>
      </w:r>
    </w:p>
    <w:p>
      <w:pPr>
        <w:pStyle w:val="null3"/>
      </w:pPr>
      <w:r>
        <w:rPr>
          <w:rFonts w:ascii="仿宋_GB2312" w:hAnsi="仿宋_GB2312" w:cs="仿宋_GB2312" w:eastAsia="仿宋_GB2312"/>
        </w:rPr>
        <w:t>2、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3、项目负责人：供应商拟派项目负责人须具备建筑工程二级及以上注册建造师执业资格，具有合格有效的安全生产考核合格证（B证），且未担任其他在施建设工程的项目负责人；</w:t>
      </w:r>
    </w:p>
    <w:p>
      <w:pPr>
        <w:pStyle w:val="null3"/>
      </w:pPr>
      <w:r>
        <w:rPr>
          <w:rFonts w:ascii="仿宋_GB2312" w:hAnsi="仿宋_GB2312" w:cs="仿宋_GB2312" w:eastAsia="仿宋_GB2312"/>
        </w:rPr>
        <w:t>4、信誉：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西安市鄠邑区庞光街道办事处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西安市鄠邑区庞光街道府前街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西安市鄠邑区庞光镇人民政府经办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029-84987322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赵飞翔、刘静静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采购包1：1,000,268.08元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代理服务费收费标准：参照《国家计委关于印发&lt;招标代理服务收费管理暂行办法&gt;的通知》（计价格[2002]1980号）规定的工程类标准，以成交金额为基数按差额定率累进法计算收取。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西安市鄠邑区庞光街道办事处</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西安市鄠邑区庞光街道办事处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西安市鄠邑区庞光街道办事处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联系人：赵飞翔、刘静静</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1,000,268.08</w:t>
      </w:r>
    </w:p>
    <w:p>
      <w:pPr>
        <w:pStyle w:val="null3"/>
      </w:pPr>
      <w:r>
        <w:rPr>
          <w:rFonts w:ascii="仿宋_GB2312" w:hAnsi="仿宋_GB2312" w:cs="仿宋_GB2312" w:eastAsia="仿宋_GB2312"/>
        </w:rPr>
        <w:t>采购包最高限价（元）: 1,000,268.08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1000268.08</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1,000,268.08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标的名称：1000268.08</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color w:val="0000FF"/>
              </w:rPr>
              <w:t>一、项目概况</w:t>
            </w:r>
          </w:p>
          <w:p>
            <w:pPr>
              <w:pStyle w:val="null3"/>
              <w:jc w:val="both"/>
            </w:pPr>
            <w:r>
              <w:rPr>
                <w:rFonts w:ascii="仿宋_GB2312" w:hAnsi="仿宋_GB2312" w:cs="仿宋_GB2312" w:eastAsia="仿宋_GB2312"/>
                <w:sz w:val="21"/>
                <w:color w:val="0000FF"/>
              </w:rPr>
              <w:t>本工程位于西安市高新区庞光街道孙姑村，庞光街办</w:t>
            </w:r>
            <w:r>
              <w:rPr>
                <w:rFonts w:ascii="仿宋_GB2312" w:hAnsi="仿宋_GB2312" w:cs="仿宋_GB2312" w:eastAsia="仿宋_GB2312"/>
                <w:sz w:val="21"/>
                <w:color w:val="0000FF"/>
              </w:rPr>
              <w:t>330KV变电站项目清表及围墙工程施工，具体内容详见磋商文件及工程量清单</w:t>
            </w:r>
            <w:r>
              <w:rPr>
                <w:rFonts w:ascii="仿宋_GB2312" w:hAnsi="仿宋_GB2312" w:cs="仿宋_GB2312" w:eastAsia="仿宋_GB2312"/>
                <w:sz w:val="21"/>
                <w:color w:val="0000FF"/>
              </w:rPr>
              <w:t>。</w:t>
            </w:r>
          </w:p>
          <w:p>
            <w:pPr>
              <w:pStyle w:val="null3"/>
              <w:jc w:val="both"/>
            </w:pPr>
            <w:r>
              <w:rPr>
                <w:rFonts w:ascii="仿宋_GB2312" w:hAnsi="仿宋_GB2312" w:cs="仿宋_GB2312" w:eastAsia="仿宋_GB2312"/>
                <w:sz w:val="21"/>
                <w:b/>
                <w:color w:val="0000FF"/>
              </w:rPr>
              <w:t>二、商务要求</w:t>
            </w:r>
          </w:p>
          <w:p>
            <w:pPr>
              <w:pStyle w:val="null3"/>
              <w:jc w:val="both"/>
            </w:pPr>
            <w:r>
              <w:rPr>
                <w:rFonts w:ascii="仿宋_GB2312" w:hAnsi="仿宋_GB2312" w:cs="仿宋_GB2312" w:eastAsia="仿宋_GB2312"/>
                <w:sz w:val="21"/>
                <w:b/>
                <w:color w:val="0000FF"/>
              </w:rPr>
              <w:t>1、工期：</w:t>
            </w:r>
            <w:r>
              <w:rPr>
                <w:rFonts w:ascii="仿宋_GB2312" w:hAnsi="仿宋_GB2312" w:cs="仿宋_GB2312" w:eastAsia="仿宋_GB2312"/>
                <w:sz w:val="21"/>
                <w:b/>
                <w:color w:val="0000FF"/>
              </w:rPr>
              <w:t>进场之日起</w:t>
            </w:r>
            <w:r>
              <w:rPr>
                <w:rFonts w:ascii="仿宋_GB2312" w:hAnsi="仿宋_GB2312" w:cs="仿宋_GB2312" w:eastAsia="仿宋_GB2312"/>
                <w:sz w:val="21"/>
                <w:b/>
                <w:color w:val="0000FF"/>
              </w:rPr>
              <w:t>15个日历日内完成</w:t>
            </w:r>
            <w:r>
              <w:rPr>
                <w:rFonts w:ascii="仿宋_GB2312" w:hAnsi="仿宋_GB2312" w:cs="仿宋_GB2312" w:eastAsia="仿宋_GB2312"/>
                <w:sz w:val="21"/>
                <w:color w:val="0000FF"/>
              </w:rPr>
              <w:t>。</w:t>
            </w:r>
          </w:p>
          <w:p>
            <w:pPr>
              <w:pStyle w:val="null3"/>
              <w:jc w:val="both"/>
            </w:pPr>
            <w:r>
              <w:rPr>
                <w:rFonts w:ascii="仿宋_GB2312" w:hAnsi="仿宋_GB2312" w:cs="仿宋_GB2312" w:eastAsia="仿宋_GB2312"/>
                <w:sz w:val="21"/>
                <w:b/>
                <w:color w:val="0000FF"/>
              </w:rPr>
              <w:t>2、工程地点：</w:t>
            </w:r>
            <w:r>
              <w:rPr>
                <w:rFonts w:ascii="仿宋_GB2312" w:hAnsi="仿宋_GB2312" w:cs="仿宋_GB2312" w:eastAsia="仿宋_GB2312"/>
                <w:sz w:val="21"/>
                <w:b/>
                <w:color w:val="0000FF"/>
              </w:rPr>
              <w:t>西安市高新区庞光街道孙姑村。</w:t>
            </w:r>
          </w:p>
          <w:p>
            <w:pPr>
              <w:pStyle w:val="null3"/>
              <w:jc w:val="both"/>
            </w:pPr>
            <w:r>
              <w:rPr>
                <w:rFonts w:ascii="仿宋_GB2312" w:hAnsi="仿宋_GB2312" w:cs="仿宋_GB2312" w:eastAsia="仿宋_GB2312"/>
                <w:sz w:val="21"/>
                <w:b/>
                <w:color w:val="0000FF"/>
              </w:rPr>
              <w:t>3、执行的法律法规、技术规范</w:t>
            </w:r>
          </w:p>
          <w:p>
            <w:pPr>
              <w:pStyle w:val="null3"/>
              <w:jc w:val="both"/>
            </w:pPr>
            <w:r>
              <w:rPr>
                <w:rFonts w:ascii="仿宋_GB2312" w:hAnsi="仿宋_GB2312" w:cs="仿宋_GB2312" w:eastAsia="仿宋_GB2312"/>
                <w:sz w:val="21"/>
                <w:color w:val="0000FF"/>
              </w:rPr>
              <w:t>（一）执行的法律法规、技术规范包括但不限于以下规定、规范、标准：</w:t>
            </w:r>
          </w:p>
          <w:p>
            <w:pPr>
              <w:pStyle w:val="null3"/>
              <w:jc w:val="both"/>
            </w:pPr>
            <w:r>
              <w:rPr>
                <w:rFonts w:ascii="仿宋_GB2312" w:hAnsi="仿宋_GB2312" w:cs="仿宋_GB2312" w:eastAsia="仿宋_GB2312"/>
                <w:sz w:val="21"/>
                <w:color w:val="0000FF"/>
              </w:rPr>
              <w:t>《安全生产法》</w:t>
            </w:r>
          </w:p>
          <w:p>
            <w:pPr>
              <w:pStyle w:val="null3"/>
              <w:jc w:val="both"/>
            </w:pPr>
            <w:r>
              <w:rPr>
                <w:rFonts w:ascii="仿宋_GB2312" w:hAnsi="仿宋_GB2312" w:cs="仿宋_GB2312" w:eastAsia="仿宋_GB2312"/>
                <w:sz w:val="21"/>
                <w:color w:val="0000FF"/>
              </w:rPr>
              <w:t>《建设工程安全生产管理条例》</w:t>
            </w:r>
          </w:p>
          <w:p>
            <w:pPr>
              <w:pStyle w:val="null3"/>
              <w:jc w:val="both"/>
            </w:pPr>
            <w:r>
              <w:rPr>
                <w:rFonts w:ascii="仿宋_GB2312" w:hAnsi="仿宋_GB2312" w:cs="仿宋_GB2312" w:eastAsia="仿宋_GB2312"/>
                <w:sz w:val="21"/>
                <w:color w:val="0000FF"/>
              </w:rPr>
              <w:t>《西安市扬尘污染防治条例》</w:t>
            </w:r>
          </w:p>
          <w:p>
            <w:pPr>
              <w:pStyle w:val="null3"/>
              <w:jc w:val="both"/>
            </w:pPr>
            <w:r>
              <w:rPr>
                <w:rFonts w:ascii="仿宋_GB2312" w:hAnsi="仿宋_GB2312" w:cs="仿宋_GB2312" w:eastAsia="仿宋_GB2312"/>
                <w:sz w:val="21"/>
                <w:color w:val="0000FF"/>
              </w:rPr>
              <w:t>《西安市建筑垃圾管理办法》</w:t>
            </w:r>
          </w:p>
          <w:p>
            <w:pPr>
              <w:pStyle w:val="null3"/>
              <w:jc w:val="both"/>
            </w:pPr>
            <w:r>
              <w:rPr>
                <w:rFonts w:ascii="仿宋_GB2312" w:hAnsi="仿宋_GB2312" w:cs="仿宋_GB2312" w:eastAsia="仿宋_GB2312"/>
                <w:sz w:val="21"/>
                <w:color w:val="0000FF"/>
              </w:rPr>
              <w:t>《西安高新区治污减霾网格化管理工作实施方案》</w:t>
            </w:r>
          </w:p>
          <w:p>
            <w:pPr>
              <w:pStyle w:val="null3"/>
              <w:jc w:val="both"/>
            </w:pPr>
            <w:r>
              <w:rPr>
                <w:rFonts w:ascii="仿宋_GB2312" w:hAnsi="仿宋_GB2312" w:cs="仿宋_GB2312" w:eastAsia="仿宋_GB2312"/>
                <w:sz w:val="21"/>
                <w:color w:val="0000FF"/>
              </w:rPr>
              <w:t>（二）质量标准</w:t>
            </w:r>
          </w:p>
          <w:p>
            <w:pPr>
              <w:pStyle w:val="null3"/>
              <w:jc w:val="both"/>
            </w:pPr>
            <w:r>
              <w:rPr>
                <w:rFonts w:ascii="仿宋_GB2312" w:hAnsi="仿宋_GB2312" w:cs="仿宋_GB2312" w:eastAsia="仿宋_GB2312"/>
                <w:sz w:val="21"/>
                <w:color w:val="0000FF"/>
              </w:rPr>
              <w:t>1、项目范围内的房屋及附属物全部采用湿法作业、机械拆除、拆迁现场无扬尘，严禁人工拆除。垃圾清运全部采用机械清运的施工方法，严禁人工清运。</w:t>
            </w:r>
          </w:p>
          <w:p>
            <w:pPr>
              <w:pStyle w:val="null3"/>
              <w:jc w:val="both"/>
            </w:pPr>
            <w:r>
              <w:rPr>
                <w:rFonts w:ascii="仿宋_GB2312" w:hAnsi="仿宋_GB2312" w:cs="仿宋_GB2312" w:eastAsia="仿宋_GB2312"/>
                <w:sz w:val="21"/>
                <w:color w:val="0000FF"/>
              </w:rPr>
              <w:t>2、拆除至现有室内地坪（室外硬化路面）以下0.4米完成场地平整。</w:t>
            </w:r>
          </w:p>
          <w:p>
            <w:pPr>
              <w:pStyle w:val="null3"/>
              <w:jc w:val="both"/>
            </w:pPr>
            <w:r>
              <w:rPr>
                <w:rFonts w:ascii="仿宋_GB2312" w:hAnsi="仿宋_GB2312" w:cs="仿宋_GB2312" w:eastAsia="仿宋_GB2312"/>
                <w:sz w:val="21"/>
                <w:color w:val="0000FF"/>
              </w:rPr>
              <w:t>3、按城市管理部门要求安装冲洗台、限高栏、联网监控和空气检测装置等，确保设备正常使用。</w:t>
            </w:r>
          </w:p>
          <w:p>
            <w:pPr>
              <w:pStyle w:val="null3"/>
              <w:jc w:val="both"/>
            </w:pPr>
            <w:r>
              <w:rPr>
                <w:rFonts w:ascii="仿宋_GB2312" w:hAnsi="仿宋_GB2312" w:cs="仿宋_GB2312" w:eastAsia="仿宋_GB2312"/>
                <w:sz w:val="21"/>
                <w:color w:val="0000FF"/>
              </w:rPr>
              <w:t>4、拆除地上建筑物、构筑物及附属物，以及破除室内地坪、硬化道路产生的全部建筑垃圾，严格按照城市管理部门指定的运输路线和倾倒场地清运，不得冒尖装栽、不得沿路抛洒。</w:t>
            </w:r>
          </w:p>
          <w:p>
            <w:pPr>
              <w:pStyle w:val="null3"/>
              <w:jc w:val="both"/>
            </w:pPr>
            <w:r>
              <w:rPr>
                <w:rFonts w:ascii="仿宋_GB2312" w:hAnsi="仿宋_GB2312" w:cs="仿宋_GB2312" w:eastAsia="仿宋_GB2312"/>
                <w:sz w:val="21"/>
                <w:color w:val="0000FF"/>
              </w:rPr>
              <w:t>5、垃圾清运最终达到室内地坪以上全部垃圾清运完毕，现场无任何遗留物（最后以采购人、中标人共同验收合格，签字确认为准）。且施工方要具有垃圾消纳的处置能力。</w:t>
            </w:r>
          </w:p>
          <w:p>
            <w:pPr>
              <w:pStyle w:val="null3"/>
              <w:jc w:val="both"/>
            </w:pPr>
            <w:r>
              <w:rPr>
                <w:rFonts w:ascii="仿宋_GB2312" w:hAnsi="仿宋_GB2312" w:cs="仿宋_GB2312" w:eastAsia="仿宋_GB2312"/>
                <w:sz w:val="21"/>
                <w:color w:val="0000FF"/>
              </w:rPr>
              <w:t>6、围墙圈建根据规划圈建围墙线，采用环保预制围墙。墙体高度2.1米，柱高2.5米。立柱和围墙顶(地)向下(上)100m(400mm)高墙线设置为深灰色涂料粉刷,墙体为绿色仿真草皮。具体标准详见《高新区建筑工程施工现场围墙施工现场规定》。</w:t>
            </w:r>
          </w:p>
          <w:p>
            <w:pPr>
              <w:pStyle w:val="null3"/>
              <w:jc w:val="both"/>
            </w:pPr>
            <w:r>
              <w:rPr>
                <w:rFonts w:ascii="仿宋_GB2312" w:hAnsi="仿宋_GB2312" w:cs="仿宋_GB2312" w:eastAsia="仿宋_GB2312"/>
                <w:sz w:val="21"/>
                <w:color w:val="0000FF"/>
              </w:rPr>
              <w:t>质量要求：合格。</w:t>
            </w:r>
          </w:p>
          <w:p>
            <w:pPr>
              <w:pStyle w:val="null3"/>
              <w:jc w:val="both"/>
            </w:pPr>
            <w:r>
              <w:rPr>
                <w:rFonts w:ascii="仿宋_GB2312" w:hAnsi="仿宋_GB2312" w:cs="仿宋_GB2312" w:eastAsia="仿宋_GB2312"/>
                <w:sz w:val="21"/>
                <w:b/>
                <w:color w:val="0000FF"/>
              </w:rPr>
              <w:t>2、合同价款支付方式：</w:t>
            </w:r>
            <w:r>
              <w:rPr>
                <w:rFonts w:ascii="仿宋_GB2312" w:hAnsi="仿宋_GB2312" w:cs="仿宋_GB2312" w:eastAsia="仿宋_GB2312"/>
                <w:sz w:val="21"/>
                <w:b/>
                <w:color w:val="0000FF"/>
              </w:rPr>
              <w:t>由甲方负责结算，乙方开具合法有效的全额发票交甲方，活动结束且经甲方结算确认后待上级部门将专项经费拨付至庞光街道办事处后</w:t>
            </w:r>
            <w:r>
              <w:rPr>
                <w:rFonts w:ascii="仿宋_GB2312" w:hAnsi="仿宋_GB2312" w:cs="仿宋_GB2312" w:eastAsia="仿宋_GB2312"/>
                <w:sz w:val="21"/>
                <w:b/>
                <w:color w:val="0000FF"/>
              </w:rPr>
              <w:t>30个工作日内,将全部款项一次性付给乙方，乙方未提供发票的，甲方有权拒绝付款，并不承担相应责任</w:t>
            </w:r>
            <w:r>
              <w:rPr>
                <w:rFonts w:ascii="仿宋_GB2312" w:hAnsi="仿宋_GB2312" w:cs="仿宋_GB2312" w:eastAsia="仿宋_GB2312"/>
                <w:sz w:val="21"/>
                <w:b/>
                <w:color w:val="0000FF"/>
              </w:rPr>
              <w:t>。</w:t>
            </w:r>
          </w:p>
          <w:p>
            <w:pPr>
              <w:pStyle w:val="null3"/>
              <w:jc w:val="both"/>
            </w:pPr>
            <w:r>
              <w:rPr>
                <w:rFonts w:ascii="仿宋_GB2312" w:hAnsi="仿宋_GB2312" w:cs="仿宋_GB2312" w:eastAsia="仿宋_GB2312"/>
                <w:sz w:val="21"/>
                <w:b/>
                <w:color w:val="0000FF"/>
              </w:rPr>
              <w:t>三</w:t>
            </w:r>
            <w:r>
              <w:rPr>
                <w:rFonts w:ascii="仿宋_GB2312" w:hAnsi="仿宋_GB2312" w:cs="仿宋_GB2312" w:eastAsia="仿宋_GB2312"/>
                <w:sz w:val="21"/>
                <w:b/>
                <w:color w:val="0000FF"/>
              </w:rPr>
              <w:t>、</w:t>
            </w:r>
            <w:r>
              <w:rPr>
                <w:rFonts w:ascii="仿宋_GB2312" w:hAnsi="仿宋_GB2312" w:cs="仿宋_GB2312" w:eastAsia="仿宋_GB2312"/>
                <w:sz w:val="21"/>
                <w:b/>
                <w:color w:val="0000FF"/>
              </w:rPr>
              <w:t>工程实施期限</w:t>
            </w:r>
          </w:p>
          <w:p>
            <w:pPr>
              <w:pStyle w:val="null3"/>
              <w:jc w:val="both"/>
            </w:pPr>
            <w:r>
              <w:rPr>
                <w:rFonts w:ascii="仿宋_GB2312" w:hAnsi="仿宋_GB2312" w:cs="仿宋_GB2312" w:eastAsia="仿宋_GB2312"/>
                <w:sz w:val="21"/>
                <w:color w:val="0000FF"/>
              </w:rPr>
              <w:t>1、</w:t>
            </w:r>
            <w:r>
              <w:rPr>
                <w:rFonts w:ascii="仿宋_GB2312" w:hAnsi="仿宋_GB2312" w:cs="仿宋_GB2312" w:eastAsia="仿宋_GB2312"/>
                <w:sz w:val="21"/>
                <w:color w:val="0000FF"/>
              </w:rPr>
              <w:t>成交供应商</w:t>
            </w:r>
            <w:r>
              <w:rPr>
                <w:rFonts w:ascii="仿宋_GB2312" w:hAnsi="仿宋_GB2312" w:cs="仿宋_GB2312" w:eastAsia="仿宋_GB2312"/>
                <w:sz w:val="21"/>
                <w:color w:val="0000FF"/>
              </w:rPr>
              <w:t>须在合同签订之日起</w:t>
            </w:r>
            <w:r>
              <w:rPr>
                <w:rFonts w:ascii="仿宋_GB2312" w:hAnsi="仿宋_GB2312" w:cs="仿宋_GB2312" w:eastAsia="仿宋_GB2312"/>
                <w:sz w:val="21"/>
                <w:color w:val="0000FF"/>
              </w:rPr>
              <w:t>1天内进驻并制作工程计划进度表，并经采购人书面同意；</w:t>
            </w:r>
          </w:p>
          <w:p>
            <w:pPr>
              <w:pStyle w:val="null3"/>
              <w:jc w:val="both"/>
            </w:pPr>
            <w:r>
              <w:rPr>
                <w:rFonts w:ascii="仿宋_GB2312" w:hAnsi="仿宋_GB2312" w:cs="仿宋_GB2312" w:eastAsia="仿宋_GB2312"/>
                <w:sz w:val="21"/>
                <w:color w:val="0000FF"/>
              </w:rPr>
              <w:t>2、</w:t>
            </w:r>
            <w:r>
              <w:rPr>
                <w:rFonts w:ascii="仿宋_GB2312" w:hAnsi="仿宋_GB2312" w:cs="仿宋_GB2312" w:eastAsia="仿宋_GB2312"/>
                <w:sz w:val="21"/>
                <w:color w:val="0000FF"/>
              </w:rPr>
              <w:t>成交供应商</w:t>
            </w:r>
            <w:r>
              <w:rPr>
                <w:rFonts w:ascii="仿宋_GB2312" w:hAnsi="仿宋_GB2312" w:cs="仿宋_GB2312" w:eastAsia="仿宋_GB2312"/>
                <w:sz w:val="21"/>
                <w:color w:val="0000FF"/>
              </w:rPr>
              <w:t>同意在</w:t>
            </w:r>
            <w:r>
              <w:rPr>
                <w:rFonts w:ascii="仿宋_GB2312" w:hAnsi="仿宋_GB2312" w:cs="仿宋_GB2312" w:eastAsia="仿宋_GB2312"/>
                <w:sz w:val="21"/>
                <w:color w:val="0000FF"/>
              </w:rPr>
              <w:t>3天内开始施工；</w:t>
            </w:r>
          </w:p>
          <w:p>
            <w:pPr>
              <w:pStyle w:val="null3"/>
              <w:jc w:val="both"/>
            </w:pPr>
            <w:r>
              <w:rPr>
                <w:rFonts w:ascii="仿宋_GB2312" w:hAnsi="仿宋_GB2312" w:cs="仿宋_GB2312" w:eastAsia="仿宋_GB2312"/>
                <w:sz w:val="21"/>
                <w:color w:val="0000FF"/>
              </w:rPr>
              <w:t>3、双方约定自施工之日起在15天完成约定的项目。遇阴雨天及不可抗力因素以及其他施工因素影响、工期相应顺延（顺延工期应由采购人、成交供应商共同签字确认）；</w:t>
            </w:r>
          </w:p>
          <w:p>
            <w:pPr>
              <w:pStyle w:val="null3"/>
              <w:jc w:val="both"/>
            </w:pPr>
            <w:r>
              <w:rPr>
                <w:rFonts w:ascii="仿宋_GB2312" w:hAnsi="仿宋_GB2312" w:cs="仿宋_GB2312" w:eastAsia="仿宋_GB2312"/>
                <w:sz w:val="21"/>
                <w:color w:val="0000FF"/>
              </w:rPr>
              <w:t>4、由于成交供应商原因造成工期延迟视同成交供应商违约，则成交供应商赔付采购人违约金至清运价的5‰／天。</w:t>
            </w:r>
          </w:p>
          <w:p>
            <w:pPr>
              <w:pStyle w:val="null3"/>
              <w:jc w:val="both"/>
            </w:pPr>
            <w:r>
              <w:rPr>
                <w:rFonts w:ascii="仿宋_GB2312" w:hAnsi="仿宋_GB2312" w:cs="仿宋_GB2312" w:eastAsia="仿宋_GB2312"/>
                <w:sz w:val="21"/>
                <w:b/>
                <w:color w:val="0000FF"/>
              </w:rPr>
              <w:t>四</w:t>
            </w:r>
            <w:r>
              <w:rPr>
                <w:rFonts w:ascii="仿宋_GB2312" w:hAnsi="仿宋_GB2312" w:cs="仿宋_GB2312" w:eastAsia="仿宋_GB2312"/>
                <w:sz w:val="21"/>
                <w:b/>
                <w:color w:val="0000FF"/>
              </w:rPr>
              <w:t>、</w:t>
            </w:r>
            <w:r>
              <w:rPr>
                <w:rFonts w:ascii="仿宋_GB2312" w:hAnsi="仿宋_GB2312" w:cs="仿宋_GB2312" w:eastAsia="仿宋_GB2312"/>
                <w:sz w:val="21"/>
                <w:b/>
                <w:color w:val="0000FF"/>
              </w:rPr>
              <w:t>工程量</w:t>
            </w:r>
            <w:r>
              <w:rPr>
                <w:rFonts w:ascii="仿宋_GB2312" w:hAnsi="仿宋_GB2312" w:cs="仿宋_GB2312" w:eastAsia="仿宋_GB2312"/>
                <w:sz w:val="21"/>
                <w:b/>
                <w:color w:val="0000FF"/>
              </w:rPr>
              <w:t>清单</w:t>
            </w:r>
          </w:p>
          <w:tbl>
            <w:tblPr>
              <w:tblInd w:type="dxa" w:w="135"/>
              <w:tblBorders>
                <w:top w:val="none" w:color="000000" w:sz="4"/>
                <w:left w:val="none" w:color="000000" w:sz="4"/>
                <w:bottom w:val="none" w:color="000000" w:sz="4"/>
                <w:right w:val="none" w:color="000000" w:sz="4"/>
                <w:insideH w:val="none"/>
                <w:insideV w:val="none"/>
              </w:tblBorders>
            </w:tblPr>
            <w:tblGrid>
              <w:gridCol w:w="174"/>
              <w:gridCol w:w="864"/>
              <w:gridCol w:w="201"/>
              <w:gridCol w:w="614"/>
            </w:tblGrid>
            <w:tr>
              <w:tc>
                <w:tcPr>
                  <w:tcW w:type="dxa" w:w="17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序号</w:t>
                  </w:r>
                </w:p>
              </w:tc>
              <w:tc>
                <w:tcPr>
                  <w:tcW w:type="dxa" w:w="86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清单项目</w:t>
                  </w:r>
                </w:p>
              </w:tc>
              <w:tc>
                <w:tcPr>
                  <w:tcW w:type="dxa" w:w="2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单位</w:t>
                  </w:r>
                </w:p>
              </w:tc>
              <w:tc>
                <w:tcPr>
                  <w:tcW w:type="dxa" w:w="6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工程量</w:t>
                  </w:r>
                </w:p>
              </w:tc>
            </w:tr>
            <w:tr>
              <w:tc>
                <w:tcPr>
                  <w:tcW w:type="dxa" w:w="1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8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地面清表</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w:t>
                  </w:r>
                </w:p>
              </w:tc>
              <w:tc>
                <w:tcPr>
                  <w:tcW w:type="dxa" w:w="6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14512.12</w:t>
                  </w:r>
                </w:p>
              </w:tc>
            </w:tr>
            <w:tr>
              <w:tc>
                <w:tcPr>
                  <w:tcW w:type="dxa" w:w="1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2</w:t>
                  </w:r>
                </w:p>
              </w:tc>
              <w:tc>
                <w:tcPr>
                  <w:tcW w:type="dxa" w:w="8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垃圾外运（</w:t>
                  </w:r>
                  <w:r>
                    <w:rPr>
                      <w:rFonts w:ascii="仿宋_GB2312" w:hAnsi="仿宋_GB2312" w:cs="仿宋_GB2312" w:eastAsia="仿宋_GB2312"/>
                      <w:sz w:val="21"/>
                      <w:color w:val="0000FF"/>
                    </w:rPr>
                    <w:t>10km以内）</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m</w:t>
                  </w:r>
                  <w:r>
                    <w:rPr>
                      <w:rFonts w:ascii="仿宋_GB2312" w:hAnsi="仿宋_GB2312" w:cs="仿宋_GB2312" w:eastAsia="仿宋_GB2312"/>
                      <w:sz w:val="21"/>
                      <w:color w:val="0000FF"/>
                    </w:rPr>
                    <w:t>³</w:t>
                  </w:r>
                </w:p>
              </w:tc>
              <w:tc>
                <w:tcPr>
                  <w:tcW w:type="dxa" w:w="6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5804.85</w:t>
                  </w:r>
                </w:p>
              </w:tc>
            </w:tr>
            <w:tr>
              <w:tc>
                <w:tcPr>
                  <w:tcW w:type="dxa" w:w="1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3</w:t>
                  </w:r>
                </w:p>
              </w:tc>
              <w:tc>
                <w:tcPr>
                  <w:tcW w:type="dxa" w:w="8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垃圾外运（外超</w:t>
                  </w:r>
                  <w:r>
                    <w:rPr>
                      <w:rFonts w:ascii="仿宋_GB2312" w:hAnsi="仿宋_GB2312" w:cs="仿宋_GB2312" w:eastAsia="仿宋_GB2312"/>
                      <w:sz w:val="21"/>
                      <w:color w:val="0000FF"/>
                    </w:rPr>
                    <w:t>52km</w:t>
                  </w:r>
                  <w:r>
                    <w:rPr>
                      <w:rFonts w:ascii="仿宋_GB2312" w:hAnsi="仿宋_GB2312" w:cs="仿宋_GB2312" w:eastAsia="仿宋_GB2312"/>
                      <w:sz w:val="21"/>
                      <w:color w:val="0000FF"/>
                    </w:rPr>
                    <w:t>）</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m</w:t>
                  </w:r>
                  <w:r>
                    <w:rPr>
                      <w:rFonts w:ascii="仿宋_GB2312" w:hAnsi="仿宋_GB2312" w:cs="仿宋_GB2312" w:eastAsia="仿宋_GB2312"/>
                      <w:sz w:val="21"/>
                      <w:color w:val="0000FF"/>
                    </w:rPr>
                    <w:t>³</w:t>
                  </w:r>
                </w:p>
              </w:tc>
              <w:tc>
                <w:tcPr>
                  <w:tcW w:type="dxa" w:w="6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5804.85</w:t>
                  </w:r>
                </w:p>
              </w:tc>
            </w:tr>
            <w:tr>
              <w:tc>
                <w:tcPr>
                  <w:tcW w:type="dxa" w:w="1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4</w:t>
                  </w:r>
                </w:p>
              </w:tc>
              <w:tc>
                <w:tcPr>
                  <w:tcW w:type="dxa" w:w="8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装配式围墙</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m</w:t>
                  </w:r>
                </w:p>
              </w:tc>
              <w:tc>
                <w:tcPr>
                  <w:tcW w:type="dxa" w:w="6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580.7</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供应商认为需要提供的其他资料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营业执照或其他主体证明资料</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供应商拟派项目负责人须具备建筑工程二级及以上注册建造师执业资格，具有合格有效的安全生产考核合格证（B证），且未担任其他在施建设工程的项目负责人；</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且与营业执照或其他证明资料上信息一致。法定代表人授权代表参加磋商的，须出具法定代表人授权书及授权代表身份证；自然人参加磋商的须提供身份证。注：以磋商响应文件中所附签章齐全的证明资料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每轮只能有一个有效报价且未超过最高限价</w:t>
            </w:r>
          </w:p>
        </w:tc>
        <w:tc>
          <w:tcPr>
            <w:tcW w:type="dxa" w:w="1661"/>
          </w:tcPr>
          <w:p>
            <w:pPr>
              <w:pStyle w:val="null3"/>
            </w:pPr>
            <w:r>
              <w:rPr>
                <w:rFonts w:ascii="仿宋_GB2312" w:hAnsi="仿宋_GB2312" w:cs="仿宋_GB2312" w:eastAsia="仿宋_GB2312"/>
              </w:rPr>
              <w:t>分项报价表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商务及技术条款应答表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商务及技术条款应答表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 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施工方案详细完整，合理科学计(7-10]分；施工方案基本完整，能满足项目建设需求计(4-7]分；施工方案粗略或有明显缺陷，无法满足项目建设需求计[0-4]分。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供应商认为需要提供的其他资料</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经理部组成人员配备数量充足，专业齐全，分工详细具体计(7-10]分；人员配备数量符合项目需求，专业基本齐全，分工明确计(4-7]分；人员配备数量不足，专业不齐全，分工不明确，无法满足本项目需求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供应商认为需要提供的其他资料</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质量保障措施详细完整、合理可行计(7-10]分；质量保障措施基本完整，有一定可行性，能满足项目基本需求计(4-7]分；无质量保障措施或质量保障措施有明显缺陷，无法保障项目质量，计[0-4]分。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供应商认为需要提供的其他资料</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工期保障措施详细完整、合理可行计(7-10]分；工期保障措施基本完整，有一定可行性，能满足项目需求计(4-7]分；无工期保障措施或工期保障措施有明显缺陷，无法保障按期完工，计[0-4]分。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供应商认为需要提供的其他资料</w:t>
            </w:r>
          </w:p>
        </w:tc>
      </w:tr>
      <w:tr>
        <w:tc>
          <w:tcPr>
            <w:tcW w:type="dxa" w:w="831"/>
            <w:vMerge/>
          </w:tcPr>
          <w:p/>
        </w:tc>
        <w:tc>
          <w:tcPr>
            <w:tcW w:type="dxa" w:w="1661"/>
          </w:tcPr>
          <w:p>
            <w:pPr>
              <w:pStyle w:val="null3"/>
            </w:pPr>
            <w:r>
              <w:rPr>
                <w:rFonts w:ascii="仿宋_GB2312" w:hAnsi="仿宋_GB2312" w:cs="仿宋_GB2312" w:eastAsia="仿宋_GB2312"/>
              </w:rPr>
              <w:t>安全生产的技术保障措施</w:t>
            </w:r>
          </w:p>
        </w:tc>
        <w:tc>
          <w:tcPr>
            <w:tcW w:type="dxa" w:w="2492"/>
          </w:tcPr>
          <w:p>
            <w:pPr>
              <w:pStyle w:val="null3"/>
            </w:pPr>
            <w:r>
              <w:rPr>
                <w:rFonts w:ascii="仿宋_GB2312" w:hAnsi="仿宋_GB2312" w:cs="仿宋_GB2312" w:eastAsia="仿宋_GB2312"/>
              </w:rPr>
              <w:t>确保安全生产的技术保障措施详细完整、合理可行计(7-10]分；保障措施基本完整，有一定可行性且能满足项目需求计(4-7]分；无保障措施或保障措施有明显缺陷，无法保障安全生产，计[0-4]分。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供应商认为需要提供的其他资料</w:t>
            </w:r>
          </w:p>
        </w:tc>
      </w:tr>
      <w:tr>
        <w:tc>
          <w:tcPr>
            <w:tcW w:type="dxa" w:w="831"/>
            <w:vMerge/>
          </w:tcPr>
          <w:p/>
        </w:tc>
        <w:tc>
          <w:tcPr>
            <w:tcW w:type="dxa" w:w="1661"/>
          </w:tcPr>
          <w:p>
            <w:pPr>
              <w:pStyle w:val="null3"/>
            </w:pPr>
            <w:r>
              <w:rPr>
                <w:rFonts w:ascii="仿宋_GB2312" w:hAnsi="仿宋_GB2312" w:cs="仿宋_GB2312" w:eastAsia="仿宋_GB2312"/>
              </w:rPr>
              <w:t>文明施工的保障措施</w:t>
            </w:r>
          </w:p>
        </w:tc>
        <w:tc>
          <w:tcPr>
            <w:tcW w:type="dxa" w:w="2492"/>
          </w:tcPr>
          <w:p>
            <w:pPr>
              <w:pStyle w:val="null3"/>
            </w:pPr>
            <w:r>
              <w:rPr>
                <w:rFonts w:ascii="仿宋_GB2312" w:hAnsi="仿宋_GB2312" w:cs="仿宋_GB2312" w:eastAsia="仿宋_GB2312"/>
              </w:rPr>
              <w:t>确保文明施工的保障措施详细具体、合理可行，计(7-10]分；保障措施基本完整，有一定可行性且能满足项目需求计(4-7]分；无保障措施或保障措施有明显缺陷，无法满足项目需求，计[0-4]分。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供应商认为需要提供的其他资料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供应商自2022年1月1日起至竞争性磋商响应文件递交截止时间止，具有的类似（清表或围墙类）项目业绩，每提供一项得2分，满分10分。 注：以供应商响应文件中所附加盖单位公章的合同复印件为准，日期以合同落款日期为准。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详见附件：商务及技术条款应答表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详见附件：供应商认为需要提供的其他资料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