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32F4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技术方案响应说明</w:t>
      </w:r>
    </w:p>
    <w:p w14:paraId="7253BF49">
      <w:pPr>
        <w:rPr>
          <w:rFonts w:hint="eastAsia"/>
        </w:rPr>
      </w:pPr>
      <w:r>
        <w:rPr>
          <w:rFonts w:hint="eastAsia" w:ascii="仿宋" w:hAnsi="仿宋" w:eastAsia="仿宋" w:cs="仿宋"/>
          <w:sz w:val="20"/>
          <w:szCs w:val="20"/>
        </w:rPr>
        <w:t>格式自定，参照磋商文件《第六章磋商办法》各条款的要求，结合《第三章 磋商项目技术、服务、商务及其他要求》编制响应方案。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07CD1025"/>
    <w:rsid w:val="08E35BCF"/>
    <w:rsid w:val="0D675113"/>
    <w:rsid w:val="631C6F8C"/>
    <w:rsid w:val="69B2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2024-01-29T12:47:00Z</dcterms:created>
  <dc:creator>Administrator</dc:creator>
  <cp:lastModifiedBy>82906579</cp:lastModifiedBy>
  <dcterms:modified xsi:type="dcterms:W3CDTF">2025-03-04T02:55:30Z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7B8DFE4FD31B45F1BF5E36CE149D2817_12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