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D26B45">
      <w:pPr>
        <w:keepNext/>
        <w:keepLines/>
        <w:spacing w:line="600" w:lineRule="exact"/>
        <w:jc w:val="center"/>
        <w:outlineLvl w:val="0"/>
        <w:rPr>
          <w:rFonts w:hint="eastAsia" w:ascii="宋体" w:hAnsi="宋体" w:eastAsia="宋体" w:cs="Times New Roman"/>
          <w:b/>
          <w:bCs/>
          <w:kern w:val="44"/>
          <w:szCs w:val="21"/>
        </w:rPr>
      </w:pPr>
      <w:bookmarkStart w:id="0" w:name="_Toc482003881"/>
      <w:bookmarkStart w:id="1" w:name="_Toc482003954"/>
      <w:r>
        <w:rPr>
          <w:rFonts w:hint="eastAsia" w:ascii="宋体" w:hAnsi="宋体" w:eastAsia="宋体" w:cs="Times New Roman"/>
          <w:b/>
          <w:bCs/>
          <w:kern w:val="44"/>
          <w:szCs w:val="21"/>
        </w:rPr>
        <w:t>第四章 合同条款及格式</w:t>
      </w:r>
      <w:bookmarkEnd w:id="0"/>
      <w:bookmarkEnd w:id="1"/>
    </w:p>
    <w:p w14:paraId="11C1A1CB">
      <w:pPr>
        <w:spacing w:line="600" w:lineRule="exact"/>
        <w:jc w:val="center"/>
        <w:outlineLvl w:val="2"/>
        <w:rPr>
          <w:rFonts w:hint="eastAsia" w:ascii="宋体" w:hAnsi="宋体" w:eastAsia="宋体" w:cs="Times New Roman"/>
          <w:szCs w:val="21"/>
        </w:rPr>
      </w:pPr>
      <w:bookmarkStart w:id="2" w:name="_Toc205784177"/>
      <w:bookmarkStart w:id="3" w:name="_Toc244247846"/>
      <w:bookmarkStart w:id="4" w:name="_Toc167030037"/>
    </w:p>
    <w:bookmarkEnd w:id="2"/>
    <w:bookmarkEnd w:id="3"/>
    <w:bookmarkEnd w:id="4"/>
    <w:p w14:paraId="2CD1D971">
      <w:pPr>
        <w:widowControl/>
        <w:spacing w:line="600" w:lineRule="exact"/>
        <w:jc w:val="center"/>
        <w:rPr>
          <w:rFonts w:hint="eastAsia" w:ascii="宋体" w:hAnsi="宋体" w:eastAsia="宋体" w:cs="宋体"/>
          <w:bCs/>
          <w:kern w:val="0"/>
          <w:szCs w:val="21"/>
        </w:rPr>
      </w:pPr>
    </w:p>
    <w:p w14:paraId="2C2EA31D">
      <w:pPr>
        <w:widowControl/>
        <w:spacing w:line="600" w:lineRule="exact"/>
        <w:jc w:val="center"/>
        <w:rPr>
          <w:rFonts w:hint="eastAsia" w:ascii="宋体" w:hAnsi="宋体" w:eastAsia="宋体" w:cs="宋体"/>
          <w:bCs/>
          <w:kern w:val="0"/>
          <w:sz w:val="28"/>
          <w:szCs w:val="28"/>
        </w:rPr>
      </w:pPr>
    </w:p>
    <w:p w14:paraId="653A1C61">
      <w:pPr>
        <w:widowControl/>
        <w:spacing w:line="600" w:lineRule="exact"/>
        <w:jc w:val="center"/>
        <w:rPr>
          <w:rFonts w:hint="eastAsia" w:ascii="宋体" w:hAnsi="宋体" w:eastAsia="宋体" w:cs="宋体"/>
          <w:bCs/>
          <w:kern w:val="0"/>
          <w:sz w:val="28"/>
          <w:szCs w:val="28"/>
        </w:rPr>
      </w:pPr>
      <w:r>
        <w:rPr>
          <w:rFonts w:hint="eastAsia" w:ascii="宋体" w:hAnsi="宋体" w:eastAsia="宋体" w:cs="宋体"/>
          <w:bCs/>
          <w:kern w:val="0"/>
          <w:sz w:val="28"/>
          <w:szCs w:val="28"/>
        </w:rPr>
        <w:t>陕西省建设工程施工合同</w:t>
      </w:r>
    </w:p>
    <w:p w14:paraId="232E2B6B">
      <w:pPr>
        <w:widowControl/>
        <w:spacing w:line="600" w:lineRule="exact"/>
        <w:jc w:val="center"/>
        <w:rPr>
          <w:rFonts w:hint="eastAsia" w:ascii="宋体" w:hAnsi="宋体" w:eastAsia="宋体" w:cs="宋体"/>
          <w:b/>
          <w:bCs/>
          <w:kern w:val="0"/>
          <w:sz w:val="28"/>
          <w:szCs w:val="28"/>
        </w:rPr>
      </w:pPr>
    </w:p>
    <w:p w14:paraId="5A137084">
      <w:pPr>
        <w:widowControl/>
        <w:spacing w:line="600" w:lineRule="exact"/>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（示范文本）</w:t>
      </w:r>
    </w:p>
    <w:p w14:paraId="08E2BF68">
      <w:pPr>
        <w:widowControl/>
        <w:spacing w:line="600" w:lineRule="exact"/>
        <w:ind w:firstLine="200"/>
        <w:jc w:val="center"/>
        <w:rPr>
          <w:rFonts w:hint="eastAsia" w:ascii="宋体" w:hAnsi="宋体" w:eastAsia="宋体" w:cs="宋体"/>
          <w:b/>
          <w:bCs/>
          <w:kern w:val="0"/>
          <w:sz w:val="28"/>
          <w:szCs w:val="28"/>
        </w:rPr>
      </w:pPr>
    </w:p>
    <w:p w14:paraId="50D15239">
      <w:pPr>
        <w:widowControl/>
        <w:spacing w:line="600" w:lineRule="exact"/>
        <w:ind w:firstLine="200"/>
        <w:jc w:val="center"/>
        <w:rPr>
          <w:rFonts w:hint="eastAsia" w:ascii="宋体" w:hAnsi="宋体" w:eastAsia="宋体" w:cs="宋体"/>
          <w:b/>
          <w:bCs/>
          <w:kern w:val="0"/>
          <w:sz w:val="28"/>
          <w:szCs w:val="28"/>
        </w:rPr>
      </w:pPr>
    </w:p>
    <w:p w14:paraId="211402ED">
      <w:pPr>
        <w:widowControl/>
        <w:spacing w:line="600" w:lineRule="exact"/>
        <w:ind w:firstLine="200"/>
        <w:jc w:val="center"/>
        <w:rPr>
          <w:rFonts w:hint="eastAsia" w:ascii="宋体" w:hAnsi="宋体" w:eastAsia="宋体" w:cs="宋体"/>
          <w:b/>
          <w:bCs/>
          <w:kern w:val="0"/>
          <w:sz w:val="28"/>
          <w:szCs w:val="28"/>
        </w:rPr>
      </w:pPr>
    </w:p>
    <w:p w14:paraId="11AA9DD3">
      <w:pPr>
        <w:widowControl/>
        <w:spacing w:line="600" w:lineRule="exact"/>
        <w:ind w:firstLine="200"/>
        <w:jc w:val="center"/>
        <w:rPr>
          <w:rFonts w:hint="eastAsia" w:ascii="宋体" w:hAnsi="宋体" w:eastAsia="宋体" w:cs="宋体"/>
          <w:b/>
          <w:bCs/>
          <w:kern w:val="0"/>
          <w:sz w:val="28"/>
          <w:szCs w:val="28"/>
        </w:rPr>
      </w:pPr>
    </w:p>
    <w:p w14:paraId="0A5BACE7">
      <w:pPr>
        <w:widowControl/>
        <w:spacing w:line="600" w:lineRule="exact"/>
        <w:ind w:firstLine="200"/>
        <w:jc w:val="center"/>
        <w:rPr>
          <w:rFonts w:hint="eastAsia" w:ascii="宋体" w:hAnsi="宋体" w:eastAsia="宋体" w:cs="宋体"/>
          <w:b/>
          <w:bCs/>
          <w:kern w:val="0"/>
          <w:sz w:val="28"/>
          <w:szCs w:val="28"/>
        </w:rPr>
      </w:pPr>
    </w:p>
    <w:p w14:paraId="7E624780">
      <w:pPr>
        <w:widowControl/>
        <w:spacing w:line="600" w:lineRule="exact"/>
        <w:ind w:firstLine="200"/>
        <w:jc w:val="center"/>
        <w:rPr>
          <w:rFonts w:hint="eastAsia" w:ascii="宋体" w:hAnsi="宋体" w:eastAsia="宋体" w:cs="宋体"/>
          <w:b/>
          <w:bCs/>
          <w:kern w:val="0"/>
          <w:sz w:val="28"/>
          <w:szCs w:val="28"/>
        </w:rPr>
      </w:pPr>
    </w:p>
    <w:p w14:paraId="08953944">
      <w:pPr>
        <w:widowControl/>
        <w:spacing w:line="600" w:lineRule="exact"/>
        <w:ind w:firstLine="200"/>
        <w:jc w:val="center"/>
        <w:rPr>
          <w:rFonts w:hint="eastAsia" w:ascii="宋体" w:hAnsi="宋体" w:eastAsia="宋体" w:cs="宋体"/>
          <w:b/>
          <w:bCs/>
          <w:kern w:val="0"/>
          <w:sz w:val="28"/>
          <w:szCs w:val="28"/>
        </w:rPr>
      </w:pPr>
    </w:p>
    <w:p w14:paraId="4C42FFEE">
      <w:pPr>
        <w:widowControl/>
        <w:spacing w:line="600" w:lineRule="exact"/>
        <w:ind w:firstLine="200"/>
        <w:jc w:val="center"/>
        <w:rPr>
          <w:rFonts w:hint="eastAsia" w:ascii="宋体" w:hAnsi="宋体" w:eastAsia="宋体" w:cs="宋体"/>
          <w:b/>
          <w:bCs/>
          <w:kern w:val="0"/>
          <w:sz w:val="28"/>
          <w:szCs w:val="28"/>
        </w:rPr>
      </w:pPr>
    </w:p>
    <w:p w14:paraId="432972E4">
      <w:pPr>
        <w:widowControl/>
        <w:spacing w:line="600" w:lineRule="exact"/>
        <w:ind w:firstLine="200"/>
        <w:jc w:val="center"/>
        <w:rPr>
          <w:rFonts w:hint="eastAsia" w:ascii="宋体" w:hAnsi="宋体" w:eastAsia="宋体" w:cs="宋体"/>
          <w:b/>
          <w:bCs/>
          <w:kern w:val="0"/>
          <w:sz w:val="28"/>
          <w:szCs w:val="28"/>
        </w:rPr>
      </w:pPr>
    </w:p>
    <w:p w14:paraId="5DC8A28A">
      <w:pPr>
        <w:widowControl/>
        <w:spacing w:line="600" w:lineRule="exact"/>
        <w:ind w:firstLine="200"/>
        <w:jc w:val="center"/>
        <w:rPr>
          <w:rFonts w:hint="eastAsia" w:ascii="宋体" w:hAnsi="宋体" w:eastAsia="宋体" w:cs="宋体"/>
          <w:b/>
          <w:bCs/>
          <w:kern w:val="0"/>
          <w:sz w:val="28"/>
          <w:szCs w:val="28"/>
        </w:rPr>
      </w:pPr>
    </w:p>
    <w:p w14:paraId="53FD5EC7">
      <w:pPr>
        <w:widowControl/>
        <w:spacing w:line="600" w:lineRule="exact"/>
        <w:ind w:firstLine="200"/>
        <w:jc w:val="center"/>
        <w:rPr>
          <w:rFonts w:hint="eastAsia" w:ascii="宋体" w:hAnsi="宋体" w:eastAsia="宋体" w:cs="宋体"/>
          <w:b/>
          <w:bCs/>
          <w:kern w:val="0"/>
          <w:sz w:val="28"/>
          <w:szCs w:val="28"/>
        </w:rPr>
      </w:pPr>
    </w:p>
    <w:p w14:paraId="7513B2AE">
      <w:pPr>
        <w:widowControl/>
        <w:spacing w:line="600" w:lineRule="exact"/>
        <w:ind w:firstLine="200"/>
        <w:jc w:val="center"/>
        <w:rPr>
          <w:rFonts w:hint="eastAsia" w:ascii="宋体" w:hAnsi="宋体" w:eastAsia="宋体" w:cs="宋体"/>
          <w:b/>
          <w:bCs/>
          <w:kern w:val="0"/>
          <w:sz w:val="28"/>
          <w:szCs w:val="28"/>
        </w:rPr>
      </w:pPr>
    </w:p>
    <w:p w14:paraId="60B714AB">
      <w:pPr>
        <w:widowControl/>
        <w:spacing w:line="600" w:lineRule="exact"/>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mc:AlternateContent>
          <mc:Choice Requires="wps">
            <w:drawing>
              <wp:anchor distT="0" distB="0" distL="114300" distR="114300" simplePos="0" relativeHeight="251659264" behindDoc="0" locked="0" layoutInCell="1" allowOverlap="1">
                <wp:simplePos x="0" y="0"/>
                <wp:positionH relativeFrom="column">
                  <wp:posOffset>4000500</wp:posOffset>
                </wp:positionH>
                <wp:positionV relativeFrom="paragraph">
                  <wp:posOffset>100330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685800" cy="594360"/>
                        </a:xfrm>
                        <a:prstGeom prst="rect">
                          <a:avLst/>
                        </a:prstGeom>
                        <a:solidFill>
                          <a:srgbClr val="FFFFFF"/>
                        </a:solidFill>
                        <a:ln w="9525">
                          <a:solidFill>
                            <a:srgbClr val="FFFFFF"/>
                          </a:solidFill>
                          <a:miter lim="800000"/>
                        </a:ln>
                      </wps:spPr>
                      <wps:txbx>
                        <w:txbxContent>
                          <w:p w14:paraId="6FAA0FFA">
                            <w:pPr>
                              <w:rPr>
                                <w:rFonts w:hint="eastAsia" w:ascii="宋体" w:hAnsi="宋体"/>
                                <w:b/>
                                <w:sz w:val="44"/>
                                <w:szCs w:val="44"/>
                              </w:rPr>
                            </w:pPr>
                            <w:r>
                              <w:rPr>
                                <w:rFonts w:hint="eastAsia" w:ascii="宋体" w:hAnsi="宋体"/>
                                <w:b/>
                                <w:sz w:val="44"/>
                                <w:szCs w:val="44"/>
                              </w:rPr>
                              <w:t>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15pt;margin-top:7.9pt;height:46.8pt;width:54pt;z-index:251659264;mso-width-relative:page;mso-height-relative:page;" fillcolor="#FFFFFF" filled="t" stroked="t" coordsize="21600,21600" o:gfxdata="UEsDBAoAAAAAAIdO4kAAAAAAAAAAAAAAAAAEAAAAZHJzL1BLAwQUAAAACACHTuJAD982/tcAAAAK&#10;AQAADwAAAGRycy9kb3ducmV2LnhtbE2PS0/DMBCE70j8B2uRuFG7tLQlxKlECeLCobRw39pLEuFH&#10;FLsvfj3LCY47M5qdr1yevBMHGlIXg4bxSIGgYKLtQqPhfft8swCRMgaLLgbScKYEy+ryosTCxmN4&#10;o8MmN4JLQipQQ5tzX0iZTEse0yj2FNj7jIPHzOfQSDvgkcu9k7dKzaTHLvCHFntatWS+NnuvYY34&#10;tP5+MeaxPr9Oa1p91BSd1tdXY/UAItMp/4Xhdz5Ph4o37eI+2CSchtlEMUtm444RODCfLFjYsaDu&#10;pyCrUv5HqH4AUEsDBBQAAAAIAIdO4kCglgI/NQIAAHkEAAAOAAAAZHJzL2Uyb0RvYy54bWytVMGO&#10;2jAQvVfqP1i+lwAFCoiwWoGoKm3blbb9AOM4xKrtcceGQH+mUm/7Ef2cqr/RiQOU3V44NAfL4xm/&#10;mfdmnNnN3hq2Uxg0uJz3Ol3OlJNQaLfJ+edPq1djzkIUrhAGnMr5QQV+M3/5Ylb7qepDBaZQyAjE&#10;hWntc17F6KdZFmSlrAgd8MqRswS0IpKJm6xAURO6NVm/2x1lNWDhEaQKgU6XrZMfEfEaQChLLdUS&#10;5NYqF1tUVEZEohQq7QOfp2rLUsn4sSyDiszknJjGtFIS2q+bNZvPxHSDwldaHksQ15TwjJMV2lHS&#10;M9RSRMG2qP+BsloiBChjR4LNWiJJEWLR6z7T5qESXiUuJHXwZ9HD/4OVH3b3yHRBk8CZE5Ya/vv7&#10;46+fP1iv0ab2YUohD/4eG3bB34H8EpiDRSXcRt0iQl0pUVBFKT57cqExAl1l6/o9FAQtthGSTPsS&#10;bQNIArB96sbh3A21j0zS4Wg8HHepT5Jcw8ng9Sh1KxPT02WPIb5VYFmzyTlSsxO42N2FSMVT6Ckk&#10;FQ9GFyttTDJws14YZDtBg7FKX8OXroTLMONYnfPJsD9MyE984ToIqyO9F6NtzokOfcc8xlG6k0Kt&#10;0nG/3h9FX0NxIOEQ2oml90qbCvAbZzVNa87D161AxZl550j8SW8waMY7GYPhmz4ZeOlZX3qEkwSV&#10;88hZu13E9klsPepNRZl6ia6DW2pYqZOYTaltVce6aSKTYMfX04z8pZ2i/v4x5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D982/tcAAAAKAQAADwAAAAAAAAABACAAAAAiAAAAZHJzL2Rvd25yZXYu&#10;eG1sUEsBAhQAFAAAAAgAh07iQKCWAj81AgAAeQQAAA4AAAAAAAAAAQAgAAAAJgEAAGRycy9lMm9E&#10;b2MueG1sUEsFBgAAAAAGAAYAWQEAAM0FAAAAAA==&#10;">
                <v:fill on="t" focussize="0,0"/>
                <v:stroke color="#FFFFFF" miterlimit="8" joinstyle="miter"/>
                <v:imagedata o:title=""/>
                <o:lock v:ext="edit" aspectratio="f"/>
                <v:textbox>
                  <w:txbxContent>
                    <w:p w14:paraId="6FAA0FFA">
                      <w:pPr>
                        <w:rPr>
                          <w:rFonts w:hint="eastAsia"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28"/>
          <w:szCs w:val="28"/>
        </w:rPr>
        <w:t>陕西省建设</w:t>
      </w:r>
      <w:r>
        <w:rPr>
          <w:rFonts w:hint="eastAsia" w:ascii="宋体" w:hAnsi="宋体" w:eastAsia="宋体" w:cs="宋体"/>
          <w:b/>
          <w:bCs/>
          <w:spacing w:val="1"/>
          <w:kern w:val="0"/>
          <w:sz w:val="28"/>
          <w:szCs w:val="28"/>
        </w:rPr>
        <w:t>厅</w:t>
      </w:r>
    </w:p>
    <w:p w14:paraId="7F7A8381">
      <w:pPr>
        <w:widowControl/>
        <w:spacing w:line="600" w:lineRule="exact"/>
        <w:jc w:val="center"/>
        <w:rPr>
          <w:rFonts w:hint="eastAsia" w:ascii="宋体" w:hAnsi="宋体" w:eastAsia="宋体" w:cs="宋体"/>
          <w:b/>
          <w:bCs/>
          <w:kern w:val="0"/>
          <w:sz w:val="28"/>
          <w:szCs w:val="28"/>
        </w:rPr>
      </w:pPr>
      <w:r>
        <w:rPr>
          <w:rFonts w:hint="eastAsia" w:ascii="宋体" w:hAnsi="宋体" w:eastAsia="宋体" w:cs="宋体"/>
          <w:b/>
          <w:bCs/>
          <w:spacing w:val="7"/>
          <w:w w:val="96"/>
          <w:kern w:val="0"/>
          <w:sz w:val="28"/>
          <w:szCs w:val="28"/>
        </w:rPr>
        <w:t>陕西省工商行政管理</w:t>
      </w:r>
      <w:r>
        <w:rPr>
          <w:rFonts w:hint="eastAsia" w:ascii="宋体" w:hAnsi="宋体" w:eastAsia="宋体" w:cs="宋体"/>
          <w:b/>
          <w:bCs/>
          <w:w w:val="96"/>
          <w:kern w:val="0"/>
          <w:sz w:val="28"/>
          <w:szCs w:val="28"/>
        </w:rPr>
        <w:t>局</w:t>
      </w:r>
    </w:p>
    <w:p w14:paraId="69FCAD00">
      <w:pPr>
        <w:jc w:val="center"/>
        <w:rPr>
          <w:rFonts w:hint="eastAsia" w:ascii="宋体" w:hAnsi="宋体" w:eastAsia="宋体" w:cs="宋体"/>
          <w:bCs/>
          <w:kern w:val="0"/>
          <w:sz w:val="28"/>
          <w:szCs w:val="28"/>
        </w:rPr>
      </w:pPr>
      <w:r>
        <w:rPr>
          <w:rFonts w:hint="eastAsia" w:ascii="宋体" w:hAnsi="宋体" w:eastAsia="宋体" w:cs="宋体"/>
          <w:bCs/>
          <w:kern w:val="0"/>
          <w:sz w:val="28"/>
          <w:szCs w:val="28"/>
        </w:rPr>
        <w:t>二○   年  月  日</w:t>
      </w:r>
    </w:p>
    <w:p w14:paraId="7C352203">
      <w:pPr>
        <w:jc w:val="center"/>
        <w:rPr>
          <w:rFonts w:hint="eastAsia" w:ascii="Times New Roman" w:hAnsi="Times New Roman" w:eastAsia="宋体" w:cs="Times New Roman"/>
          <w:szCs w:val="24"/>
        </w:rPr>
      </w:pPr>
    </w:p>
    <w:p w14:paraId="3E334112">
      <w:pPr>
        <w:widowControl/>
        <w:spacing w:line="600" w:lineRule="exact"/>
        <w:jc w:val="center"/>
        <w:rPr>
          <w:rFonts w:hint="eastAsia" w:ascii="宋体" w:hAnsi="宋体" w:eastAsia="宋体" w:cs="宋体"/>
          <w:bCs/>
          <w:kern w:val="0"/>
          <w:szCs w:val="21"/>
        </w:rPr>
      </w:pPr>
      <w:r>
        <w:rPr>
          <w:rFonts w:hint="eastAsia" w:ascii="宋体" w:hAnsi="宋体" w:eastAsia="宋体" w:cs="宋体"/>
          <w:bCs/>
          <w:kern w:val="0"/>
          <w:szCs w:val="21"/>
        </w:rPr>
        <w:t>第一部分  协议书</w:t>
      </w:r>
    </w:p>
    <w:p w14:paraId="38D2D802">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发包人（以下简称甲方）全称：</w:t>
      </w:r>
      <w:r>
        <w:rPr>
          <w:rFonts w:hint="eastAsia" w:ascii="宋体" w:hAnsi="宋体" w:eastAsia="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eastAsia="宋体" w:cs="宋体"/>
          <w:kern w:val="0"/>
          <w:szCs w:val="21"/>
          <w:u w:val="single"/>
        </w:rPr>
        <w:t xml:space="preserve">  </w:t>
      </w:r>
    </w:p>
    <w:p w14:paraId="2689FD2F">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承包人（以下简称乙方）全称：</w:t>
      </w:r>
      <w:r>
        <w:rPr>
          <w:rFonts w:hint="eastAsia" w:ascii="宋体" w:hAnsi="宋体" w:eastAsia="宋体" w:cs="宋体"/>
          <w:kern w:val="0"/>
          <w:szCs w:val="21"/>
          <w:u w:val="single"/>
        </w:rPr>
        <w:t xml:space="preserve">                                 </w:t>
      </w:r>
    </w:p>
    <w:p w14:paraId="2181467C">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依照《中华人民共和国合同法》、《中华人民共和国建筑法》及其他有关法律、行政法规，遵循平等、自愿、公平和诚实信用的原则，双方就本建设工程施工协商一致，订立本合同。</w:t>
      </w:r>
    </w:p>
    <w:p w14:paraId="2547634C">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一、工程概况</w:t>
      </w:r>
    </w:p>
    <w:p w14:paraId="037D66B8">
      <w:pPr>
        <w:widowControl/>
        <w:spacing w:line="600" w:lineRule="exact"/>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工程名称：</w:t>
      </w:r>
      <w:r>
        <w:rPr>
          <w:rFonts w:hint="eastAsia" w:ascii="宋体" w:hAnsi="宋体" w:eastAsia="宋体" w:cs="宋体"/>
          <w:kern w:val="0"/>
          <w:szCs w:val="21"/>
          <w:u w:val="single"/>
        </w:rPr>
        <w:t xml:space="preserve">   </w:t>
      </w:r>
    </w:p>
    <w:p w14:paraId="2BD7F0E6">
      <w:pPr>
        <w:widowControl/>
        <w:spacing w:line="600" w:lineRule="exact"/>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工程地点：</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p>
    <w:p w14:paraId="5B1AE1EB">
      <w:pPr>
        <w:widowControl/>
        <w:spacing w:line="600" w:lineRule="exact"/>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 xml:space="preserve">结构形式： </w:t>
      </w:r>
      <w:r>
        <w:rPr>
          <w:rFonts w:hint="eastAsia" w:ascii="宋体" w:hAnsi="宋体" w:eastAsia="宋体" w:cs="宋体"/>
          <w:kern w:val="0"/>
          <w:szCs w:val="21"/>
          <w:u w:val="single"/>
        </w:rPr>
        <w:t xml:space="preserve">   / 　</w:t>
      </w:r>
      <w:r>
        <w:rPr>
          <w:rFonts w:hint="eastAsia" w:ascii="宋体" w:hAnsi="宋体" w:eastAsia="宋体" w:cs="宋体"/>
          <w:kern w:val="0"/>
          <w:szCs w:val="21"/>
        </w:rPr>
        <w:t xml:space="preserve">层数： </w:t>
      </w:r>
      <w:r>
        <w:rPr>
          <w:rFonts w:hint="eastAsia" w:ascii="宋体" w:hAnsi="宋体" w:eastAsia="宋体" w:cs="宋体"/>
          <w:kern w:val="0"/>
          <w:szCs w:val="21"/>
          <w:u w:val="single"/>
        </w:rPr>
        <w:t xml:space="preserve">   /   </w:t>
      </w:r>
      <w:r>
        <w:rPr>
          <w:rFonts w:hint="eastAsia" w:ascii="宋体" w:hAnsi="宋体" w:eastAsia="宋体" w:cs="宋体"/>
          <w:kern w:val="0"/>
          <w:szCs w:val="21"/>
        </w:rPr>
        <w:t xml:space="preserve"> 建筑面积：  </w:t>
      </w:r>
      <w:r>
        <w:rPr>
          <w:rFonts w:hint="eastAsia" w:ascii="宋体" w:hAnsi="宋体" w:eastAsia="宋体" w:cs="宋体"/>
          <w:kern w:val="0"/>
          <w:szCs w:val="21"/>
          <w:u w:val="single"/>
        </w:rPr>
        <w:t xml:space="preserve">          /          </w:t>
      </w:r>
    </w:p>
    <w:p w14:paraId="137EDA5C">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群体工程应附承包人承揽工程项目一览表（附件1）</w:t>
      </w:r>
    </w:p>
    <w:p w14:paraId="124B2E8A">
      <w:pPr>
        <w:widowControl/>
        <w:spacing w:line="600" w:lineRule="exact"/>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 xml:space="preserve">工程立项文号： </w:t>
      </w:r>
      <w:r>
        <w:rPr>
          <w:rFonts w:hint="eastAsia" w:ascii="宋体" w:hAnsi="宋体" w:eastAsia="宋体" w:cs="宋体"/>
          <w:kern w:val="0"/>
          <w:szCs w:val="21"/>
          <w:u w:val="single"/>
        </w:rPr>
        <w:t xml:space="preserve">                             </w:t>
      </w:r>
    </w:p>
    <w:p w14:paraId="4A1BC0E7">
      <w:pPr>
        <w:widowControl/>
        <w:spacing w:line="600" w:lineRule="exact"/>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资金来源：</w:t>
      </w:r>
      <w:r>
        <w:rPr>
          <w:rFonts w:hint="eastAsia" w:ascii="宋体" w:hAnsi="宋体" w:eastAsia="宋体" w:cs="宋体"/>
          <w:kern w:val="0"/>
          <w:szCs w:val="21"/>
          <w:u w:val="single"/>
        </w:rPr>
        <w:t xml:space="preserve">                                  </w:t>
      </w:r>
    </w:p>
    <w:p w14:paraId="40863D33">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二、工程承包范围</w:t>
      </w:r>
    </w:p>
    <w:p w14:paraId="07BC47B3">
      <w:pPr>
        <w:widowControl/>
        <w:spacing w:line="600" w:lineRule="exact"/>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承包范围：</w:t>
      </w:r>
      <w:r>
        <w:rPr>
          <w:rFonts w:hint="eastAsia" w:ascii="宋体" w:hAnsi="宋体" w:eastAsia="宋体" w:cs="宋体"/>
          <w:kern w:val="0"/>
          <w:szCs w:val="21"/>
          <w:u w:val="single"/>
        </w:rPr>
        <w:t xml:space="preserve">   施工图及工程量清单中的所有内容 均在本次招标范围内    </w:t>
      </w:r>
    </w:p>
    <w:p w14:paraId="2CE86406">
      <w:pPr>
        <w:widowControl/>
        <w:spacing w:line="600" w:lineRule="exact"/>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不包括的工程范围：</w:t>
      </w:r>
      <w:r>
        <w:rPr>
          <w:rFonts w:hint="eastAsia" w:ascii="宋体" w:hAnsi="宋体" w:eastAsia="宋体" w:cs="宋体"/>
          <w:kern w:val="0"/>
          <w:szCs w:val="21"/>
          <w:u w:val="single"/>
        </w:rPr>
        <w:t xml:space="preserve">                 /                              </w:t>
      </w:r>
    </w:p>
    <w:p w14:paraId="2D5CF23E">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三、合同工期：</w:t>
      </w:r>
    </w:p>
    <w:p w14:paraId="3344FEA6">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总日历天数</w:t>
      </w:r>
      <w:r>
        <w:rPr>
          <w:rFonts w:hint="eastAsia" w:ascii="宋体" w:hAnsi="宋体" w:eastAsia="宋体" w:cs="宋体"/>
          <w:kern w:val="0"/>
          <w:szCs w:val="21"/>
          <w:u w:val="single"/>
        </w:rPr>
        <w:t xml:space="preserve">     </w:t>
      </w:r>
      <w:r>
        <w:rPr>
          <w:rFonts w:hint="eastAsia" w:ascii="宋体" w:hAnsi="宋体" w:eastAsia="宋体" w:cs="宋体"/>
          <w:kern w:val="0"/>
          <w:szCs w:val="21"/>
        </w:rPr>
        <w:t>天</w:t>
      </w:r>
    </w:p>
    <w:p w14:paraId="09741303">
      <w:pPr>
        <w:widowControl/>
        <w:spacing w:line="600" w:lineRule="exact"/>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开工日期：</w:t>
      </w:r>
      <w:r>
        <w:rPr>
          <w:rFonts w:hint="eastAsia" w:ascii="宋体" w:hAnsi="宋体" w:eastAsia="宋体" w:cs="宋体"/>
          <w:kern w:val="0"/>
          <w:szCs w:val="21"/>
          <w:u w:val="single"/>
        </w:rPr>
        <w:t xml:space="preserve">               </w:t>
      </w:r>
      <w:r>
        <w:rPr>
          <w:rFonts w:hint="eastAsia" w:ascii="宋体" w:hAnsi="宋体" w:eastAsia="宋体" w:cs="宋体"/>
          <w:kern w:val="0"/>
          <w:szCs w:val="21"/>
        </w:rPr>
        <w:t>竣工日期：</w:t>
      </w:r>
      <w:r>
        <w:rPr>
          <w:rFonts w:hint="eastAsia" w:ascii="宋体" w:hAnsi="宋体" w:eastAsia="宋体" w:cs="宋体"/>
          <w:kern w:val="0"/>
          <w:szCs w:val="21"/>
          <w:u w:val="single"/>
        </w:rPr>
        <w:t xml:space="preserve">  </w:t>
      </w:r>
      <w:r>
        <w:rPr>
          <w:rFonts w:ascii="宋体" w:hAnsi="宋体" w:eastAsia="宋体" w:cs="宋体"/>
          <w:kern w:val="0"/>
          <w:szCs w:val="21"/>
          <w:u w:val="single"/>
        </w:rPr>
        <w:t xml:space="preserve">        </w:t>
      </w:r>
      <w:r>
        <w:rPr>
          <w:rFonts w:hint="eastAsia" w:ascii="宋体" w:hAnsi="宋体" w:eastAsia="宋体" w:cs="宋体"/>
          <w:kern w:val="0"/>
          <w:szCs w:val="21"/>
          <w:u w:val="single"/>
        </w:rPr>
        <w:t xml:space="preserve">  </w:t>
      </w:r>
    </w:p>
    <w:p w14:paraId="245EADF1">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四、质量标准</w:t>
      </w:r>
    </w:p>
    <w:p w14:paraId="4083AFBA">
      <w:pPr>
        <w:widowControl/>
        <w:spacing w:line="600" w:lineRule="exact"/>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工程质量标准：</w:t>
      </w:r>
      <w:r>
        <w:rPr>
          <w:rFonts w:hint="eastAsia" w:ascii="宋体" w:hAnsi="宋体" w:eastAsia="宋体" w:cs="宋体"/>
          <w:kern w:val="0"/>
          <w:szCs w:val="21"/>
          <w:u w:val="single"/>
        </w:rPr>
        <w:t xml:space="preserve">          合格        </w:t>
      </w:r>
    </w:p>
    <w:p w14:paraId="06A720F0">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五、合同价款</w:t>
      </w:r>
    </w:p>
    <w:p w14:paraId="179CDDE2">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1、合同总价（大写）：</w:t>
      </w:r>
      <w:r>
        <w:rPr>
          <w:rFonts w:hint="eastAsia" w:ascii="宋体" w:hAnsi="宋体" w:eastAsia="宋体" w:cs="宋体"/>
          <w:kern w:val="0"/>
          <w:szCs w:val="21"/>
          <w:u w:val="single"/>
        </w:rPr>
        <w:t xml:space="preserve">                        </w:t>
      </w:r>
      <w:r>
        <w:rPr>
          <w:rFonts w:hint="eastAsia" w:ascii="宋体" w:hAnsi="宋体" w:eastAsia="宋体" w:cs="宋体"/>
          <w:kern w:val="0"/>
          <w:szCs w:val="21"/>
        </w:rPr>
        <w:t>（人民币）</w:t>
      </w:r>
    </w:p>
    <w:p w14:paraId="21C2FB95">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（小写）￥：</w:t>
      </w:r>
      <w:r>
        <w:rPr>
          <w:rFonts w:hint="eastAsia" w:ascii="宋体" w:hAnsi="宋体" w:eastAsia="宋体" w:cs="宋体"/>
          <w:kern w:val="0"/>
          <w:szCs w:val="21"/>
          <w:u w:val="single"/>
        </w:rPr>
        <w:t xml:space="preserve">         </w:t>
      </w:r>
      <w:r>
        <w:rPr>
          <w:rFonts w:hint="eastAsia" w:ascii="宋体" w:hAnsi="宋体" w:eastAsia="宋体" w:cs="宋体"/>
          <w:kern w:val="0"/>
          <w:szCs w:val="21"/>
        </w:rPr>
        <w:t>元</w:t>
      </w:r>
    </w:p>
    <w:p w14:paraId="3610C980">
      <w:pPr>
        <w:widowControl/>
        <w:spacing w:line="600" w:lineRule="exact"/>
        <w:ind w:left="479" w:leftChars="228"/>
        <w:jc w:val="left"/>
        <w:rPr>
          <w:rFonts w:hint="eastAsia" w:ascii="宋体" w:hAnsi="宋体" w:eastAsia="宋体" w:cs="宋体"/>
          <w:kern w:val="0"/>
          <w:szCs w:val="21"/>
        </w:rPr>
      </w:pPr>
      <w:r>
        <w:rPr>
          <w:rFonts w:hint="eastAsia" w:ascii="宋体" w:hAnsi="宋体" w:eastAsia="宋体" w:cs="宋体"/>
          <w:kern w:val="0"/>
          <w:szCs w:val="21"/>
        </w:rPr>
        <w:t>（其中：工程暂列金</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元，零星工作费</w:t>
      </w:r>
      <w:r>
        <w:rPr>
          <w:rFonts w:hint="eastAsia" w:ascii="宋体" w:hAnsi="宋体" w:eastAsia="宋体" w:cs="宋体"/>
          <w:kern w:val="0"/>
          <w:szCs w:val="21"/>
          <w:u w:val="single"/>
        </w:rPr>
        <w:t xml:space="preserve">      </w:t>
      </w:r>
      <w:r>
        <w:rPr>
          <w:rFonts w:hint="eastAsia" w:ascii="宋体" w:hAnsi="宋体" w:eastAsia="宋体" w:cs="宋体"/>
          <w:kern w:val="0"/>
          <w:szCs w:val="21"/>
        </w:rPr>
        <w:t>元，安全防护、文明施工措施费</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元，工程分包和材料购置费 </w:t>
      </w:r>
      <w:r>
        <w:rPr>
          <w:rFonts w:hint="eastAsia" w:ascii="宋体" w:hAnsi="宋体" w:eastAsia="宋体" w:cs="宋体"/>
          <w:kern w:val="0"/>
          <w:szCs w:val="21"/>
          <w:u w:val="single"/>
        </w:rPr>
        <w:t xml:space="preserve">       </w:t>
      </w:r>
      <w:r>
        <w:rPr>
          <w:rFonts w:hint="eastAsia" w:ascii="宋体" w:hAnsi="宋体" w:eastAsia="宋体" w:cs="宋体"/>
          <w:kern w:val="0"/>
          <w:szCs w:val="21"/>
        </w:rPr>
        <w:t>元，总承包服务费</w:t>
      </w:r>
      <w:r>
        <w:rPr>
          <w:rFonts w:hint="eastAsia" w:ascii="宋体" w:hAnsi="宋体" w:eastAsia="宋体" w:cs="宋体"/>
          <w:kern w:val="0"/>
          <w:szCs w:val="21"/>
          <w:u w:val="single"/>
        </w:rPr>
        <w:t xml:space="preserve">       </w:t>
      </w:r>
      <w:r>
        <w:rPr>
          <w:rFonts w:hint="eastAsia" w:ascii="宋体" w:hAnsi="宋体" w:eastAsia="宋体" w:cs="宋体"/>
          <w:kern w:val="0"/>
          <w:szCs w:val="21"/>
        </w:rPr>
        <w:t>元。</w:t>
      </w:r>
    </w:p>
    <w:p w14:paraId="60F0FD5E">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2、综合单价：详见承包人的报价书。</w:t>
      </w:r>
    </w:p>
    <w:p w14:paraId="2BFF08F6">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六、组成合同的文件</w:t>
      </w:r>
    </w:p>
    <w:p w14:paraId="7E379579">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组成本合同的文件包括：</w:t>
      </w:r>
    </w:p>
    <w:p w14:paraId="77F7102B">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1、本合同协议书</w:t>
      </w:r>
    </w:p>
    <w:p w14:paraId="06ECC265">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2、本合同专用条款</w:t>
      </w:r>
    </w:p>
    <w:p w14:paraId="17E97D0C">
      <w:pPr>
        <w:widowControl/>
        <w:spacing w:line="600" w:lineRule="exact"/>
        <w:ind w:firstLine="420" w:firstLineChars="200"/>
        <w:jc w:val="left"/>
        <w:rPr>
          <w:rFonts w:hint="eastAsia" w:ascii="宋体" w:hAnsi="宋体" w:eastAsia="宋体" w:cs="宋体"/>
          <w:b/>
          <w:bCs/>
          <w:color w:val="FF0000"/>
          <w:kern w:val="0"/>
          <w:szCs w:val="21"/>
        </w:rPr>
      </w:pPr>
      <w:r>
        <w:rPr>
          <w:rFonts w:hint="eastAsia" w:ascii="宋体" w:hAnsi="宋体" w:eastAsia="宋体" w:cs="宋体"/>
          <w:kern w:val="0"/>
          <w:szCs w:val="21"/>
        </w:rPr>
        <w:t>3、本合同通用条款</w:t>
      </w:r>
    </w:p>
    <w:p w14:paraId="5B03B3F3">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4、中标通知书</w:t>
      </w:r>
    </w:p>
    <w:p w14:paraId="340EFA62">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5、投标书、工程报价单或预算书及其附件</w:t>
      </w:r>
    </w:p>
    <w:p w14:paraId="3B1A264C">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6、招标文件、答疑纪要及工程量清单</w:t>
      </w:r>
    </w:p>
    <w:p w14:paraId="7FB58C14">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7、图纸</w:t>
      </w:r>
    </w:p>
    <w:p w14:paraId="799FC91F">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8、标准、规范及有关技术文件</w:t>
      </w:r>
    </w:p>
    <w:p w14:paraId="4993B7B6">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双方为履行本合同的有关洽商、变更等书面协议、文件，视为本合同的组成部分。</w:t>
      </w:r>
    </w:p>
    <w:p w14:paraId="3E33679E">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七、本协议书中有关词语含义与本合同第二部分《通用条款》中赋予的定义相同。</w:t>
      </w:r>
    </w:p>
    <w:p w14:paraId="7150C240">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八、承包人按照合同约定进行施工、竣工并在质量保修期内承担工程质量保修责任。</w:t>
      </w:r>
    </w:p>
    <w:p w14:paraId="4305173F">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九、发包人按照合同约定的期限和方式支付合同价款及其他应当支付的款项。</w:t>
      </w:r>
    </w:p>
    <w:p w14:paraId="06CF013C">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十、合同生效</w:t>
      </w:r>
    </w:p>
    <w:p w14:paraId="31D7A71A">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合同订立时间：</w:t>
      </w:r>
      <w:r>
        <w:rPr>
          <w:rFonts w:hint="eastAsia" w:ascii="宋体" w:hAnsi="宋体" w:eastAsia="宋体" w:cs="宋体"/>
          <w:kern w:val="0"/>
          <w:szCs w:val="21"/>
          <w:u w:val="single"/>
        </w:rPr>
        <w:t xml:space="preserve">       </w:t>
      </w:r>
      <w:r>
        <w:rPr>
          <w:rFonts w:hint="eastAsia" w:ascii="宋体" w:hAnsi="宋体" w:eastAsia="宋体" w:cs="宋体"/>
          <w:kern w:val="0"/>
          <w:szCs w:val="21"/>
        </w:rPr>
        <w:t>年</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月  </w:t>
      </w:r>
      <w:r>
        <w:rPr>
          <w:rFonts w:hint="eastAsia" w:ascii="宋体" w:hAnsi="宋体" w:eastAsia="宋体" w:cs="宋体"/>
          <w:kern w:val="0"/>
          <w:szCs w:val="21"/>
          <w:u w:val="single"/>
        </w:rPr>
        <w:t xml:space="preserve">     </w:t>
      </w:r>
      <w:r>
        <w:rPr>
          <w:rFonts w:hint="eastAsia" w:ascii="宋体" w:hAnsi="宋体" w:eastAsia="宋体" w:cs="宋体"/>
          <w:kern w:val="0"/>
          <w:szCs w:val="21"/>
        </w:rPr>
        <w:t>日</w:t>
      </w:r>
    </w:p>
    <w:p w14:paraId="2428F28F">
      <w:pPr>
        <w:widowControl/>
        <w:spacing w:line="600" w:lineRule="exact"/>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合同订立地点：</w:t>
      </w:r>
      <w:r>
        <w:rPr>
          <w:rFonts w:hint="eastAsia" w:ascii="宋体" w:hAnsi="宋体" w:eastAsia="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eastAsia="宋体" w:cs="宋体"/>
          <w:kern w:val="0"/>
          <w:szCs w:val="21"/>
          <w:u w:val="single"/>
        </w:rPr>
        <w:t xml:space="preserve">    </w:t>
      </w:r>
    </w:p>
    <w:p w14:paraId="479B0599">
      <w:pPr>
        <w:widowControl/>
        <w:spacing w:line="600" w:lineRule="exact"/>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本合同双方约定</w:t>
      </w:r>
      <w:r>
        <w:rPr>
          <w:rFonts w:hint="eastAsia" w:ascii="宋体" w:hAnsi="宋体" w:eastAsia="宋体" w:cs="宋体"/>
          <w:kern w:val="0"/>
          <w:szCs w:val="21"/>
          <w:u w:val="single"/>
        </w:rPr>
        <w:t xml:space="preserve"> 签字、盖章并由乙方提供履约保证金或保函后生效。</w:t>
      </w:r>
    </w:p>
    <w:p w14:paraId="02B6E51A">
      <w:pPr>
        <w:widowControl/>
        <w:spacing w:line="600" w:lineRule="exact"/>
        <w:ind w:firstLine="420" w:firstLineChars="200"/>
        <w:jc w:val="left"/>
        <w:rPr>
          <w:rFonts w:hint="eastAsia" w:ascii="宋体" w:hAnsi="宋体" w:eastAsia="宋体" w:cs="宋体"/>
          <w:kern w:val="0"/>
          <w:szCs w:val="21"/>
        </w:rPr>
      </w:pPr>
    </w:p>
    <w:p w14:paraId="0192818F">
      <w:pPr>
        <w:widowControl/>
        <w:spacing w:line="600" w:lineRule="exact"/>
        <w:ind w:left="3944" w:leftChars="228" w:hanging="3465" w:hangingChars="1650"/>
        <w:jc w:val="left"/>
        <w:rPr>
          <w:rFonts w:hint="eastAsia" w:ascii="宋体" w:hAnsi="宋体" w:eastAsia="宋体" w:cs="宋体"/>
          <w:w w:val="90"/>
          <w:kern w:val="0"/>
          <w:szCs w:val="21"/>
        </w:rPr>
      </w:pPr>
      <w:r>
        <w:rPr>
          <w:rFonts w:hint="eastAsia" w:ascii="宋体" w:hAnsi="宋体" w:eastAsia="宋体" w:cs="宋体"/>
          <w:kern w:val="0"/>
          <w:szCs w:val="21"/>
        </w:rPr>
        <w:t>发包人:（公章）_________          承包人:（公章）</w:t>
      </w:r>
      <w:r>
        <w:rPr>
          <w:rFonts w:hint="eastAsia" w:ascii="宋体" w:hAnsi="宋体" w:eastAsia="宋体" w:cs="宋体"/>
          <w:kern w:val="0"/>
          <w:szCs w:val="21"/>
          <w:u w:val="single"/>
        </w:rPr>
        <w:t xml:space="preserve">                     </w:t>
      </w:r>
    </w:p>
    <w:p w14:paraId="18B25DC6">
      <w:pPr>
        <w:widowControl/>
        <w:spacing w:line="600" w:lineRule="exact"/>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地址：_________________          地址：</w:t>
      </w:r>
      <w:r>
        <w:rPr>
          <w:rFonts w:hint="eastAsia" w:ascii="宋体" w:hAnsi="宋体" w:eastAsia="宋体" w:cs="宋体"/>
          <w:kern w:val="0"/>
          <w:szCs w:val="21"/>
          <w:u w:val="single"/>
        </w:rPr>
        <w:t xml:space="preserve">                              </w:t>
      </w:r>
    </w:p>
    <w:p w14:paraId="705AAAFA">
      <w:pPr>
        <w:widowControl/>
        <w:spacing w:line="600" w:lineRule="exact"/>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邮政编码：_____________          邮政编码：</w:t>
      </w:r>
      <w:r>
        <w:rPr>
          <w:rFonts w:hint="eastAsia" w:ascii="宋体" w:hAnsi="宋体" w:eastAsia="宋体" w:cs="宋体"/>
          <w:kern w:val="0"/>
          <w:szCs w:val="21"/>
          <w:u w:val="single"/>
        </w:rPr>
        <w:t xml:space="preserve">                          </w:t>
      </w:r>
    </w:p>
    <w:p w14:paraId="389B3A4F">
      <w:pPr>
        <w:widowControl/>
        <w:spacing w:line="600" w:lineRule="exact"/>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法定代表人：</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法定代表人：</w:t>
      </w:r>
      <w:r>
        <w:rPr>
          <w:rFonts w:hint="eastAsia" w:ascii="宋体" w:hAnsi="宋体" w:eastAsia="宋体" w:cs="宋体"/>
          <w:kern w:val="0"/>
          <w:szCs w:val="21"/>
          <w:u w:val="single"/>
        </w:rPr>
        <w:t xml:space="preserve">                        </w:t>
      </w:r>
    </w:p>
    <w:p w14:paraId="2CC816E3">
      <w:pPr>
        <w:widowControl/>
        <w:spacing w:line="600" w:lineRule="exact"/>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 xml:space="preserve">委托代理人：___________          委托代理人： </w:t>
      </w:r>
      <w:r>
        <w:rPr>
          <w:rFonts w:hint="eastAsia" w:ascii="宋体" w:hAnsi="宋体" w:eastAsia="宋体" w:cs="宋体"/>
          <w:kern w:val="0"/>
          <w:szCs w:val="21"/>
          <w:u w:val="single"/>
        </w:rPr>
        <w:t xml:space="preserve">                       </w:t>
      </w:r>
    </w:p>
    <w:p w14:paraId="620FE2E2">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电话：</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电话：</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p>
    <w:p w14:paraId="5FE1FD73">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传真：_________________          传真：</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p>
    <w:p w14:paraId="0D1C7A30">
      <w:pPr>
        <w:widowControl/>
        <w:spacing w:line="600" w:lineRule="exact"/>
        <w:ind w:left="5099" w:leftChars="228" w:hanging="4620" w:hangingChars="2200"/>
        <w:rPr>
          <w:rFonts w:hint="eastAsia" w:ascii="宋体" w:hAnsi="宋体" w:eastAsia="宋体" w:cs="宋体"/>
          <w:kern w:val="0"/>
          <w:szCs w:val="21"/>
          <w:u w:val="single"/>
        </w:rPr>
      </w:pPr>
      <w:r>
        <w:rPr>
          <w:rFonts w:hint="eastAsia" w:ascii="宋体" w:hAnsi="宋体" w:eastAsia="宋体" w:cs="宋体"/>
          <w:kern w:val="0"/>
          <w:szCs w:val="21"/>
        </w:rPr>
        <w:t>开户银行：_____________          开户银行：</w:t>
      </w:r>
      <w:r>
        <w:rPr>
          <w:rFonts w:hint="eastAsia" w:ascii="宋体" w:hAnsi="宋体" w:eastAsia="宋体" w:cs="宋体"/>
          <w:kern w:val="0"/>
          <w:szCs w:val="21"/>
          <w:u w:val="single"/>
        </w:rPr>
        <w:t xml:space="preserve">                          </w:t>
      </w:r>
    </w:p>
    <w:p w14:paraId="58581A13">
      <w:pPr>
        <w:widowControl/>
        <w:spacing w:line="600" w:lineRule="exact"/>
        <w:ind w:left="5099" w:leftChars="228" w:hanging="4620" w:hangingChars="2200"/>
        <w:rPr>
          <w:rFonts w:hint="eastAsia" w:ascii="宋体" w:hAnsi="宋体" w:eastAsia="宋体" w:cs="宋体"/>
          <w:kern w:val="0"/>
          <w:szCs w:val="21"/>
          <w:u w:val="single"/>
        </w:rPr>
      </w:pPr>
      <w:r>
        <w:rPr>
          <w:rFonts w:hint="eastAsia" w:ascii="宋体" w:hAnsi="宋体" w:eastAsia="宋体" w:cs="宋体"/>
          <w:kern w:val="0"/>
          <w:szCs w:val="21"/>
        </w:rPr>
        <w:t>帐号：_______________            帐号：_</w:t>
      </w:r>
      <w:r>
        <w:rPr>
          <w:rFonts w:hint="eastAsia" w:ascii="宋体" w:hAnsi="宋体" w:eastAsia="宋体" w:cs="宋体"/>
          <w:kern w:val="0"/>
          <w:szCs w:val="21"/>
          <w:u w:val="single"/>
        </w:rPr>
        <w:t xml:space="preserve">                              </w:t>
      </w:r>
    </w:p>
    <w:p w14:paraId="2BD359BA">
      <w:pPr>
        <w:widowControl/>
        <w:spacing w:line="600" w:lineRule="exact"/>
        <w:ind w:firstLine="420" w:firstLineChars="200"/>
        <w:jc w:val="left"/>
        <w:rPr>
          <w:rFonts w:hint="eastAsia" w:ascii="宋体" w:hAnsi="宋体" w:eastAsia="宋体" w:cs="宋体"/>
          <w:kern w:val="0"/>
          <w:szCs w:val="21"/>
        </w:rPr>
      </w:pPr>
    </w:p>
    <w:tbl>
      <w:tblPr>
        <w:tblStyle w:val="3"/>
        <w:tblW w:w="0" w:type="auto"/>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14:paraId="74F1D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0" w:hRule="atLeast"/>
        </w:trPr>
        <w:tc>
          <w:tcPr>
            <w:tcW w:w="8280" w:type="dxa"/>
            <w:tcBorders>
              <w:top w:val="single" w:color="auto" w:sz="4" w:space="0"/>
              <w:left w:val="single" w:color="auto" w:sz="4" w:space="0"/>
              <w:bottom w:val="single" w:color="auto" w:sz="4" w:space="0"/>
              <w:right w:val="single" w:color="auto" w:sz="4" w:space="0"/>
            </w:tcBorders>
          </w:tcPr>
          <w:p w14:paraId="6F70B09E">
            <w:pPr>
              <w:widowControl/>
              <w:spacing w:line="600" w:lineRule="exact"/>
              <w:jc w:val="left"/>
              <w:rPr>
                <w:rFonts w:hint="eastAsia" w:ascii="宋体" w:hAnsi="宋体" w:eastAsia="宋体" w:cs="宋体"/>
                <w:kern w:val="0"/>
                <w:szCs w:val="21"/>
              </w:rPr>
            </w:pPr>
            <w:r>
              <w:rPr>
                <w:rFonts w:hint="eastAsia" w:ascii="宋体" w:hAnsi="宋体" w:eastAsia="宋体" w:cs="宋体"/>
                <w:kern w:val="0"/>
                <w:szCs w:val="21"/>
              </w:rPr>
              <w:t>建设行政管理部门备案意见：</w:t>
            </w:r>
          </w:p>
          <w:p w14:paraId="246F46D4">
            <w:pPr>
              <w:widowControl/>
              <w:spacing w:line="600" w:lineRule="exact"/>
              <w:ind w:firstLine="420" w:firstLineChars="200"/>
              <w:jc w:val="left"/>
              <w:rPr>
                <w:rFonts w:hint="eastAsia" w:ascii="宋体" w:hAnsi="宋体" w:eastAsia="宋体" w:cs="宋体"/>
                <w:bCs/>
                <w:kern w:val="0"/>
                <w:szCs w:val="21"/>
              </w:rPr>
            </w:pPr>
          </w:p>
          <w:p w14:paraId="0C8F1FEF">
            <w:pPr>
              <w:widowControl/>
              <w:spacing w:line="600" w:lineRule="exact"/>
              <w:ind w:firstLine="420" w:firstLineChars="200"/>
              <w:jc w:val="left"/>
              <w:rPr>
                <w:rFonts w:hint="eastAsia" w:ascii="宋体" w:hAnsi="宋体" w:eastAsia="宋体" w:cs="宋体"/>
                <w:bCs/>
                <w:kern w:val="0"/>
                <w:szCs w:val="21"/>
              </w:rPr>
            </w:pPr>
          </w:p>
          <w:p w14:paraId="6BA74E84">
            <w:pPr>
              <w:widowControl/>
              <w:spacing w:line="600" w:lineRule="exact"/>
              <w:ind w:firstLine="420" w:firstLineChars="200"/>
              <w:jc w:val="left"/>
              <w:rPr>
                <w:rFonts w:hint="eastAsia" w:ascii="宋体" w:hAnsi="宋体" w:eastAsia="宋体" w:cs="宋体"/>
                <w:bCs/>
                <w:kern w:val="0"/>
                <w:szCs w:val="21"/>
              </w:rPr>
            </w:pPr>
          </w:p>
          <w:p w14:paraId="6A860A98">
            <w:pPr>
              <w:widowControl/>
              <w:spacing w:line="600" w:lineRule="exact"/>
              <w:ind w:firstLine="420" w:firstLineChars="200"/>
              <w:jc w:val="left"/>
              <w:rPr>
                <w:rFonts w:hint="eastAsia" w:ascii="宋体" w:hAnsi="宋体" w:eastAsia="宋体" w:cs="宋体"/>
                <w:bCs/>
                <w:kern w:val="0"/>
                <w:szCs w:val="21"/>
              </w:rPr>
            </w:pPr>
          </w:p>
        </w:tc>
      </w:tr>
    </w:tbl>
    <w:p w14:paraId="412740BA">
      <w:pPr>
        <w:spacing w:line="600" w:lineRule="exact"/>
        <w:ind w:firstLine="200"/>
        <w:jc w:val="center"/>
        <w:rPr>
          <w:rFonts w:hint="eastAsia" w:ascii="宋体" w:hAnsi="宋体" w:eastAsia="宋体" w:cs="宋体"/>
          <w:bCs/>
          <w:kern w:val="0"/>
          <w:szCs w:val="21"/>
        </w:rPr>
      </w:pPr>
      <w:r>
        <w:rPr>
          <w:rFonts w:hint="eastAsia" w:ascii="宋体" w:hAnsi="宋体" w:eastAsia="宋体" w:cs="宋体"/>
          <w:bCs/>
          <w:kern w:val="0"/>
          <w:szCs w:val="21"/>
        </w:rPr>
        <w:t>第二部分  通用条款</w:t>
      </w:r>
    </w:p>
    <w:p w14:paraId="322DA391">
      <w:pPr>
        <w:widowControl/>
        <w:spacing w:line="600" w:lineRule="exact"/>
        <w:ind w:firstLine="422" w:firstLineChars="200"/>
        <w:jc w:val="left"/>
        <w:outlineLvl w:val="0"/>
        <w:rPr>
          <w:rFonts w:hint="eastAsia" w:ascii="宋体" w:hAnsi="宋体" w:eastAsia="宋体" w:cs="宋体"/>
          <w:b/>
          <w:kern w:val="0"/>
          <w:szCs w:val="21"/>
        </w:rPr>
      </w:pPr>
      <w:bookmarkStart w:id="5" w:name="_Toc482003882"/>
      <w:bookmarkStart w:id="6" w:name="_Toc482003955"/>
      <w:r>
        <w:rPr>
          <w:rFonts w:hint="eastAsia" w:ascii="宋体" w:hAnsi="宋体" w:eastAsia="宋体" w:cs="宋体"/>
          <w:b/>
          <w:kern w:val="0"/>
          <w:szCs w:val="21"/>
        </w:rPr>
        <w:t>一、词语定义及合同文件</w:t>
      </w:r>
      <w:bookmarkEnd w:id="5"/>
      <w:bookmarkEnd w:id="6"/>
    </w:p>
    <w:p w14:paraId="1FB275EC">
      <w:pPr>
        <w:widowControl/>
        <w:spacing w:line="600" w:lineRule="exact"/>
        <w:ind w:firstLine="422" w:firstLineChars="200"/>
        <w:jc w:val="left"/>
        <w:outlineLvl w:val="0"/>
        <w:rPr>
          <w:rFonts w:hint="eastAsia" w:ascii="宋体" w:hAnsi="宋体" w:eastAsia="宋体" w:cs="宋体"/>
          <w:b/>
          <w:kern w:val="0"/>
          <w:szCs w:val="21"/>
        </w:rPr>
      </w:pPr>
      <w:bookmarkStart w:id="7" w:name="_Toc482003883"/>
      <w:bookmarkStart w:id="8" w:name="_Toc482003956"/>
      <w:r>
        <w:rPr>
          <w:rFonts w:hint="eastAsia" w:ascii="宋体" w:hAnsi="宋体" w:eastAsia="宋体" w:cs="宋体"/>
          <w:b/>
          <w:kern w:val="0"/>
          <w:szCs w:val="21"/>
        </w:rPr>
        <w:t>１、词语定义</w:t>
      </w:r>
      <w:bookmarkEnd w:id="7"/>
      <w:bookmarkEnd w:id="8"/>
    </w:p>
    <w:p w14:paraId="18916BEC">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下列词语除专用条款另有约定外，应具有本条所赋予的定义：</w:t>
      </w:r>
    </w:p>
    <w:p w14:paraId="07571AD4">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1.1通用条款：是根据法律、行政法规规定及建设工程施工的需要订立，通用于建设工程施工的条款。</w:t>
      </w:r>
    </w:p>
    <w:p w14:paraId="2DBC8579">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1.2专用条款：是发包人与承包人根据法律、行政法规规定，结合具体工程实际，经协商达成一致意见的条款，是对通用条款的具体化、补充或修改。</w:t>
      </w:r>
    </w:p>
    <w:p w14:paraId="2653D03B">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1.3发包人：指在协议书中约定，具有工程发包主体资格和支付工程价款能力的当事人以及取得该当事人资格的合法继承人。</w:t>
      </w:r>
    </w:p>
    <w:p w14:paraId="4326E3A0">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1.4承包人：指在协议书中约定，被发包人接受的具有工程施工承包主体资格的当事人以及取得该当事人资格的合法继承人。</w:t>
      </w:r>
    </w:p>
    <w:p w14:paraId="58CC48AF">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1.5项目经理：指承包人在专用条款中指定的具有执业资格的负责施工管理和合同履行的代表。</w:t>
      </w:r>
    </w:p>
    <w:p w14:paraId="2111E11F">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1.6设计单位：指发包人委托的负责本工程设计并取得相应工程设计资质等级证书的单位。</w:t>
      </w:r>
    </w:p>
    <w:p w14:paraId="38E100FC">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1.7监理单位：指发包人委托的负责本工程监理并取得相应工程监理资质等级证书的单位。</w:t>
      </w:r>
    </w:p>
    <w:p w14:paraId="37A03E0C">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1.8工程师：指本工程监理单位委派的总监理工程师或发包人指定的履行本合同的代表，其具体身份和职权由发包人承包人在专用条款中约定。</w:t>
      </w:r>
    </w:p>
    <w:p w14:paraId="647B00E7">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1.9工程造价管理部门：指国务院有关部门、县级以上人民政府建设行政主管部门或其委托的工程造价管理机构。</w:t>
      </w:r>
    </w:p>
    <w:p w14:paraId="3497C133">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1.10工程：指发包人承包人在协议书中约定的承包范围内的工程。</w:t>
      </w:r>
    </w:p>
    <w:p w14:paraId="15C803EE">
      <w:pPr>
        <w:widowControl/>
        <w:spacing w:line="600" w:lineRule="exact"/>
        <w:ind w:firstLine="420" w:firstLineChars="200"/>
        <w:jc w:val="left"/>
        <w:rPr>
          <w:rFonts w:hint="eastAsia" w:ascii="宋体" w:hAnsi="宋体" w:eastAsia="宋体" w:cs="宋体"/>
          <w:bCs/>
          <w:color w:val="000000"/>
          <w:kern w:val="0"/>
          <w:szCs w:val="21"/>
        </w:rPr>
      </w:pPr>
      <w:r>
        <w:rPr>
          <w:rFonts w:hint="eastAsia" w:ascii="宋体" w:hAnsi="宋体" w:eastAsia="宋体" w:cs="宋体"/>
          <w:bCs/>
          <w:color w:val="000000"/>
          <w:kern w:val="0"/>
          <w:szCs w:val="21"/>
        </w:rPr>
        <w:t>1.11工程量清单：表现拟建工程的分部分项工程项目、措施项目、其他项目名称和相应数量的明细清单。</w:t>
      </w:r>
    </w:p>
    <w:p w14:paraId="7072AE17">
      <w:pPr>
        <w:widowControl/>
        <w:spacing w:line="600" w:lineRule="exact"/>
        <w:ind w:firstLine="420" w:firstLineChars="200"/>
        <w:jc w:val="left"/>
        <w:rPr>
          <w:rFonts w:hint="eastAsia" w:ascii="宋体" w:hAnsi="宋体" w:eastAsia="宋体" w:cs="宋体"/>
          <w:bCs/>
          <w:color w:val="000000"/>
          <w:kern w:val="0"/>
          <w:szCs w:val="21"/>
        </w:rPr>
      </w:pPr>
      <w:r>
        <w:rPr>
          <w:rFonts w:hint="eastAsia" w:ascii="宋体" w:hAnsi="宋体" w:eastAsia="宋体" w:cs="宋体"/>
          <w:bCs/>
          <w:color w:val="000000"/>
          <w:kern w:val="0"/>
          <w:szCs w:val="21"/>
        </w:rPr>
        <w:t>1.12综合单价：完成工程量清单中一个规定计量单位项目所需的人工费、材料费、机械使用费、管理费和利润，并考虑风险因素。</w:t>
      </w:r>
    </w:p>
    <w:p w14:paraId="5D11848C">
      <w:pPr>
        <w:widowControl/>
        <w:spacing w:line="600" w:lineRule="exact"/>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1.13合同价款：指发包人承包人在协议书中约定，发包人用以支付承包人按照合同约定完成承包范围内全部工程并承担质量保修责任的款项。</w:t>
      </w:r>
    </w:p>
    <w:p w14:paraId="41438814">
      <w:pPr>
        <w:widowControl/>
        <w:spacing w:line="600" w:lineRule="exact"/>
        <w:ind w:firstLine="420" w:firstLineChars="200"/>
        <w:jc w:val="left"/>
        <w:rPr>
          <w:rFonts w:hint="eastAsia" w:ascii="宋体" w:hAnsi="宋体" w:eastAsia="宋体" w:cs="宋体"/>
          <w:color w:val="000000"/>
          <w:kern w:val="0"/>
          <w:szCs w:val="21"/>
        </w:rPr>
      </w:pPr>
      <w:r>
        <w:rPr>
          <w:rFonts w:hint="eastAsia" w:ascii="宋体" w:hAnsi="宋体" w:eastAsia="宋体" w:cs="宋体"/>
          <w:bCs/>
          <w:color w:val="000000"/>
          <w:kern w:val="0"/>
          <w:szCs w:val="21"/>
        </w:rPr>
        <w:t>1.14暂列金额（预留金）：</w:t>
      </w:r>
      <w:r>
        <w:rPr>
          <w:rFonts w:hint="eastAsia" w:ascii="宋体" w:hAnsi="宋体" w:eastAsia="宋体" w:cs="宋体"/>
          <w:color w:val="000000"/>
          <w:kern w:val="0"/>
          <w:szCs w:val="21"/>
        </w:rPr>
        <w:t>发包人在工程量清单中暂定并包括在合同价款中的一笔款项。用于施工合同签订时尚未确定或者不可预见的所需材料、设备、服务的采购，施工中可能发生的工程量变更、合同约定调整因素出现时的工程价款调整以及发生的索赔、现场签证确认等的费用。</w:t>
      </w:r>
    </w:p>
    <w:p w14:paraId="1F5A4400">
      <w:pPr>
        <w:widowControl/>
        <w:spacing w:line="600" w:lineRule="exact"/>
        <w:ind w:firstLine="420" w:firstLineChars="200"/>
        <w:jc w:val="left"/>
        <w:rPr>
          <w:rFonts w:hint="eastAsia" w:ascii="宋体" w:hAnsi="宋体" w:eastAsia="宋体" w:cs="宋体"/>
          <w:bCs/>
          <w:color w:val="000000"/>
          <w:kern w:val="0"/>
          <w:szCs w:val="21"/>
        </w:rPr>
      </w:pPr>
      <w:r>
        <w:rPr>
          <w:rFonts w:hint="eastAsia" w:ascii="宋体" w:hAnsi="宋体" w:eastAsia="宋体" w:cs="宋体"/>
          <w:bCs/>
          <w:color w:val="000000"/>
          <w:kern w:val="0"/>
          <w:szCs w:val="21"/>
        </w:rPr>
        <w:t>1.15工程分包和材料购置费：指发包人将按有关规定准予分包的工作、指定分包人或指定材料供应商供应材料而预留的款额。</w:t>
      </w:r>
    </w:p>
    <w:p w14:paraId="5213F262">
      <w:pPr>
        <w:widowControl/>
        <w:spacing w:line="600" w:lineRule="exact"/>
        <w:ind w:firstLine="420" w:firstLineChars="200"/>
        <w:jc w:val="left"/>
        <w:rPr>
          <w:rFonts w:hint="eastAsia" w:ascii="宋体" w:hAnsi="宋体" w:eastAsia="宋体" w:cs="宋体"/>
          <w:bCs/>
          <w:color w:val="000000"/>
          <w:kern w:val="0"/>
          <w:szCs w:val="21"/>
        </w:rPr>
      </w:pPr>
      <w:r>
        <w:rPr>
          <w:rFonts w:hint="eastAsia" w:ascii="宋体" w:hAnsi="宋体" w:eastAsia="宋体" w:cs="宋体"/>
          <w:bCs/>
          <w:color w:val="000000"/>
          <w:kern w:val="0"/>
          <w:szCs w:val="21"/>
        </w:rPr>
        <w:t>1.16总承包服务费（配合费）：总承包人对发包人另行发包工程进行施工现场协调、服务，对发包人采购设备、材料进行管理、服务，以及竣工资料汇总整理、装订、移交和组织工程验收工作。服务是指为分包人提供必要的施工场地、垂直运输设备、水电接口、必要的工作面以及其它占用承包人资源的情形和有可能对承包人功效降低的补偿。</w:t>
      </w:r>
    </w:p>
    <w:p w14:paraId="62AD29E7">
      <w:pPr>
        <w:widowControl/>
        <w:spacing w:line="600" w:lineRule="exact"/>
        <w:ind w:firstLine="420" w:firstLineChars="200"/>
        <w:jc w:val="left"/>
        <w:rPr>
          <w:rFonts w:hint="eastAsia" w:ascii="宋体" w:hAnsi="宋体" w:eastAsia="宋体" w:cs="宋体"/>
          <w:bCs/>
          <w:color w:val="000000"/>
          <w:kern w:val="0"/>
          <w:szCs w:val="21"/>
        </w:rPr>
      </w:pPr>
      <w:r>
        <w:rPr>
          <w:rFonts w:hint="eastAsia" w:ascii="宋体" w:hAnsi="宋体" w:eastAsia="宋体" w:cs="宋体"/>
          <w:bCs/>
          <w:color w:val="000000"/>
          <w:kern w:val="0"/>
          <w:szCs w:val="21"/>
        </w:rPr>
        <w:t>1.17零星工作项目费：完成发包人提出的工程量暂估的零星工作所需的费用。</w:t>
      </w:r>
    </w:p>
    <w:p w14:paraId="13DC23B8">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1.18追加合同价款：指在合同履行中发生需要增加合同价款的情况，经发包人确认后按计算合同价款的方法增加的合同价款。</w:t>
      </w:r>
    </w:p>
    <w:p w14:paraId="6E182319">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1.19费用：指不包含在合同价款之内的应当由发包人或承包人承担的经济支出。</w:t>
      </w:r>
    </w:p>
    <w:p w14:paraId="5D84184C">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1.20工期：指发包人承包人在协议书中约定，按总日历天数（包括法定节假日）计算的承包天数。</w:t>
      </w:r>
    </w:p>
    <w:p w14:paraId="354D92AB">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1.21开工日期：指发包人承包人在协议书中约定，承包人开始施工的绝对或相对的日期。</w:t>
      </w:r>
    </w:p>
    <w:p w14:paraId="3D2F4473">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1.22竣工日期：指发包人承包人在协议书中约定，承包人完成承包范围内工程的绝对或相对的日期。</w:t>
      </w:r>
    </w:p>
    <w:p w14:paraId="5437B89A">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1.23图纸：指由发包人提供或由承包人提供并经发包人批准，满足承包人施工需要的所有图纸（包括配套说明和有关资料）。</w:t>
      </w:r>
    </w:p>
    <w:p w14:paraId="769DD761">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1.24施工场地：指由发包人提供的用于工程施工的场所以及发包人在图纸中具体指定的供施工使用的任何其他场所。</w:t>
      </w:r>
    </w:p>
    <w:p w14:paraId="3C05F7AC">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1.25书面形式：指合同书、信件和数据电文（包括电报、电传、传真、电子数据交换和电子邮件）等可以有形地表现所载内容的形式。</w:t>
      </w:r>
    </w:p>
    <w:p w14:paraId="07814857">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1.26违约责任：指合同一方不履行合同义务或履行合同义务不符合约定所应承担的责任。</w:t>
      </w:r>
    </w:p>
    <w:p w14:paraId="37B575AA">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1.27索赔：指在合同履行过程中，对于并非自己的过错，而是应由对方承担责任的情况造成的实际损失，向对方提出经济补偿和（或）工期顺延的要求。</w:t>
      </w:r>
    </w:p>
    <w:p w14:paraId="41EF89E0">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1.28不可抗力：指不能预见、不能避免并不能克服的客观情况。</w:t>
      </w:r>
    </w:p>
    <w:p w14:paraId="182FB944">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2ECAB065">
      <w:pPr>
        <w:widowControl/>
        <w:spacing w:line="600" w:lineRule="exact"/>
        <w:ind w:firstLine="422" w:firstLineChars="200"/>
        <w:jc w:val="left"/>
        <w:outlineLvl w:val="0"/>
        <w:rPr>
          <w:rFonts w:hint="eastAsia" w:ascii="宋体" w:hAnsi="宋体" w:eastAsia="宋体" w:cs="宋体"/>
          <w:b/>
          <w:kern w:val="0"/>
          <w:szCs w:val="21"/>
        </w:rPr>
      </w:pPr>
      <w:bookmarkStart w:id="9" w:name="_Toc482003884"/>
      <w:bookmarkStart w:id="10" w:name="_Toc482003957"/>
      <w:r>
        <w:rPr>
          <w:rFonts w:hint="eastAsia" w:ascii="宋体" w:hAnsi="宋体" w:eastAsia="宋体" w:cs="宋体"/>
          <w:b/>
          <w:kern w:val="0"/>
          <w:szCs w:val="21"/>
        </w:rPr>
        <w:t>２、合同文件及解释顺序</w:t>
      </w:r>
      <w:bookmarkEnd w:id="9"/>
      <w:bookmarkEnd w:id="10"/>
    </w:p>
    <w:p w14:paraId="2564419A">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2.1合同文件应能相互解释，互为说明。除专用条款另有约定外，组成本合同的文件及优先解释顺序如下：</w:t>
      </w:r>
    </w:p>
    <w:p w14:paraId="4E7D666F">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1、本合同协议书</w:t>
      </w:r>
    </w:p>
    <w:p w14:paraId="27B48684">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2、本合同专用条款</w:t>
      </w:r>
    </w:p>
    <w:p w14:paraId="050A3993">
      <w:pPr>
        <w:widowControl/>
        <w:spacing w:line="600" w:lineRule="exact"/>
        <w:ind w:firstLine="420" w:firstLineChars="200"/>
        <w:jc w:val="left"/>
        <w:rPr>
          <w:rFonts w:hint="eastAsia" w:ascii="宋体" w:hAnsi="宋体" w:eastAsia="宋体" w:cs="宋体"/>
          <w:b/>
          <w:bCs/>
          <w:color w:val="FF0000"/>
          <w:kern w:val="0"/>
          <w:szCs w:val="21"/>
        </w:rPr>
      </w:pPr>
      <w:r>
        <w:rPr>
          <w:rFonts w:hint="eastAsia" w:ascii="宋体" w:hAnsi="宋体" w:eastAsia="宋体" w:cs="宋体"/>
          <w:kern w:val="0"/>
          <w:szCs w:val="21"/>
        </w:rPr>
        <w:t>3、本合同通用条款</w:t>
      </w:r>
    </w:p>
    <w:p w14:paraId="5E7F2A40">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4、中标通知书</w:t>
      </w:r>
    </w:p>
    <w:p w14:paraId="2F7E3616">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5、投标书、工程报价单或预算书及其附件</w:t>
      </w:r>
    </w:p>
    <w:p w14:paraId="7E2444D1">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6、招标文件、答疑纪要及工程量清单　</w:t>
      </w:r>
    </w:p>
    <w:p w14:paraId="50979C5D">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7、图纸</w:t>
      </w:r>
    </w:p>
    <w:p w14:paraId="12457708">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8、标准、规范及有关技术文件</w:t>
      </w:r>
    </w:p>
    <w:p w14:paraId="50293C3D">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双方为履行本合同的有关洽商、变更等书面协议、文件，视为本合同的组成部分。</w:t>
      </w:r>
    </w:p>
    <w:p w14:paraId="057DCFC6">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28497F7">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3、语言文字和适用法律、标准及规范</w:t>
      </w:r>
    </w:p>
    <w:p w14:paraId="5488A13D">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3.1语言文字</w:t>
      </w:r>
    </w:p>
    <w:p w14:paraId="5E460031">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本合同文件使用汉语语言文字书写、解释和说明。如专用条款约定使用两种以上（含两种）语言文字时，汉语应为解释和说明本合同的标准语言文字。</w:t>
      </w:r>
    </w:p>
    <w:p w14:paraId="150C103E">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3.2适用法律和法规</w:t>
      </w:r>
    </w:p>
    <w:p w14:paraId="42A51D55">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本合同文件适用国家的法律和行政法规。需要明示的法律、行政法规，由双方在专用条款中约定。</w:t>
      </w:r>
    </w:p>
    <w:p w14:paraId="08735FC1">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3.3适用标准、规范</w:t>
      </w:r>
    </w:p>
    <w:p w14:paraId="32D035F4">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24D54D8E">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0848122F">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本条所发生的购买、翻译标准、规范或制定施工工艺的费用，由发包人承担。</w:t>
      </w:r>
    </w:p>
    <w:p w14:paraId="14340770">
      <w:pPr>
        <w:widowControl/>
        <w:spacing w:line="600" w:lineRule="exact"/>
        <w:ind w:firstLine="422" w:firstLineChars="200"/>
        <w:jc w:val="left"/>
        <w:outlineLvl w:val="0"/>
        <w:rPr>
          <w:rFonts w:hint="eastAsia" w:ascii="宋体" w:hAnsi="宋体" w:eastAsia="宋体" w:cs="宋体"/>
          <w:b/>
          <w:kern w:val="0"/>
          <w:szCs w:val="21"/>
        </w:rPr>
      </w:pPr>
      <w:bookmarkStart w:id="11" w:name="_Toc482003885"/>
      <w:bookmarkStart w:id="12" w:name="_Toc482003958"/>
      <w:r>
        <w:rPr>
          <w:rFonts w:hint="eastAsia" w:ascii="宋体" w:hAnsi="宋体" w:eastAsia="宋体" w:cs="宋体"/>
          <w:b/>
          <w:kern w:val="0"/>
          <w:szCs w:val="21"/>
        </w:rPr>
        <w:t>４、图纸</w:t>
      </w:r>
      <w:bookmarkEnd w:id="11"/>
      <w:bookmarkEnd w:id="12"/>
    </w:p>
    <w:p w14:paraId="70A803AF">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657AE590">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4.2承包人未经发包人同意，不得将本工程图纸转给第三人。工程质量保修期满后，除承包人存档需要的图纸外，应将全部图纸退还给发包人。</w:t>
      </w:r>
    </w:p>
    <w:p w14:paraId="494712FB">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4.3承包人应在施工现场保留一套完整图纸，供工程师及有关人员进行工程检查时使用。</w:t>
      </w:r>
    </w:p>
    <w:p w14:paraId="04E2705E">
      <w:pPr>
        <w:widowControl/>
        <w:spacing w:line="600" w:lineRule="exact"/>
        <w:ind w:firstLine="422" w:firstLineChars="200"/>
        <w:jc w:val="left"/>
        <w:outlineLvl w:val="0"/>
        <w:rPr>
          <w:rFonts w:hint="eastAsia" w:ascii="宋体" w:hAnsi="宋体" w:eastAsia="宋体" w:cs="宋体"/>
          <w:b/>
          <w:kern w:val="0"/>
          <w:szCs w:val="21"/>
        </w:rPr>
      </w:pPr>
      <w:bookmarkStart w:id="13" w:name="_Toc482003886"/>
      <w:bookmarkStart w:id="14" w:name="_Toc482003959"/>
      <w:r>
        <w:rPr>
          <w:rFonts w:hint="eastAsia" w:ascii="宋体" w:hAnsi="宋体" w:eastAsia="宋体" w:cs="宋体"/>
          <w:b/>
          <w:kern w:val="0"/>
          <w:szCs w:val="21"/>
        </w:rPr>
        <w:t>二、双方一般权利和义务</w:t>
      </w:r>
      <w:bookmarkEnd w:id="13"/>
      <w:bookmarkEnd w:id="14"/>
    </w:p>
    <w:p w14:paraId="27B9CBDF">
      <w:pPr>
        <w:widowControl/>
        <w:spacing w:line="600" w:lineRule="exact"/>
        <w:ind w:firstLine="422" w:firstLineChars="200"/>
        <w:jc w:val="left"/>
        <w:outlineLvl w:val="0"/>
        <w:rPr>
          <w:rFonts w:hint="eastAsia" w:ascii="宋体" w:hAnsi="宋体" w:eastAsia="宋体" w:cs="宋体"/>
          <w:b/>
          <w:kern w:val="0"/>
          <w:szCs w:val="21"/>
        </w:rPr>
      </w:pPr>
      <w:bookmarkStart w:id="15" w:name="_Toc482003887"/>
      <w:bookmarkStart w:id="16" w:name="_Toc482003960"/>
      <w:r>
        <w:rPr>
          <w:rFonts w:hint="eastAsia" w:ascii="宋体" w:hAnsi="宋体" w:eastAsia="宋体" w:cs="宋体"/>
          <w:b/>
          <w:kern w:val="0"/>
          <w:szCs w:val="21"/>
        </w:rPr>
        <w:t>５、工程师</w:t>
      </w:r>
      <w:bookmarkEnd w:id="15"/>
      <w:bookmarkEnd w:id="16"/>
    </w:p>
    <w:p w14:paraId="1D34BA92">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5.1实行工程监理的，发包人应在实施监理前将委托的监理单位名称、监理内容及监理权限以书面形式通知承包人。</w:t>
      </w:r>
    </w:p>
    <w:p w14:paraId="32E5D642">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0BAA7753">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763D82F0">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3FAA123F">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5.5除合同内有明确约定或经发包人同意外，负责监理的工程师无权解除本合同约定的承包人的任何权利与义务。</w:t>
      </w:r>
    </w:p>
    <w:p w14:paraId="4370A8C8">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5.6不实行工程监理的，本合同中工程师专指发包人派驻施工场地履行合同的代表，其具体职权由发包人在专用条款内写明。</w:t>
      </w:r>
    </w:p>
    <w:p w14:paraId="41DC3BF4">
      <w:pPr>
        <w:widowControl/>
        <w:spacing w:line="600" w:lineRule="exact"/>
        <w:ind w:firstLine="422" w:firstLineChars="200"/>
        <w:jc w:val="left"/>
        <w:outlineLvl w:val="0"/>
        <w:rPr>
          <w:rFonts w:hint="eastAsia" w:ascii="宋体" w:hAnsi="宋体" w:eastAsia="宋体" w:cs="宋体"/>
          <w:b/>
          <w:kern w:val="0"/>
          <w:szCs w:val="21"/>
        </w:rPr>
      </w:pPr>
      <w:bookmarkStart w:id="17" w:name="_Toc482003961"/>
      <w:bookmarkStart w:id="18" w:name="_Toc482003888"/>
      <w:r>
        <w:rPr>
          <w:rFonts w:hint="eastAsia" w:ascii="宋体" w:hAnsi="宋体" w:eastAsia="宋体" w:cs="宋体"/>
          <w:b/>
          <w:kern w:val="0"/>
          <w:szCs w:val="21"/>
        </w:rPr>
        <w:t>６、工程师的委派和指令</w:t>
      </w:r>
      <w:bookmarkEnd w:id="17"/>
      <w:bookmarkEnd w:id="18"/>
    </w:p>
    <w:p w14:paraId="1DC73BAA">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6E327257">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7B5D2E2">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除工程师或工程师代表外，发包人派驻工地的其他人员均无权向承包人发出任何指令。</w:t>
      </w:r>
    </w:p>
    <w:p w14:paraId="760E9137">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4DEBCAC4">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64F6157">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本款规定同样适用于由工程师代表发出的指令、通知。</w:t>
      </w:r>
    </w:p>
    <w:p w14:paraId="2B5A80D8">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70336763">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6.4如需更换工程师，发包人应至少提前7天以书面形式通知承包人，后任继续行使合同文件约定的前任的职权，履行前任的义务。</w:t>
      </w:r>
    </w:p>
    <w:p w14:paraId="66B79362">
      <w:pPr>
        <w:widowControl/>
        <w:spacing w:line="600" w:lineRule="exact"/>
        <w:ind w:firstLine="422" w:firstLineChars="200"/>
        <w:jc w:val="left"/>
        <w:outlineLvl w:val="0"/>
        <w:rPr>
          <w:rFonts w:hint="eastAsia" w:ascii="宋体" w:hAnsi="宋体" w:eastAsia="宋体" w:cs="宋体"/>
          <w:b/>
          <w:kern w:val="0"/>
          <w:szCs w:val="21"/>
        </w:rPr>
      </w:pPr>
      <w:bookmarkStart w:id="19" w:name="_Toc482003889"/>
      <w:bookmarkStart w:id="20" w:name="_Toc482003962"/>
      <w:r>
        <w:rPr>
          <w:rFonts w:hint="eastAsia" w:ascii="宋体" w:hAnsi="宋体" w:eastAsia="宋体" w:cs="宋体"/>
          <w:b/>
          <w:kern w:val="0"/>
          <w:szCs w:val="21"/>
        </w:rPr>
        <w:t>７、项目经理</w:t>
      </w:r>
      <w:bookmarkEnd w:id="19"/>
      <w:bookmarkEnd w:id="20"/>
    </w:p>
    <w:p w14:paraId="4CC4547E">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7.1项目经理的姓名、职务在专用条款内写明。</w:t>
      </w:r>
    </w:p>
    <w:p w14:paraId="4F86E6D5">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7.2承包人依据合同发出的通知，以书面形式由项目经理签字后送交工程师，工程师在回执上签署姓名和收到时间后生效。</w:t>
      </w:r>
    </w:p>
    <w:p w14:paraId="543FDAB5">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1A7EFA2E">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7.4承包人如需要更换项目经理，应至少提前7天以书面形式通知发包人，</w:t>
      </w:r>
      <w:r>
        <w:rPr>
          <w:rFonts w:hint="eastAsia" w:ascii="宋体" w:hAnsi="宋体" w:eastAsia="宋体" w:cs="宋体"/>
          <w:bCs/>
          <w:kern w:val="0"/>
          <w:szCs w:val="21"/>
        </w:rPr>
        <w:t>并</w:t>
      </w:r>
      <w:r>
        <w:rPr>
          <w:rFonts w:hint="eastAsia" w:ascii="宋体" w:hAnsi="宋体" w:eastAsia="宋体" w:cs="宋体"/>
          <w:kern w:val="0"/>
          <w:szCs w:val="21"/>
        </w:rPr>
        <w:t>征得发包人同意。后任继续行使合同文件约定的前任的职权，履行前任的义务。</w:t>
      </w:r>
    </w:p>
    <w:p w14:paraId="11C18B9D">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7.5发包人可以与承包人协商，建议更换其认为不称职的项目经理。</w:t>
      </w:r>
    </w:p>
    <w:p w14:paraId="0C18F386">
      <w:pPr>
        <w:widowControl/>
        <w:spacing w:line="600" w:lineRule="exact"/>
        <w:ind w:firstLine="422" w:firstLineChars="200"/>
        <w:jc w:val="left"/>
        <w:outlineLvl w:val="0"/>
        <w:rPr>
          <w:rFonts w:hint="eastAsia" w:ascii="宋体" w:hAnsi="宋体" w:eastAsia="宋体" w:cs="宋体"/>
          <w:b/>
          <w:kern w:val="0"/>
          <w:szCs w:val="21"/>
        </w:rPr>
      </w:pPr>
      <w:bookmarkStart w:id="21" w:name="_Toc482003890"/>
      <w:bookmarkStart w:id="22" w:name="_Toc482003963"/>
      <w:r>
        <w:rPr>
          <w:rFonts w:hint="eastAsia" w:ascii="宋体" w:hAnsi="宋体" w:eastAsia="宋体" w:cs="宋体"/>
          <w:b/>
          <w:kern w:val="0"/>
          <w:szCs w:val="21"/>
        </w:rPr>
        <w:t>８、发包人工作</w:t>
      </w:r>
      <w:bookmarkEnd w:id="21"/>
      <w:bookmarkEnd w:id="22"/>
    </w:p>
    <w:p w14:paraId="608B802B">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8.1发包人按专用条款约定的内容和时间完成以下工作：</w:t>
      </w:r>
    </w:p>
    <w:p w14:paraId="486896C5">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（1）办理土地征用、拆迁补偿、平整施工场地等工作，使施工场地具备施工条件，在开工后继续负责解决以上事项遗留问题；</w:t>
      </w:r>
    </w:p>
    <w:p w14:paraId="5234A060">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（2）将施工所需水、电、电讯线路从施工场地外部接至专用条款约定地点，保证施工期间的需要；</w:t>
      </w:r>
    </w:p>
    <w:p w14:paraId="7630AE3D">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（3）开通施工场地与城乡公共道路的通道，以及专用条款约定的施工场地内的主要道路，满足施工运输的需要，保证施工期间的畅通；</w:t>
      </w:r>
    </w:p>
    <w:p w14:paraId="4CB71926">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（4）向承包人提供施工场地的工程地质和地下管线资料，对资料的真实准确性负责；</w:t>
      </w:r>
    </w:p>
    <w:p w14:paraId="6A224E4C">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（5）办理施工许可证及其它施工所需批件和临时用地、停水、停电、中断道路交通、爆破作业等的证件申请批准手续（证明承包人自身资质的证件除外）；</w:t>
      </w:r>
    </w:p>
    <w:p w14:paraId="34E8ADDB">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（6）确定水准点与坐标控制点，以书面形式交给承包人，进行现场交验；</w:t>
      </w:r>
    </w:p>
    <w:p w14:paraId="4E0EF7D9">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（7）组织承包人和设计单位进行图纸会审和设计交底；</w:t>
      </w:r>
    </w:p>
    <w:p w14:paraId="132AFA5F">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（8）协调处理施工场地周围地下管线和邻近建筑物、构筑物（包括文物保护建筑）、古树名木的保护工作、承担有关费用；</w:t>
      </w:r>
    </w:p>
    <w:p w14:paraId="4AC82F64">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（9）发包人应做的其他工作，双方在专用条款内约定。</w:t>
      </w:r>
    </w:p>
    <w:p w14:paraId="16BB145E">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8.2发包人可以将8.1款部分工作委托承包人办理，双方在专用条款内约定，其费用由发包人承担。</w:t>
      </w:r>
    </w:p>
    <w:p w14:paraId="68BA4F34">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8.3发包人未能履行8.1款各项义务，导致工期延误或给承包人造成损失的，发包人赔偿承包人有关损失，顺延延误的工期。</w:t>
      </w:r>
    </w:p>
    <w:p w14:paraId="5B300B48">
      <w:pPr>
        <w:widowControl/>
        <w:spacing w:line="600" w:lineRule="exact"/>
        <w:ind w:firstLine="422" w:firstLineChars="200"/>
        <w:jc w:val="left"/>
        <w:outlineLvl w:val="0"/>
        <w:rPr>
          <w:rFonts w:hint="eastAsia" w:ascii="宋体" w:hAnsi="宋体" w:eastAsia="宋体" w:cs="宋体"/>
          <w:b/>
          <w:kern w:val="0"/>
          <w:szCs w:val="21"/>
        </w:rPr>
      </w:pPr>
      <w:bookmarkStart w:id="23" w:name="_Toc482003964"/>
      <w:bookmarkStart w:id="24" w:name="_Toc482003891"/>
      <w:r>
        <w:rPr>
          <w:rFonts w:hint="eastAsia" w:ascii="宋体" w:hAnsi="宋体" w:eastAsia="宋体" w:cs="宋体"/>
          <w:b/>
          <w:kern w:val="0"/>
          <w:szCs w:val="21"/>
        </w:rPr>
        <w:t>９、承包人工作</w:t>
      </w:r>
      <w:bookmarkEnd w:id="23"/>
      <w:bookmarkEnd w:id="24"/>
    </w:p>
    <w:p w14:paraId="44EFA399">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9.1承包人按专用条款约定的内容和时间完成以下工作：</w:t>
      </w:r>
    </w:p>
    <w:p w14:paraId="4F7869F7">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（1）根据发包人委托，在其设计资质等级和业务允许的范围内，完成施工图设计或与工程配套的设计，经工程师确认后使用，发包人承担由此发生的费用；</w:t>
      </w:r>
    </w:p>
    <w:p w14:paraId="499A7581">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（2）向工程师提供年、季、月度工程进度计划及相应进度统计报表；</w:t>
      </w:r>
    </w:p>
    <w:p w14:paraId="0EA10220">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（3）根据工程需要，提供和维修非夜间施工使用的照明、围栏设施；负责施工现场安全保卫；</w:t>
      </w:r>
    </w:p>
    <w:p w14:paraId="754582D8">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（4）按专用条款约定的数量和要求，向发包人提供施工场地办公和生活的房屋及设施，发包人承担由此发生的费用；</w:t>
      </w:r>
    </w:p>
    <w:p w14:paraId="2BE0DFDD">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（5）遵守政府有关主管部门对施工场地安全防护、文明施工、环境保护以及场地交通等的管理规定，按规定办理有关手续，并以书面形式通知发包人。</w:t>
      </w:r>
    </w:p>
    <w:p w14:paraId="18680F93">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3DECDB6F">
      <w:pPr>
        <w:widowControl/>
        <w:spacing w:line="600" w:lineRule="exact"/>
        <w:ind w:firstLine="420" w:firstLineChars="200"/>
        <w:jc w:val="left"/>
        <w:rPr>
          <w:rFonts w:hint="eastAsia" w:ascii="宋体" w:hAnsi="宋体" w:eastAsia="宋体" w:cs="宋体"/>
          <w:b/>
          <w:bCs/>
          <w:color w:val="0000FF"/>
          <w:kern w:val="0"/>
          <w:szCs w:val="21"/>
        </w:rPr>
      </w:pPr>
      <w:r>
        <w:rPr>
          <w:rFonts w:hint="eastAsia" w:ascii="宋体" w:hAnsi="宋体" w:eastAsia="宋体" w:cs="宋体"/>
          <w:kern w:val="0"/>
          <w:szCs w:val="21"/>
        </w:rPr>
        <w:t>（7）按专用条款约定做好施工场地地下管线和邻近建筑物、构筑物（包括文物保护建筑）、古树名木的保护工作</w:t>
      </w:r>
      <w:r>
        <w:rPr>
          <w:rFonts w:hint="eastAsia" w:ascii="宋体" w:hAnsi="宋体" w:eastAsia="宋体" w:cs="宋体"/>
          <w:b/>
          <w:bCs/>
          <w:kern w:val="0"/>
          <w:szCs w:val="21"/>
        </w:rPr>
        <w:t>；</w:t>
      </w:r>
    </w:p>
    <w:p w14:paraId="7C42FB31">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（8）保证施工场地清洁符合环境卫生管理的有关规定，交工前清理现场达到专用条款约定的要求，承担因自身原因违反有关规定造成的损失和罚款；</w:t>
      </w:r>
    </w:p>
    <w:p w14:paraId="168F938B">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（9）承包人应做的其他工作，双方在专用条款内约定。</w:t>
      </w:r>
    </w:p>
    <w:p w14:paraId="471255A7">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9.2承包人未能履行9.1款各项义务，造成发包人损失的，承包人赔偿发包人有关损失。</w:t>
      </w:r>
    </w:p>
    <w:p w14:paraId="75C1EDF8">
      <w:pPr>
        <w:widowControl/>
        <w:spacing w:line="600" w:lineRule="exact"/>
        <w:ind w:firstLine="422" w:firstLineChars="200"/>
        <w:jc w:val="left"/>
        <w:outlineLvl w:val="0"/>
        <w:rPr>
          <w:rFonts w:hint="eastAsia" w:ascii="宋体" w:hAnsi="宋体" w:eastAsia="宋体" w:cs="宋体"/>
          <w:b/>
          <w:kern w:val="0"/>
          <w:szCs w:val="21"/>
        </w:rPr>
      </w:pPr>
      <w:bookmarkStart w:id="25" w:name="_Toc482003892"/>
      <w:bookmarkStart w:id="26" w:name="_Toc482003965"/>
      <w:r>
        <w:rPr>
          <w:rFonts w:hint="eastAsia" w:ascii="宋体" w:hAnsi="宋体" w:eastAsia="宋体" w:cs="宋体"/>
          <w:b/>
          <w:kern w:val="0"/>
          <w:szCs w:val="21"/>
        </w:rPr>
        <w:t>三、施工组织设计和工期</w:t>
      </w:r>
      <w:bookmarkEnd w:id="25"/>
      <w:bookmarkEnd w:id="26"/>
    </w:p>
    <w:p w14:paraId="79143DB4">
      <w:pPr>
        <w:widowControl/>
        <w:spacing w:line="600" w:lineRule="exact"/>
        <w:ind w:firstLine="422" w:firstLineChars="200"/>
        <w:jc w:val="left"/>
        <w:outlineLvl w:val="0"/>
        <w:rPr>
          <w:rFonts w:hint="eastAsia" w:ascii="宋体" w:hAnsi="宋体" w:eastAsia="宋体" w:cs="宋体"/>
          <w:b/>
          <w:kern w:val="0"/>
          <w:szCs w:val="21"/>
        </w:rPr>
      </w:pPr>
      <w:bookmarkStart w:id="27" w:name="_Toc482003966"/>
      <w:bookmarkStart w:id="28" w:name="_Toc482003893"/>
      <w:r>
        <w:rPr>
          <w:rFonts w:hint="eastAsia" w:ascii="宋体" w:hAnsi="宋体" w:eastAsia="宋体" w:cs="宋体"/>
          <w:b/>
          <w:kern w:val="0"/>
          <w:szCs w:val="21"/>
        </w:rPr>
        <w:t>10、进度计划</w:t>
      </w:r>
      <w:bookmarkEnd w:id="27"/>
      <w:bookmarkEnd w:id="28"/>
    </w:p>
    <w:p w14:paraId="67181BE2">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10.1承包人应按专用条款约定的日期，将施工组织设计和工程进度计划提交工程师，工程师按专用条款约定的时间予以确认或提出修改意见，逾期不确认也不提出书面意见的，视为同意。</w:t>
      </w:r>
    </w:p>
    <w:p w14:paraId="0A889071">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10.2群体工程中单位工程分期进行施工的，承包人应按照发包人提供图纸及有关资料的时间，按单位工程编制进度计划，其具体内容双方在专用条款中约定。</w:t>
      </w:r>
    </w:p>
    <w:p w14:paraId="49F3BDC6">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4FA6CEF3">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11、开工及延期开工</w:t>
      </w:r>
    </w:p>
    <w:p w14:paraId="1C222224">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731819CD">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11.2因发包人原因不能按照协议书约定的开工日期开工，工程师应以书面形式通知承包人，推迟开工日期。发包人赔偿承包人因延期开工造成的损失，并相应顺延工期。</w:t>
      </w:r>
    </w:p>
    <w:p w14:paraId="3B9EDE54">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12、暂停施工</w:t>
      </w:r>
    </w:p>
    <w:p w14:paraId="345EA860">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3BBD4BF7">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13、工期延误</w:t>
      </w:r>
    </w:p>
    <w:p w14:paraId="7577DBAB">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13.1因以下原因造成工期延误，经工程师确认，工期相应顺延：</w:t>
      </w:r>
    </w:p>
    <w:p w14:paraId="7BDE9053">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（1）发包人未能按专用条款的约定提供图纸及开工条件；</w:t>
      </w:r>
    </w:p>
    <w:p w14:paraId="65E299F0">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（2）发包人未能按约定日期支付工程预付款、进度款，致使施工不能正常进行；</w:t>
      </w:r>
    </w:p>
    <w:p w14:paraId="42B29445">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（3）工程师未按合同约定提供所需指令、批准等，致使施工不能正常进行；</w:t>
      </w:r>
    </w:p>
    <w:p w14:paraId="382C26DA">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（4）设计变更和工程量增加；</w:t>
      </w:r>
    </w:p>
    <w:p w14:paraId="66F7C97A">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（5）一周内非承包人原因停水、停电、停气造成停工累计超过8小时；</w:t>
      </w:r>
    </w:p>
    <w:p w14:paraId="145EAD9F">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（6）不可抗力；</w:t>
      </w:r>
    </w:p>
    <w:p w14:paraId="7CCCC78B">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（7）专用条款中约定或工程师同意工期顺延的其他情况。</w:t>
      </w:r>
    </w:p>
    <w:p w14:paraId="36519900">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13.2承包人在13.1款情况发生后14天内，就延误的工期以书面形式向工程师提出报告。工程师在收到报告后14天内予以确认，逾期不予确认也不提出修改意见，视为同意顺延工期。</w:t>
      </w:r>
    </w:p>
    <w:p w14:paraId="380C78A9">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14、工程竣工</w:t>
      </w:r>
    </w:p>
    <w:p w14:paraId="142B5DEF">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14.1承包人必须按照协议书约定的竣工日期或工程师同意顺延的工期竣工。</w:t>
      </w:r>
    </w:p>
    <w:p w14:paraId="5E3FB6AE">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14.2因承包人原因不能按照协议书约定的竣工日期或工程师同意顺延的工期竣工的，承包人承担违约责任。</w:t>
      </w:r>
    </w:p>
    <w:p w14:paraId="0E4FC244">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68E62A1F">
      <w:pPr>
        <w:widowControl/>
        <w:spacing w:line="600" w:lineRule="exact"/>
        <w:ind w:firstLine="422" w:firstLineChars="200"/>
        <w:jc w:val="left"/>
        <w:outlineLvl w:val="0"/>
        <w:rPr>
          <w:rFonts w:hint="eastAsia" w:ascii="宋体" w:hAnsi="宋体" w:eastAsia="宋体" w:cs="宋体"/>
          <w:b/>
          <w:kern w:val="0"/>
          <w:szCs w:val="21"/>
        </w:rPr>
      </w:pPr>
      <w:bookmarkStart w:id="29" w:name="_Toc482003967"/>
      <w:bookmarkStart w:id="30" w:name="_Toc482003894"/>
      <w:r>
        <w:rPr>
          <w:rFonts w:hint="eastAsia" w:ascii="宋体" w:hAnsi="宋体" w:eastAsia="宋体" w:cs="宋体"/>
          <w:b/>
          <w:kern w:val="0"/>
          <w:szCs w:val="21"/>
        </w:rPr>
        <w:t>四、质量与检验</w:t>
      </w:r>
      <w:bookmarkEnd w:id="29"/>
      <w:bookmarkEnd w:id="30"/>
    </w:p>
    <w:p w14:paraId="37E75E09">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15、工程质量</w:t>
      </w:r>
    </w:p>
    <w:p w14:paraId="248B4CF1">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15.1工程质量应当达到协议书约定的质量标准，质量标准的评定以国家或行业的质量检验评定标准为依据。因承包人原因工程质量达不到约定的质量标准，承包人承担违约责任。</w:t>
      </w:r>
    </w:p>
    <w:p w14:paraId="3A8BC100">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15.2双方对工程质量有争议，由双方同意的工程质量检测机构鉴定，所需费用及因此造成的损失，由责任方承担。双方均有责任，由双方根据其责任分别承担。</w:t>
      </w:r>
    </w:p>
    <w:p w14:paraId="27D35975">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16、检查和返工</w:t>
      </w:r>
    </w:p>
    <w:p w14:paraId="78CEC97D">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16.1承包人应认真按照标准、规范和设计图纸要求以及工程师依据合同发出的指令施工，随时接受工程师的检查检验，为检查检验提供便利条件。</w:t>
      </w:r>
    </w:p>
    <w:p w14:paraId="3E55C197">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51605491">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16.3工程师的检查检验不应影响施工正常进行。如影响施工正常进行，检查检验不合格时，影响正常施工的费用由承包人承担。除此之外影响正常施工的追加合同价款由发包人承担，相应顺延工期。</w:t>
      </w:r>
    </w:p>
    <w:p w14:paraId="2368E438">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16.4因工程师指令失误或其他非承包人原因发生的追加合同价款，由发包人承担。</w:t>
      </w:r>
    </w:p>
    <w:p w14:paraId="6333828C">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17、隐蔽工程和中间验收</w:t>
      </w:r>
    </w:p>
    <w:p w14:paraId="3A947F1D">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6E4BF3DC">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7273E36D">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17.3经工程师验收，工程质量符合标准、规范和设计图纸等要求，验收24小时后，工程师不在验收记录上签字，视为工程师已经认可验收记录，承包人可进行隐蔽或继续施工。</w:t>
      </w:r>
    </w:p>
    <w:p w14:paraId="109ACBF5">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18、重新检验</w:t>
      </w:r>
    </w:p>
    <w:p w14:paraId="5B49AD50">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317EB06B">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19、工程试车</w:t>
      </w:r>
    </w:p>
    <w:p w14:paraId="6E0F020F">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19.1双方约定需要试车的，试车内容应与承包人承包的安装范围相一致。</w:t>
      </w:r>
    </w:p>
    <w:p w14:paraId="1F803943">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0FA496A">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19.3工程师不能按时参加试车，须在开始试车前24小时以书面形式向承包人提出延期要求，延期不能超过48小时。工程师未能按以上时间提出延期要求，不参加试车，应承认试车记录。</w:t>
      </w:r>
    </w:p>
    <w:p w14:paraId="40AE1EC4">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03B560EA">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19.5双方责任</w:t>
      </w:r>
    </w:p>
    <w:p w14:paraId="1176C05F">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（1）由于设计原因试车达不到验收要求，发包人应要求设计单位修改设计，承包人按修改后的设计重新安装。发包人承担修改设计、拆除及重新安装的全部费用和追加合同价款，工期相应顺延。</w:t>
      </w:r>
    </w:p>
    <w:p w14:paraId="4B417DF2">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65EDBCEE">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（3）由于承包人施工原因试车达不到验收要求，承包人按工程师要求重新安装和试车，并承担重新安装和试车的费用，工期不予顺延。</w:t>
      </w:r>
    </w:p>
    <w:p w14:paraId="519B594A">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（4）试车费用除已包括在合同价款之内或专用条款另有约定外，均由发包人承担。</w:t>
      </w:r>
    </w:p>
    <w:p w14:paraId="25233D75">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（5）工程师在试车合格后不在试车记录上签字，试车结束24小时后，视为工程师已经认可试车记录，承包人可继续施工或办理竣工手续。</w:t>
      </w:r>
    </w:p>
    <w:p w14:paraId="7263CA52">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19.6投料试车应在工程竣工验收后由发包人负责，如发包人要求在工程竣工验收前进行或需要承包人配合时，应征得承包人同意，另行签订补充协议。</w:t>
      </w:r>
    </w:p>
    <w:p w14:paraId="0B8EF226">
      <w:pPr>
        <w:widowControl/>
        <w:spacing w:line="600" w:lineRule="exact"/>
        <w:ind w:firstLine="422" w:firstLineChars="200"/>
        <w:jc w:val="left"/>
        <w:outlineLvl w:val="0"/>
        <w:rPr>
          <w:rFonts w:hint="eastAsia" w:ascii="宋体" w:hAnsi="宋体" w:eastAsia="宋体" w:cs="宋体"/>
          <w:b/>
          <w:kern w:val="0"/>
          <w:szCs w:val="21"/>
        </w:rPr>
      </w:pPr>
      <w:bookmarkStart w:id="31" w:name="_Toc482003968"/>
      <w:bookmarkStart w:id="32" w:name="_Toc482003895"/>
      <w:r>
        <w:rPr>
          <w:rFonts w:hint="eastAsia" w:ascii="宋体" w:hAnsi="宋体" w:eastAsia="宋体" w:cs="宋体"/>
          <w:b/>
          <w:kern w:val="0"/>
          <w:szCs w:val="21"/>
        </w:rPr>
        <w:t>五、安全防护、文明施工</w:t>
      </w:r>
      <w:bookmarkEnd w:id="31"/>
      <w:bookmarkEnd w:id="32"/>
    </w:p>
    <w:p w14:paraId="7B238E4B">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20、发包人责任</w:t>
      </w:r>
    </w:p>
    <w:p w14:paraId="56E773A7">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20．1　发包人应遵守安全防护和文明施工的规定，督促承包人落实安全防护、文明施工措施，并按规定支付安全防护、文明施工措施费。</w:t>
      </w:r>
    </w:p>
    <w:p w14:paraId="31FECCCF">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20．2　发包人应对其在施工现场人员进行安全防护、文明施工教育，并对他们的安全负责。</w:t>
      </w:r>
    </w:p>
    <w:p w14:paraId="4A8ABC86">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25F58E3">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20．4　发包人违反上述规定或由于发包人原因导致安全事故的，由发包人承担相应责任和费用，顺延延误的工期。</w:t>
      </w:r>
    </w:p>
    <w:p w14:paraId="0EAFB5AA">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21、承包人责任</w:t>
      </w:r>
    </w:p>
    <w:p w14:paraId="4E8A27A4">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21.1　承包人应遵守安全防护和文明施工的规定，建立健全安全防护和文明施工的制度，对其在施工现场人员进行安全防护、文明施工教育，并对他们的安全负责。</w:t>
      </w:r>
    </w:p>
    <w:p w14:paraId="1FFDCA6E">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21.2　完善安全防护和文明施工条件，严格按照安全防护和文明施工的规定组织施工，采取必要的安全防护措施，消除事故隐患，自觉接受和配合依法实施的监督检查。</w:t>
      </w:r>
    </w:p>
    <w:p w14:paraId="47637C58">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6310599D">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21.4　应按规定的范围使用安全文明措施费，保证专款专用，不得挪作它用。</w:t>
      </w:r>
    </w:p>
    <w:p w14:paraId="77FD563F">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21.5　承包人对合同工程的安全施工负责，并应及时、如实报告生产安全事故。承包人违反上述规定或由于承包人原因造成的安全事故，由承包人承担相应责任和费用，工期不予顺延。</w:t>
      </w:r>
    </w:p>
    <w:p w14:paraId="6FD5394A">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52B97437">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50486B6B">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24、事故处理</w:t>
      </w:r>
    </w:p>
    <w:p w14:paraId="28A60F83">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24.1发生伤亡及其他安全事故，承包人应按有关规定立即上报有关部门并通知工程师，同时按政府有关部门要求处理，由事故责任方承担发生的费用。</w:t>
      </w:r>
    </w:p>
    <w:p w14:paraId="188062F7">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24.2发包人承包人对事故责任有争议时，应按政府有关部门的认定处理。</w:t>
      </w:r>
    </w:p>
    <w:p w14:paraId="2B08CC60">
      <w:pPr>
        <w:widowControl/>
        <w:spacing w:line="600" w:lineRule="exact"/>
        <w:ind w:firstLine="422" w:firstLineChars="200"/>
        <w:jc w:val="left"/>
        <w:outlineLvl w:val="0"/>
        <w:rPr>
          <w:rFonts w:hint="eastAsia" w:ascii="宋体" w:hAnsi="宋体" w:eastAsia="宋体" w:cs="宋体"/>
          <w:b/>
          <w:kern w:val="0"/>
          <w:szCs w:val="21"/>
        </w:rPr>
      </w:pPr>
      <w:bookmarkStart w:id="33" w:name="_Toc482003896"/>
      <w:bookmarkStart w:id="34" w:name="_Toc482003969"/>
      <w:r>
        <w:rPr>
          <w:rFonts w:hint="eastAsia" w:ascii="宋体" w:hAnsi="宋体" w:eastAsia="宋体" w:cs="宋体"/>
          <w:b/>
          <w:kern w:val="0"/>
          <w:szCs w:val="21"/>
        </w:rPr>
        <w:t>六、合同价款</w:t>
      </w:r>
      <w:bookmarkEnd w:id="33"/>
      <w:bookmarkEnd w:id="34"/>
    </w:p>
    <w:p w14:paraId="62CA561F">
      <w:pPr>
        <w:widowControl/>
        <w:spacing w:line="600" w:lineRule="exact"/>
        <w:ind w:firstLine="420" w:firstLineChars="200"/>
        <w:jc w:val="left"/>
        <w:rPr>
          <w:rFonts w:hint="eastAsia" w:ascii="宋体" w:hAnsi="宋体" w:eastAsia="宋体" w:cs="宋体"/>
          <w:color w:val="FF0000"/>
          <w:szCs w:val="21"/>
        </w:rPr>
      </w:pPr>
      <w:r>
        <w:rPr>
          <w:rFonts w:hint="eastAsia" w:ascii="宋体" w:hAnsi="宋体" w:eastAsia="宋体" w:cs="宋体"/>
          <w:kern w:val="0"/>
          <w:szCs w:val="21"/>
        </w:rPr>
        <w:t>25、工程的计量规则和计价办法以《陕西省建设工程工程量清单计价规则》及相关规定为准，工程师应按照合同约定，依据上述规定进行工程计量和计价。</w:t>
      </w:r>
    </w:p>
    <w:p w14:paraId="72F0D993">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26、合同价款约定</w:t>
      </w:r>
    </w:p>
    <w:p w14:paraId="5C1C8838">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26.1招标工程的合同价款由发包人承包人依据中标通知书中的中标价格在协议书内约定。非招标工程的合同价款由发包人承包人依据双方确认的工程预算书在协议书内约定。</w:t>
      </w:r>
    </w:p>
    <w:p w14:paraId="0A9632D7">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26.2合同价款在协议书内约定后，任何一方不得擅自改变。下列三种确定合同价款的方式，双方可在专用条款内约定采用其中一种：</w:t>
      </w:r>
    </w:p>
    <w:p w14:paraId="698CFAEF">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（1）固定总价合同。合同工期较短且工程合同总价较低的工程，可以采用固定总价合同方式。</w:t>
      </w:r>
    </w:p>
    <w:p w14:paraId="08FF427A">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4627BD78">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（3）可调价格合同。可调价格包括可调综合单价和措施项目费用等，双方应在专用条款内约定综合单价和措施项目费的调整方法。</w:t>
      </w:r>
    </w:p>
    <w:p w14:paraId="35DC871D">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27、合同价款调整</w:t>
      </w:r>
    </w:p>
    <w:p w14:paraId="67BD611B">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27.1价格中工程量、综合单价、措施项目费用的调整因素包括：</w:t>
      </w:r>
    </w:p>
    <w:p w14:paraId="5AD8A9C5">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（1）法律、行政法规和国家有关政策变化影响合同价款；</w:t>
      </w:r>
    </w:p>
    <w:p w14:paraId="6ACC1AB6">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（2）工程造价管理机构的价格调整；</w:t>
      </w:r>
    </w:p>
    <w:p w14:paraId="225B5E8C">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（3）经批准的设计变更；</w:t>
      </w:r>
    </w:p>
    <w:p w14:paraId="3E135710">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（4）发包人更改经审定批准的施工组织设计（修正错误除外）造成费用变化；</w:t>
      </w:r>
    </w:p>
    <w:p w14:paraId="444E9188">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（5）工程量清单的工程数量与实际工程量不符，按实际工程量进行调整计算；</w:t>
      </w:r>
    </w:p>
    <w:p w14:paraId="791CDDF6">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（6）费用索赔事件或发包人负责的其他情况；</w:t>
      </w:r>
    </w:p>
    <w:p w14:paraId="24107B4E">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（7）双方在专用条款中约定的其他因素。</w:t>
      </w:r>
    </w:p>
    <w:p w14:paraId="76C1769A">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35F64939">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28、工程预付款</w:t>
      </w:r>
    </w:p>
    <w:p w14:paraId="47049B02">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1D607F7B">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28.2安全防护和文明施工措施费应在专用条款中约定预付方式。合同工期在一年以内的，预付比例不得低于总额的70%；合同工期在一年以上的（含一年），预付比例不得低于总额的50%。</w:t>
      </w:r>
    </w:p>
    <w:p w14:paraId="78B693D3">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29、已完工程量确认</w:t>
      </w:r>
    </w:p>
    <w:p w14:paraId="38AF4F69">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2DA23616">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486E38D8">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29.3对承包人超出设计图纸（含设计变更）范围和因承包人原因造成返工的工程量，工程师不予计量。</w:t>
      </w:r>
    </w:p>
    <w:p w14:paraId="51F45AFB">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30、工程进度款结算与支付</w:t>
      </w:r>
    </w:p>
    <w:p w14:paraId="66182A77">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30.1　双方应在专用条款内约定工程进度款结算支付方式。结算支付方式分为按月结算支付与分阶段结算支付。</w:t>
      </w:r>
    </w:p>
    <w:p w14:paraId="5435EC29">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30.2在确认计量结果后14天内，发包人应向承包人支付不低于应付款额75%、不高于应付款额90%的工程进度款。按约定时间发包人应扣回的预付款，与工程进度款同期结算抵扣。</w:t>
      </w:r>
    </w:p>
    <w:p w14:paraId="219D3A94">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30.3本通用条款第27条确定调整的合同价款，第35条工程变更调整的合同价款及其他条款中约定的追加合同价款，应与工程进度款同期调整支付。</w:t>
      </w:r>
    </w:p>
    <w:p w14:paraId="1CCB0758">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22A53B0B">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30.5发包人不按合同约定支付工程进度款，双方又未达成延期付款协议，导致施工无法进行，承包人可停止施工，由发包人承担违约责任。</w:t>
      </w:r>
    </w:p>
    <w:p w14:paraId="7BF0DE0B">
      <w:pPr>
        <w:widowControl/>
        <w:spacing w:line="600" w:lineRule="exact"/>
        <w:ind w:firstLine="422" w:firstLineChars="200"/>
        <w:outlineLvl w:val="0"/>
        <w:rPr>
          <w:rFonts w:hint="eastAsia" w:ascii="宋体" w:hAnsi="宋体" w:eastAsia="宋体" w:cs="宋体"/>
          <w:b/>
          <w:kern w:val="0"/>
          <w:szCs w:val="21"/>
        </w:rPr>
      </w:pPr>
      <w:bookmarkStart w:id="35" w:name="_Toc482003897"/>
      <w:bookmarkStart w:id="36" w:name="_Toc482003970"/>
      <w:r>
        <w:rPr>
          <w:rFonts w:hint="eastAsia" w:ascii="宋体" w:hAnsi="宋体" w:eastAsia="宋体" w:cs="宋体"/>
          <w:b/>
          <w:kern w:val="0"/>
          <w:szCs w:val="21"/>
        </w:rPr>
        <w:t>七、材料设备供应</w:t>
      </w:r>
      <w:bookmarkEnd w:id="35"/>
      <w:bookmarkEnd w:id="36"/>
    </w:p>
    <w:p w14:paraId="3A2BF445">
      <w:pPr>
        <w:widowControl/>
        <w:spacing w:line="600" w:lineRule="exact"/>
        <w:ind w:firstLine="422" w:firstLineChars="200"/>
        <w:jc w:val="left"/>
        <w:rPr>
          <w:rFonts w:hint="eastAsia" w:ascii="宋体" w:hAnsi="宋体" w:eastAsia="宋体" w:cs="宋体"/>
          <w:b/>
          <w:kern w:val="0"/>
          <w:szCs w:val="21"/>
        </w:rPr>
      </w:pPr>
      <w:r>
        <w:rPr>
          <w:rFonts w:hint="eastAsia" w:ascii="宋体" w:hAnsi="宋体" w:eastAsia="宋体" w:cs="宋体"/>
          <w:b/>
          <w:kern w:val="0"/>
          <w:szCs w:val="21"/>
        </w:rPr>
        <w:t>31、发包人供应材料设备</w:t>
      </w:r>
    </w:p>
    <w:p w14:paraId="462A3F2E">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31.1实行发包人供应材料设备的，双方应当约定发包人供应材料设备的一览表，作为本合同附件（附件2）。一览表包括发包人供应材料设备的品种、规格、型号、数量、单价、质量等级、提供时间和地点。</w:t>
      </w:r>
    </w:p>
    <w:p w14:paraId="6688CD61">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31.2发包人按一览表约定的内容提供材料设备，并向承包人提供产品合格证明，对其质量负责。发包人在所供材料设备到货前24小时，以书面形式通知承包人，由承包人派人与发包人共同清点。</w:t>
      </w:r>
    </w:p>
    <w:p w14:paraId="0C5BDD54">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017C007B">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31.4发包人供应的材料设备与一览表不符时，发包人承担有关责任。发包人应承担责任的具体内容，双方根据下列情况在专用条款内约定：</w:t>
      </w:r>
    </w:p>
    <w:p w14:paraId="3EF1B936">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（1）材料设备单价与一览表不符，由发包人承担所有价差；</w:t>
      </w:r>
    </w:p>
    <w:p w14:paraId="3950E307">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（2）材料设备的品种、规格、型号、质量等级与一览表不符，承包人可拒绝接收保管，由发包人运出施工场地并重新采购；</w:t>
      </w:r>
    </w:p>
    <w:p w14:paraId="37942339">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（3）发包人供应的材料规格、型号与一览表不符，经发包人同意，承包人可代为调剂串换，由发包人承担相应费用；</w:t>
      </w:r>
    </w:p>
    <w:p w14:paraId="3D44FA51">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（4）到货地点与一览表不符，由发包人负责运至一览表指定地点；</w:t>
      </w:r>
    </w:p>
    <w:p w14:paraId="4005C11C">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（5）供应数量少于一览表约定的数量时，由发包人补齐，多于一览表约定数量时，发包人负责将多出部分运出施工场地；</w:t>
      </w:r>
    </w:p>
    <w:p w14:paraId="0DD0AE28">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（6）到货时间早于一览表约定时间，由发包人承担因此发生的保管费用；到货时间迟于一览表约定的供应时间，发包人赔偿由此造成的承包人损失，造成工期延误的，相应顺延工期；</w:t>
      </w:r>
    </w:p>
    <w:p w14:paraId="27968B24">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31.5发包人供应的材料设备使用前，由承包人负责检验或试验，不合格的不得使用，检验或试验费用由发包人承担。</w:t>
      </w:r>
    </w:p>
    <w:p w14:paraId="4D1A7F91">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31.6发包人供应材料设备的结算方法，双方在专用条款内约定。</w:t>
      </w:r>
    </w:p>
    <w:p w14:paraId="450DBABD">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32、承包人采购材料设备</w:t>
      </w:r>
    </w:p>
    <w:p w14:paraId="391BC2C3">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32.1承包人负责采购材料设备的，应按照专用条款约定及设计和有关标准要求采购，并提供产品合格证明，对材料设备质量负责。承包人在材料设备到货前24小时通知工程师清点。</w:t>
      </w:r>
    </w:p>
    <w:p w14:paraId="34995F06">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32.2承包人采购的材料设备与设计标准要求不符时，承包人应按工程师要求的时间运出施工场地，重新采购符合要求的产品，承担由此发生的费用，由此延误的工期不予顺延。</w:t>
      </w:r>
    </w:p>
    <w:p w14:paraId="5023C419">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32.3承包人采购的材料设备在使用前，承包人应按工程师的要求进行检验或试验，不合格的不得使用，检验或试验费用由承包人承担。</w:t>
      </w:r>
    </w:p>
    <w:p w14:paraId="5A694B56">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32.4工程师发现承包人采购并使用不符合设计和标准要求的材料设备时，应要求承包人负责修复、拆除或重新采购，由承包人承担发生的费用，由此延误的工期不予顺延。</w:t>
      </w:r>
    </w:p>
    <w:p w14:paraId="71B3E528">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32.5承包人需要使用代用材料时，应经工程师认可后才能使用，由此增减的合同价款双方以书面形式议定。</w:t>
      </w:r>
    </w:p>
    <w:p w14:paraId="3BF90B13">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32.6由承包人采购的材料设备，发包人不得指定生产厂或供应商。</w:t>
      </w:r>
    </w:p>
    <w:p w14:paraId="0EB84D72">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八、工程变更</w:t>
      </w:r>
    </w:p>
    <w:p w14:paraId="22FE578C">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33、工程设计变更</w:t>
      </w:r>
    </w:p>
    <w:p w14:paraId="4212BFAA">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631AAF3B">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（1）更改工程有关部分的标高、基线、位置和尺寸；</w:t>
      </w:r>
    </w:p>
    <w:p w14:paraId="24BBDC00">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（2）增减合同中约定的工程量；</w:t>
      </w:r>
    </w:p>
    <w:p w14:paraId="193B23BF">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（3）改变有关工程的施工时间和顺序；</w:t>
      </w:r>
    </w:p>
    <w:p w14:paraId="42468F85">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（4）其他有关工程变更需要的附加工作。</w:t>
      </w:r>
    </w:p>
    <w:p w14:paraId="044777B6">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因变更导致合同价款的增减及造成的承包人损失，由发包人承担，延误的工期相应顺延。</w:t>
      </w:r>
    </w:p>
    <w:p w14:paraId="1E1120F6">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33.2施工中承包人不得对原工程设计进行变更。因承包人擅自变更设计发生的费用和由此导致发包人的直接损失，由承包人承担，延误的工期不予顺延。</w:t>
      </w:r>
    </w:p>
    <w:p w14:paraId="22689B1C">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644076B8">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34、其他变更</w:t>
      </w:r>
    </w:p>
    <w:p w14:paraId="69F19ABD">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合同履行中发包人要求变更工程质量标准及发生其他实质性变更，由双方协商解决。</w:t>
      </w:r>
    </w:p>
    <w:p w14:paraId="515028CC">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35、确定变更价款</w:t>
      </w:r>
    </w:p>
    <w:p w14:paraId="073A2A56">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35.1承包人在工程变更确定后14天内，提出变更工程价款的报告，经工程师确认后调整合同价款。变更合同价款按下列方法进行：</w:t>
      </w:r>
    </w:p>
    <w:p w14:paraId="61AFB23D">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（1）合同中已有适用于变更工程的综合单价或价格，按合同已有的综合单价或价格变更合同价款；</w:t>
      </w:r>
    </w:p>
    <w:p w14:paraId="656C6DE9">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（2）合同中只有类似于变更工程的综合单价或价格，可以参照类似综合单价或价格变更合同价款；</w:t>
      </w:r>
    </w:p>
    <w:p w14:paraId="5F203DF0">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（3）合同中没有适用或类似于变更工程的综合单价或价格，由承包人或发包人提出综合单价或价格，经双方确认后执行。</w:t>
      </w:r>
    </w:p>
    <w:p w14:paraId="4F7F9432">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35.2承包人在双方确定变更后14天内应向工程师提出变更工程价款报告，否则发包人可根据所掌握的资料决定是否调整合同价款和调整的具体金额，并书面通知承包人。</w:t>
      </w:r>
    </w:p>
    <w:p w14:paraId="73830837">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35.3工程师应在收到变更工程价款报告之日起14天内予以确认，工程师无正当理由不确认也未提出协商意见时，自变更工程价款报告送达之日起14天后视为变更工程价款报告已被确认。</w:t>
      </w:r>
    </w:p>
    <w:p w14:paraId="5B97076B">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35.4发承包双方对变更价款不能达成一致时，按本通用条款第41条关于争议的约定处理。</w:t>
      </w:r>
    </w:p>
    <w:p w14:paraId="6E355FFD">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35.5因承包人自身原因导致的工程变更，承包人无权要求追加合同价款。</w:t>
      </w:r>
    </w:p>
    <w:p w14:paraId="7E748726">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九、竣工验收与结算</w:t>
      </w:r>
    </w:p>
    <w:p w14:paraId="64A5F4B9">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36、竣工验收</w:t>
      </w:r>
    </w:p>
    <w:p w14:paraId="32ECACD7">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36.1工程具备竣工验收条件，承包人按国家工程竣工验收有关规定，向发包人提供完整竣工资料及竣工验收报告。双方约定由承包人提供竣工图的，应当在专用条款内约定提供的日期和份数。</w:t>
      </w:r>
    </w:p>
    <w:p w14:paraId="39F4B2D2">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36.2发包人收到竣工验收报告后28天内组织有关单位验收，并在验收后14天内给予认可或提出修改意见。承包人按要求修改，并承担由自身原因造成修改的费用。</w:t>
      </w:r>
    </w:p>
    <w:p w14:paraId="22396248">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36.3发包人收到承包人送交的竣工验收报告后28天内不组织验收，或验收后14天内不提出修改意见，视为竣工验收报告已被认可。</w:t>
      </w:r>
    </w:p>
    <w:p w14:paraId="507F58A1">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36.4工程竣工验收通过，承包人送交竣工验收报告的日期为实际竣工日期。工程按发包人要求修改后通过竣工验收的，实际竣工日期为承包人修改后提请发包人验收的日期。</w:t>
      </w:r>
    </w:p>
    <w:p w14:paraId="6B58F0C4">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36.5发包人收到承包人竣工验收报告后28天内不组织验收，从第29天起承担工程保管及一切意外责任。</w:t>
      </w:r>
    </w:p>
    <w:p w14:paraId="6D41E14E">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36.6中间交工工程的范围和竣工时间，双方在专用条款内约定，其验收程序按本通用条款36.1款至36.4款办理。</w:t>
      </w:r>
    </w:p>
    <w:p w14:paraId="17CD939B">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36.7因特殊原因，发包人要求部分单位工程或工程部位甩项竣工的，双方另行签订甩项竣工协议，明确双方责任和工程价款的支付方法。</w:t>
      </w:r>
    </w:p>
    <w:p w14:paraId="219C2BAD">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36.8工程未经竣工验收或竣工验收未通过的，发包人不得使用。发包人强行使用时，由此发生的质量及其他问题，由发包人承担责任。</w:t>
      </w:r>
    </w:p>
    <w:p w14:paraId="30A2852E">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37、竣工结算</w:t>
      </w:r>
    </w:p>
    <w:p w14:paraId="3504D655">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37.1工程竣工结算分为单位工程竣工结算、单项工程竣工结算和建设项目竣工总结算。</w:t>
      </w:r>
    </w:p>
    <w:p w14:paraId="00D818FC">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6F8C4A5F">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建设项目总结算在最后一个单项工程竣工结算审查确认后，一般在15天以内向发包人提交竣工结算汇总资料。</w:t>
      </w:r>
    </w:p>
    <w:p w14:paraId="3EB6012E">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74DE7DD8">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37.4承包人收到竣工结算价款后14天内将竣工工程交付发包人。</w:t>
      </w:r>
    </w:p>
    <w:p w14:paraId="36B0F068">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37.5发包人收到承包人建设项目竣工总结算汇总资料后30天内，审查完成。</w:t>
      </w:r>
    </w:p>
    <w:p w14:paraId="3ACF655C">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37.6发包人收到竣工结算报告及结算资料后，在本条规定期限内对结算报告及资料没有提出意见则视同认可。</w:t>
      </w:r>
    </w:p>
    <w:p w14:paraId="29BA5A03">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3897D012">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14CEC945">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37.9发包人承包人对工程竣工结算价款发生争议时，按本通用条款第41条关于争议的约定处理。</w:t>
      </w:r>
    </w:p>
    <w:p w14:paraId="1A88410B">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38、质量保证</w:t>
      </w:r>
    </w:p>
    <w:p w14:paraId="0EE78449">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38.1承包人应按法律、行政法规或国家关于工程质量保修的有关规定，对交付发包人使用的工程在质量保修期内承担质量保修责任。</w:t>
      </w:r>
    </w:p>
    <w:p w14:paraId="66DA10E4">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38.2质量保修工作的实施。承包人与发包人签订质量保修书，作为本合同附件（附件３）。发包人应明确保证金预留、返还等内容，并与承包人在合同条款中对涉及保证金的下列事项进行约定：</w:t>
      </w:r>
    </w:p>
    <w:p w14:paraId="21362092">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（1）保证金预留、返还方式；</w:t>
      </w:r>
    </w:p>
    <w:p w14:paraId="717F796F">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（2）保证金预留比例、期限；</w:t>
      </w:r>
    </w:p>
    <w:p w14:paraId="0F8392E1">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（3）保证金是否计付利息，如计利息，利息的计算方式；</w:t>
      </w:r>
    </w:p>
    <w:p w14:paraId="6A157C93">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（4）缺陷责任期的期限及计算方式；</w:t>
      </w:r>
    </w:p>
    <w:p w14:paraId="6823F063">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（5）保证金预留、返还及工程维修质量、费用等争议的处理程序；</w:t>
      </w:r>
    </w:p>
    <w:p w14:paraId="71528639">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（6）缺陷责任期内出现缺陷的索赔方式。</w:t>
      </w:r>
    </w:p>
    <w:p w14:paraId="44727E36">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38.3质量保修书的主要内容包括：</w:t>
      </w:r>
    </w:p>
    <w:p w14:paraId="1BE9AAB2">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（1）质量保修项目内容及范围；</w:t>
      </w:r>
    </w:p>
    <w:p w14:paraId="6E70F963">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（2）质量保修期；</w:t>
      </w:r>
    </w:p>
    <w:p w14:paraId="4D3F811B">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（3）质量保修责任；</w:t>
      </w:r>
    </w:p>
    <w:p w14:paraId="78B68C89">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（4）质量保修金的支付方法。</w:t>
      </w:r>
    </w:p>
    <w:p w14:paraId="794ADECE">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38.4质量保证金按工程价款结算总额3%以内的比例预留。</w:t>
      </w:r>
    </w:p>
    <w:p w14:paraId="3712CFB6">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十、违约、索赔和争议</w:t>
      </w:r>
    </w:p>
    <w:p w14:paraId="0BC2AAA0">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39、违约</w:t>
      </w:r>
    </w:p>
    <w:p w14:paraId="26C07DB6">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39.1发包人违约。当发生下列情况时：</w:t>
      </w:r>
    </w:p>
    <w:p w14:paraId="446947F0">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（1）本通用条款第28.1款提到的发包人不按时支付工程预付款；</w:t>
      </w:r>
    </w:p>
    <w:p w14:paraId="3E0D25B6">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（2）本通用条款第30.5款提到的发包人不按合同约定支付工程款，导致施工无法进行；</w:t>
      </w:r>
    </w:p>
    <w:p w14:paraId="3BF4E7C6">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（3）本通用条款第37.6款提到的发包人无正当理由不支付工程竣工结算价款；</w:t>
      </w:r>
    </w:p>
    <w:p w14:paraId="28BF8257">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（4）发包人不履行合同义务或不按合同约定履行义务的其他情况。</w:t>
      </w:r>
    </w:p>
    <w:p w14:paraId="56E2B2D1">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发包人承担违约责任，赔偿因其违约给承包人造成的经济损失，顺延延误的工期。双方在专用条款内约定发包人赔偿承包人损失的计算方法或者发包人应当支付违约金的数额和计算方法。</w:t>
      </w:r>
    </w:p>
    <w:p w14:paraId="699EFE27">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39.2承包人违约。当发生下列情况时：</w:t>
      </w:r>
    </w:p>
    <w:p w14:paraId="3B0E4AFB">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（1）本通用条款第14.2款提到的因承包人原因不能按照协议书约定的竣工日期或工程师同意顺延的工期竣工；</w:t>
      </w:r>
    </w:p>
    <w:p w14:paraId="72074164">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（2）本通用条款第15.1款提到的因承包人原因工程质量达不到协议书约定的质量标准；</w:t>
      </w:r>
    </w:p>
    <w:p w14:paraId="1B0F0B9D">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（3）承包人不履行合同义务或不按合同约定履行义务的其他情况。</w:t>
      </w:r>
    </w:p>
    <w:p w14:paraId="06A40177">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承包人承担违约责任，赔偿因其违约给发包人造成的损失。双方在专用条款内约定承包人赔偿发包人损失的计算方法或者承包人应当支付违约金的数额和计算方法。</w:t>
      </w:r>
    </w:p>
    <w:p w14:paraId="5ECA638A">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39.3一方违约后，另一方要求违约方继续履行合同时，违约方承担上述违约责任后仍应继续履行合同。</w:t>
      </w:r>
    </w:p>
    <w:p w14:paraId="1E7045B5">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40、索赔</w:t>
      </w:r>
    </w:p>
    <w:p w14:paraId="6E5FAAE7">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40.1当一方向另一方提出索赔时，要有正当索赔理由，且有索赔事件发生时的有效证据。</w:t>
      </w:r>
    </w:p>
    <w:p w14:paraId="64788845">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19ED0035">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（1）索赔事件发生后28天内，向工程师发出索赔意向通知；</w:t>
      </w:r>
    </w:p>
    <w:p w14:paraId="56DB6711">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（2）发出索赔意向通知后28天内，向工程师提出延长工期和（或）补偿经济损失的索赔报告及有关资料；</w:t>
      </w:r>
    </w:p>
    <w:p w14:paraId="7ABFDBD6">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（3）工程师在收到承包人送交的索赔报告和有关资料后，于28天内给予答复，或要求承包人进一步补充索赔理由和证据；</w:t>
      </w:r>
    </w:p>
    <w:p w14:paraId="58D4FDA8">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（4）工程师在收到承包人送交的索赔报告和有关资料后28天内未予答复或未对承包人作进一步要求，视为该项索赔已经认可；</w:t>
      </w:r>
    </w:p>
    <w:p w14:paraId="6C0A047D">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（5）当该索赔事件持续进行时，承包人应当阶段性向工程师发出索赔意向，在索赔事件终了后28天内，向工程师送交索赔的有关资料和最终索赔报告。索赔答复程序与（3）、（4）规定相同。</w:t>
      </w:r>
    </w:p>
    <w:p w14:paraId="35F2F66A">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40.3承包人未能按合同约定履行自己的各项义务或发生错误，给发包人造成经济损失，发包人可按40.2款确定的时限向承包人提出索赔。</w:t>
      </w:r>
    </w:p>
    <w:p w14:paraId="5C065029">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41、争议</w:t>
      </w:r>
    </w:p>
    <w:p w14:paraId="2FFBC36C">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17A1CC1E">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41.2发生争议后，除非出现下列情况的，双方都应继续履行合同，保持施工连续，保护好已完工程：</w:t>
      </w:r>
    </w:p>
    <w:p w14:paraId="306839F0">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（1）单方违约导致合同确已无法履行，双方协议停止施工；</w:t>
      </w:r>
    </w:p>
    <w:p w14:paraId="7BD479DB">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（2）调解要求停止施工，且为双方接受；</w:t>
      </w:r>
    </w:p>
    <w:p w14:paraId="28D68F60">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（3）仲裁机构要求停止施工；</w:t>
      </w:r>
    </w:p>
    <w:p w14:paraId="62A2D90B">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（4）法院要求停止施工。</w:t>
      </w:r>
    </w:p>
    <w:p w14:paraId="465388C1">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十一、其他</w:t>
      </w:r>
    </w:p>
    <w:p w14:paraId="46B000B1">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42、工程分包</w:t>
      </w:r>
    </w:p>
    <w:p w14:paraId="434D8703">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42.1承包人需要将专业工程或劳务进行分包的，应分包给具有相应资质的专业或劳务企业，并与分包企业签订分包合同。</w:t>
      </w:r>
    </w:p>
    <w:p w14:paraId="4D11530C">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42.2承包人不得将其承包的工程转包给他人，也不得将其承包的工程以分包的名义转包给他人。</w:t>
      </w:r>
    </w:p>
    <w:p w14:paraId="61E3137A">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10ACA3C8">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42.4分包工程价款由承包人与分包单位结算。发包人未经承包人同意不得以任何形式向分包单位支付各种工程款项。</w:t>
      </w:r>
    </w:p>
    <w:p w14:paraId="1EB5E3F9">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42.5承包人应按时支付分包工程款及劳务费。若承包人不能按时支付时，发包人可将此部分款项从向承包人支付的工程款中扣出并直接支付给分包人和劳务人员。</w:t>
      </w:r>
    </w:p>
    <w:p w14:paraId="099ABAC6">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43、不可抗力</w:t>
      </w:r>
    </w:p>
    <w:p w14:paraId="6F0A1F1B">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43.1不可抗力包括因战争、动乱、空中飞行物体坠落或其他非发包人承包人责任造成的爆炸、火灾，以及专用条款约定的风、雨、雪、洪、震等自然灾害。</w:t>
      </w:r>
    </w:p>
    <w:p w14:paraId="28F71EFA">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3DDF301D">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43.3因不可抗力事件导致的费用及延误的工期由双方按以下方法分别承担：</w:t>
      </w:r>
    </w:p>
    <w:p w14:paraId="2184828E">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（1）工程本身的损害、因工程损害导致第三人人员伤亡和财产损失以及运至施工场地用于施工的材料和待安装的设备的损害，由发包人承担；</w:t>
      </w:r>
    </w:p>
    <w:p w14:paraId="53CA0C72">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（2）发包人承包人人员伤亡由其所在单位负责，并承担相应费用；</w:t>
      </w:r>
    </w:p>
    <w:p w14:paraId="612BE1DD">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（3）承包人机械设备损坏及停工损失，由承包人承担；</w:t>
      </w:r>
    </w:p>
    <w:p w14:paraId="4246E36C">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（4）停工期间，承包人应工程师要求留在施工场地的必要的管理人员及保卫人员的费用由发包人承担；</w:t>
      </w:r>
    </w:p>
    <w:p w14:paraId="478E9991">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（5）工程所需清理、修复费用，由发包人承担；</w:t>
      </w:r>
    </w:p>
    <w:p w14:paraId="370E5013">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（6）延误的工期相应顺延。</w:t>
      </w:r>
    </w:p>
    <w:p w14:paraId="53BAC6DA">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43.4因合同一方迟延履行合同后发生不可抗力的，不能免除迟延履行方的相应责任。</w:t>
      </w:r>
    </w:p>
    <w:p w14:paraId="359350D6">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44、保险</w:t>
      </w:r>
    </w:p>
    <w:p w14:paraId="39553839">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44.1工程开工前，发包人为建设工程和施工现场内的自有人员及第三人人员生命财产办理保险，支付保险费用。</w:t>
      </w:r>
    </w:p>
    <w:p w14:paraId="50B8C71D">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44.2发包人供应的运至施工场地内用于工程的材料设备，由发包人办理保险，并支付保险费用。</w:t>
      </w:r>
    </w:p>
    <w:p w14:paraId="0F656477">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44.3发包人可以将有关保险事项委托承包人办理，费用由发包人承担。</w:t>
      </w:r>
    </w:p>
    <w:p w14:paraId="13871795">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44.4承包人必须为施工场地内施工人员办理意外伤害保险和工伤保险，并为施工场地内的施工机械设备办理财产保险，支付保险费用。</w:t>
      </w:r>
    </w:p>
    <w:p w14:paraId="474F78A8">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44.5保险事故发生时，发包人承包人有责任尽力采取必要的措施，防止或者减少损失。</w:t>
      </w:r>
    </w:p>
    <w:p w14:paraId="1028DD8D">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44.6具体投保内容和相关责任，发包人承包人在专用条款中约定。</w:t>
      </w:r>
    </w:p>
    <w:p w14:paraId="1014B7D9">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45、担保</w:t>
      </w:r>
    </w:p>
    <w:p w14:paraId="53BFF11D">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45.1发包人承包人为了全面履行合同，应互相提供以下担保：</w:t>
      </w:r>
    </w:p>
    <w:p w14:paraId="00980C42">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（1）发包人向承包人提供支付担保，按合同约定支付工程价款及履行合同约定的其他义务。</w:t>
      </w:r>
    </w:p>
    <w:p w14:paraId="1FA621F0">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（2）承包人向发包人提供履约担保，按合同约定履行自己的各项义务。</w:t>
      </w:r>
    </w:p>
    <w:p w14:paraId="02988ACE">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45.2一方违约后，另一方可要求提供担保的第三人承担相应责任。</w:t>
      </w:r>
    </w:p>
    <w:p w14:paraId="77AE409F">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45.3提供担保的内容、方式和相关责任，发包人承包人除在专用条款中约定外，被担保方与担保方还应签订担保合同，作为本合同附件。</w:t>
      </w:r>
    </w:p>
    <w:p w14:paraId="66DF60E0">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46、专利技术及特殊工艺</w:t>
      </w:r>
    </w:p>
    <w:p w14:paraId="19D51F04">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46.1发包人要求使用专利技术或特殊工艺，应负责办理相应的申报手续，承担申报、试验、使用等费用；承包人提出使用专利技术或特殊工艺，应取得工程师认可，承包人负责办理申报手续并承担有关费用。</w:t>
      </w:r>
    </w:p>
    <w:p w14:paraId="7852CBEB">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46.2擅自使用专利技术侵犯他人专利权的，责任者依法承担相应责任。</w:t>
      </w:r>
    </w:p>
    <w:p w14:paraId="2B8E6ECA">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47、文物和地下障碍物</w:t>
      </w:r>
    </w:p>
    <w:p w14:paraId="4CAE0F98">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5A500034">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如发现后隐瞒不报，致使文物遭受破坏，责任者依法承担相应责任。</w:t>
      </w:r>
    </w:p>
    <w:p w14:paraId="76E68437">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A8D2B7A">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所发现的地下障碍物有归属单位时，发包人应报请有关部门协同处置。</w:t>
      </w:r>
    </w:p>
    <w:p w14:paraId="2DB47D34">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48、合同解除</w:t>
      </w:r>
    </w:p>
    <w:p w14:paraId="71452BA3">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48.1发包人承包人协商一致，可以解除合同。</w:t>
      </w:r>
    </w:p>
    <w:p w14:paraId="21AA2C5C">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48.2发生本通用条款第30.5款情况，停止施工超过56天，发包人仍不支付工程款（进度款），承包人有权解除合同。</w:t>
      </w:r>
    </w:p>
    <w:p w14:paraId="27912C6C">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48.3发生本通用条款第42.2款禁止的情况，发包人有权解除合同。</w:t>
      </w:r>
    </w:p>
    <w:p w14:paraId="6DB61017">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48.4有下列情形之一的，发包人承包人可以解除合同：</w:t>
      </w:r>
    </w:p>
    <w:p w14:paraId="29124D1F">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（1）因不可抗力致使合同无法履行；</w:t>
      </w:r>
    </w:p>
    <w:p w14:paraId="07C19BF1">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（2）因一方违约（包括因发包人原因造成工程停建或缓建）致使合同无法履行。</w:t>
      </w:r>
    </w:p>
    <w:p w14:paraId="3186483F">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07A1B706">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3E7DD963">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48.7合同解除后，不影响双方在合同中约定的结算和清理条款的效力。</w:t>
      </w:r>
    </w:p>
    <w:p w14:paraId="2D7037BF">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49、合同生效与终止</w:t>
      </w:r>
    </w:p>
    <w:p w14:paraId="32BE354F">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49.1双方在协议书中约定合同生效方式。</w:t>
      </w:r>
    </w:p>
    <w:p w14:paraId="6441E8A7">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49.2除本通用条款第38条外，发包人承包人履行合同全部义务，竣工结算价款支付完毕，承包人向发包人交付竣工工程后，本合同即告终止。</w:t>
      </w:r>
    </w:p>
    <w:p w14:paraId="3536366F">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49.3合同的权利义务终止后，发包人承包人应当遵循诚实信用原则，履行通知、协助、保密等义务。</w:t>
      </w:r>
    </w:p>
    <w:p w14:paraId="70541EBF">
      <w:pPr>
        <w:widowControl/>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50、合同份数</w:t>
      </w:r>
    </w:p>
    <w:p w14:paraId="69744B72">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50.1本合同正本两份，具有同等效力，由发包人承包人分别保存一份。</w:t>
      </w:r>
    </w:p>
    <w:p w14:paraId="1AABB181">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50.2本合同副本份数，由双方根据需要在专用条款内约定。</w:t>
      </w:r>
    </w:p>
    <w:p w14:paraId="3700881B">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51、补充条款</w:t>
      </w:r>
    </w:p>
    <w:p w14:paraId="3D9AE57F">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双方根据有关法律、行政法规规定，结合工程实际经协商一致后，可对本通用条款内容具体化、补充或修改，在专用条款内约定。</w:t>
      </w:r>
    </w:p>
    <w:p w14:paraId="0C0CC05A">
      <w:pPr>
        <w:rPr>
          <w:rFonts w:hint="eastAsia" w:ascii="Times New Roman" w:hAnsi="Times New Roman" w:eastAsia="宋体" w:cs="Times New Roman"/>
          <w:szCs w:val="24"/>
        </w:rPr>
      </w:pPr>
    </w:p>
    <w:p w14:paraId="4C842BD0">
      <w:pPr>
        <w:rPr>
          <w:rFonts w:hint="eastAsia" w:ascii="Times New Roman" w:hAnsi="Times New Roman" w:eastAsia="宋体" w:cs="Times New Roman"/>
          <w:szCs w:val="24"/>
        </w:rPr>
      </w:pPr>
    </w:p>
    <w:p w14:paraId="442999DB">
      <w:pPr>
        <w:rPr>
          <w:rFonts w:hint="eastAsia" w:ascii="Times New Roman" w:hAnsi="Times New Roman" w:eastAsia="宋体" w:cs="Times New Roman"/>
          <w:szCs w:val="24"/>
        </w:rPr>
      </w:pPr>
    </w:p>
    <w:p w14:paraId="1A3E7A97">
      <w:pPr>
        <w:rPr>
          <w:rFonts w:hint="eastAsia" w:ascii="Times New Roman" w:hAnsi="Times New Roman" w:eastAsia="宋体" w:cs="Times New Roman"/>
          <w:szCs w:val="24"/>
        </w:rPr>
      </w:pPr>
    </w:p>
    <w:p w14:paraId="0B0DE0C6">
      <w:pPr>
        <w:rPr>
          <w:rFonts w:hint="eastAsia" w:ascii="Times New Roman" w:hAnsi="Times New Roman" w:eastAsia="宋体" w:cs="Times New Roman"/>
          <w:szCs w:val="24"/>
        </w:rPr>
      </w:pPr>
    </w:p>
    <w:p w14:paraId="57A19CB9">
      <w:pPr>
        <w:rPr>
          <w:rFonts w:hint="eastAsia" w:ascii="Times New Roman" w:hAnsi="Times New Roman" w:eastAsia="宋体" w:cs="Times New Roman"/>
          <w:szCs w:val="24"/>
        </w:rPr>
      </w:pPr>
    </w:p>
    <w:p w14:paraId="13271FC1">
      <w:pPr>
        <w:widowControl/>
        <w:spacing w:line="600" w:lineRule="exact"/>
        <w:jc w:val="center"/>
        <w:rPr>
          <w:rFonts w:hint="eastAsia" w:ascii="宋体" w:hAnsi="宋体" w:eastAsia="宋体" w:cs="宋体"/>
          <w:bCs/>
          <w:kern w:val="0"/>
          <w:szCs w:val="21"/>
        </w:rPr>
      </w:pPr>
      <w:bookmarkStart w:id="37" w:name="_Toc222906339"/>
      <w:bookmarkStart w:id="38" w:name="_Toc28011"/>
      <w:r>
        <w:rPr>
          <w:rFonts w:hint="eastAsia" w:ascii="宋体" w:hAnsi="宋体" w:eastAsia="宋体" w:cs="宋体"/>
          <w:bCs/>
          <w:kern w:val="0"/>
          <w:szCs w:val="21"/>
        </w:rPr>
        <w:t>第三部分   专用条款</w:t>
      </w:r>
      <w:bookmarkEnd w:id="37"/>
      <w:bookmarkEnd w:id="38"/>
    </w:p>
    <w:p w14:paraId="0772EAF2">
      <w:pPr>
        <w:keepNext/>
        <w:keepLines/>
        <w:spacing w:line="600" w:lineRule="exact"/>
        <w:ind w:firstLine="314" w:firstLineChars="149"/>
        <w:outlineLvl w:val="0"/>
        <w:rPr>
          <w:rFonts w:hint="eastAsia" w:ascii="宋体" w:hAnsi="宋体" w:eastAsia="宋体" w:cs="宋体"/>
          <w:b/>
          <w:bCs/>
          <w:kern w:val="44"/>
          <w:szCs w:val="21"/>
        </w:rPr>
      </w:pPr>
      <w:bookmarkStart w:id="39" w:name="_Toc482003898"/>
      <w:bookmarkStart w:id="40" w:name="_Toc20660"/>
      <w:bookmarkStart w:id="41" w:name="_Toc222906340"/>
      <w:bookmarkStart w:id="42" w:name="_Toc482003971"/>
      <w:r>
        <w:rPr>
          <w:rFonts w:hint="eastAsia" w:ascii="宋体" w:hAnsi="宋体" w:eastAsia="宋体" w:cs="宋体"/>
          <w:b/>
          <w:bCs/>
          <w:kern w:val="44"/>
          <w:szCs w:val="21"/>
        </w:rPr>
        <w:t>一、词语定义及合同文件</w:t>
      </w:r>
      <w:bookmarkEnd w:id="39"/>
      <w:bookmarkEnd w:id="40"/>
      <w:bookmarkEnd w:id="41"/>
      <w:bookmarkEnd w:id="42"/>
    </w:p>
    <w:p w14:paraId="550D95EB">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1、专用合同条款是对通用条款中相应内容的解释、补充、删除或修改，未作改动的条款按通用条款执行。</w:t>
      </w:r>
    </w:p>
    <w:p w14:paraId="1816A793">
      <w:pPr>
        <w:tabs>
          <w:tab w:val="left" w:pos="6060"/>
        </w:tabs>
        <w:spacing w:line="600" w:lineRule="exact"/>
        <w:ind w:firstLine="472" w:firstLineChars="224"/>
        <w:rPr>
          <w:rFonts w:hint="eastAsia" w:ascii="宋体" w:hAnsi="宋体" w:eastAsia="宋体" w:cs="宋体"/>
          <w:b/>
          <w:bCs/>
          <w:szCs w:val="21"/>
        </w:rPr>
      </w:pPr>
      <w:r>
        <w:rPr>
          <w:rFonts w:hint="eastAsia" w:ascii="宋体" w:hAnsi="宋体" w:eastAsia="宋体" w:cs="宋体"/>
          <w:b/>
          <w:bCs/>
          <w:szCs w:val="21"/>
        </w:rPr>
        <w:t>2、合同文件及解释顺序</w:t>
      </w:r>
    </w:p>
    <w:p w14:paraId="7E7A35CB">
      <w:pPr>
        <w:autoSpaceDE w:val="0"/>
        <w:autoSpaceDN w:val="0"/>
        <w:adjustRightInd w:val="0"/>
        <w:spacing w:line="600" w:lineRule="exact"/>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 xml:space="preserve">合同文件组成及解释顺序： </w:t>
      </w:r>
      <w:r>
        <w:rPr>
          <w:rFonts w:hint="eastAsia" w:ascii="宋体" w:hAnsi="宋体" w:eastAsia="宋体" w:cs="宋体"/>
          <w:kern w:val="0"/>
          <w:szCs w:val="21"/>
          <w:u w:val="single"/>
        </w:rPr>
        <w:fldChar w:fldCharType="begin"/>
      </w:r>
      <w:r>
        <w:rPr>
          <w:rFonts w:hint="eastAsia" w:ascii="宋体" w:hAnsi="宋体" w:eastAsia="宋体" w:cs="宋体"/>
          <w:kern w:val="0"/>
          <w:szCs w:val="21"/>
          <w:u w:val="single"/>
        </w:rPr>
        <w:instrText xml:space="preserve"> eq \o\ac(○,1)</w:instrText>
      </w:r>
      <w:r>
        <w:rPr>
          <w:rFonts w:hint="eastAsia" w:ascii="宋体" w:hAnsi="宋体" w:eastAsia="宋体" w:cs="宋体"/>
          <w:kern w:val="0"/>
          <w:szCs w:val="21"/>
          <w:u w:val="single"/>
        </w:rPr>
        <w:fldChar w:fldCharType="end"/>
      </w:r>
      <w:r>
        <w:rPr>
          <w:rFonts w:hint="eastAsia" w:ascii="宋体" w:hAnsi="宋体" w:eastAsia="宋体" w:cs="宋体"/>
          <w:kern w:val="0"/>
          <w:szCs w:val="21"/>
          <w:u w:val="single"/>
        </w:rPr>
        <w:t>本合同协议书、合同补充协议书；</w:t>
      </w:r>
      <w:r>
        <w:rPr>
          <w:rFonts w:hint="eastAsia" w:ascii="宋体" w:hAnsi="宋体" w:eastAsia="宋体" w:cs="宋体"/>
          <w:kern w:val="0"/>
          <w:szCs w:val="21"/>
          <w:u w:val="single"/>
        </w:rPr>
        <w:fldChar w:fldCharType="begin"/>
      </w:r>
      <w:r>
        <w:rPr>
          <w:rFonts w:hint="eastAsia" w:ascii="宋体" w:hAnsi="宋体" w:eastAsia="宋体" w:cs="宋体"/>
          <w:kern w:val="0"/>
          <w:szCs w:val="21"/>
          <w:u w:val="single"/>
        </w:rPr>
        <w:instrText xml:space="preserve"> eq \o\ac(○,2)</w:instrText>
      </w:r>
      <w:r>
        <w:rPr>
          <w:rFonts w:hint="eastAsia" w:ascii="宋体" w:hAnsi="宋体" w:eastAsia="宋体" w:cs="宋体"/>
          <w:kern w:val="0"/>
          <w:szCs w:val="21"/>
          <w:u w:val="single"/>
        </w:rPr>
        <w:fldChar w:fldCharType="end"/>
      </w:r>
      <w:r>
        <w:rPr>
          <w:rFonts w:hint="eastAsia" w:ascii="宋体" w:hAnsi="宋体" w:eastAsia="宋体" w:cs="宋体"/>
          <w:kern w:val="0"/>
          <w:szCs w:val="21"/>
          <w:u w:val="single"/>
        </w:rPr>
        <w:t>专用条款；</w:t>
      </w:r>
      <w:r>
        <w:rPr>
          <w:rFonts w:hint="eastAsia" w:ascii="宋体" w:hAnsi="宋体" w:eastAsia="宋体" w:cs="宋体"/>
          <w:kern w:val="0"/>
          <w:szCs w:val="21"/>
          <w:u w:val="single"/>
        </w:rPr>
        <w:fldChar w:fldCharType="begin"/>
      </w:r>
      <w:r>
        <w:rPr>
          <w:rFonts w:hint="eastAsia" w:ascii="宋体" w:hAnsi="宋体" w:eastAsia="宋体" w:cs="宋体"/>
          <w:kern w:val="0"/>
          <w:szCs w:val="21"/>
          <w:u w:val="single"/>
        </w:rPr>
        <w:instrText xml:space="preserve"> eq \o\ac(○,3)</w:instrText>
      </w:r>
      <w:r>
        <w:rPr>
          <w:rFonts w:hint="eastAsia" w:ascii="宋体" w:hAnsi="宋体" w:eastAsia="宋体" w:cs="宋体"/>
          <w:kern w:val="0"/>
          <w:szCs w:val="21"/>
          <w:u w:val="single"/>
        </w:rPr>
        <w:fldChar w:fldCharType="end"/>
      </w:r>
      <w:r>
        <w:rPr>
          <w:rFonts w:hint="eastAsia" w:ascii="宋体" w:hAnsi="宋体" w:eastAsia="宋体" w:cs="宋体"/>
          <w:kern w:val="0"/>
          <w:szCs w:val="21"/>
          <w:u w:val="single"/>
        </w:rPr>
        <w:t>通用条款；</w:t>
      </w:r>
      <w:r>
        <w:rPr>
          <w:rFonts w:hint="eastAsia" w:ascii="宋体" w:hAnsi="宋体" w:eastAsia="宋体" w:cs="宋体"/>
          <w:kern w:val="0"/>
          <w:szCs w:val="21"/>
          <w:u w:val="single"/>
        </w:rPr>
        <w:fldChar w:fldCharType="begin"/>
      </w:r>
      <w:r>
        <w:rPr>
          <w:rFonts w:hint="eastAsia" w:ascii="宋体" w:hAnsi="宋体" w:eastAsia="宋体" w:cs="宋体"/>
          <w:kern w:val="0"/>
          <w:szCs w:val="21"/>
          <w:u w:val="single"/>
        </w:rPr>
        <w:instrText xml:space="preserve"> eq \o\ac(○,4)</w:instrText>
      </w:r>
      <w:r>
        <w:rPr>
          <w:rFonts w:hint="eastAsia" w:ascii="宋体" w:hAnsi="宋体" w:eastAsia="宋体" w:cs="宋体"/>
          <w:kern w:val="0"/>
          <w:szCs w:val="21"/>
          <w:u w:val="single"/>
        </w:rPr>
        <w:fldChar w:fldCharType="end"/>
      </w:r>
      <w:r>
        <w:rPr>
          <w:rFonts w:hint="eastAsia" w:ascii="宋体" w:hAnsi="宋体" w:eastAsia="宋体" w:cs="宋体"/>
          <w:kern w:val="0"/>
          <w:szCs w:val="21"/>
          <w:u w:val="single"/>
        </w:rPr>
        <w:t>中标通知书；</w:t>
      </w:r>
      <w:r>
        <w:rPr>
          <w:rFonts w:hint="eastAsia" w:ascii="宋体" w:hAnsi="宋体" w:eastAsia="宋体" w:cs="宋体"/>
          <w:kern w:val="0"/>
          <w:szCs w:val="21"/>
          <w:u w:val="single"/>
        </w:rPr>
        <w:fldChar w:fldCharType="begin"/>
      </w:r>
      <w:r>
        <w:rPr>
          <w:rFonts w:hint="eastAsia" w:ascii="宋体" w:hAnsi="宋体" w:eastAsia="宋体" w:cs="宋体"/>
          <w:kern w:val="0"/>
          <w:szCs w:val="21"/>
          <w:u w:val="single"/>
        </w:rPr>
        <w:instrText xml:space="preserve"> eq \o\ac(○,5)</w:instrText>
      </w:r>
      <w:r>
        <w:rPr>
          <w:rFonts w:hint="eastAsia" w:ascii="宋体" w:hAnsi="宋体" w:eastAsia="宋体" w:cs="宋体"/>
          <w:kern w:val="0"/>
          <w:szCs w:val="21"/>
          <w:u w:val="single"/>
        </w:rPr>
        <w:fldChar w:fldCharType="end"/>
      </w:r>
      <w:r>
        <w:rPr>
          <w:rFonts w:hint="eastAsia" w:ascii="宋体" w:hAnsi="宋体" w:eastAsia="宋体" w:cs="宋体"/>
          <w:kern w:val="0"/>
          <w:szCs w:val="21"/>
          <w:u w:val="single"/>
        </w:rPr>
        <w:t>投标书、工程报价单及预算书及其附件；</w:t>
      </w:r>
      <w:r>
        <w:rPr>
          <w:rFonts w:hint="eastAsia" w:ascii="宋体" w:hAnsi="宋体" w:eastAsia="宋体" w:cs="宋体"/>
          <w:kern w:val="0"/>
          <w:szCs w:val="21"/>
          <w:u w:val="single"/>
        </w:rPr>
        <w:fldChar w:fldCharType="begin"/>
      </w:r>
      <w:r>
        <w:rPr>
          <w:rFonts w:hint="eastAsia" w:ascii="宋体" w:hAnsi="宋体" w:eastAsia="宋体" w:cs="宋体"/>
          <w:kern w:val="0"/>
          <w:szCs w:val="21"/>
          <w:u w:val="single"/>
        </w:rPr>
        <w:instrText xml:space="preserve"> eq \o\ac(○,6)</w:instrText>
      </w:r>
      <w:r>
        <w:rPr>
          <w:rFonts w:hint="eastAsia" w:ascii="宋体" w:hAnsi="宋体" w:eastAsia="宋体" w:cs="宋体"/>
          <w:kern w:val="0"/>
          <w:szCs w:val="21"/>
          <w:u w:val="single"/>
        </w:rPr>
        <w:fldChar w:fldCharType="end"/>
      </w:r>
      <w:r>
        <w:rPr>
          <w:rFonts w:hint="eastAsia" w:ascii="宋体" w:hAnsi="宋体" w:eastAsia="宋体" w:cs="宋体"/>
          <w:kern w:val="0"/>
          <w:szCs w:val="21"/>
          <w:u w:val="single"/>
        </w:rPr>
        <w:t>招标文件、招标补遗和修正、答疑纪要、工程量清单；</w:t>
      </w:r>
      <w:r>
        <w:rPr>
          <w:rFonts w:hint="eastAsia" w:ascii="宋体" w:hAnsi="宋体" w:eastAsia="宋体" w:cs="宋体"/>
          <w:kern w:val="0"/>
          <w:szCs w:val="21"/>
          <w:u w:val="single"/>
        </w:rPr>
        <w:fldChar w:fldCharType="begin"/>
      </w:r>
      <w:r>
        <w:rPr>
          <w:rFonts w:hint="eastAsia" w:ascii="宋体" w:hAnsi="宋体" w:eastAsia="宋体" w:cs="宋体"/>
          <w:kern w:val="0"/>
          <w:szCs w:val="21"/>
          <w:u w:val="single"/>
        </w:rPr>
        <w:instrText xml:space="preserve"> eq \o\ac(○,7)</w:instrText>
      </w:r>
      <w:r>
        <w:rPr>
          <w:rFonts w:hint="eastAsia" w:ascii="宋体" w:hAnsi="宋体" w:eastAsia="宋体" w:cs="宋体"/>
          <w:kern w:val="0"/>
          <w:szCs w:val="21"/>
          <w:u w:val="single"/>
        </w:rPr>
        <w:fldChar w:fldCharType="end"/>
      </w:r>
      <w:r>
        <w:rPr>
          <w:rFonts w:hint="eastAsia" w:ascii="宋体" w:hAnsi="宋体" w:eastAsia="宋体" w:cs="宋体"/>
          <w:kern w:val="0"/>
          <w:szCs w:val="21"/>
          <w:u w:val="single"/>
        </w:rPr>
        <w:t>图纸；</w:t>
      </w:r>
      <w:r>
        <w:rPr>
          <w:rFonts w:hint="eastAsia" w:ascii="宋体" w:hAnsi="宋体" w:eastAsia="宋体" w:cs="宋体"/>
          <w:kern w:val="0"/>
          <w:szCs w:val="21"/>
          <w:u w:val="single"/>
        </w:rPr>
        <w:fldChar w:fldCharType="begin"/>
      </w:r>
      <w:r>
        <w:rPr>
          <w:rFonts w:hint="eastAsia" w:ascii="宋体" w:hAnsi="宋体" w:eastAsia="宋体" w:cs="宋体"/>
          <w:kern w:val="0"/>
          <w:szCs w:val="21"/>
          <w:u w:val="single"/>
        </w:rPr>
        <w:instrText xml:space="preserve"> eq \o\ac(○,8)</w:instrText>
      </w:r>
      <w:r>
        <w:rPr>
          <w:rFonts w:hint="eastAsia" w:ascii="宋体" w:hAnsi="宋体" w:eastAsia="宋体" w:cs="宋体"/>
          <w:kern w:val="0"/>
          <w:szCs w:val="21"/>
          <w:u w:val="single"/>
        </w:rPr>
        <w:fldChar w:fldCharType="end"/>
      </w:r>
      <w:r>
        <w:rPr>
          <w:rFonts w:hint="eastAsia" w:ascii="宋体" w:hAnsi="宋体" w:eastAsia="宋体" w:cs="宋体"/>
          <w:kern w:val="0"/>
          <w:szCs w:val="21"/>
          <w:u w:val="single"/>
        </w:rPr>
        <w:t>标准、规范及有关技术文件。</w:t>
      </w:r>
    </w:p>
    <w:p w14:paraId="03C61D5D">
      <w:pPr>
        <w:tabs>
          <w:tab w:val="left" w:pos="6060"/>
        </w:tabs>
        <w:spacing w:line="600" w:lineRule="exact"/>
        <w:ind w:firstLine="472" w:firstLineChars="224"/>
        <w:rPr>
          <w:rFonts w:hint="eastAsia" w:ascii="宋体" w:hAnsi="宋体" w:eastAsia="宋体" w:cs="宋体"/>
          <w:b/>
          <w:bCs/>
          <w:szCs w:val="21"/>
        </w:rPr>
      </w:pPr>
      <w:r>
        <w:rPr>
          <w:rFonts w:hint="eastAsia" w:ascii="宋体" w:hAnsi="宋体" w:eastAsia="宋体" w:cs="宋体"/>
          <w:b/>
          <w:bCs/>
          <w:szCs w:val="21"/>
        </w:rPr>
        <w:t>3、语言文字和适用法律、标准及规范</w:t>
      </w:r>
    </w:p>
    <w:p w14:paraId="6573A2AC">
      <w:pPr>
        <w:tabs>
          <w:tab w:val="left" w:pos="6060"/>
        </w:tabs>
        <w:spacing w:line="600" w:lineRule="exact"/>
        <w:ind w:firstLine="470" w:firstLineChars="224"/>
        <w:rPr>
          <w:rFonts w:hint="eastAsia" w:ascii="宋体" w:hAnsi="宋体" w:eastAsia="宋体" w:cs="宋体"/>
          <w:kern w:val="0"/>
          <w:szCs w:val="21"/>
        </w:rPr>
      </w:pPr>
      <w:r>
        <w:rPr>
          <w:rFonts w:hint="eastAsia" w:ascii="宋体" w:hAnsi="宋体" w:eastAsia="宋体" w:cs="宋体"/>
          <w:kern w:val="0"/>
          <w:szCs w:val="21"/>
        </w:rPr>
        <w:t>3.1本合同除使用汉语外，不使用 其它 语言文字。</w:t>
      </w:r>
    </w:p>
    <w:p w14:paraId="0596D30A">
      <w:pPr>
        <w:tabs>
          <w:tab w:val="left" w:pos="6060"/>
        </w:tabs>
        <w:spacing w:line="600" w:lineRule="exact"/>
        <w:ind w:firstLine="470" w:firstLineChars="224"/>
        <w:rPr>
          <w:rFonts w:hint="eastAsia" w:ascii="宋体" w:hAnsi="宋体" w:eastAsia="宋体" w:cs="宋体"/>
          <w:kern w:val="0"/>
          <w:szCs w:val="21"/>
        </w:rPr>
      </w:pPr>
      <w:r>
        <w:rPr>
          <w:rFonts w:hint="eastAsia" w:ascii="宋体" w:hAnsi="宋体" w:eastAsia="宋体" w:cs="宋体"/>
          <w:kern w:val="0"/>
          <w:szCs w:val="21"/>
        </w:rPr>
        <w:t>3.2适用法律和法规</w:t>
      </w:r>
    </w:p>
    <w:p w14:paraId="393A8887">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需要明示的法律、行政法规：</w:t>
      </w:r>
      <w:r>
        <w:rPr>
          <w:rFonts w:hint="eastAsia" w:ascii="宋体" w:hAnsi="宋体" w:eastAsia="宋体" w:cs="宋体"/>
          <w:kern w:val="0"/>
          <w:szCs w:val="21"/>
          <w:u w:val="single"/>
        </w:rPr>
        <w:t>国家现行法律法规及地方有关法规、规章。</w:t>
      </w:r>
    </w:p>
    <w:p w14:paraId="60E60E03">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3.3适用标准、规范：</w:t>
      </w:r>
    </w:p>
    <w:p w14:paraId="08CF0026">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适用标准、规范的名称：</w:t>
      </w:r>
    </w:p>
    <w:p w14:paraId="3BAF6DD4">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3.3.1现行国家有关施工技术规范、标准及强制性条文和地方有关规范、标准。</w:t>
      </w:r>
    </w:p>
    <w:p w14:paraId="1B4945FB">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3.3.2工程招投标及施工期间，如果有新版的规范和标准颁布，原则上应执行新版的规范和标准，除设计要求继续执行原标准规范外。</w:t>
      </w:r>
    </w:p>
    <w:p w14:paraId="2D7F6B15">
      <w:pPr>
        <w:spacing w:line="600" w:lineRule="exact"/>
        <w:ind w:firstLine="573"/>
        <w:rPr>
          <w:rFonts w:hint="eastAsia" w:ascii="宋体" w:hAnsi="宋体" w:eastAsia="宋体" w:cs="宋体"/>
          <w:kern w:val="0"/>
          <w:szCs w:val="21"/>
          <w:u w:val="single"/>
        </w:rPr>
      </w:pPr>
      <w:r>
        <w:rPr>
          <w:rFonts w:hint="eastAsia" w:ascii="宋体" w:hAnsi="宋体" w:eastAsia="宋体" w:cs="宋体"/>
          <w:kern w:val="0"/>
          <w:szCs w:val="21"/>
        </w:rPr>
        <w:t>发包人提供标准、规范的时间：</w:t>
      </w:r>
      <w:r>
        <w:rPr>
          <w:rFonts w:hint="eastAsia" w:ascii="宋体" w:hAnsi="宋体" w:eastAsia="宋体" w:cs="宋体"/>
          <w:kern w:val="0"/>
          <w:szCs w:val="21"/>
          <w:u w:val="single"/>
        </w:rPr>
        <w:t>除施工图纸外所有标准、规范、规程及标准图集等均由承包人自备，费用承包人自理。</w:t>
      </w:r>
    </w:p>
    <w:p w14:paraId="698C4DC0">
      <w:pPr>
        <w:tabs>
          <w:tab w:val="left" w:pos="6060"/>
        </w:tabs>
        <w:spacing w:line="600" w:lineRule="exact"/>
        <w:ind w:firstLine="472" w:firstLineChars="224"/>
        <w:rPr>
          <w:rFonts w:hint="eastAsia" w:ascii="宋体" w:hAnsi="宋体" w:eastAsia="宋体" w:cs="宋体"/>
          <w:b/>
          <w:bCs/>
          <w:szCs w:val="21"/>
        </w:rPr>
      </w:pPr>
      <w:r>
        <w:rPr>
          <w:rFonts w:hint="eastAsia" w:ascii="宋体" w:hAnsi="宋体" w:eastAsia="宋体" w:cs="宋体"/>
          <w:b/>
          <w:bCs/>
          <w:szCs w:val="21"/>
        </w:rPr>
        <w:t>4、图纸</w:t>
      </w:r>
    </w:p>
    <w:p w14:paraId="7ADCCFE2">
      <w:pPr>
        <w:tabs>
          <w:tab w:val="left" w:pos="6060"/>
        </w:tabs>
        <w:spacing w:line="600" w:lineRule="exact"/>
        <w:ind w:firstLine="470" w:firstLineChars="224"/>
        <w:rPr>
          <w:rFonts w:hint="eastAsia" w:ascii="宋体" w:hAnsi="宋体" w:eastAsia="宋体" w:cs="宋体"/>
          <w:szCs w:val="21"/>
          <w:u w:val="single"/>
        </w:rPr>
      </w:pPr>
      <w:r>
        <w:rPr>
          <w:rFonts w:hint="eastAsia" w:ascii="宋体" w:hAnsi="宋体" w:eastAsia="宋体" w:cs="宋体"/>
          <w:szCs w:val="21"/>
        </w:rPr>
        <w:t>4.1发包人向承包人提供图纸日期和套数：</w:t>
      </w:r>
      <w:r>
        <w:rPr>
          <w:rFonts w:hint="eastAsia" w:ascii="宋体" w:hAnsi="宋体" w:eastAsia="宋体" w:cs="宋体"/>
          <w:szCs w:val="21"/>
          <w:u w:val="single"/>
        </w:rPr>
        <w:t xml:space="preserve">  开工前提供施工蓝图三套。</w:t>
      </w:r>
    </w:p>
    <w:p w14:paraId="16588E8F">
      <w:pPr>
        <w:spacing w:line="600" w:lineRule="exact"/>
        <w:ind w:firstLine="556"/>
        <w:rPr>
          <w:rFonts w:hint="eastAsia" w:ascii="宋体" w:hAnsi="宋体" w:eastAsia="宋体" w:cs="宋体"/>
          <w:kern w:val="0"/>
          <w:szCs w:val="21"/>
          <w:u w:val="single"/>
        </w:rPr>
      </w:pPr>
      <w:r>
        <w:rPr>
          <w:rFonts w:hint="eastAsia" w:ascii="宋体" w:hAnsi="宋体" w:eastAsia="宋体" w:cs="宋体"/>
          <w:szCs w:val="21"/>
        </w:rPr>
        <w:t>发包人对图纸的保密要求：</w:t>
      </w:r>
      <w:r>
        <w:rPr>
          <w:rFonts w:hint="eastAsia" w:ascii="宋体" w:hAnsi="宋体" w:eastAsia="宋体" w:cs="宋体"/>
          <w:kern w:val="0"/>
          <w:szCs w:val="21"/>
          <w:u w:val="single"/>
        </w:rPr>
        <w:t>仅限本工程使用，不得外传、外借，不得以任何形式超出本工程范围使用或牟利。</w:t>
      </w:r>
    </w:p>
    <w:p w14:paraId="6404FB82">
      <w:pPr>
        <w:spacing w:line="600" w:lineRule="exact"/>
        <w:ind w:firstLine="556"/>
        <w:rPr>
          <w:rFonts w:hint="eastAsia" w:ascii="宋体" w:hAnsi="宋体" w:eastAsia="宋体" w:cs="宋体"/>
          <w:kern w:val="0"/>
          <w:szCs w:val="21"/>
        </w:rPr>
      </w:pPr>
      <w:r>
        <w:rPr>
          <w:rFonts w:hint="eastAsia" w:ascii="宋体" w:hAnsi="宋体" w:eastAsia="宋体" w:cs="宋体"/>
          <w:kern w:val="0"/>
          <w:szCs w:val="21"/>
        </w:rPr>
        <w:t>使用国外图纸的要求及费用承担：</w:t>
      </w:r>
      <w:r>
        <w:rPr>
          <w:rFonts w:hint="eastAsia" w:ascii="宋体" w:hAnsi="宋体" w:eastAsia="宋体" w:cs="宋体"/>
          <w:kern w:val="0"/>
          <w:szCs w:val="21"/>
          <w:u w:val="single"/>
        </w:rPr>
        <w:t xml:space="preserve">  无 </w:t>
      </w:r>
      <w:r>
        <w:rPr>
          <w:rFonts w:hint="eastAsia" w:ascii="宋体" w:hAnsi="宋体" w:eastAsia="宋体" w:cs="宋体"/>
          <w:kern w:val="0"/>
          <w:szCs w:val="21"/>
        </w:rPr>
        <w:t xml:space="preserve">  </w:t>
      </w:r>
    </w:p>
    <w:p w14:paraId="7BC5E313">
      <w:pPr>
        <w:keepNext/>
        <w:keepLines/>
        <w:spacing w:line="600" w:lineRule="exact"/>
        <w:ind w:firstLine="314" w:firstLineChars="149"/>
        <w:outlineLvl w:val="0"/>
        <w:rPr>
          <w:rFonts w:hint="eastAsia" w:ascii="宋体" w:hAnsi="宋体" w:eastAsia="宋体" w:cs="宋体"/>
          <w:b/>
          <w:bCs/>
          <w:kern w:val="44"/>
          <w:szCs w:val="21"/>
        </w:rPr>
      </w:pPr>
      <w:bookmarkStart w:id="43" w:name="_Toc482003972"/>
      <w:bookmarkStart w:id="44" w:name="_Toc482003899"/>
      <w:bookmarkStart w:id="45" w:name="_Toc16063"/>
      <w:bookmarkStart w:id="46" w:name="_Toc222906341"/>
      <w:r>
        <w:rPr>
          <w:rFonts w:hint="eastAsia" w:ascii="宋体" w:hAnsi="宋体" w:eastAsia="宋体" w:cs="宋体"/>
          <w:b/>
          <w:bCs/>
          <w:kern w:val="44"/>
          <w:szCs w:val="21"/>
        </w:rPr>
        <w:t>二、双方一般权利和义务</w:t>
      </w:r>
      <w:bookmarkEnd w:id="43"/>
      <w:bookmarkEnd w:id="44"/>
      <w:bookmarkEnd w:id="45"/>
      <w:bookmarkEnd w:id="46"/>
    </w:p>
    <w:p w14:paraId="119339FE">
      <w:pPr>
        <w:tabs>
          <w:tab w:val="left" w:pos="6060"/>
        </w:tabs>
        <w:spacing w:line="600" w:lineRule="exact"/>
        <w:ind w:firstLine="413" w:firstLineChars="196"/>
        <w:rPr>
          <w:rFonts w:hint="eastAsia" w:ascii="宋体" w:hAnsi="宋体" w:eastAsia="宋体" w:cs="宋体"/>
          <w:b/>
          <w:bCs/>
          <w:szCs w:val="21"/>
        </w:rPr>
      </w:pPr>
      <w:r>
        <w:rPr>
          <w:rFonts w:hint="eastAsia" w:ascii="宋体" w:hAnsi="宋体" w:eastAsia="宋体" w:cs="宋体"/>
          <w:b/>
          <w:bCs/>
          <w:szCs w:val="21"/>
        </w:rPr>
        <w:t>5、工程师</w:t>
      </w:r>
    </w:p>
    <w:p w14:paraId="50F0E38D">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5.2监理单位委派的工程师</w:t>
      </w:r>
    </w:p>
    <w:p w14:paraId="6B8651FC">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姓名：</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职务：  </w:t>
      </w:r>
      <w:r>
        <w:rPr>
          <w:rFonts w:hint="eastAsia" w:ascii="宋体" w:hAnsi="宋体" w:eastAsia="宋体" w:cs="宋体"/>
          <w:kern w:val="0"/>
          <w:szCs w:val="21"/>
          <w:u w:val="single"/>
        </w:rPr>
        <w:t xml:space="preserve"> 总监理工程师</w:t>
      </w:r>
      <w:r>
        <w:rPr>
          <w:rFonts w:hint="eastAsia" w:ascii="宋体" w:hAnsi="宋体" w:eastAsia="宋体" w:cs="宋体"/>
          <w:kern w:val="0"/>
          <w:szCs w:val="21"/>
        </w:rPr>
        <w:t xml:space="preserve">     </w:t>
      </w:r>
    </w:p>
    <w:p w14:paraId="12763570">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发包人委托的职权：</w:t>
      </w:r>
    </w:p>
    <w:p w14:paraId="2A4BD834">
      <w:pPr>
        <w:spacing w:line="600" w:lineRule="exact"/>
        <w:rPr>
          <w:rFonts w:hint="eastAsia" w:ascii="宋体" w:hAnsi="宋体" w:eastAsia="宋体" w:cs="宋体"/>
          <w:kern w:val="0"/>
          <w:szCs w:val="21"/>
        </w:rPr>
      </w:pPr>
      <w:r>
        <w:rPr>
          <w:rFonts w:hint="eastAsia" w:ascii="宋体" w:hAnsi="宋体" w:eastAsia="宋体" w:cs="宋体"/>
          <w:szCs w:val="21"/>
        </w:rPr>
        <w:t xml:space="preserve">   </w:t>
      </w:r>
      <w:r>
        <w:rPr>
          <w:rFonts w:hint="eastAsia" w:ascii="宋体" w:hAnsi="宋体" w:eastAsia="宋体" w:cs="宋体"/>
          <w:kern w:val="0"/>
          <w:szCs w:val="21"/>
        </w:rPr>
        <w:t>①施工过程中质量控制，进度控制，投资控制，合同管理和信息管理，安全管理、文明施工管理，以及施工过程中的组织协调。</w:t>
      </w:r>
    </w:p>
    <w:p w14:paraId="0A982FC2">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②审核工程施工组织设计和施工方案。</w:t>
      </w:r>
    </w:p>
    <w:p w14:paraId="3987F388">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③征得发包人同意，下达开工令、停工令、复工令。</w:t>
      </w:r>
    </w:p>
    <w:p w14:paraId="4891D24F">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④施工材料的“见证取样”、复检和工序质量的检查验收以及旁站监督。</w:t>
      </w:r>
    </w:p>
    <w:p w14:paraId="31572A80">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⑤施工进度、施工安全文明的检查、监督以及进度款支付的审核。</w:t>
      </w:r>
    </w:p>
    <w:p w14:paraId="75E00611">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⑥组织检验批、分部、竣工验收。</w:t>
      </w:r>
    </w:p>
    <w:p w14:paraId="0E3B4677">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需要取得发包人委托才能行使的职权：</w:t>
      </w:r>
    </w:p>
    <w:p w14:paraId="59642C86">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①对工程质量、进度有影响事件作出的处理决定。</w:t>
      </w:r>
    </w:p>
    <w:p w14:paraId="16A3ED04">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②对工程变更、现场签证、索赔、工期调整、主要施工方案的变更等涉及变更合同价款或者调整工期的决定。</w:t>
      </w:r>
    </w:p>
    <w:p w14:paraId="28863AE3">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③对发包人履行合同有较大影响事件的决定。</w:t>
      </w:r>
    </w:p>
    <w:p w14:paraId="22B34FC9">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④监理工程师无权免除或变更合同约定的发包人和承包人的权利、义务和责任。</w:t>
      </w:r>
    </w:p>
    <w:p w14:paraId="5D596853">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合同约定应由承包人承担的义务和责任，不因监理人对承包人提交文件的审查或批准，对工程、材料和设备的检查和检验，以及为履行监理义务作出的指示等职务行为而减轻或解除。</w:t>
      </w:r>
    </w:p>
    <w:p w14:paraId="11FD4A7A">
      <w:pPr>
        <w:tabs>
          <w:tab w:val="left" w:pos="6060"/>
        </w:tabs>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5.3发包人派驻的工程师</w:t>
      </w:r>
    </w:p>
    <w:p w14:paraId="0606BC4A">
      <w:pPr>
        <w:autoSpaceDE w:val="0"/>
        <w:autoSpaceDN w:val="0"/>
        <w:adjustRightInd w:val="0"/>
        <w:spacing w:line="600" w:lineRule="exact"/>
        <w:ind w:firstLine="630" w:firstLineChars="300"/>
        <w:jc w:val="left"/>
        <w:rPr>
          <w:rFonts w:hint="eastAsia" w:ascii="宋体" w:hAnsi="宋体" w:eastAsia="宋体" w:cs="宋体"/>
          <w:kern w:val="0"/>
          <w:szCs w:val="21"/>
          <w:u w:val="single"/>
        </w:rPr>
      </w:pPr>
      <w:r>
        <w:rPr>
          <w:rFonts w:hint="eastAsia" w:ascii="宋体" w:hAnsi="宋体" w:eastAsia="宋体" w:cs="宋体"/>
          <w:kern w:val="0"/>
          <w:szCs w:val="21"/>
        </w:rPr>
        <w:t>姓名：</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职务：</w:t>
      </w:r>
      <w:r>
        <w:rPr>
          <w:rFonts w:hint="eastAsia" w:ascii="宋体" w:hAnsi="宋体" w:eastAsia="宋体" w:cs="宋体"/>
          <w:kern w:val="0"/>
          <w:szCs w:val="21"/>
          <w:u w:val="single"/>
        </w:rPr>
        <w:t xml:space="preserve">甲方代表 </w:t>
      </w:r>
    </w:p>
    <w:p w14:paraId="73AF2BD8">
      <w:pPr>
        <w:autoSpaceDE w:val="0"/>
        <w:autoSpaceDN w:val="0"/>
        <w:adjustRightInd w:val="0"/>
        <w:spacing w:line="600" w:lineRule="exact"/>
        <w:ind w:firstLine="630" w:firstLineChars="300"/>
        <w:jc w:val="left"/>
        <w:rPr>
          <w:rFonts w:hint="eastAsia" w:ascii="宋体" w:hAnsi="宋体" w:eastAsia="宋体" w:cs="宋体"/>
          <w:kern w:val="0"/>
          <w:szCs w:val="21"/>
        </w:rPr>
      </w:pPr>
      <w:r>
        <w:rPr>
          <w:rFonts w:hint="eastAsia" w:ascii="宋体" w:hAnsi="宋体" w:eastAsia="宋体" w:cs="宋体"/>
          <w:kern w:val="0"/>
          <w:szCs w:val="21"/>
        </w:rPr>
        <w:t>职权：依据发包人有关工程管理制度全面履行本合同</w:t>
      </w:r>
    </w:p>
    <w:p w14:paraId="08F8EBBC">
      <w:pPr>
        <w:tabs>
          <w:tab w:val="left" w:pos="6060"/>
        </w:tabs>
        <w:spacing w:line="600" w:lineRule="exact"/>
        <w:ind w:firstLine="422" w:firstLineChars="200"/>
        <w:rPr>
          <w:rFonts w:hint="eastAsia" w:ascii="宋体" w:hAnsi="宋体" w:eastAsia="宋体" w:cs="宋体"/>
          <w:b/>
          <w:bCs/>
          <w:szCs w:val="21"/>
        </w:rPr>
      </w:pPr>
      <w:r>
        <w:rPr>
          <w:rFonts w:hint="eastAsia" w:ascii="宋体" w:hAnsi="宋体" w:eastAsia="宋体" w:cs="宋体"/>
          <w:b/>
          <w:bCs/>
          <w:szCs w:val="21"/>
        </w:rPr>
        <w:t>7、建造师</w:t>
      </w:r>
    </w:p>
    <w:p w14:paraId="35C4CC78">
      <w:pPr>
        <w:tabs>
          <w:tab w:val="left" w:pos="6060"/>
        </w:tabs>
        <w:spacing w:line="600" w:lineRule="exact"/>
        <w:ind w:firstLine="420" w:firstLineChars="200"/>
        <w:rPr>
          <w:rFonts w:hint="eastAsia" w:ascii="宋体" w:hAnsi="宋体" w:eastAsia="宋体" w:cs="宋体"/>
          <w:kern w:val="0"/>
          <w:szCs w:val="21"/>
          <w:u w:val="single"/>
        </w:rPr>
      </w:pPr>
      <w:r>
        <w:rPr>
          <w:rFonts w:hint="eastAsia" w:ascii="宋体" w:hAnsi="宋体" w:eastAsia="宋体" w:cs="宋体"/>
          <w:kern w:val="0"/>
          <w:szCs w:val="21"/>
        </w:rPr>
        <w:t>姓名：</w:t>
      </w:r>
      <w:r>
        <w:rPr>
          <w:rFonts w:hint="eastAsia" w:ascii="宋体" w:hAnsi="宋体" w:eastAsia="宋体" w:cs="宋体"/>
          <w:kern w:val="0"/>
          <w:szCs w:val="21"/>
          <w:u w:val="single"/>
        </w:rPr>
        <w:t xml:space="preserve">            </w:t>
      </w:r>
      <w:r>
        <w:rPr>
          <w:rFonts w:hint="eastAsia" w:ascii="宋体" w:hAnsi="宋体" w:eastAsia="宋体" w:cs="宋体"/>
          <w:kern w:val="0"/>
          <w:szCs w:val="21"/>
        </w:rPr>
        <w:t>职务：项目经理：</w:t>
      </w:r>
      <w:r>
        <w:rPr>
          <w:rFonts w:hint="eastAsia" w:ascii="宋体" w:hAnsi="宋体" w:eastAsia="宋体" w:cs="宋体"/>
          <w:kern w:val="0"/>
          <w:szCs w:val="21"/>
          <w:u w:val="single"/>
        </w:rPr>
        <w:t xml:space="preserve">         </w:t>
      </w:r>
    </w:p>
    <w:p w14:paraId="74BAA822">
      <w:pPr>
        <w:spacing w:line="600" w:lineRule="exact"/>
        <w:ind w:firstLine="420" w:firstLineChars="200"/>
        <w:rPr>
          <w:rFonts w:hint="eastAsia" w:ascii="宋体" w:hAnsi="宋体" w:eastAsia="宋体" w:cs="宋体"/>
          <w:kern w:val="0"/>
          <w:szCs w:val="21"/>
          <w:u w:val="single"/>
        </w:rPr>
      </w:pPr>
      <w:r>
        <w:rPr>
          <w:rFonts w:hint="eastAsia" w:ascii="宋体" w:hAnsi="宋体" w:eastAsia="宋体" w:cs="宋体"/>
          <w:kern w:val="0"/>
          <w:szCs w:val="21"/>
        </w:rPr>
        <w:t>项目经理是企业法定代表人在工程项目上的委托授权代理人，责权：</w:t>
      </w:r>
      <w:r>
        <w:rPr>
          <w:rFonts w:hint="eastAsia" w:ascii="宋体" w:hAnsi="宋体" w:eastAsia="宋体" w:cs="宋体"/>
          <w:kern w:val="0"/>
          <w:szCs w:val="21"/>
          <w:u w:val="single"/>
        </w:rPr>
        <w:t>同通用条款。</w:t>
      </w:r>
    </w:p>
    <w:p w14:paraId="716D6C22">
      <w:pPr>
        <w:tabs>
          <w:tab w:val="left" w:pos="6060"/>
        </w:tabs>
        <w:spacing w:line="600" w:lineRule="exact"/>
        <w:ind w:firstLine="422" w:firstLineChars="200"/>
        <w:rPr>
          <w:rFonts w:hint="eastAsia" w:ascii="宋体" w:hAnsi="宋体" w:eastAsia="宋体" w:cs="宋体"/>
          <w:b/>
          <w:bCs/>
          <w:szCs w:val="21"/>
        </w:rPr>
      </w:pPr>
      <w:r>
        <w:rPr>
          <w:rFonts w:hint="eastAsia" w:ascii="宋体" w:hAnsi="宋体" w:eastAsia="宋体" w:cs="宋体"/>
          <w:b/>
          <w:bCs/>
          <w:szCs w:val="21"/>
        </w:rPr>
        <w:t>8、发包人工作</w:t>
      </w:r>
    </w:p>
    <w:p w14:paraId="36B81FA8">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8.1发包人应按约定的时间和要求完成以下工作：</w:t>
      </w:r>
    </w:p>
    <w:p w14:paraId="269C46A9">
      <w:pPr>
        <w:spacing w:line="600" w:lineRule="exact"/>
        <w:ind w:firstLine="420" w:firstLineChars="200"/>
        <w:rPr>
          <w:rFonts w:hint="eastAsia" w:ascii="宋体" w:hAnsi="宋体" w:eastAsia="宋体" w:cs="宋体"/>
          <w:kern w:val="0"/>
          <w:szCs w:val="21"/>
          <w:u w:val="single"/>
        </w:rPr>
      </w:pPr>
      <w:r>
        <w:rPr>
          <w:rFonts w:hint="eastAsia" w:ascii="宋体" w:hAnsi="宋体" w:eastAsia="宋体" w:cs="宋体"/>
          <w:kern w:val="0"/>
          <w:szCs w:val="21"/>
        </w:rPr>
        <w:t>（1）、</w:t>
      </w:r>
      <w:r>
        <w:rPr>
          <w:rFonts w:hint="eastAsia" w:ascii="宋体" w:hAnsi="宋体" w:eastAsia="宋体" w:cs="宋体"/>
          <w:kern w:val="0"/>
          <w:szCs w:val="21"/>
          <w:u w:val="single"/>
        </w:rPr>
        <w:t xml:space="preserve">施工场地具备施工条件的要求及完成的时间：开工前5天，发包人负责协调，承包人自行完成施工场地及道路的开通工作，费用已计入投标总价。 </w:t>
      </w:r>
    </w:p>
    <w:p w14:paraId="543A94EF">
      <w:pPr>
        <w:spacing w:line="600" w:lineRule="exact"/>
        <w:ind w:firstLine="420" w:firstLineChars="200"/>
        <w:rPr>
          <w:rFonts w:hint="eastAsia" w:ascii="宋体" w:hAnsi="宋体" w:eastAsia="宋体" w:cs="宋体"/>
          <w:kern w:val="0"/>
          <w:szCs w:val="21"/>
          <w:u w:val="single"/>
        </w:rPr>
      </w:pPr>
      <w:r>
        <w:rPr>
          <w:rFonts w:hint="eastAsia" w:ascii="宋体" w:hAnsi="宋体" w:eastAsia="宋体" w:cs="宋体"/>
          <w:kern w:val="0"/>
          <w:szCs w:val="21"/>
        </w:rPr>
        <w:t>（2）、</w:t>
      </w:r>
      <w:r>
        <w:rPr>
          <w:rFonts w:hint="eastAsia" w:ascii="宋体" w:hAnsi="宋体" w:eastAsia="宋体" w:cs="宋体"/>
          <w:kern w:val="0"/>
          <w:szCs w:val="21"/>
          <w:u w:val="single"/>
        </w:rPr>
        <w:t>将施工所需的水、电、电讯线路接至施工场地的时间、地点和供应要求：</w:t>
      </w:r>
    </w:p>
    <w:p w14:paraId="50221D7C">
      <w:pPr>
        <w:spacing w:line="600" w:lineRule="exact"/>
        <w:ind w:firstLine="420" w:firstLineChars="200"/>
        <w:rPr>
          <w:rFonts w:hint="eastAsia" w:ascii="宋体" w:hAnsi="宋体" w:eastAsia="宋体" w:cs="宋体"/>
          <w:kern w:val="0"/>
          <w:szCs w:val="21"/>
          <w:u w:val="single"/>
        </w:rPr>
      </w:pPr>
      <w:r>
        <w:rPr>
          <w:rFonts w:hint="eastAsia" w:ascii="宋体" w:hAnsi="宋体" w:eastAsia="宋体" w:cs="宋体"/>
          <w:kern w:val="0"/>
          <w:szCs w:val="21"/>
          <w:u w:val="single"/>
        </w:rPr>
        <w:t>开工前7日，承包人配合发包人接至施工场地附近。</w:t>
      </w:r>
    </w:p>
    <w:p w14:paraId="2510339C">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其计量和计价方法为：</w:t>
      </w:r>
    </w:p>
    <w:p w14:paraId="6FA0937E">
      <w:pPr>
        <w:spacing w:line="600" w:lineRule="exact"/>
        <w:ind w:firstLine="420" w:firstLineChars="200"/>
        <w:rPr>
          <w:rFonts w:hint="eastAsia" w:ascii="宋体" w:hAnsi="宋体" w:eastAsia="宋体" w:cs="宋体"/>
          <w:kern w:val="0"/>
          <w:szCs w:val="21"/>
          <w:u w:val="single"/>
        </w:rPr>
      </w:pPr>
      <w:r>
        <w:rPr>
          <w:rFonts w:hint="eastAsia" w:ascii="宋体" w:hAnsi="宋体" w:eastAsia="宋体" w:cs="宋体"/>
          <w:kern w:val="0"/>
          <w:szCs w:val="21"/>
          <w:u w:val="single"/>
        </w:rPr>
        <w:t>水电费由承包方按实际发生费用向提供方缴纳。若发生施工用水及污水处理费由承包人承担。</w:t>
      </w:r>
    </w:p>
    <w:p w14:paraId="21AC262F">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（3）施工场地与公共道路的通道开通时间和要求：</w:t>
      </w:r>
    </w:p>
    <w:p w14:paraId="628365FC">
      <w:pPr>
        <w:spacing w:line="600" w:lineRule="exact"/>
        <w:ind w:firstLine="420" w:firstLineChars="200"/>
        <w:rPr>
          <w:rFonts w:hint="eastAsia" w:ascii="宋体" w:hAnsi="宋体" w:eastAsia="宋体" w:cs="宋体"/>
          <w:kern w:val="0"/>
          <w:szCs w:val="21"/>
          <w:u w:val="single"/>
        </w:rPr>
      </w:pPr>
      <w:r>
        <w:rPr>
          <w:rFonts w:hint="eastAsia" w:ascii="宋体" w:hAnsi="宋体" w:eastAsia="宋体" w:cs="宋体"/>
          <w:kern w:val="0"/>
          <w:szCs w:val="21"/>
          <w:u w:val="single"/>
        </w:rPr>
        <w:t>已具备施工条件。要求施工单位在施工道路的两端设置交通安全警示标志和车辆导向标志；夜间应当设置警灯等照明灯，便于车辆、行人安全通行。</w:t>
      </w:r>
    </w:p>
    <w:p w14:paraId="7749E98A">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（4）临建房屋的提供：</w:t>
      </w:r>
    </w:p>
    <w:p w14:paraId="4EC35A8A">
      <w:pPr>
        <w:spacing w:line="600" w:lineRule="exact"/>
        <w:ind w:firstLine="420" w:firstLineChars="200"/>
        <w:rPr>
          <w:rFonts w:hint="eastAsia" w:ascii="宋体" w:hAnsi="宋体" w:eastAsia="宋体" w:cs="宋体"/>
          <w:kern w:val="0"/>
          <w:szCs w:val="21"/>
          <w:u w:val="single"/>
        </w:rPr>
      </w:pPr>
      <w:r>
        <w:rPr>
          <w:rFonts w:hint="eastAsia" w:ascii="宋体" w:hAnsi="宋体" w:eastAsia="宋体" w:cs="宋体"/>
          <w:kern w:val="0"/>
          <w:szCs w:val="21"/>
          <w:u w:val="single"/>
        </w:rPr>
        <w:t>承包人根据需要搭建临建房屋，或因场地限制需要在工地以外的地方搭建临建房屋有承包人自行解决，费用全部包含在投标价中，发包方（招标人）不再另行支付。</w:t>
      </w:r>
    </w:p>
    <w:p w14:paraId="1BB2393D">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（5）工程地质和地下管线资料的提供时间：</w:t>
      </w:r>
    </w:p>
    <w:p w14:paraId="5E76F1B8">
      <w:pPr>
        <w:spacing w:line="600" w:lineRule="exact"/>
        <w:ind w:firstLine="420" w:firstLineChars="200"/>
        <w:rPr>
          <w:rFonts w:hint="eastAsia" w:ascii="宋体" w:hAnsi="宋体" w:eastAsia="宋体" w:cs="宋体"/>
          <w:kern w:val="0"/>
          <w:szCs w:val="21"/>
          <w:u w:val="single"/>
        </w:rPr>
      </w:pPr>
      <w:r>
        <w:rPr>
          <w:rFonts w:hint="eastAsia" w:ascii="宋体" w:hAnsi="宋体" w:eastAsia="宋体" w:cs="宋体"/>
          <w:kern w:val="0"/>
          <w:szCs w:val="21"/>
          <w:u w:val="single"/>
        </w:rPr>
        <w:t>中标通知书发出后，发包人将以书面形式提供给承包人。承包人在进行地下工程施工时应再次向专业管线单位（包括煤气、自来水、供电、电信等单位）确认。</w:t>
      </w:r>
    </w:p>
    <w:p w14:paraId="644E948C">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（6）由发包人办理的施工所需证件、批件的名称和完成时间：</w:t>
      </w:r>
    </w:p>
    <w:p w14:paraId="6526B81B">
      <w:pPr>
        <w:spacing w:line="600" w:lineRule="exact"/>
        <w:ind w:firstLine="420" w:firstLineChars="200"/>
        <w:rPr>
          <w:rFonts w:hint="eastAsia" w:ascii="宋体" w:hAnsi="宋体" w:eastAsia="宋体" w:cs="宋体"/>
          <w:kern w:val="0"/>
          <w:szCs w:val="21"/>
          <w:u w:val="single"/>
        </w:rPr>
      </w:pPr>
      <w:r>
        <w:rPr>
          <w:rFonts w:hint="eastAsia" w:ascii="宋体" w:hAnsi="宋体" w:eastAsia="宋体" w:cs="宋体"/>
          <w:kern w:val="0"/>
          <w:szCs w:val="21"/>
          <w:u w:val="single"/>
        </w:rPr>
        <w:t>发包人在开工前已办妥项目立项批文、建设工程规划许可证、建设用地规划许可证、施工图审查、工程抗震设防审查意见书、建筑工程质量监督申报表、消防审核意见书、施工图审查意见书、监理委托合同、施工许可证。</w:t>
      </w:r>
    </w:p>
    <w:p w14:paraId="4EA84D7D">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(7)水准点与坐标控制点交验要求：</w:t>
      </w:r>
    </w:p>
    <w:p w14:paraId="484DAAC3">
      <w:pPr>
        <w:spacing w:line="600" w:lineRule="exact"/>
        <w:ind w:firstLine="420" w:firstLineChars="200"/>
        <w:rPr>
          <w:rFonts w:hint="eastAsia" w:ascii="宋体" w:hAnsi="宋体" w:eastAsia="宋体" w:cs="宋体"/>
          <w:kern w:val="0"/>
          <w:szCs w:val="21"/>
          <w:u w:val="single"/>
        </w:rPr>
      </w:pPr>
      <w:r>
        <w:rPr>
          <w:rFonts w:hint="eastAsia" w:ascii="宋体" w:hAnsi="宋体" w:eastAsia="宋体" w:cs="宋体"/>
          <w:kern w:val="0"/>
          <w:szCs w:val="21"/>
          <w:u w:val="single"/>
        </w:rPr>
        <w:t>中标通知书发出后10日内，发包人将水准点与坐标以书面形式交给承包人，双方进行现场交验，承包人接受后应对交验的坐标控制点与水准点进行复核并报监理审核。承包人对水准点及坐标点承担保护责任。</w:t>
      </w:r>
    </w:p>
    <w:p w14:paraId="7DBBD226">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（8）图纸会审和设计交底时间：</w:t>
      </w:r>
      <w:r>
        <w:rPr>
          <w:rFonts w:hint="eastAsia" w:ascii="宋体" w:hAnsi="宋体" w:eastAsia="宋体" w:cs="宋体"/>
          <w:kern w:val="0"/>
          <w:szCs w:val="21"/>
          <w:u w:val="single"/>
        </w:rPr>
        <w:t>工程开工前5日内。</w:t>
      </w:r>
    </w:p>
    <w:p w14:paraId="143D6FEB">
      <w:pPr>
        <w:spacing w:line="600" w:lineRule="exact"/>
        <w:ind w:firstLine="420" w:firstLineChars="200"/>
        <w:rPr>
          <w:rFonts w:hint="eastAsia" w:ascii="宋体" w:hAnsi="宋体" w:eastAsia="宋体" w:cs="宋体"/>
          <w:kern w:val="0"/>
          <w:szCs w:val="21"/>
          <w:u w:val="single"/>
        </w:rPr>
      </w:pPr>
      <w:r>
        <w:rPr>
          <w:rFonts w:hint="eastAsia" w:ascii="宋体" w:hAnsi="宋体" w:eastAsia="宋体" w:cs="宋体"/>
          <w:kern w:val="0"/>
          <w:szCs w:val="21"/>
        </w:rPr>
        <w:t>（9）协调处理施工场地周围地下管线和邻近建筑物、构筑物（含文物保护建筑）、古树名木的保护工作：</w:t>
      </w:r>
      <w:r>
        <w:rPr>
          <w:rFonts w:hint="eastAsia" w:ascii="宋体" w:hAnsi="宋体" w:eastAsia="宋体" w:cs="宋体"/>
          <w:kern w:val="0"/>
          <w:szCs w:val="21"/>
          <w:u w:val="single"/>
        </w:rPr>
        <w:t>合同签订后由发包人提供施工场地地质和地下管线等资料，承包人对地上地下设施负有保护责任。如出现地下文物等承包人应按国家有关规定进行保护，并向有关部门申报。</w:t>
      </w:r>
    </w:p>
    <w:p w14:paraId="53829499">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（10）双方约定发包人应做的其他工作：</w:t>
      </w:r>
      <w:r>
        <w:rPr>
          <w:rFonts w:hint="eastAsia" w:ascii="宋体" w:hAnsi="宋体" w:eastAsia="宋体" w:cs="宋体"/>
          <w:kern w:val="0"/>
          <w:szCs w:val="21"/>
          <w:u w:val="single"/>
        </w:rPr>
        <w:t xml:space="preserve"> 另行商议。 </w:t>
      </w:r>
    </w:p>
    <w:p w14:paraId="01438AAC">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8.2发包人委托承包人办理的工作：</w:t>
      </w:r>
      <w:r>
        <w:rPr>
          <w:rFonts w:hint="eastAsia" w:ascii="宋体" w:hAnsi="宋体" w:eastAsia="宋体" w:cs="宋体"/>
          <w:kern w:val="0"/>
          <w:szCs w:val="21"/>
          <w:u w:val="single"/>
        </w:rPr>
        <w:t xml:space="preserve">   /    </w:t>
      </w:r>
    </w:p>
    <w:p w14:paraId="6513BBD7">
      <w:pPr>
        <w:tabs>
          <w:tab w:val="left" w:pos="6060"/>
        </w:tabs>
        <w:spacing w:line="600" w:lineRule="exact"/>
        <w:ind w:firstLine="472" w:firstLineChars="224"/>
        <w:rPr>
          <w:rFonts w:hint="eastAsia" w:ascii="宋体" w:hAnsi="宋体" w:eastAsia="宋体" w:cs="宋体"/>
          <w:b/>
          <w:bCs/>
          <w:szCs w:val="21"/>
        </w:rPr>
      </w:pPr>
      <w:r>
        <w:rPr>
          <w:rFonts w:hint="eastAsia" w:ascii="宋体" w:hAnsi="宋体" w:eastAsia="宋体" w:cs="宋体"/>
          <w:b/>
          <w:bCs/>
          <w:szCs w:val="21"/>
        </w:rPr>
        <w:t>9、承包人工作</w:t>
      </w:r>
    </w:p>
    <w:p w14:paraId="61B1805F">
      <w:pPr>
        <w:tabs>
          <w:tab w:val="left" w:pos="6060"/>
        </w:tabs>
        <w:spacing w:line="600" w:lineRule="exact"/>
        <w:ind w:firstLine="504" w:firstLineChars="240"/>
        <w:rPr>
          <w:rFonts w:hint="eastAsia" w:ascii="宋体" w:hAnsi="宋体" w:eastAsia="宋体" w:cs="宋体"/>
          <w:kern w:val="0"/>
          <w:szCs w:val="21"/>
        </w:rPr>
      </w:pPr>
      <w:r>
        <w:rPr>
          <w:rFonts w:hint="eastAsia" w:ascii="宋体" w:hAnsi="宋体" w:eastAsia="宋体" w:cs="宋体"/>
          <w:kern w:val="0"/>
          <w:szCs w:val="21"/>
        </w:rPr>
        <w:t>9.1承包人应按约定时间和要求，完成以下工作：</w:t>
      </w:r>
    </w:p>
    <w:p w14:paraId="2314040E">
      <w:pPr>
        <w:tabs>
          <w:tab w:val="left" w:pos="6060"/>
        </w:tabs>
        <w:spacing w:line="600" w:lineRule="exact"/>
        <w:ind w:firstLine="420" w:firstLineChars="200"/>
        <w:rPr>
          <w:rFonts w:hint="eastAsia" w:ascii="宋体" w:hAnsi="宋体" w:eastAsia="宋体" w:cs="宋体"/>
          <w:kern w:val="0"/>
          <w:szCs w:val="21"/>
          <w:u w:val="single"/>
        </w:rPr>
      </w:pPr>
      <w:r>
        <w:rPr>
          <w:rFonts w:hint="eastAsia" w:ascii="宋体" w:hAnsi="宋体" w:eastAsia="宋体" w:cs="宋体"/>
          <w:kern w:val="0"/>
          <w:szCs w:val="21"/>
        </w:rPr>
        <w:t>（1）需由设计资质等级和业务范围允许的承包人完成的设计文件提交时间：</w:t>
      </w:r>
      <w:r>
        <w:rPr>
          <w:rFonts w:hint="eastAsia" w:ascii="宋体" w:hAnsi="宋体" w:eastAsia="宋体" w:cs="宋体"/>
          <w:kern w:val="0"/>
          <w:szCs w:val="21"/>
          <w:u w:val="single"/>
        </w:rPr>
        <w:t xml:space="preserve">  /  </w:t>
      </w:r>
    </w:p>
    <w:p w14:paraId="3DDC97FB">
      <w:pPr>
        <w:spacing w:line="600" w:lineRule="exact"/>
        <w:ind w:firstLine="420" w:firstLineChars="200"/>
        <w:rPr>
          <w:rFonts w:hint="eastAsia" w:ascii="宋体" w:hAnsi="宋体" w:eastAsia="宋体" w:cs="宋体"/>
          <w:kern w:val="0"/>
          <w:szCs w:val="21"/>
          <w:u w:val="single"/>
        </w:rPr>
      </w:pPr>
      <w:r>
        <w:rPr>
          <w:rFonts w:hint="eastAsia" w:ascii="宋体" w:hAnsi="宋体" w:eastAsia="宋体" w:cs="宋体"/>
          <w:kern w:val="0"/>
          <w:szCs w:val="21"/>
        </w:rPr>
        <w:t>（2）应提供计划、报表的名称及完成时间：</w:t>
      </w:r>
      <w:r>
        <w:rPr>
          <w:rFonts w:hint="eastAsia" w:ascii="宋体" w:hAnsi="宋体" w:eastAsia="宋体" w:cs="宋体"/>
          <w:kern w:val="0"/>
          <w:szCs w:val="21"/>
          <w:u w:val="single"/>
        </w:rPr>
        <w:t>开工前提供施工组织设计，并报送监理人及发包人审查；本月工程计量在25日前提交，同时提交下月工程施工进度计划，监理工程师及发包人派驻的工程师确认后执行。</w:t>
      </w:r>
    </w:p>
    <w:p w14:paraId="3C68615C">
      <w:pPr>
        <w:widowControl/>
        <w:spacing w:line="600" w:lineRule="exact"/>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（3）承担施工安全保卫工作及非夜间施工照明的责任和要求：</w:t>
      </w:r>
      <w:r>
        <w:rPr>
          <w:rFonts w:hint="eastAsia" w:ascii="宋体" w:hAnsi="宋体" w:eastAsia="宋体" w:cs="宋体"/>
          <w:kern w:val="0"/>
          <w:szCs w:val="21"/>
          <w:u w:val="single"/>
        </w:rPr>
        <w:t>根据工程需要，提供和维修非夜间施工使用的照明、围栏设施；负责施工现场安全保卫。</w:t>
      </w:r>
    </w:p>
    <w:p w14:paraId="29473765">
      <w:pPr>
        <w:spacing w:line="600" w:lineRule="exact"/>
        <w:ind w:firstLine="420" w:firstLineChars="200"/>
        <w:rPr>
          <w:rFonts w:hint="eastAsia" w:ascii="宋体" w:hAnsi="宋体" w:eastAsia="宋体" w:cs="宋体"/>
          <w:kern w:val="0"/>
          <w:szCs w:val="21"/>
          <w:u w:val="single"/>
        </w:rPr>
      </w:pPr>
      <w:r>
        <w:rPr>
          <w:rFonts w:hint="eastAsia" w:ascii="宋体" w:hAnsi="宋体" w:eastAsia="宋体" w:cs="宋体"/>
          <w:kern w:val="0"/>
          <w:szCs w:val="21"/>
        </w:rPr>
        <w:t xml:space="preserve"> （4）向发包人提供的办公和生活房屋及设施的要求：</w:t>
      </w:r>
      <w:r>
        <w:rPr>
          <w:rFonts w:hint="eastAsia" w:ascii="宋体" w:hAnsi="宋体" w:eastAsia="宋体" w:cs="宋体"/>
          <w:kern w:val="0"/>
          <w:szCs w:val="21"/>
          <w:u w:val="single"/>
        </w:rPr>
        <w:t xml:space="preserve">向发包人和监理人提供办公用房不少于3间。 </w:t>
      </w:r>
    </w:p>
    <w:p w14:paraId="325735FB">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（5）需承包人办理的有关施工场地交通、环卫和施工噪音管理等手续：</w:t>
      </w:r>
    </w:p>
    <w:p w14:paraId="2E414C13">
      <w:pPr>
        <w:spacing w:line="600" w:lineRule="exact"/>
        <w:ind w:firstLine="420" w:firstLineChars="200"/>
        <w:rPr>
          <w:rFonts w:hint="eastAsia" w:ascii="宋体" w:hAnsi="宋体" w:eastAsia="宋体" w:cs="宋体"/>
          <w:kern w:val="0"/>
          <w:szCs w:val="21"/>
          <w:u w:val="single"/>
        </w:rPr>
      </w:pPr>
      <w:r>
        <w:rPr>
          <w:rFonts w:hint="eastAsia" w:ascii="宋体" w:hAnsi="宋体" w:eastAsia="宋体" w:cs="宋体"/>
          <w:kern w:val="0"/>
          <w:szCs w:val="21"/>
          <w:u w:val="single"/>
        </w:rPr>
        <w:t>由承包人办理，并承担相应的费用，因此导致的罚款由承包人承担。</w:t>
      </w:r>
    </w:p>
    <w:p w14:paraId="7C2950E1">
      <w:pPr>
        <w:spacing w:line="600" w:lineRule="exact"/>
        <w:ind w:firstLine="525" w:firstLineChars="250"/>
        <w:rPr>
          <w:rFonts w:hint="eastAsia" w:ascii="宋体" w:hAnsi="宋体" w:eastAsia="宋体" w:cs="宋体"/>
          <w:kern w:val="0"/>
          <w:szCs w:val="21"/>
        </w:rPr>
      </w:pPr>
      <w:r>
        <w:rPr>
          <w:rFonts w:hint="eastAsia" w:ascii="宋体" w:hAnsi="宋体" w:eastAsia="宋体" w:cs="宋体"/>
          <w:kern w:val="0"/>
          <w:szCs w:val="21"/>
        </w:rPr>
        <w:t>（6）已完工程成品保护的特殊要求及费用承担：</w:t>
      </w:r>
    </w:p>
    <w:p w14:paraId="1F12E30E">
      <w:pPr>
        <w:spacing w:line="600" w:lineRule="exact"/>
        <w:ind w:firstLine="525" w:firstLineChars="250"/>
        <w:rPr>
          <w:rFonts w:hint="eastAsia" w:ascii="宋体" w:hAnsi="宋体" w:eastAsia="宋体" w:cs="宋体"/>
          <w:kern w:val="0"/>
          <w:szCs w:val="21"/>
          <w:u w:val="single"/>
        </w:rPr>
      </w:pPr>
      <w:r>
        <w:rPr>
          <w:rFonts w:hint="eastAsia" w:ascii="宋体" w:hAnsi="宋体" w:eastAsia="宋体" w:cs="宋体"/>
          <w:kern w:val="0"/>
          <w:szCs w:val="21"/>
          <w:u w:val="single"/>
        </w:rPr>
        <w:t>执行通用条款。工程交付使用前由承包人负责保护并承担相关费用。</w:t>
      </w:r>
    </w:p>
    <w:p w14:paraId="0AFA2C78">
      <w:pPr>
        <w:spacing w:line="600" w:lineRule="exact"/>
        <w:ind w:firstLine="525" w:firstLineChars="250"/>
        <w:rPr>
          <w:rFonts w:hint="eastAsia" w:ascii="宋体" w:hAnsi="宋体" w:eastAsia="宋体" w:cs="宋体"/>
          <w:kern w:val="0"/>
          <w:szCs w:val="21"/>
          <w:u w:val="single"/>
        </w:rPr>
      </w:pPr>
      <w:r>
        <w:rPr>
          <w:rFonts w:hint="eastAsia" w:ascii="宋体" w:hAnsi="宋体" w:eastAsia="宋体" w:cs="宋体"/>
          <w:kern w:val="0"/>
          <w:szCs w:val="21"/>
        </w:rPr>
        <w:t>（7）施工场地周围地下管线和邻近建筑物、构筑物（含文物保护建筑）、古树名木的保护要求及费用承担：</w:t>
      </w:r>
      <w:r>
        <w:rPr>
          <w:rFonts w:hint="eastAsia" w:ascii="宋体" w:hAnsi="宋体" w:eastAsia="宋体" w:cs="宋体"/>
          <w:kern w:val="0"/>
          <w:szCs w:val="21"/>
          <w:u w:val="single"/>
        </w:rPr>
        <w:t>承包人提出保护措施发包人确认，费用由承包人承担。</w:t>
      </w:r>
    </w:p>
    <w:p w14:paraId="2A903CA1">
      <w:pPr>
        <w:spacing w:line="600" w:lineRule="exact"/>
        <w:ind w:firstLine="525" w:firstLineChars="250"/>
        <w:rPr>
          <w:rFonts w:hint="eastAsia" w:ascii="宋体" w:hAnsi="宋体" w:eastAsia="宋体" w:cs="宋体"/>
          <w:kern w:val="0"/>
          <w:szCs w:val="21"/>
        </w:rPr>
      </w:pPr>
      <w:r>
        <w:rPr>
          <w:rFonts w:hint="eastAsia" w:ascii="宋体" w:hAnsi="宋体" w:eastAsia="宋体" w:cs="宋体"/>
          <w:kern w:val="0"/>
          <w:szCs w:val="21"/>
        </w:rPr>
        <w:t>（8）施工场地清洁卫生的要求：</w:t>
      </w:r>
      <w:r>
        <w:rPr>
          <w:rFonts w:hint="eastAsia" w:ascii="宋体" w:hAnsi="宋体" w:eastAsia="宋体" w:cs="宋体"/>
          <w:kern w:val="0"/>
          <w:szCs w:val="21"/>
          <w:u w:val="single"/>
        </w:rPr>
        <w:t>达到陕西省文明施工工地标准要求。</w:t>
      </w:r>
    </w:p>
    <w:p w14:paraId="5DBFDDF6">
      <w:pPr>
        <w:tabs>
          <w:tab w:val="left" w:pos="6060"/>
        </w:tabs>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（9）双方约定承包人应做的其他工作：</w:t>
      </w:r>
    </w:p>
    <w:p w14:paraId="3C8016FF">
      <w:pPr>
        <w:spacing w:line="600" w:lineRule="exact"/>
        <w:ind w:firstLine="525" w:firstLineChars="250"/>
        <w:rPr>
          <w:rFonts w:hint="eastAsia" w:ascii="宋体" w:hAnsi="宋体" w:eastAsia="宋体" w:cs="宋体"/>
          <w:kern w:val="0"/>
          <w:szCs w:val="21"/>
          <w:u w:val="single"/>
        </w:rPr>
      </w:pPr>
      <w:bookmarkStart w:id="47" w:name="_Toc222906342"/>
      <w:r>
        <w:rPr>
          <w:rFonts w:hint="eastAsia" w:ascii="宋体" w:hAnsi="宋体" w:eastAsia="宋体" w:cs="宋体"/>
          <w:kern w:val="0"/>
          <w:szCs w:val="21"/>
          <w:u w:val="single"/>
        </w:rPr>
        <w:t>竣工验收合格后，承包人应立即从现场移走施工设备、多余材料、垃圾及各种临时工程;及时交纳政府部门规定应由承包人交纳的费用，如承包人违约发包人可代为支付后再工程款进度款中双倍扣除;施工过程中的内外运输，应遵守地方政府有关规定，办理相关手续，承担相关费用;为节日庆典、上级检查、新闻宣传等提供便利,并承担相应的费用。</w:t>
      </w:r>
    </w:p>
    <w:p w14:paraId="187A8A98">
      <w:pPr>
        <w:keepNext/>
        <w:keepLines/>
        <w:spacing w:line="600" w:lineRule="exact"/>
        <w:ind w:firstLine="314" w:firstLineChars="149"/>
        <w:outlineLvl w:val="0"/>
        <w:rPr>
          <w:rFonts w:hint="eastAsia" w:ascii="宋体" w:hAnsi="宋体" w:eastAsia="宋体" w:cs="宋体"/>
          <w:b/>
          <w:bCs/>
          <w:kern w:val="44"/>
          <w:szCs w:val="21"/>
        </w:rPr>
      </w:pPr>
      <w:bookmarkStart w:id="48" w:name="_Toc482003900"/>
      <w:bookmarkStart w:id="49" w:name="_Toc25688"/>
      <w:bookmarkStart w:id="50" w:name="_Toc482003973"/>
      <w:r>
        <w:rPr>
          <w:rFonts w:hint="eastAsia" w:ascii="宋体" w:hAnsi="宋体" w:eastAsia="宋体" w:cs="宋体"/>
          <w:b/>
          <w:bCs/>
          <w:kern w:val="44"/>
          <w:szCs w:val="21"/>
        </w:rPr>
        <w:t>三、施工组织设计和工期</w:t>
      </w:r>
      <w:bookmarkEnd w:id="47"/>
      <w:bookmarkEnd w:id="48"/>
      <w:bookmarkEnd w:id="49"/>
      <w:bookmarkEnd w:id="50"/>
    </w:p>
    <w:p w14:paraId="4E49EC30">
      <w:pPr>
        <w:tabs>
          <w:tab w:val="left" w:pos="6060"/>
        </w:tabs>
        <w:spacing w:line="600" w:lineRule="exact"/>
        <w:ind w:firstLine="472" w:firstLineChars="224"/>
        <w:rPr>
          <w:rFonts w:hint="eastAsia" w:ascii="宋体" w:hAnsi="宋体" w:eastAsia="宋体" w:cs="宋体"/>
          <w:b/>
          <w:bCs/>
          <w:szCs w:val="21"/>
        </w:rPr>
      </w:pPr>
      <w:r>
        <w:rPr>
          <w:rFonts w:hint="eastAsia" w:ascii="宋体" w:hAnsi="宋体" w:eastAsia="宋体" w:cs="宋体"/>
          <w:b/>
          <w:bCs/>
          <w:szCs w:val="21"/>
        </w:rPr>
        <w:t>10、进度计划</w:t>
      </w:r>
    </w:p>
    <w:p w14:paraId="544F9EBF">
      <w:pPr>
        <w:spacing w:line="600" w:lineRule="exact"/>
        <w:ind w:firstLine="210" w:firstLineChars="100"/>
        <w:rPr>
          <w:rFonts w:hint="eastAsia" w:ascii="宋体" w:hAnsi="宋体" w:eastAsia="宋体" w:cs="宋体"/>
          <w:kern w:val="0"/>
          <w:szCs w:val="21"/>
        </w:rPr>
      </w:pPr>
      <w:r>
        <w:rPr>
          <w:rFonts w:hint="eastAsia" w:ascii="宋体" w:hAnsi="宋体" w:eastAsia="宋体" w:cs="宋体"/>
          <w:kern w:val="0"/>
          <w:szCs w:val="21"/>
        </w:rPr>
        <w:t>10.1承包人提供施工组织设计（施工方案）和进度计划的时间：</w:t>
      </w:r>
    </w:p>
    <w:p w14:paraId="34B4069B">
      <w:pPr>
        <w:spacing w:line="600" w:lineRule="exact"/>
        <w:ind w:firstLine="210" w:firstLineChars="100"/>
        <w:rPr>
          <w:rFonts w:hint="eastAsia" w:ascii="宋体" w:hAnsi="宋体" w:eastAsia="宋体" w:cs="宋体"/>
          <w:kern w:val="0"/>
          <w:szCs w:val="21"/>
        </w:rPr>
      </w:pPr>
      <w:r>
        <w:rPr>
          <w:rFonts w:hint="eastAsia" w:ascii="宋体" w:hAnsi="宋体" w:eastAsia="宋体" w:cs="宋体"/>
          <w:kern w:val="0"/>
          <w:szCs w:val="21"/>
        </w:rPr>
        <w:t>（1）</w:t>
      </w:r>
      <w:r>
        <w:rPr>
          <w:rFonts w:hint="eastAsia" w:ascii="宋体" w:hAnsi="宋体" w:eastAsia="宋体" w:cs="宋体"/>
          <w:kern w:val="0"/>
          <w:szCs w:val="21"/>
          <w:u w:val="single"/>
        </w:rPr>
        <w:t>开工前10天承包人向监理人、发包人提供施工组织设计一式两份。</w:t>
      </w:r>
    </w:p>
    <w:p w14:paraId="588B0ED9">
      <w:pPr>
        <w:spacing w:line="600" w:lineRule="exact"/>
        <w:ind w:firstLine="210" w:firstLineChars="100"/>
        <w:rPr>
          <w:rFonts w:hint="eastAsia" w:ascii="宋体" w:hAnsi="宋体" w:eastAsia="宋体" w:cs="宋体"/>
          <w:kern w:val="0"/>
          <w:szCs w:val="21"/>
        </w:rPr>
      </w:pPr>
      <w:r>
        <w:rPr>
          <w:rFonts w:hint="eastAsia" w:ascii="宋体" w:hAnsi="宋体" w:eastAsia="宋体" w:cs="宋体"/>
          <w:kern w:val="0"/>
          <w:szCs w:val="21"/>
        </w:rPr>
        <w:t>（2）</w:t>
      </w:r>
      <w:r>
        <w:rPr>
          <w:rFonts w:hint="eastAsia" w:ascii="宋体" w:hAnsi="宋体" w:eastAsia="宋体" w:cs="宋体"/>
          <w:kern w:val="0"/>
          <w:szCs w:val="21"/>
          <w:u w:val="single"/>
        </w:rPr>
        <w:t>每月25日，须提供下月施工进度计划表壹式两份。</w:t>
      </w:r>
    </w:p>
    <w:p w14:paraId="195F5ECD">
      <w:pPr>
        <w:spacing w:line="600" w:lineRule="exact"/>
        <w:rPr>
          <w:rFonts w:hint="eastAsia" w:ascii="宋体" w:hAnsi="宋体" w:eastAsia="宋体" w:cs="宋体"/>
          <w:kern w:val="0"/>
          <w:szCs w:val="21"/>
          <w:u w:val="single"/>
        </w:rPr>
      </w:pPr>
      <w:r>
        <w:rPr>
          <w:rFonts w:hint="eastAsia" w:ascii="宋体" w:hAnsi="宋体" w:eastAsia="宋体" w:cs="宋体"/>
          <w:kern w:val="0"/>
          <w:szCs w:val="21"/>
        </w:rPr>
        <w:t>工程师确认的时间：</w:t>
      </w:r>
      <w:r>
        <w:rPr>
          <w:rFonts w:hint="eastAsia" w:ascii="宋体" w:hAnsi="宋体" w:eastAsia="宋体" w:cs="宋体"/>
          <w:kern w:val="0"/>
          <w:szCs w:val="21"/>
          <w:u w:val="single"/>
        </w:rPr>
        <w:t>接到后七天内审核批准或提出修改意见。</w:t>
      </w:r>
    </w:p>
    <w:p w14:paraId="1FDAF740">
      <w:pPr>
        <w:spacing w:line="600" w:lineRule="exact"/>
        <w:ind w:firstLine="210" w:firstLineChars="100"/>
        <w:rPr>
          <w:rFonts w:hint="eastAsia" w:ascii="宋体" w:hAnsi="宋体" w:eastAsia="宋体" w:cs="宋体"/>
          <w:kern w:val="0"/>
          <w:szCs w:val="21"/>
          <w:u w:val="single"/>
        </w:rPr>
      </w:pPr>
      <w:r>
        <w:rPr>
          <w:rFonts w:hint="eastAsia" w:ascii="宋体" w:hAnsi="宋体" w:eastAsia="宋体" w:cs="宋体"/>
          <w:kern w:val="0"/>
          <w:szCs w:val="21"/>
        </w:rPr>
        <w:t>10.2群体工程中有关进度计划的要求：</w:t>
      </w:r>
      <w:r>
        <w:rPr>
          <w:rFonts w:hint="eastAsia" w:ascii="宋体" w:hAnsi="宋体" w:eastAsia="宋体" w:cs="宋体"/>
          <w:kern w:val="0"/>
          <w:szCs w:val="21"/>
          <w:u w:val="single"/>
        </w:rPr>
        <w:t xml:space="preserve">  无   </w:t>
      </w:r>
    </w:p>
    <w:p w14:paraId="2E156AA2">
      <w:pPr>
        <w:tabs>
          <w:tab w:val="left" w:pos="6060"/>
        </w:tabs>
        <w:spacing w:line="600" w:lineRule="exact"/>
        <w:ind w:firstLine="506" w:firstLineChars="240"/>
        <w:rPr>
          <w:rFonts w:hint="eastAsia" w:ascii="宋体" w:hAnsi="宋体" w:eastAsia="宋体" w:cs="宋体"/>
          <w:b/>
          <w:bCs/>
          <w:szCs w:val="21"/>
        </w:rPr>
      </w:pPr>
      <w:bookmarkStart w:id="51" w:name="_Toc15887"/>
      <w:bookmarkStart w:id="52" w:name="_Toc222906343"/>
      <w:r>
        <w:rPr>
          <w:rFonts w:hint="eastAsia" w:ascii="宋体" w:hAnsi="宋体" w:eastAsia="宋体" w:cs="宋体"/>
          <w:b/>
          <w:bCs/>
          <w:szCs w:val="21"/>
        </w:rPr>
        <w:t>13、工期延误</w:t>
      </w:r>
    </w:p>
    <w:p w14:paraId="4515168C">
      <w:pPr>
        <w:spacing w:line="600" w:lineRule="exact"/>
        <w:rPr>
          <w:rFonts w:hint="eastAsia" w:ascii="宋体" w:hAnsi="宋体" w:eastAsia="宋体" w:cs="宋体"/>
          <w:kern w:val="0"/>
          <w:szCs w:val="21"/>
          <w:u w:val="single"/>
        </w:rPr>
      </w:pPr>
      <w:r>
        <w:rPr>
          <w:rFonts w:hint="eastAsia" w:ascii="宋体" w:hAnsi="宋体" w:eastAsia="宋体" w:cs="宋体"/>
          <w:kern w:val="0"/>
          <w:szCs w:val="21"/>
        </w:rPr>
        <w:t>13.1双方约定的工期顺延的其他情况：</w:t>
      </w:r>
      <w:r>
        <w:rPr>
          <w:rFonts w:hint="eastAsia" w:ascii="宋体" w:hAnsi="宋体" w:eastAsia="宋体" w:cs="宋体"/>
          <w:kern w:val="0"/>
          <w:szCs w:val="21"/>
          <w:u w:val="single"/>
        </w:rPr>
        <w:t>根据项目实际情况由发包人决定。</w:t>
      </w:r>
    </w:p>
    <w:p w14:paraId="5D49EEBA">
      <w:pPr>
        <w:keepNext/>
        <w:keepLines/>
        <w:spacing w:line="600" w:lineRule="exact"/>
        <w:ind w:firstLine="314" w:firstLineChars="149"/>
        <w:outlineLvl w:val="0"/>
        <w:rPr>
          <w:rFonts w:hint="eastAsia" w:ascii="宋体" w:hAnsi="宋体" w:eastAsia="宋体" w:cs="宋体"/>
          <w:b/>
          <w:bCs/>
          <w:kern w:val="44"/>
          <w:szCs w:val="21"/>
        </w:rPr>
      </w:pPr>
      <w:bookmarkStart w:id="53" w:name="_Toc482003901"/>
      <w:bookmarkStart w:id="54" w:name="_Toc482003974"/>
      <w:r>
        <w:rPr>
          <w:rFonts w:hint="eastAsia" w:ascii="宋体" w:hAnsi="宋体" w:eastAsia="宋体" w:cs="宋体"/>
          <w:b/>
          <w:bCs/>
          <w:kern w:val="44"/>
          <w:szCs w:val="21"/>
        </w:rPr>
        <w:t>四、质量与验收</w:t>
      </w:r>
      <w:bookmarkEnd w:id="51"/>
      <w:bookmarkEnd w:id="52"/>
      <w:bookmarkEnd w:id="53"/>
      <w:bookmarkEnd w:id="54"/>
    </w:p>
    <w:p w14:paraId="5B449C1E">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15、工程质量应符合现行质量验收标准的</w:t>
      </w:r>
      <w:r>
        <w:rPr>
          <w:rFonts w:hint="eastAsia" w:ascii="宋体" w:hAnsi="宋体" w:eastAsia="宋体" w:cs="宋体"/>
          <w:kern w:val="0"/>
          <w:szCs w:val="21"/>
          <w:u w:val="single"/>
        </w:rPr>
        <w:t>合格</w:t>
      </w:r>
      <w:r>
        <w:rPr>
          <w:rFonts w:hint="eastAsia" w:ascii="宋体" w:hAnsi="宋体" w:eastAsia="宋体" w:cs="宋体"/>
          <w:kern w:val="0"/>
          <w:szCs w:val="21"/>
        </w:rPr>
        <w:t>等级。</w:t>
      </w:r>
    </w:p>
    <w:p w14:paraId="54252A10">
      <w:pPr>
        <w:tabs>
          <w:tab w:val="left" w:pos="6060"/>
        </w:tabs>
        <w:spacing w:line="600" w:lineRule="exact"/>
        <w:ind w:left="3" w:firstLine="470" w:firstLineChars="223"/>
        <w:rPr>
          <w:rFonts w:hint="eastAsia" w:ascii="宋体" w:hAnsi="宋体" w:eastAsia="宋体" w:cs="宋体"/>
          <w:b/>
          <w:bCs/>
          <w:szCs w:val="21"/>
        </w:rPr>
      </w:pPr>
      <w:r>
        <w:rPr>
          <w:rFonts w:hint="eastAsia" w:ascii="宋体" w:hAnsi="宋体" w:eastAsia="宋体" w:cs="宋体"/>
          <w:b/>
          <w:bCs/>
          <w:szCs w:val="21"/>
        </w:rPr>
        <w:t>17.隐蔽工程和中间验收</w:t>
      </w:r>
    </w:p>
    <w:p w14:paraId="0C6AC964">
      <w:pPr>
        <w:widowControl/>
        <w:spacing w:line="600" w:lineRule="exact"/>
        <w:ind w:firstLine="420" w:firstLineChars="200"/>
        <w:rPr>
          <w:rFonts w:hint="default" w:ascii="宋体" w:hAnsi="宋体" w:eastAsia="宋体" w:cs="宋体"/>
          <w:kern w:val="0"/>
          <w:szCs w:val="21"/>
          <w:u w:val="single"/>
          <w:lang w:val="en-US" w:eastAsia="zh-CN"/>
        </w:rPr>
      </w:pPr>
      <w:r>
        <w:rPr>
          <w:rFonts w:hint="eastAsia" w:ascii="宋体" w:hAnsi="宋体" w:eastAsia="宋体" w:cs="宋体"/>
          <w:kern w:val="0"/>
          <w:szCs w:val="21"/>
        </w:rPr>
        <w:t>17.1双方约定中间验收部位</w:t>
      </w:r>
      <w:r>
        <w:rPr>
          <w:rFonts w:hint="eastAsia" w:ascii="宋体" w:hAnsi="宋体" w:eastAsia="宋体" w:cs="宋体"/>
          <w:kern w:val="0"/>
          <w:szCs w:val="21"/>
          <w:u w:val="single"/>
        </w:rPr>
        <w:t>：</w:t>
      </w:r>
      <w:r>
        <w:rPr>
          <w:rFonts w:hint="eastAsia" w:ascii="宋体" w:hAnsi="宋体" w:eastAsia="宋体" w:cs="宋体"/>
          <w:kern w:val="0"/>
          <w:szCs w:val="21"/>
          <w:u w:val="single"/>
          <w:lang w:val="en-US" w:eastAsia="zh-CN"/>
        </w:rPr>
        <w:t xml:space="preserve">             </w:t>
      </w:r>
    </w:p>
    <w:p w14:paraId="39F5C02A">
      <w:pPr>
        <w:spacing w:line="600" w:lineRule="exact"/>
        <w:ind w:firstLine="422" w:firstLineChars="200"/>
        <w:rPr>
          <w:rFonts w:hint="eastAsia" w:ascii="宋体" w:hAnsi="宋体" w:eastAsia="宋体" w:cs="宋体"/>
          <w:b/>
          <w:bCs/>
          <w:szCs w:val="21"/>
        </w:rPr>
      </w:pPr>
      <w:r>
        <w:rPr>
          <w:rFonts w:hint="eastAsia" w:ascii="宋体" w:hAnsi="宋体" w:eastAsia="宋体" w:cs="宋体"/>
          <w:b/>
          <w:bCs/>
          <w:szCs w:val="21"/>
        </w:rPr>
        <w:t>19、工程试车</w:t>
      </w:r>
    </w:p>
    <w:p w14:paraId="6B765BBD">
      <w:pPr>
        <w:tabs>
          <w:tab w:val="left" w:pos="6060"/>
        </w:tabs>
        <w:spacing w:line="600" w:lineRule="exact"/>
        <w:ind w:left="6" w:firstLine="468" w:firstLineChars="223"/>
        <w:rPr>
          <w:rFonts w:hint="eastAsia" w:ascii="宋体" w:hAnsi="宋体" w:eastAsia="宋体" w:cs="宋体"/>
          <w:kern w:val="0"/>
          <w:szCs w:val="21"/>
          <w:u w:val="single"/>
        </w:rPr>
      </w:pPr>
      <w:r>
        <w:rPr>
          <w:rFonts w:hint="eastAsia" w:ascii="宋体" w:hAnsi="宋体" w:eastAsia="宋体" w:cs="宋体"/>
          <w:kern w:val="0"/>
          <w:szCs w:val="21"/>
        </w:rPr>
        <w:t xml:space="preserve">19.5试车费用的承担： </w:t>
      </w:r>
      <w:r>
        <w:rPr>
          <w:rFonts w:hint="eastAsia" w:ascii="宋体" w:hAnsi="宋体" w:eastAsia="宋体" w:cs="宋体"/>
          <w:kern w:val="0"/>
          <w:szCs w:val="21"/>
          <w:u w:val="single"/>
        </w:rPr>
        <w:t xml:space="preserve"> 承包人承担 </w:t>
      </w:r>
    </w:p>
    <w:p w14:paraId="6D3E2707">
      <w:pPr>
        <w:keepNext/>
        <w:keepLines/>
        <w:spacing w:line="600" w:lineRule="exact"/>
        <w:ind w:firstLine="312" w:firstLineChars="149"/>
        <w:outlineLvl w:val="0"/>
        <w:rPr>
          <w:rFonts w:hint="eastAsia" w:ascii="宋体" w:hAnsi="宋体" w:eastAsia="宋体" w:cs="宋体"/>
          <w:b/>
          <w:bCs/>
          <w:kern w:val="44"/>
          <w:szCs w:val="21"/>
        </w:rPr>
      </w:pPr>
      <w:bookmarkStart w:id="55" w:name="_Toc482003902"/>
      <w:bookmarkStart w:id="56" w:name="_Toc482003975"/>
      <w:bookmarkStart w:id="57" w:name="_Toc222906344"/>
      <w:bookmarkStart w:id="58" w:name="_Toc17497"/>
      <w:r>
        <w:rPr>
          <w:rFonts w:hint="eastAsia" w:ascii="宋体" w:hAnsi="宋体" w:eastAsia="宋体" w:cs="宋体"/>
          <w:kern w:val="44"/>
          <w:szCs w:val="21"/>
        </w:rPr>
        <w:t>五</w:t>
      </w:r>
      <w:r>
        <w:rPr>
          <w:rFonts w:hint="eastAsia" w:ascii="宋体" w:hAnsi="宋体" w:eastAsia="宋体" w:cs="宋体"/>
          <w:b/>
          <w:bCs/>
          <w:kern w:val="44"/>
          <w:szCs w:val="21"/>
        </w:rPr>
        <w:t>、安全防护、文明施工</w:t>
      </w:r>
      <w:bookmarkEnd w:id="55"/>
      <w:bookmarkEnd w:id="56"/>
      <w:bookmarkEnd w:id="57"/>
      <w:bookmarkEnd w:id="58"/>
    </w:p>
    <w:p w14:paraId="4F828A1E">
      <w:pPr>
        <w:spacing w:line="600" w:lineRule="exact"/>
        <w:rPr>
          <w:rFonts w:hint="eastAsia" w:ascii="宋体" w:hAnsi="宋体" w:eastAsia="宋体" w:cs="宋体"/>
          <w:kern w:val="0"/>
          <w:szCs w:val="21"/>
          <w:u w:val="single"/>
        </w:rPr>
      </w:pPr>
      <w:r>
        <w:rPr>
          <w:rFonts w:hint="eastAsia" w:ascii="宋体" w:hAnsi="宋体" w:eastAsia="宋体" w:cs="宋体"/>
          <w:kern w:val="0"/>
          <w:szCs w:val="21"/>
          <w:u w:val="single"/>
        </w:rPr>
        <w:t>执行通用条款，承包人责任中增加以下：</w:t>
      </w:r>
    </w:p>
    <w:p w14:paraId="5BE4CAAD">
      <w:pPr>
        <w:spacing w:after="120" w:line="600" w:lineRule="exact"/>
        <w:ind w:firstLine="474" w:firstLineChars="226"/>
        <w:rPr>
          <w:rFonts w:hint="eastAsia" w:ascii="宋体" w:hAnsi="宋体" w:eastAsia="宋体" w:cs="宋体"/>
          <w:kern w:val="0"/>
          <w:szCs w:val="21"/>
        </w:rPr>
      </w:pPr>
      <w:bookmarkStart w:id="59" w:name="_Toc222906345"/>
      <w:bookmarkStart w:id="60" w:name="_Toc24153"/>
      <w:r>
        <w:rPr>
          <w:rFonts w:hint="eastAsia" w:ascii="宋体" w:hAnsi="宋体" w:eastAsia="宋体" w:cs="宋体"/>
          <w:kern w:val="0"/>
          <w:szCs w:val="21"/>
        </w:rPr>
        <w:t>21.6承包人应认真遵守和履行《住建部关于印发&lt;建筑工程五方责任主体项目负责人质量终身责任追究暂行办法&gt;的通知》（[2014]124号）文件精神。并遵守国家和地方有关安全生产的法律法规，使项目安全生产标准化必须达标，对项目的安全生产负总责。</w:t>
      </w:r>
    </w:p>
    <w:p w14:paraId="2FF5764A">
      <w:pPr>
        <w:spacing w:after="120" w:line="600" w:lineRule="exact"/>
        <w:ind w:firstLine="474" w:firstLineChars="226"/>
        <w:rPr>
          <w:rFonts w:hint="eastAsia" w:ascii="宋体" w:hAnsi="宋体" w:eastAsia="宋体" w:cs="宋体"/>
          <w:kern w:val="0"/>
          <w:szCs w:val="21"/>
        </w:rPr>
      </w:pPr>
      <w:r>
        <w:rPr>
          <w:rFonts w:hint="eastAsia" w:ascii="宋体" w:hAnsi="宋体" w:eastAsia="宋体" w:cs="宋体"/>
          <w:kern w:val="0"/>
          <w:szCs w:val="21"/>
        </w:rPr>
        <w:t>21.7承包人应确保安全文明施工措施费专款专用，发包人有权对该项费用的使用情况进行全程监督，如该笔费用不用于安全文明施工，则发包人有权在合同价款中予以扣除。</w:t>
      </w:r>
    </w:p>
    <w:p w14:paraId="0B2A93E4">
      <w:pPr>
        <w:spacing w:after="120" w:line="600" w:lineRule="exact"/>
        <w:ind w:firstLine="474" w:firstLineChars="226"/>
        <w:rPr>
          <w:rFonts w:hint="eastAsia" w:ascii="宋体" w:hAnsi="宋体" w:eastAsia="宋体" w:cs="宋体"/>
          <w:kern w:val="0"/>
          <w:szCs w:val="21"/>
        </w:rPr>
      </w:pPr>
      <w:r>
        <w:rPr>
          <w:rFonts w:hint="eastAsia" w:ascii="宋体" w:hAnsi="宋体" w:eastAsia="宋体" w:cs="宋体"/>
          <w:kern w:val="0"/>
          <w:szCs w:val="21"/>
        </w:rPr>
        <w:t>21.8施工现场发生的一切非发包人、监理人原因的安全事故由承包人负责，并承担全部责任及费用。</w:t>
      </w:r>
    </w:p>
    <w:p w14:paraId="50148C55">
      <w:pPr>
        <w:keepNext/>
        <w:keepLines/>
        <w:spacing w:line="600" w:lineRule="exact"/>
        <w:ind w:firstLine="312" w:firstLineChars="149"/>
        <w:outlineLvl w:val="0"/>
        <w:rPr>
          <w:rFonts w:hint="eastAsia" w:ascii="宋体" w:hAnsi="宋体" w:eastAsia="宋体" w:cs="宋体"/>
          <w:b/>
          <w:bCs/>
          <w:kern w:val="44"/>
          <w:szCs w:val="21"/>
        </w:rPr>
      </w:pPr>
      <w:bookmarkStart w:id="61" w:name="_Toc482003903"/>
      <w:bookmarkStart w:id="62" w:name="_Toc482003976"/>
      <w:r>
        <w:rPr>
          <w:rFonts w:hint="eastAsia" w:ascii="宋体" w:hAnsi="宋体" w:eastAsia="宋体" w:cs="宋体"/>
          <w:kern w:val="44"/>
          <w:szCs w:val="21"/>
        </w:rPr>
        <w:t>六</w:t>
      </w:r>
      <w:r>
        <w:rPr>
          <w:rFonts w:hint="eastAsia" w:ascii="宋体" w:hAnsi="宋体" w:eastAsia="宋体" w:cs="宋体"/>
          <w:b/>
          <w:bCs/>
          <w:kern w:val="44"/>
          <w:szCs w:val="21"/>
        </w:rPr>
        <w:t>、合同价款</w:t>
      </w:r>
      <w:bookmarkEnd w:id="59"/>
      <w:bookmarkEnd w:id="60"/>
      <w:bookmarkEnd w:id="61"/>
      <w:bookmarkEnd w:id="62"/>
    </w:p>
    <w:p w14:paraId="571FE541">
      <w:pPr>
        <w:tabs>
          <w:tab w:val="left" w:pos="6060"/>
        </w:tabs>
        <w:spacing w:line="600" w:lineRule="exact"/>
        <w:ind w:firstLine="417" w:firstLineChars="198"/>
        <w:rPr>
          <w:rFonts w:hint="eastAsia" w:ascii="宋体" w:hAnsi="宋体" w:eastAsia="宋体" w:cs="宋体"/>
          <w:b/>
          <w:bCs/>
          <w:szCs w:val="21"/>
        </w:rPr>
      </w:pPr>
      <w:r>
        <w:rPr>
          <w:rFonts w:hint="eastAsia" w:ascii="宋体" w:hAnsi="宋体" w:eastAsia="宋体" w:cs="宋体"/>
          <w:b/>
          <w:bCs/>
          <w:szCs w:val="21"/>
        </w:rPr>
        <w:t>26.合同价款的约定</w:t>
      </w:r>
    </w:p>
    <w:p w14:paraId="13BF0396">
      <w:pPr>
        <w:tabs>
          <w:tab w:val="left" w:pos="6060"/>
        </w:tabs>
        <w:spacing w:line="600" w:lineRule="exact"/>
        <w:ind w:left="3" w:firstLine="468" w:firstLineChars="223"/>
        <w:rPr>
          <w:rFonts w:hint="eastAsia" w:ascii="宋体" w:hAnsi="宋体" w:eastAsia="宋体" w:cs="宋体"/>
          <w:kern w:val="0"/>
          <w:szCs w:val="21"/>
        </w:rPr>
      </w:pPr>
      <w:r>
        <w:rPr>
          <w:rFonts w:hint="eastAsia" w:ascii="宋体" w:hAnsi="宋体" w:eastAsia="宋体" w:cs="宋体"/>
          <w:kern w:val="0"/>
          <w:szCs w:val="21"/>
        </w:rPr>
        <w:t xml:space="preserve">26.2本合同价款采用 </w:t>
      </w:r>
      <w:r>
        <w:rPr>
          <w:rFonts w:hint="eastAsia" w:ascii="宋体" w:hAnsi="宋体" w:eastAsia="宋体" w:cs="宋体"/>
          <w:kern w:val="0"/>
          <w:szCs w:val="21"/>
          <w:u w:val="single"/>
        </w:rPr>
        <w:t xml:space="preserve"> （2） </w:t>
      </w:r>
      <w:r>
        <w:rPr>
          <w:rFonts w:hint="eastAsia" w:ascii="宋体" w:hAnsi="宋体" w:eastAsia="宋体" w:cs="宋体"/>
          <w:kern w:val="0"/>
          <w:szCs w:val="21"/>
        </w:rPr>
        <w:t xml:space="preserve"> </w:t>
      </w:r>
    </w:p>
    <w:p w14:paraId="328DC10D">
      <w:pPr>
        <w:tabs>
          <w:tab w:val="left" w:pos="6060"/>
        </w:tabs>
        <w:spacing w:line="600" w:lineRule="exact"/>
        <w:ind w:firstLine="630" w:firstLineChars="300"/>
        <w:rPr>
          <w:rFonts w:hint="eastAsia" w:ascii="宋体" w:hAnsi="宋体" w:eastAsia="宋体" w:cs="宋体"/>
          <w:kern w:val="0"/>
          <w:szCs w:val="21"/>
        </w:rPr>
      </w:pPr>
      <w:r>
        <w:rPr>
          <w:rFonts w:hint="eastAsia" w:ascii="宋体" w:hAnsi="宋体" w:eastAsia="宋体" w:cs="宋体"/>
          <w:kern w:val="0"/>
          <w:szCs w:val="21"/>
        </w:rPr>
        <w:t>（1）采用固定总价合同</w:t>
      </w:r>
    </w:p>
    <w:p w14:paraId="181D7D90">
      <w:pPr>
        <w:widowControl/>
        <w:spacing w:line="600" w:lineRule="exact"/>
        <w:ind w:firstLine="630" w:firstLineChars="300"/>
        <w:rPr>
          <w:rFonts w:hint="eastAsia" w:ascii="宋体" w:hAnsi="宋体" w:eastAsia="宋体" w:cs="宋体"/>
          <w:kern w:val="0"/>
          <w:szCs w:val="21"/>
          <w:u w:val="single"/>
        </w:rPr>
      </w:pPr>
      <w:r>
        <w:rPr>
          <w:rFonts w:hint="eastAsia" w:ascii="宋体" w:hAnsi="宋体" w:eastAsia="宋体" w:cs="宋体"/>
          <w:kern w:val="0"/>
          <w:szCs w:val="21"/>
        </w:rPr>
        <w:t>（2）采用固定综合单价合同，综合单价中包括的风险范围：</w:t>
      </w:r>
      <w:r>
        <w:rPr>
          <w:rFonts w:hint="eastAsia" w:ascii="宋体" w:hAnsi="宋体" w:eastAsia="宋体" w:cs="宋体"/>
          <w:kern w:val="0"/>
          <w:szCs w:val="21"/>
          <w:u w:val="single"/>
        </w:rPr>
        <w:fldChar w:fldCharType="begin"/>
      </w:r>
      <w:r>
        <w:rPr>
          <w:rFonts w:hint="eastAsia" w:ascii="宋体" w:hAnsi="宋体" w:eastAsia="宋体" w:cs="宋体"/>
          <w:kern w:val="0"/>
          <w:szCs w:val="21"/>
          <w:u w:val="single"/>
        </w:rPr>
        <w:instrText xml:space="preserve"> eq \o\ac(○,1)</w:instrText>
      </w:r>
      <w:r>
        <w:rPr>
          <w:rFonts w:hint="eastAsia" w:ascii="宋体" w:hAnsi="宋体" w:eastAsia="宋体" w:cs="宋体"/>
          <w:kern w:val="0"/>
          <w:szCs w:val="21"/>
          <w:u w:val="single"/>
        </w:rPr>
        <w:fldChar w:fldCharType="end"/>
      </w:r>
      <w:r>
        <w:rPr>
          <w:rFonts w:hint="eastAsia" w:ascii="宋体" w:hAnsi="宋体" w:eastAsia="宋体" w:cs="宋体"/>
          <w:kern w:val="0"/>
          <w:szCs w:val="21"/>
          <w:u w:val="single"/>
        </w:rPr>
        <w:t>人工费、机械费的市场价格浮动风险（政策性调整除外）；</w:t>
      </w:r>
      <w:r>
        <w:rPr>
          <w:rFonts w:hint="eastAsia" w:ascii="宋体" w:hAnsi="宋体" w:eastAsia="宋体" w:cs="宋体"/>
          <w:kern w:val="0"/>
          <w:szCs w:val="21"/>
          <w:u w:val="single"/>
        </w:rPr>
        <w:fldChar w:fldCharType="begin"/>
      </w:r>
      <w:r>
        <w:rPr>
          <w:rFonts w:hint="eastAsia" w:ascii="宋体" w:hAnsi="宋体" w:eastAsia="宋体" w:cs="宋体"/>
          <w:kern w:val="0"/>
          <w:szCs w:val="21"/>
          <w:u w:val="single"/>
        </w:rPr>
        <w:instrText xml:space="preserve"> eq \o\ac(○,2)</w:instrText>
      </w:r>
      <w:r>
        <w:rPr>
          <w:rFonts w:hint="eastAsia" w:ascii="宋体" w:hAnsi="宋体" w:eastAsia="宋体" w:cs="宋体"/>
          <w:kern w:val="0"/>
          <w:szCs w:val="21"/>
          <w:u w:val="single"/>
        </w:rPr>
        <w:fldChar w:fldCharType="end"/>
      </w:r>
      <w:r>
        <w:rPr>
          <w:rFonts w:hint="eastAsia" w:ascii="宋体" w:hAnsi="宋体" w:eastAsia="宋体" w:cs="宋体"/>
          <w:kern w:val="0"/>
          <w:szCs w:val="21"/>
          <w:u w:val="single"/>
        </w:rPr>
        <w:t>施工期内的材料、设备价格波动在约定范围内的风险；</w:t>
      </w:r>
      <w:r>
        <w:rPr>
          <w:rFonts w:hint="eastAsia" w:ascii="宋体" w:hAnsi="宋体" w:eastAsia="宋体" w:cs="宋体"/>
          <w:kern w:val="0"/>
          <w:szCs w:val="21"/>
          <w:u w:val="single"/>
        </w:rPr>
        <w:fldChar w:fldCharType="begin"/>
      </w:r>
      <w:r>
        <w:rPr>
          <w:rFonts w:hint="eastAsia" w:ascii="宋体" w:hAnsi="宋体" w:eastAsia="宋体" w:cs="宋体"/>
          <w:kern w:val="0"/>
          <w:szCs w:val="21"/>
          <w:u w:val="single"/>
        </w:rPr>
        <w:instrText xml:space="preserve"> = 3 \* GB3 </w:instrText>
      </w:r>
      <w:r>
        <w:rPr>
          <w:rFonts w:hint="eastAsia" w:ascii="宋体" w:hAnsi="宋体" w:eastAsia="宋体" w:cs="宋体"/>
          <w:kern w:val="0"/>
          <w:szCs w:val="21"/>
          <w:u w:val="single"/>
        </w:rPr>
        <w:fldChar w:fldCharType="separate"/>
      </w:r>
      <w:r>
        <w:rPr>
          <w:rFonts w:hint="eastAsia" w:ascii="宋体" w:hAnsi="宋体" w:eastAsia="宋体" w:cs="宋体"/>
          <w:kern w:val="0"/>
          <w:szCs w:val="21"/>
          <w:u w:val="single"/>
        </w:rPr>
        <w:t>③</w:t>
      </w:r>
      <w:r>
        <w:rPr>
          <w:rFonts w:hint="eastAsia" w:ascii="宋体" w:hAnsi="宋体" w:eastAsia="宋体" w:cs="宋体"/>
          <w:kern w:val="0"/>
          <w:szCs w:val="21"/>
          <w:u w:val="single"/>
        </w:rPr>
        <w:fldChar w:fldCharType="end"/>
      </w:r>
      <w:r>
        <w:rPr>
          <w:rFonts w:hint="eastAsia" w:ascii="宋体" w:hAnsi="宋体" w:eastAsia="宋体" w:cs="宋体"/>
          <w:kern w:val="0"/>
          <w:szCs w:val="21"/>
          <w:u w:val="single"/>
        </w:rPr>
        <w:t>本合同专用条款第43条规定以外发生的自然灾害、冬季、雨季施工的防御措施费用。</w:t>
      </w:r>
    </w:p>
    <w:p w14:paraId="6EAFD306">
      <w:pPr>
        <w:tabs>
          <w:tab w:val="left" w:pos="6060"/>
        </w:tabs>
        <w:spacing w:line="600" w:lineRule="exact"/>
        <w:ind w:left="539" w:firstLine="98" w:firstLineChars="47"/>
        <w:rPr>
          <w:rFonts w:hint="eastAsia" w:ascii="宋体" w:hAnsi="宋体" w:eastAsia="宋体" w:cs="宋体"/>
          <w:kern w:val="0"/>
          <w:szCs w:val="21"/>
          <w:u w:val="single"/>
        </w:rPr>
      </w:pPr>
      <w:r>
        <w:rPr>
          <w:rFonts w:hint="eastAsia" w:ascii="宋体" w:hAnsi="宋体" w:eastAsia="宋体" w:cs="宋体"/>
          <w:kern w:val="0"/>
          <w:szCs w:val="21"/>
        </w:rPr>
        <w:t>风险范围以外合同价款调整方法：</w:t>
      </w:r>
      <w:r>
        <w:rPr>
          <w:rFonts w:hint="eastAsia" w:ascii="宋体" w:hAnsi="宋体" w:eastAsia="宋体" w:cs="宋体"/>
          <w:kern w:val="0"/>
          <w:szCs w:val="21"/>
          <w:u w:val="single"/>
        </w:rPr>
        <w:t>见合同价款调整</w:t>
      </w:r>
    </w:p>
    <w:p w14:paraId="5AC12956">
      <w:pPr>
        <w:tabs>
          <w:tab w:val="left" w:pos="6060"/>
        </w:tabs>
        <w:spacing w:line="600" w:lineRule="exact"/>
        <w:ind w:left="539" w:firstLine="98" w:firstLineChars="47"/>
        <w:rPr>
          <w:rFonts w:hint="eastAsia" w:ascii="宋体" w:hAnsi="宋体" w:eastAsia="宋体" w:cs="宋体"/>
          <w:kern w:val="0"/>
          <w:szCs w:val="21"/>
        </w:rPr>
      </w:pPr>
      <w:r>
        <w:rPr>
          <w:rFonts w:hint="eastAsia" w:ascii="宋体" w:hAnsi="宋体" w:eastAsia="宋体" w:cs="宋体"/>
          <w:kern w:val="0"/>
          <w:szCs w:val="21"/>
        </w:rPr>
        <w:t>（3）采用可调整价格合同，合同价款调整方法：</w:t>
      </w:r>
      <w:r>
        <w:rPr>
          <w:rFonts w:hint="eastAsia" w:ascii="宋体" w:hAnsi="宋体" w:eastAsia="宋体" w:cs="宋体"/>
          <w:kern w:val="0"/>
          <w:szCs w:val="21"/>
          <w:u w:val="single"/>
        </w:rPr>
        <w:t>无</w:t>
      </w:r>
      <w:r>
        <w:rPr>
          <w:rFonts w:hint="eastAsia" w:ascii="宋体" w:hAnsi="宋体" w:eastAsia="宋体" w:cs="宋体"/>
          <w:kern w:val="0"/>
          <w:szCs w:val="21"/>
        </w:rPr>
        <w:t xml:space="preserve"> </w:t>
      </w:r>
    </w:p>
    <w:p w14:paraId="3C37F2E2">
      <w:pPr>
        <w:tabs>
          <w:tab w:val="left" w:pos="6060"/>
        </w:tabs>
        <w:spacing w:line="600" w:lineRule="exact"/>
        <w:ind w:firstLine="504" w:firstLineChars="239"/>
        <w:rPr>
          <w:rFonts w:hint="eastAsia" w:ascii="宋体" w:hAnsi="宋体" w:eastAsia="宋体" w:cs="宋体"/>
          <w:b/>
          <w:bCs/>
          <w:szCs w:val="21"/>
        </w:rPr>
      </w:pPr>
      <w:r>
        <w:rPr>
          <w:rFonts w:hint="eastAsia" w:ascii="宋体" w:hAnsi="宋体" w:eastAsia="宋体" w:cs="宋体"/>
          <w:b/>
          <w:bCs/>
          <w:szCs w:val="21"/>
        </w:rPr>
        <w:t>27合同价款调整</w:t>
      </w:r>
    </w:p>
    <w:p w14:paraId="77C2E4C8">
      <w:pPr>
        <w:autoSpaceDE w:val="0"/>
        <w:autoSpaceDN w:val="0"/>
        <w:spacing w:line="600" w:lineRule="exact"/>
        <w:ind w:firstLine="403" w:firstLineChars="192"/>
        <w:rPr>
          <w:rFonts w:hint="eastAsia" w:ascii="宋体" w:hAnsi="宋体" w:eastAsia="宋体" w:cs="宋体"/>
          <w:kern w:val="0"/>
          <w:szCs w:val="21"/>
        </w:rPr>
      </w:pPr>
      <w:r>
        <w:rPr>
          <w:rFonts w:hint="eastAsia" w:ascii="宋体" w:hAnsi="宋体" w:eastAsia="宋体" w:cs="宋体"/>
          <w:kern w:val="0"/>
          <w:szCs w:val="21"/>
        </w:rPr>
        <w:t>27.1风险范围以外综合单价调整原则和方法：</w:t>
      </w:r>
    </w:p>
    <w:p w14:paraId="77C7CC6B">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人工单价发生变化且符合省级或行业建设主管部门发布的人工费调整规定，按省级或行业建设主管部门或其授权的工程造价管理机构发布的人工费等文件调整合同价格，但承包人对人工费或人工单价的报价高于发布价格的除外。</w:t>
      </w:r>
    </w:p>
    <w:p w14:paraId="2108DBFA">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2）主要材料、设备（详见招标工程量清单中的附表）按以下原则调整：其价格以最高投标限价中载明的材料单价与施工期间所出版的榆林信息价（榆林信息价中没有的按招标人认可的市场价）的平均值比较，当涨跌幅＞5%时，其超过部分材料价以差价形式调整总价。差价只计取安全文明施工措施费、规费、税金。当涨跌幅≤5%时，不做调整。调整材料价格的主张由受益方及时提出申请，相对方确认，逾期不调整。</w:t>
      </w:r>
    </w:p>
    <w:p w14:paraId="125FFA0D">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如钢材（管材、型材、线材）、商品混凝土实行暂定价，则按按以下方式调整：以最高投标限价中暂定单价与施工期间（开工至主体封顶期间）所出版的榆林信息价的平均值比较，以差价形式调整总价；其它暂定价材料（详见招标工程量清单中的附表）按发包人认价结果以差价形式调整总价。差价只计取安全文明施工措施费、规费、税金。</w:t>
      </w:r>
    </w:p>
    <w:p w14:paraId="707944FB">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暂定价的材料采购前，由承包人提出申请，发包人认质认价并出具通知单后或者发包人确定材料品牌后即可采购。认价时依据市场实际采购价格不考虑承包人管理费等与之有关的其它费用。</w:t>
      </w:r>
    </w:p>
    <w:p w14:paraId="5D89BEDE">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不在上述（（2）、（3）条）约定范围内的材料，其价格无论涨跌幅高低，均不作调整。</w:t>
      </w:r>
    </w:p>
    <w:p w14:paraId="3E9D9AA9">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（4）施工期间法律、行政法规和国家有关政策变化影响合同价款，本工程应作相应调整。</w:t>
      </w:r>
    </w:p>
    <w:p w14:paraId="39F59546">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5）施工期间如出现图纸设计要求与工程量清单特征描述不符的，发包人有权决定按图纸设计要求或者按清单项目特征描述内容施工。当发包人要求按图纸设计要求施工时，承包人按图纸项目特征依据本合同规定的计价原则提出综合单价，由发包人确认后调整合同价款。</w:t>
      </w:r>
    </w:p>
    <w:p w14:paraId="0992646D">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（6）由于承包人自身原因引起的设计变更，洽谈须经设计、监理、发包人同意，其费用和责任由承包人负担，合同价款不予调整。</w:t>
      </w:r>
    </w:p>
    <w:p w14:paraId="15F908B1">
      <w:pPr>
        <w:widowControl/>
        <w:tabs>
          <w:tab w:val="left" w:pos="900"/>
        </w:tabs>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（7）因工程量清单漏项、现场签证、设计变更引起新增加的工程量清单项目，工程量按实计算，合同价款按以下原则进行调整；</w:t>
      </w:r>
    </w:p>
    <w:p w14:paraId="4210976B">
      <w:pPr>
        <w:widowControl/>
        <w:spacing w:line="600" w:lineRule="exact"/>
        <w:ind w:firstLine="525" w:firstLineChars="250"/>
        <w:rPr>
          <w:rFonts w:hint="eastAsia" w:ascii="宋体" w:hAnsi="宋体" w:eastAsia="宋体" w:cs="宋体"/>
          <w:kern w:val="0"/>
          <w:szCs w:val="21"/>
        </w:rPr>
      </w:pPr>
      <w:r>
        <w:rPr>
          <w:rFonts w:hint="eastAsia" w:ascii="宋体" w:hAnsi="宋体" w:eastAsia="宋体" w:cs="宋体"/>
          <w:kern w:val="0"/>
          <w:szCs w:val="21"/>
        </w:rPr>
        <w:t>①合同中已有适用于变更工程的综合单价，按合同已有的综合单价或价格变更合同价款；</w:t>
      </w:r>
    </w:p>
    <w:p w14:paraId="2B440541">
      <w:pPr>
        <w:widowControl/>
        <w:spacing w:line="600" w:lineRule="exact"/>
        <w:ind w:firstLine="525" w:firstLineChars="250"/>
        <w:rPr>
          <w:rFonts w:hint="eastAsia" w:ascii="宋体" w:hAnsi="宋体" w:eastAsia="宋体" w:cs="宋体"/>
          <w:kern w:val="0"/>
          <w:szCs w:val="21"/>
        </w:rPr>
      </w:pPr>
      <w:r>
        <w:rPr>
          <w:rFonts w:hint="eastAsia" w:ascii="宋体" w:hAnsi="宋体" w:eastAsia="宋体" w:cs="宋体"/>
          <w:kern w:val="0"/>
          <w:szCs w:val="21"/>
        </w:rPr>
        <w:t>②合同中已有类似于变更工程的综合单价，参照类似综合单价或价格变更合同价款；</w:t>
      </w:r>
    </w:p>
    <w:p w14:paraId="38260314">
      <w:pPr>
        <w:widowControl/>
        <w:spacing w:line="600" w:lineRule="exact"/>
        <w:ind w:firstLine="525" w:firstLineChars="250"/>
        <w:rPr>
          <w:rFonts w:hint="eastAsia" w:ascii="宋体" w:hAnsi="宋体" w:eastAsia="宋体" w:cs="宋体"/>
          <w:kern w:val="0"/>
          <w:szCs w:val="21"/>
        </w:rPr>
      </w:pPr>
      <w:r>
        <w:rPr>
          <w:rFonts w:hint="eastAsia" w:ascii="宋体" w:hAnsi="宋体" w:eastAsia="宋体" w:cs="宋体"/>
          <w:kern w:val="0"/>
          <w:szCs w:val="21"/>
        </w:rPr>
        <w:t>③合同中没有适用或类似的综合单价，由承包人依据2004年版《陕西省建筑、装饰、市政、园林、安装工程消耗量定额》、2009年《陕西省建筑、装饰、市政、园林、安装工程消耗量定额价目表》、《2009年陕西省工程量清单计价参考费率》、《陕西省建设工程施工机械台班价目表》、《陕西省建设工程消耗量定额勘误及补充定额》、主材市场价等提出新综合单价，发包人确认后调整合同价款。</w:t>
      </w:r>
      <w:bookmarkStart w:id="63" w:name="OLE_LINK4"/>
      <w:bookmarkStart w:id="64" w:name="OLE_LINK3"/>
    </w:p>
    <w:p w14:paraId="4C46CC28">
      <w:pPr>
        <w:widowControl/>
        <w:spacing w:line="600" w:lineRule="exact"/>
        <w:ind w:firstLine="210" w:firstLineChars="100"/>
        <w:rPr>
          <w:rFonts w:hint="eastAsia" w:ascii="宋体" w:hAnsi="宋体" w:eastAsia="宋体" w:cs="宋体"/>
          <w:kern w:val="0"/>
          <w:szCs w:val="21"/>
        </w:rPr>
      </w:pPr>
      <w:r>
        <w:rPr>
          <w:rFonts w:hint="eastAsia" w:ascii="宋体" w:hAnsi="宋体" w:eastAsia="宋体" w:cs="宋体"/>
          <w:kern w:val="0"/>
          <w:szCs w:val="21"/>
        </w:rPr>
        <w:t>（8）无论何种原因引起的工程量增减，无论幅度大小，一律不调整综合单价。</w:t>
      </w:r>
      <w:bookmarkEnd w:id="63"/>
      <w:bookmarkEnd w:id="64"/>
    </w:p>
    <w:p w14:paraId="6A8D5602">
      <w:pPr>
        <w:widowControl/>
        <w:spacing w:line="600" w:lineRule="exact"/>
        <w:ind w:firstLine="210" w:firstLineChars="100"/>
        <w:rPr>
          <w:rFonts w:hint="eastAsia" w:ascii="宋体" w:hAnsi="宋体" w:eastAsia="宋体" w:cs="宋体"/>
          <w:kern w:val="0"/>
          <w:szCs w:val="21"/>
        </w:rPr>
      </w:pPr>
      <w:r>
        <w:rPr>
          <w:rFonts w:hint="eastAsia" w:ascii="宋体" w:hAnsi="宋体" w:eastAsia="宋体" w:cs="宋体"/>
          <w:kern w:val="0"/>
          <w:szCs w:val="21"/>
        </w:rPr>
        <w:t>（9）工程量清单中的工程数量与实际工程量不符，按实际完成工程量结算；</w:t>
      </w:r>
    </w:p>
    <w:p w14:paraId="5B08BE50">
      <w:pPr>
        <w:widowControl/>
        <w:spacing w:line="600" w:lineRule="exact"/>
        <w:ind w:firstLine="210" w:firstLineChars="100"/>
        <w:rPr>
          <w:rFonts w:hint="eastAsia" w:ascii="宋体" w:hAnsi="宋体" w:eastAsia="宋体" w:cs="宋体"/>
          <w:kern w:val="0"/>
          <w:szCs w:val="21"/>
        </w:rPr>
      </w:pPr>
      <w:r>
        <w:rPr>
          <w:rFonts w:hint="eastAsia" w:ascii="宋体" w:hAnsi="宋体" w:eastAsia="宋体" w:cs="宋体"/>
          <w:kern w:val="0"/>
          <w:szCs w:val="21"/>
        </w:rPr>
        <w:t>（10）施工过程中发生的发包人、监理单位签字确认的零星工日，其单价不分土建、市政、安装等专业，均按拦标价土建工程人工费的单价进行现场签证，即实际发生零星工日费用=签证零星工日数量×拦标价土建工程人工费*1.5×（1+规费）×（1+税率）。</w:t>
      </w:r>
    </w:p>
    <w:p w14:paraId="376DA978">
      <w:pPr>
        <w:widowControl/>
        <w:spacing w:line="600" w:lineRule="exact"/>
        <w:ind w:firstLine="210" w:firstLineChars="100"/>
        <w:rPr>
          <w:rFonts w:hint="eastAsia" w:ascii="宋体" w:hAnsi="宋体" w:eastAsia="宋体" w:cs="宋体"/>
          <w:kern w:val="0"/>
          <w:szCs w:val="21"/>
        </w:rPr>
      </w:pPr>
      <w:r>
        <w:rPr>
          <w:rFonts w:hint="eastAsia" w:ascii="宋体" w:hAnsi="宋体" w:eastAsia="宋体" w:cs="宋体"/>
          <w:kern w:val="0"/>
          <w:szCs w:val="21"/>
        </w:rPr>
        <w:t>（11）施工过程中发生的发包人及监理单位签字确认的零星用机械台班，其单价以市场机械台班单价进行现场签证，只计取税金。</w:t>
      </w:r>
    </w:p>
    <w:p w14:paraId="590B05FA">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27.2项目措施费调整原则及方法</w:t>
      </w:r>
    </w:p>
    <w:p w14:paraId="3351CDD0">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承包人中标的措施项目费为合同条款的组成部分，一般不作调整。但出现以下情况时调整：</w:t>
      </w:r>
    </w:p>
    <w:p w14:paraId="367D4DB4">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（1）发包人更改已审定的施工方案（修正错误除外），引起措施项目费增加时予以增加，减少时不予减少。</w:t>
      </w:r>
    </w:p>
    <w:p w14:paraId="69E39780">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（2）非承包人原因引起工程量变化导致的措施项目费用增加时予以增加，减少时予以减少。</w:t>
      </w:r>
    </w:p>
    <w:p w14:paraId="181195BB">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上述两类情况发生时，承包人原中标价以综合单价计算的措施项目按本合同专用条款的规定办理；承包人原中标价以系数计算的措施项目，按原中标系数计算。</w:t>
      </w:r>
    </w:p>
    <w:p w14:paraId="476F7C94">
      <w:pPr>
        <w:widowControl/>
        <w:spacing w:line="600" w:lineRule="exact"/>
        <w:ind w:firstLine="409" w:firstLineChars="195"/>
        <w:rPr>
          <w:rFonts w:hint="eastAsia" w:ascii="宋体" w:hAnsi="宋体" w:eastAsia="宋体" w:cs="宋体"/>
          <w:kern w:val="0"/>
          <w:szCs w:val="21"/>
        </w:rPr>
      </w:pPr>
      <w:r>
        <w:rPr>
          <w:rFonts w:hint="eastAsia" w:ascii="宋体" w:hAnsi="宋体" w:eastAsia="宋体" w:cs="宋体"/>
          <w:kern w:val="0"/>
          <w:szCs w:val="21"/>
        </w:rPr>
        <w:t>27.3工程价款调整报告由受益方在调整因素确定后14天内向合同的另一方提出，经对方确认后调整合同价款。受益方未在合同约定时间内提出工程价款调整报告的，视为不涉及合同价款的调整。</w:t>
      </w:r>
    </w:p>
    <w:p w14:paraId="0FFB7869">
      <w:pPr>
        <w:tabs>
          <w:tab w:val="left" w:pos="6060"/>
        </w:tabs>
        <w:spacing w:line="600" w:lineRule="exact"/>
        <w:ind w:firstLine="504" w:firstLineChars="239"/>
        <w:rPr>
          <w:rFonts w:hint="eastAsia" w:ascii="宋体" w:hAnsi="宋体" w:eastAsia="宋体" w:cs="宋体"/>
          <w:b/>
          <w:bCs/>
          <w:szCs w:val="21"/>
        </w:rPr>
      </w:pPr>
      <w:r>
        <w:rPr>
          <w:rFonts w:hint="eastAsia" w:ascii="宋体" w:hAnsi="宋体" w:eastAsia="宋体" w:cs="宋体"/>
          <w:b/>
          <w:bCs/>
          <w:szCs w:val="21"/>
        </w:rPr>
        <w:t>28、工程预付款</w:t>
      </w:r>
    </w:p>
    <w:p w14:paraId="00FEF0AE">
      <w:pPr>
        <w:spacing w:line="600" w:lineRule="exact"/>
        <w:ind w:firstLine="390" w:firstLineChars="186"/>
        <w:rPr>
          <w:rFonts w:hint="eastAsia" w:ascii="宋体" w:hAnsi="宋体" w:eastAsia="宋体" w:cs="宋体"/>
          <w:kern w:val="0"/>
          <w:szCs w:val="21"/>
        </w:rPr>
      </w:pPr>
      <w:r>
        <w:rPr>
          <w:rFonts w:hint="eastAsia" w:ascii="宋体" w:hAnsi="宋体" w:eastAsia="宋体" w:cs="宋体"/>
          <w:kern w:val="0"/>
          <w:szCs w:val="21"/>
        </w:rPr>
        <w:t>发包人向承包人预付工程款的时间和金额或占合同款总额的比例：</w:t>
      </w:r>
    </w:p>
    <w:p w14:paraId="69BF2244">
      <w:pPr>
        <w:spacing w:line="600" w:lineRule="exact"/>
        <w:ind w:firstLine="392" w:firstLineChars="187"/>
        <w:rPr>
          <w:rFonts w:hint="eastAsia" w:ascii="宋体" w:hAnsi="宋体" w:eastAsia="宋体" w:cs="宋体"/>
          <w:kern w:val="0"/>
          <w:szCs w:val="21"/>
          <w:u w:val="single"/>
        </w:rPr>
      </w:pPr>
      <w:r>
        <w:rPr>
          <w:rFonts w:hint="eastAsia" w:ascii="宋体" w:hAnsi="宋体" w:eastAsia="宋体" w:cs="宋体"/>
          <w:kern w:val="0"/>
          <w:szCs w:val="21"/>
          <w:u w:val="single"/>
        </w:rPr>
        <w:t>合同签订并承包人提交履约保证金（或履约保函）后，发包人支付合同总价10%的预付款（含预付安全文明施工措施费）。</w:t>
      </w:r>
    </w:p>
    <w:p w14:paraId="1E766F99">
      <w:pPr>
        <w:spacing w:line="600" w:lineRule="exact"/>
        <w:ind w:firstLine="392" w:firstLineChars="187"/>
        <w:rPr>
          <w:rFonts w:hint="eastAsia" w:ascii="宋体" w:hAnsi="宋体" w:eastAsia="宋体" w:cs="宋体"/>
          <w:b/>
          <w:kern w:val="0"/>
          <w:szCs w:val="21"/>
        </w:rPr>
      </w:pPr>
      <w:r>
        <w:rPr>
          <w:rFonts w:hint="eastAsia" w:ascii="宋体" w:hAnsi="宋体" w:eastAsia="宋体" w:cs="宋体"/>
          <w:kern w:val="0"/>
          <w:szCs w:val="21"/>
        </w:rPr>
        <w:t>扣回工程预付款的时间、比例：</w:t>
      </w:r>
      <w:r>
        <w:rPr>
          <w:rFonts w:hint="eastAsia" w:ascii="宋体" w:hAnsi="宋体" w:eastAsia="宋体" w:cs="宋体"/>
          <w:kern w:val="0"/>
          <w:szCs w:val="21"/>
          <w:u w:val="single"/>
        </w:rPr>
        <w:t>从第一次支付工程进度款开始，分三次平均扣回。</w:t>
      </w:r>
    </w:p>
    <w:p w14:paraId="05EB028B">
      <w:pPr>
        <w:tabs>
          <w:tab w:val="left" w:pos="6060"/>
        </w:tabs>
        <w:spacing w:line="600" w:lineRule="exact"/>
        <w:ind w:firstLine="504" w:firstLineChars="239"/>
        <w:rPr>
          <w:rFonts w:hint="eastAsia" w:ascii="宋体" w:hAnsi="宋体" w:eastAsia="宋体" w:cs="宋体"/>
          <w:b/>
          <w:bCs/>
          <w:szCs w:val="21"/>
        </w:rPr>
      </w:pPr>
      <w:r>
        <w:rPr>
          <w:rFonts w:hint="eastAsia" w:ascii="宋体" w:hAnsi="宋体" w:eastAsia="宋体" w:cs="宋体"/>
          <w:b/>
          <w:bCs/>
          <w:szCs w:val="21"/>
        </w:rPr>
        <w:t>29、工程量确认</w:t>
      </w:r>
    </w:p>
    <w:p w14:paraId="45620254">
      <w:pPr>
        <w:spacing w:line="600" w:lineRule="exact"/>
        <w:ind w:firstLine="392" w:firstLineChars="187"/>
        <w:rPr>
          <w:rFonts w:hint="eastAsia" w:ascii="宋体" w:hAnsi="宋体" w:eastAsia="宋体" w:cs="宋体"/>
          <w:kern w:val="0"/>
          <w:szCs w:val="21"/>
          <w:u w:val="single"/>
        </w:rPr>
      </w:pPr>
      <w:r>
        <w:rPr>
          <w:rFonts w:hint="eastAsia" w:ascii="宋体" w:hAnsi="宋体" w:eastAsia="宋体" w:cs="宋体"/>
          <w:kern w:val="0"/>
          <w:szCs w:val="21"/>
        </w:rPr>
        <w:t>29.1承包人向监理工程师提交已完工程量报告的时间：</w:t>
      </w:r>
      <w:r>
        <w:rPr>
          <w:rFonts w:hint="eastAsia" w:ascii="宋体" w:hAnsi="宋体" w:eastAsia="宋体" w:cs="宋体"/>
          <w:kern w:val="0"/>
          <w:szCs w:val="21"/>
          <w:u w:val="single"/>
        </w:rPr>
        <w:t>每月25日前。</w:t>
      </w:r>
    </w:p>
    <w:p w14:paraId="21FF46B8">
      <w:pPr>
        <w:tabs>
          <w:tab w:val="left" w:pos="6060"/>
        </w:tabs>
        <w:spacing w:line="600" w:lineRule="exact"/>
        <w:ind w:firstLine="422" w:firstLineChars="200"/>
        <w:rPr>
          <w:rFonts w:hint="eastAsia" w:ascii="宋体" w:hAnsi="宋体" w:eastAsia="宋体" w:cs="宋体"/>
          <w:b/>
          <w:bCs/>
          <w:szCs w:val="21"/>
        </w:rPr>
      </w:pPr>
      <w:r>
        <w:rPr>
          <w:rFonts w:hint="eastAsia" w:ascii="宋体" w:hAnsi="宋体" w:eastAsia="宋体" w:cs="宋体"/>
          <w:b/>
          <w:bCs/>
          <w:szCs w:val="21"/>
        </w:rPr>
        <w:t>30、工程进度款结算与支付</w:t>
      </w:r>
    </w:p>
    <w:p w14:paraId="7F1DFDE3">
      <w:pPr>
        <w:tabs>
          <w:tab w:val="left" w:pos="5985"/>
        </w:tabs>
        <w:spacing w:line="600" w:lineRule="exact"/>
        <w:ind w:firstLine="411" w:firstLineChars="196"/>
        <w:rPr>
          <w:rFonts w:hint="eastAsia" w:ascii="宋体" w:hAnsi="宋体" w:eastAsia="宋体" w:cs="宋体"/>
          <w:kern w:val="0"/>
          <w:szCs w:val="21"/>
        </w:rPr>
      </w:pPr>
      <w:r>
        <w:rPr>
          <w:rFonts w:hint="eastAsia" w:ascii="宋体" w:hAnsi="宋体" w:eastAsia="宋体" w:cs="宋体"/>
          <w:kern w:val="0"/>
          <w:szCs w:val="21"/>
        </w:rPr>
        <w:t>双方约定的工程款（进度款）支付的方式和时间：</w:t>
      </w:r>
    </w:p>
    <w:p w14:paraId="157F0D0A">
      <w:pPr>
        <w:tabs>
          <w:tab w:val="left" w:pos="1191"/>
        </w:tabs>
        <w:spacing w:line="600" w:lineRule="exact"/>
        <w:outlineLvl w:val="3"/>
        <w:rPr>
          <w:rFonts w:hint="eastAsia" w:ascii="宋体" w:hAnsi="宋体" w:eastAsia="宋体" w:cs="宋体"/>
          <w:kern w:val="0"/>
          <w:szCs w:val="21"/>
        </w:rPr>
      </w:pPr>
      <w:r>
        <w:rPr>
          <w:rFonts w:hint="eastAsia" w:ascii="宋体" w:hAnsi="宋体" w:eastAsia="宋体" w:cs="宋体"/>
          <w:kern w:val="0"/>
          <w:szCs w:val="21"/>
        </w:rPr>
        <w:t>30.1、工程进度款按当月已完合格工程量80%支付。</w:t>
      </w:r>
    </w:p>
    <w:p w14:paraId="59D39392">
      <w:pPr>
        <w:tabs>
          <w:tab w:val="left" w:pos="1191"/>
        </w:tabs>
        <w:spacing w:line="600" w:lineRule="exact"/>
        <w:outlineLvl w:val="3"/>
        <w:rPr>
          <w:rFonts w:hint="eastAsia" w:ascii="宋体" w:hAnsi="宋体" w:eastAsia="宋体" w:cs="宋体"/>
          <w:kern w:val="0"/>
          <w:szCs w:val="21"/>
        </w:rPr>
      </w:pPr>
      <w:r>
        <w:rPr>
          <w:rFonts w:hint="eastAsia" w:ascii="宋体" w:hAnsi="宋体" w:eastAsia="宋体" w:cs="宋体"/>
          <w:kern w:val="0"/>
          <w:szCs w:val="21"/>
        </w:rPr>
        <w:t>30.2、竣工预验收后支付至合同总价的85%。</w:t>
      </w:r>
    </w:p>
    <w:p w14:paraId="144AA3D3">
      <w:pPr>
        <w:tabs>
          <w:tab w:val="left" w:pos="1191"/>
        </w:tabs>
        <w:spacing w:line="600" w:lineRule="exact"/>
        <w:outlineLvl w:val="3"/>
        <w:rPr>
          <w:rFonts w:hint="eastAsia" w:ascii="宋体" w:hAnsi="宋体" w:eastAsia="宋体" w:cs="宋体"/>
          <w:kern w:val="0"/>
          <w:szCs w:val="21"/>
        </w:rPr>
      </w:pPr>
      <w:r>
        <w:rPr>
          <w:rFonts w:hint="eastAsia" w:ascii="宋体" w:hAnsi="宋体" w:eastAsia="宋体" w:cs="宋体"/>
          <w:kern w:val="0"/>
          <w:szCs w:val="21"/>
        </w:rPr>
        <w:t>30.3、施工期间，当签证变更增加费用大于合同总价30%时，按预估增加费用的50%在进度款中支付，减少费用全额扣回。当签证变更增加费用小于合同总价30%时，施工期间不予支付，待竣工预验收后按预估增加费用的50%支付，减少费用全额扣回。</w:t>
      </w:r>
    </w:p>
    <w:p w14:paraId="2ECD1672">
      <w:pPr>
        <w:tabs>
          <w:tab w:val="left" w:pos="1191"/>
        </w:tabs>
        <w:spacing w:line="600" w:lineRule="exact"/>
        <w:outlineLvl w:val="3"/>
        <w:rPr>
          <w:rFonts w:hint="eastAsia" w:ascii="宋体" w:hAnsi="宋体" w:eastAsia="宋体" w:cs="宋体"/>
          <w:kern w:val="0"/>
          <w:szCs w:val="21"/>
        </w:rPr>
      </w:pPr>
      <w:r>
        <w:rPr>
          <w:rFonts w:hint="eastAsia" w:ascii="宋体" w:hAnsi="宋体" w:eastAsia="宋体" w:cs="宋体"/>
          <w:kern w:val="0"/>
          <w:szCs w:val="21"/>
        </w:rPr>
        <w:t>30.3、竣工验收并取得政府审计部门出具的审计报告后支付至报告中载明的“应付施工单位金额”的97%。</w:t>
      </w:r>
    </w:p>
    <w:p w14:paraId="7B931356">
      <w:pPr>
        <w:spacing w:line="600" w:lineRule="exact"/>
        <w:ind w:firstLine="420" w:firstLineChars="200"/>
        <w:rPr>
          <w:rFonts w:hint="eastAsia" w:ascii="宋体" w:hAnsi="宋体" w:eastAsia="宋体" w:cs="宋体"/>
          <w:kern w:val="0"/>
          <w:szCs w:val="21"/>
          <w:u w:val="single"/>
        </w:rPr>
      </w:pPr>
      <w:r>
        <w:rPr>
          <w:rFonts w:hint="eastAsia" w:ascii="宋体" w:hAnsi="宋体" w:eastAsia="宋体" w:cs="宋体"/>
          <w:kern w:val="0"/>
          <w:szCs w:val="21"/>
        </w:rPr>
        <w:t>30.4、</w:t>
      </w:r>
      <w:r>
        <w:rPr>
          <w:rFonts w:hint="eastAsia" w:ascii="宋体" w:hAnsi="宋体" w:eastAsia="宋体" w:cs="宋体"/>
          <w:kern w:val="0"/>
          <w:szCs w:val="21"/>
          <w:u w:val="single"/>
        </w:rPr>
        <w:t>预留工程质量保证金（保修金）3%，在缺陷责任期满后（两年）退还剩余款项，不计息。</w:t>
      </w:r>
    </w:p>
    <w:p w14:paraId="28160ACF">
      <w:pPr>
        <w:keepNext/>
        <w:keepLines/>
        <w:spacing w:line="600" w:lineRule="exact"/>
        <w:ind w:firstLine="312" w:firstLineChars="149"/>
        <w:outlineLvl w:val="0"/>
        <w:rPr>
          <w:rFonts w:hint="eastAsia" w:ascii="宋体" w:hAnsi="宋体" w:eastAsia="宋体" w:cs="宋体"/>
          <w:b/>
          <w:bCs/>
          <w:kern w:val="44"/>
          <w:szCs w:val="21"/>
        </w:rPr>
      </w:pPr>
      <w:bookmarkStart w:id="65" w:name="_Toc222906346"/>
      <w:bookmarkStart w:id="66" w:name="_Toc5162"/>
      <w:bookmarkStart w:id="67" w:name="_Toc482003977"/>
      <w:bookmarkStart w:id="68" w:name="_Toc482003904"/>
      <w:r>
        <w:rPr>
          <w:rFonts w:hint="eastAsia" w:ascii="宋体" w:hAnsi="宋体" w:eastAsia="宋体" w:cs="宋体"/>
          <w:kern w:val="44"/>
          <w:szCs w:val="21"/>
        </w:rPr>
        <w:t>七</w:t>
      </w:r>
      <w:r>
        <w:rPr>
          <w:rFonts w:hint="eastAsia" w:ascii="宋体" w:hAnsi="宋体" w:eastAsia="宋体" w:cs="宋体"/>
          <w:b/>
          <w:bCs/>
          <w:kern w:val="44"/>
          <w:szCs w:val="21"/>
        </w:rPr>
        <w:t>、材料设备供应</w:t>
      </w:r>
      <w:bookmarkEnd w:id="65"/>
      <w:bookmarkEnd w:id="66"/>
      <w:bookmarkEnd w:id="67"/>
      <w:bookmarkEnd w:id="68"/>
    </w:p>
    <w:p w14:paraId="37CC86BB">
      <w:pPr>
        <w:tabs>
          <w:tab w:val="left" w:pos="6060"/>
        </w:tabs>
        <w:spacing w:line="600" w:lineRule="exact"/>
        <w:ind w:firstLine="422" w:firstLineChars="200"/>
        <w:rPr>
          <w:rFonts w:hint="eastAsia" w:ascii="宋体" w:hAnsi="宋体" w:eastAsia="宋体" w:cs="宋体"/>
          <w:b/>
          <w:bCs/>
          <w:szCs w:val="21"/>
        </w:rPr>
      </w:pPr>
      <w:r>
        <w:rPr>
          <w:rFonts w:hint="eastAsia" w:ascii="宋体" w:hAnsi="宋体" w:eastAsia="宋体" w:cs="宋体"/>
          <w:b/>
          <w:bCs/>
          <w:szCs w:val="21"/>
        </w:rPr>
        <w:t>31、发包人供应材料设备</w:t>
      </w:r>
    </w:p>
    <w:p w14:paraId="0044AEB5">
      <w:pPr>
        <w:tabs>
          <w:tab w:val="left" w:pos="6060"/>
        </w:tabs>
        <w:spacing w:line="600" w:lineRule="exact"/>
        <w:ind w:firstLine="420" w:firstLineChars="200"/>
        <w:rPr>
          <w:rFonts w:hint="eastAsia" w:ascii="宋体" w:hAnsi="宋体" w:eastAsia="宋体" w:cs="宋体"/>
          <w:szCs w:val="21"/>
        </w:rPr>
      </w:pPr>
      <w:r>
        <w:rPr>
          <w:rFonts w:hint="eastAsia" w:ascii="宋体" w:hAnsi="宋体" w:eastAsia="宋体" w:cs="宋体"/>
          <w:szCs w:val="21"/>
        </w:rPr>
        <w:t>31.1发包人供应的材料设备与一览表不符时，双方约定发包人承担责任如下：</w:t>
      </w:r>
    </w:p>
    <w:p w14:paraId="3D5A5F01">
      <w:pPr>
        <w:tabs>
          <w:tab w:val="left" w:pos="6060"/>
        </w:tabs>
        <w:spacing w:line="600" w:lineRule="exact"/>
        <w:ind w:firstLine="420" w:firstLineChars="200"/>
        <w:rPr>
          <w:rFonts w:hint="eastAsia" w:ascii="宋体" w:hAnsi="宋体" w:eastAsia="宋体" w:cs="宋体"/>
          <w:szCs w:val="21"/>
        </w:rPr>
      </w:pPr>
      <w:r>
        <w:rPr>
          <w:rFonts w:hint="eastAsia" w:ascii="宋体" w:hAnsi="宋体" w:eastAsia="宋体" w:cs="宋体"/>
          <w:szCs w:val="21"/>
        </w:rPr>
        <w:t>（1）材料设备单价与一览表不符：</w:t>
      </w:r>
      <w:r>
        <w:rPr>
          <w:rFonts w:hint="eastAsia" w:ascii="宋体" w:hAnsi="宋体" w:eastAsia="宋体" w:cs="宋体"/>
          <w:szCs w:val="21"/>
          <w:u w:val="single"/>
        </w:rPr>
        <w:t xml:space="preserve"> ∕ </w:t>
      </w:r>
    </w:p>
    <w:p w14:paraId="00647A3D">
      <w:pPr>
        <w:tabs>
          <w:tab w:val="left" w:pos="6060"/>
        </w:tabs>
        <w:spacing w:line="600" w:lineRule="exact"/>
        <w:ind w:firstLine="420" w:firstLineChars="200"/>
        <w:rPr>
          <w:rFonts w:hint="eastAsia" w:ascii="宋体" w:hAnsi="宋体" w:eastAsia="宋体" w:cs="宋体"/>
          <w:szCs w:val="21"/>
        </w:rPr>
      </w:pPr>
      <w:r>
        <w:rPr>
          <w:rFonts w:hint="eastAsia" w:ascii="宋体" w:hAnsi="宋体" w:eastAsia="宋体" w:cs="宋体"/>
          <w:szCs w:val="21"/>
        </w:rPr>
        <w:t>（2）材料设备的品种、规格、型号、质量等级与一览表不符：</w:t>
      </w:r>
      <w:r>
        <w:rPr>
          <w:rFonts w:hint="eastAsia" w:ascii="宋体" w:hAnsi="宋体" w:eastAsia="宋体" w:cs="宋体"/>
          <w:szCs w:val="21"/>
          <w:u w:val="single"/>
        </w:rPr>
        <w:t xml:space="preserve"> ∕ </w:t>
      </w:r>
    </w:p>
    <w:p w14:paraId="340C751C">
      <w:pPr>
        <w:tabs>
          <w:tab w:val="left" w:pos="6060"/>
        </w:tabs>
        <w:spacing w:line="600" w:lineRule="exact"/>
        <w:ind w:firstLine="420" w:firstLineChars="200"/>
        <w:rPr>
          <w:rFonts w:hint="eastAsia" w:ascii="宋体" w:hAnsi="宋体" w:eastAsia="宋体" w:cs="宋体"/>
          <w:szCs w:val="21"/>
        </w:rPr>
      </w:pPr>
      <w:r>
        <w:rPr>
          <w:rFonts w:hint="eastAsia" w:ascii="宋体" w:hAnsi="宋体" w:eastAsia="宋体" w:cs="宋体"/>
          <w:szCs w:val="21"/>
        </w:rPr>
        <w:t>（3）承包人可代为调剂串换的材料：</w:t>
      </w:r>
      <w:r>
        <w:rPr>
          <w:rFonts w:hint="eastAsia" w:ascii="宋体" w:hAnsi="宋体" w:eastAsia="宋体" w:cs="宋体"/>
          <w:szCs w:val="21"/>
          <w:u w:val="single"/>
        </w:rPr>
        <w:t xml:space="preserve"> ∕ </w:t>
      </w:r>
    </w:p>
    <w:p w14:paraId="0E59E119">
      <w:pPr>
        <w:tabs>
          <w:tab w:val="left" w:pos="6060"/>
        </w:tabs>
        <w:spacing w:line="600" w:lineRule="exact"/>
        <w:ind w:firstLine="420" w:firstLineChars="200"/>
        <w:rPr>
          <w:rFonts w:hint="eastAsia" w:ascii="宋体" w:hAnsi="宋体" w:eastAsia="宋体" w:cs="宋体"/>
          <w:szCs w:val="21"/>
        </w:rPr>
      </w:pPr>
      <w:r>
        <w:rPr>
          <w:rFonts w:hint="eastAsia" w:ascii="宋体" w:hAnsi="宋体" w:eastAsia="宋体" w:cs="宋体"/>
          <w:szCs w:val="21"/>
        </w:rPr>
        <w:t>（4）到货地点与一览表不符：</w:t>
      </w:r>
      <w:r>
        <w:rPr>
          <w:rFonts w:hint="eastAsia" w:ascii="宋体" w:hAnsi="宋体" w:eastAsia="宋体" w:cs="宋体"/>
          <w:szCs w:val="21"/>
          <w:u w:val="single"/>
        </w:rPr>
        <w:t xml:space="preserve"> ∕ </w:t>
      </w:r>
    </w:p>
    <w:p w14:paraId="177E2E1A">
      <w:pPr>
        <w:tabs>
          <w:tab w:val="left" w:pos="6060"/>
        </w:tabs>
        <w:spacing w:line="600" w:lineRule="exact"/>
        <w:ind w:firstLine="420" w:firstLineChars="200"/>
        <w:rPr>
          <w:rFonts w:hint="eastAsia" w:ascii="宋体" w:hAnsi="宋体" w:eastAsia="宋体" w:cs="宋体"/>
          <w:szCs w:val="21"/>
        </w:rPr>
      </w:pPr>
      <w:r>
        <w:rPr>
          <w:rFonts w:hint="eastAsia" w:ascii="宋体" w:hAnsi="宋体" w:eastAsia="宋体" w:cs="宋体"/>
          <w:szCs w:val="21"/>
        </w:rPr>
        <w:t>（5）供应数量与一览表不符：</w:t>
      </w:r>
      <w:r>
        <w:rPr>
          <w:rFonts w:hint="eastAsia" w:ascii="宋体" w:hAnsi="宋体" w:eastAsia="宋体" w:cs="宋体"/>
          <w:szCs w:val="21"/>
          <w:u w:val="single"/>
        </w:rPr>
        <w:t xml:space="preserve"> ∕ </w:t>
      </w:r>
    </w:p>
    <w:p w14:paraId="0A34ADFF">
      <w:pPr>
        <w:tabs>
          <w:tab w:val="left" w:pos="6060"/>
        </w:tabs>
        <w:spacing w:line="600" w:lineRule="exact"/>
        <w:ind w:firstLine="420" w:firstLineChars="200"/>
        <w:rPr>
          <w:rFonts w:hint="eastAsia" w:ascii="宋体" w:hAnsi="宋体" w:eastAsia="宋体" w:cs="宋体"/>
          <w:szCs w:val="21"/>
        </w:rPr>
      </w:pPr>
      <w:r>
        <w:rPr>
          <w:rFonts w:hint="eastAsia" w:ascii="宋体" w:hAnsi="宋体" w:eastAsia="宋体" w:cs="宋体"/>
          <w:szCs w:val="21"/>
        </w:rPr>
        <w:t>（6）到货时间与一览表不符：</w:t>
      </w:r>
      <w:r>
        <w:rPr>
          <w:rFonts w:hint="eastAsia" w:ascii="宋体" w:hAnsi="宋体" w:eastAsia="宋体" w:cs="宋体"/>
          <w:szCs w:val="21"/>
          <w:u w:val="single"/>
        </w:rPr>
        <w:t xml:space="preserve"> ∕ </w:t>
      </w:r>
    </w:p>
    <w:p w14:paraId="27AEB520">
      <w:pPr>
        <w:tabs>
          <w:tab w:val="left" w:pos="6060"/>
        </w:tabs>
        <w:spacing w:line="600" w:lineRule="exact"/>
        <w:ind w:firstLine="504" w:firstLineChars="240"/>
        <w:rPr>
          <w:rFonts w:hint="eastAsia" w:ascii="宋体" w:hAnsi="宋体" w:eastAsia="宋体" w:cs="宋体"/>
          <w:szCs w:val="21"/>
        </w:rPr>
      </w:pPr>
      <w:r>
        <w:rPr>
          <w:rFonts w:hint="eastAsia" w:ascii="宋体" w:hAnsi="宋体" w:eastAsia="宋体" w:cs="宋体"/>
          <w:szCs w:val="21"/>
        </w:rPr>
        <w:t>31.6发包人供应材料设备的结算方法：</w:t>
      </w:r>
      <w:r>
        <w:rPr>
          <w:rFonts w:hint="eastAsia" w:ascii="宋体" w:hAnsi="宋体" w:eastAsia="宋体" w:cs="宋体"/>
          <w:szCs w:val="21"/>
          <w:u w:val="single"/>
        </w:rPr>
        <w:t xml:space="preserve">  无   </w:t>
      </w:r>
    </w:p>
    <w:p w14:paraId="6B67C0CE">
      <w:pPr>
        <w:tabs>
          <w:tab w:val="left" w:pos="6060"/>
        </w:tabs>
        <w:spacing w:line="600" w:lineRule="exact"/>
        <w:ind w:firstLine="506" w:firstLineChars="240"/>
        <w:rPr>
          <w:rFonts w:hint="eastAsia" w:ascii="宋体" w:hAnsi="宋体" w:eastAsia="宋体" w:cs="宋体"/>
          <w:b/>
          <w:bCs/>
          <w:szCs w:val="21"/>
        </w:rPr>
      </w:pPr>
      <w:r>
        <w:rPr>
          <w:rFonts w:hint="eastAsia" w:ascii="宋体" w:hAnsi="宋体" w:eastAsia="宋体" w:cs="宋体"/>
          <w:b/>
          <w:bCs/>
          <w:szCs w:val="21"/>
        </w:rPr>
        <w:t>32、承包人采购材料设备</w:t>
      </w:r>
    </w:p>
    <w:p w14:paraId="2B07B9C8">
      <w:pPr>
        <w:widowControl/>
        <w:spacing w:line="600" w:lineRule="exact"/>
        <w:ind w:firstLine="682" w:firstLineChars="325"/>
        <w:rPr>
          <w:rFonts w:hint="eastAsia" w:ascii="宋体" w:hAnsi="宋体" w:eastAsia="宋体" w:cs="宋体"/>
          <w:kern w:val="0"/>
          <w:szCs w:val="21"/>
        </w:rPr>
      </w:pPr>
      <w:bookmarkStart w:id="69" w:name="_Toc222906347"/>
      <w:r>
        <w:rPr>
          <w:rFonts w:hint="eastAsia" w:ascii="宋体" w:hAnsi="宋体" w:eastAsia="宋体" w:cs="宋体"/>
          <w:kern w:val="0"/>
          <w:szCs w:val="21"/>
        </w:rPr>
        <w:t>32.1承包人采购材料设备的约定：</w:t>
      </w:r>
    </w:p>
    <w:p w14:paraId="523FDD82">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凡属承包范围内的所有材料、设备均由承包人自行采购，承包人应按合同规定的品牌、规格、数量、产地、技术参数等组织采购，但采购前需要携带本材料、设备的原产地证明、出厂检验报告及产品合格证书提前报监理工程师审核，经发包人确认方可采购。</w:t>
      </w:r>
    </w:p>
    <w:p w14:paraId="2A83533D">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2）承包人采购供应的材料、设备，在开箱验收前24小时内，向发包人和监理工程师提出开箱检验请求，经发包人和监理工程师验收合格并签署意见后方可使用，经开箱验收的材料、设备并不等同于最终的质量合格；</w:t>
      </w:r>
    </w:p>
    <w:p w14:paraId="0F6911CD">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（3）若发现承包人以伪劣充抵或与发包人确认的材料设备不符，发包人有权让承包人更换，直到发包人及监理工程师确认验收合格；且费用由承包人承担，工期不予顺延。</w:t>
      </w:r>
    </w:p>
    <w:p w14:paraId="6E568BFC">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（4）承包人提供的材料设备产品的质量必须符合设计要求及国家建材行业和机电行业等标准要求；</w:t>
      </w:r>
    </w:p>
    <w:p w14:paraId="085FBD8C">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5）因承包人资金投入不足，直接影响工程质量和工期，且无视监理工程师的多次警告而不做改进，从而引起工程量、进度和材料设备准备严重滞后时，发包人有权采取相关措施进行补救，相关措施的费用由承包人承担；</w:t>
      </w:r>
    </w:p>
    <w:p w14:paraId="5BAFDBE7">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6）发包人在招标时明确提出材料、设备的产地、品牌、厂家的应按明确的要求购进，不符合该要求的材料、设备不得进场。发包人在招标文件中，如提供了部分设备材料的参考价和标准，承包人在采购时应满足发包人对设备材料的标准和价格要求，采购时不得降低标准。</w:t>
      </w:r>
    </w:p>
    <w:p w14:paraId="7F1F8F4D">
      <w:pPr>
        <w:keepNext/>
        <w:keepLines/>
        <w:spacing w:line="600" w:lineRule="exact"/>
        <w:ind w:firstLine="314" w:firstLineChars="149"/>
        <w:outlineLvl w:val="0"/>
        <w:rPr>
          <w:rFonts w:hint="eastAsia" w:ascii="宋体" w:hAnsi="宋体" w:eastAsia="宋体" w:cs="宋体"/>
          <w:b/>
          <w:bCs/>
          <w:kern w:val="44"/>
          <w:szCs w:val="21"/>
        </w:rPr>
      </w:pPr>
      <w:bookmarkStart w:id="70" w:name="_Toc482003905"/>
      <w:bookmarkStart w:id="71" w:name="_Toc482003978"/>
      <w:bookmarkStart w:id="72" w:name="_Toc2039"/>
      <w:r>
        <w:rPr>
          <w:rFonts w:hint="eastAsia" w:ascii="宋体" w:hAnsi="宋体" w:eastAsia="宋体" w:cs="宋体"/>
          <w:b/>
          <w:bCs/>
          <w:kern w:val="44"/>
          <w:szCs w:val="21"/>
        </w:rPr>
        <w:t>八、工程变更</w:t>
      </w:r>
      <w:bookmarkEnd w:id="69"/>
      <w:bookmarkEnd w:id="70"/>
      <w:bookmarkEnd w:id="71"/>
      <w:bookmarkEnd w:id="72"/>
    </w:p>
    <w:p w14:paraId="586E6250">
      <w:pPr>
        <w:widowControl/>
        <w:spacing w:line="600" w:lineRule="exact"/>
        <w:ind w:firstLine="420" w:firstLineChars="200"/>
        <w:rPr>
          <w:rFonts w:hint="eastAsia" w:ascii="宋体" w:hAnsi="宋体" w:eastAsia="宋体" w:cs="宋体"/>
          <w:kern w:val="0"/>
          <w:szCs w:val="21"/>
        </w:rPr>
      </w:pPr>
      <w:bookmarkStart w:id="73" w:name="_Toc222906348"/>
      <w:bookmarkStart w:id="74" w:name="_Toc19139"/>
      <w:r>
        <w:rPr>
          <w:rFonts w:hint="eastAsia" w:ascii="宋体" w:hAnsi="宋体" w:eastAsia="宋体" w:cs="宋体"/>
          <w:kern w:val="0"/>
          <w:szCs w:val="21"/>
        </w:rPr>
        <w:t>施工过程中，若发生工程变更，执行发包人规定的审批程序，各方签认后方可作为结算的依据，变更价款调整参照本合同专用条款的规定办理，费用支付方式见“工程进度款结算与支付。”</w:t>
      </w:r>
    </w:p>
    <w:p w14:paraId="719479ED">
      <w:pPr>
        <w:keepNext/>
        <w:keepLines/>
        <w:spacing w:line="600" w:lineRule="exact"/>
        <w:ind w:firstLine="312" w:firstLineChars="149"/>
        <w:outlineLvl w:val="0"/>
        <w:rPr>
          <w:rFonts w:hint="eastAsia" w:ascii="宋体" w:hAnsi="宋体" w:eastAsia="宋体" w:cs="宋体"/>
          <w:b/>
          <w:bCs/>
          <w:kern w:val="44"/>
          <w:szCs w:val="21"/>
        </w:rPr>
      </w:pPr>
      <w:bookmarkStart w:id="75" w:name="_Toc482003979"/>
      <w:bookmarkStart w:id="76" w:name="_Toc482003906"/>
      <w:r>
        <w:rPr>
          <w:rFonts w:hint="eastAsia" w:ascii="宋体" w:hAnsi="宋体" w:eastAsia="宋体" w:cs="宋体"/>
          <w:kern w:val="44"/>
          <w:szCs w:val="21"/>
        </w:rPr>
        <w:t>九</w:t>
      </w:r>
      <w:r>
        <w:rPr>
          <w:rFonts w:hint="eastAsia" w:ascii="宋体" w:hAnsi="宋体" w:eastAsia="宋体" w:cs="宋体"/>
          <w:b/>
          <w:bCs/>
          <w:kern w:val="44"/>
          <w:szCs w:val="21"/>
        </w:rPr>
        <w:t>、竣工验收与结算</w:t>
      </w:r>
      <w:bookmarkEnd w:id="73"/>
      <w:bookmarkEnd w:id="74"/>
      <w:bookmarkEnd w:id="75"/>
      <w:bookmarkEnd w:id="76"/>
    </w:p>
    <w:p w14:paraId="26FD2864">
      <w:pPr>
        <w:tabs>
          <w:tab w:val="left" w:pos="6060"/>
        </w:tabs>
        <w:spacing w:line="600" w:lineRule="exact"/>
        <w:ind w:firstLine="472" w:firstLineChars="224"/>
        <w:rPr>
          <w:rFonts w:hint="eastAsia" w:ascii="宋体" w:hAnsi="宋体" w:eastAsia="宋体" w:cs="宋体"/>
          <w:b/>
          <w:bCs/>
          <w:szCs w:val="21"/>
        </w:rPr>
      </w:pPr>
      <w:r>
        <w:rPr>
          <w:rFonts w:hint="eastAsia" w:ascii="宋体" w:hAnsi="宋体" w:eastAsia="宋体" w:cs="宋体"/>
          <w:b/>
          <w:bCs/>
          <w:szCs w:val="21"/>
        </w:rPr>
        <w:t>36、竣工验收</w:t>
      </w:r>
    </w:p>
    <w:p w14:paraId="01896067">
      <w:pPr>
        <w:tabs>
          <w:tab w:val="left" w:pos="6060"/>
        </w:tabs>
        <w:spacing w:line="600" w:lineRule="exact"/>
        <w:ind w:firstLine="420" w:firstLineChars="200"/>
        <w:rPr>
          <w:rFonts w:hint="eastAsia" w:ascii="宋体" w:hAnsi="宋体" w:eastAsia="宋体" w:cs="宋体"/>
          <w:kern w:val="0"/>
          <w:szCs w:val="21"/>
          <w:u w:val="single"/>
        </w:rPr>
      </w:pPr>
      <w:r>
        <w:rPr>
          <w:rFonts w:hint="eastAsia" w:ascii="宋体" w:hAnsi="宋体" w:eastAsia="宋体" w:cs="宋体"/>
          <w:kern w:val="0"/>
          <w:szCs w:val="21"/>
        </w:rPr>
        <w:t>36.1承包人提供竣工图的约定：</w:t>
      </w:r>
      <w:r>
        <w:rPr>
          <w:rFonts w:hint="eastAsia" w:ascii="宋体" w:hAnsi="宋体" w:eastAsia="宋体" w:cs="宋体"/>
          <w:kern w:val="0"/>
          <w:szCs w:val="21"/>
          <w:u w:val="single"/>
        </w:rPr>
        <w:t>提供符合工程档案管理要求的竣工图2套、竣工资料2套，竣工报告及备案表6份。</w:t>
      </w:r>
    </w:p>
    <w:p w14:paraId="2C5173AD">
      <w:pPr>
        <w:tabs>
          <w:tab w:val="left" w:pos="5985"/>
        </w:tabs>
        <w:spacing w:line="600" w:lineRule="exact"/>
        <w:ind w:firstLine="411" w:firstLineChars="196"/>
        <w:rPr>
          <w:rFonts w:hint="eastAsia" w:ascii="宋体" w:hAnsi="宋体" w:eastAsia="宋体" w:cs="宋体"/>
          <w:kern w:val="0"/>
          <w:szCs w:val="21"/>
          <w:u w:val="single"/>
        </w:rPr>
      </w:pPr>
      <w:r>
        <w:rPr>
          <w:rFonts w:hint="eastAsia" w:ascii="宋体" w:hAnsi="宋体" w:eastAsia="宋体" w:cs="宋体"/>
          <w:kern w:val="0"/>
          <w:szCs w:val="21"/>
        </w:rPr>
        <w:t>36.6中间交工工程的范围和竣工时间：</w:t>
      </w:r>
      <w:r>
        <w:rPr>
          <w:rFonts w:hint="eastAsia" w:ascii="宋体" w:hAnsi="宋体" w:eastAsia="宋体" w:cs="宋体"/>
          <w:kern w:val="0"/>
          <w:szCs w:val="21"/>
          <w:u w:val="single"/>
        </w:rPr>
        <w:t>根据实际情况另行约定。</w:t>
      </w:r>
    </w:p>
    <w:p w14:paraId="0643FCE9">
      <w:pPr>
        <w:tabs>
          <w:tab w:val="left" w:pos="6060"/>
        </w:tabs>
        <w:spacing w:line="600" w:lineRule="exact"/>
        <w:ind w:firstLine="472" w:firstLineChars="224"/>
        <w:rPr>
          <w:rFonts w:hint="eastAsia" w:ascii="宋体" w:hAnsi="宋体" w:eastAsia="宋体" w:cs="宋体"/>
          <w:b/>
          <w:bCs/>
          <w:szCs w:val="21"/>
        </w:rPr>
      </w:pPr>
      <w:r>
        <w:rPr>
          <w:rFonts w:hint="eastAsia" w:ascii="宋体" w:hAnsi="宋体" w:eastAsia="宋体" w:cs="宋体"/>
          <w:b/>
          <w:bCs/>
          <w:szCs w:val="21"/>
        </w:rPr>
        <w:t>37、竣工结算</w:t>
      </w:r>
    </w:p>
    <w:p w14:paraId="14E582C7">
      <w:pPr>
        <w:tabs>
          <w:tab w:val="left" w:pos="5985"/>
        </w:tabs>
        <w:spacing w:line="600" w:lineRule="exact"/>
        <w:ind w:firstLine="411" w:firstLineChars="196"/>
        <w:rPr>
          <w:rFonts w:hint="eastAsia" w:ascii="宋体" w:hAnsi="宋体" w:eastAsia="宋体" w:cs="宋体"/>
          <w:kern w:val="0"/>
          <w:szCs w:val="21"/>
        </w:rPr>
      </w:pPr>
      <w:r>
        <w:rPr>
          <w:rFonts w:hint="eastAsia" w:ascii="宋体" w:hAnsi="宋体" w:eastAsia="宋体" w:cs="宋体"/>
          <w:kern w:val="0"/>
          <w:szCs w:val="21"/>
        </w:rPr>
        <w:t>37.1工程完工，承包人在通过竣工验收后30日内向发包人提交竣工结算报告及结算资料，发包人在收到后在合理的时限内审查确认或给出审查修改意见。然后送政府审计部门审计，凭审计报告支付。</w:t>
      </w:r>
    </w:p>
    <w:p w14:paraId="34180350">
      <w:pPr>
        <w:tabs>
          <w:tab w:val="left" w:pos="5985"/>
        </w:tabs>
        <w:spacing w:line="600" w:lineRule="exact"/>
        <w:ind w:firstLine="411" w:firstLineChars="196"/>
        <w:rPr>
          <w:rFonts w:hint="eastAsia" w:ascii="宋体" w:hAnsi="宋体" w:eastAsia="宋体" w:cs="宋体"/>
          <w:kern w:val="0"/>
          <w:szCs w:val="21"/>
          <w:u w:val="single"/>
        </w:rPr>
      </w:pPr>
      <w:r>
        <w:rPr>
          <w:rFonts w:hint="eastAsia" w:ascii="宋体" w:hAnsi="宋体" w:eastAsia="宋体" w:cs="宋体"/>
          <w:kern w:val="0"/>
          <w:szCs w:val="21"/>
        </w:rPr>
        <w:t>37.8本工程竣工结算依据：</w:t>
      </w:r>
      <w:bookmarkStart w:id="77" w:name="_Toc19957"/>
      <w:bookmarkStart w:id="78" w:name="_Toc222906349"/>
      <w:r>
        <w:rPr>
          <w:rFonts w:hint="eastAsia" w:ascii="宋体" w:hAnsi="宋体" w:eastAsia="宋体" w:cs="宋体"/>
          <w:kern w:val="0"/>
          <w:szCs w:val="21"/>
          <w:u w:val="single"/>
        </w:rPr>
        <w:t>2009《计价规则》、施工合同、投标文件、招标文件、工程竣工图纸及资料、双方确认的工程量、双方确认追加（减）的工程价款；参与各方确认的索赔、现场签证、设计变更、认价单以及其它可作为结算依据且有法律效力的文件资料。</w:t>
      </w:r>
    </w:p>
    <w:p w14:paraId="6ED9787C">
      <w:pPr>
        <w:tabs>
          <w:tab w:val="left" w:pos="5985"/>
        </w:tabs>
        <w:spacing w:line="600" w:lineRule="exact"/>
        <w:ind w:firstLine="413" w:firstLineChars="196"/>
        <w:rPr>
          <w:rFonts w:hint="eastAsia" w:ascii="宋体" w:hAnsi="宋体" w:eastAsia="宋体" w:cs="宋体"/>
          <w:szCs w:val="21"/>
        </w:rPr>
      </w:pPr>
      <w:r>
        <w:rPr>
          <w:rFonts w:hint="eastAsia" w:ascii="宋体" w:hAnsi="宋体" w:eastAsia="宋体" w:cs="宋体"/>
          <w:b/>
          <w:bCs/>
          <w:szCs w:val="21"/>
        </w:rPr>
        <w:t>十</w:t>
      </w:r>
      <w:r>
        <w:rPr>
          <w:rFonts w:hint="eastAsia" w:ascii="宋体" w:hAnsi="宋体" w:eastAsia="宋体" w:cs="宋体"/>
          <w:szCs w:val="21"/>
        </w:rPr>
        <w:t>、违约、索赔和争议</w:t>
      </w:r>
      <w:bookmarkEnd w:id="77"/>
      <w:bookmarkEnd w:id="78"/>
    </w:p>
    <w:p w14:paraId="5AFB7B7D">
      <w:pPr>
        <w:tabs>
          <w:tab w:val="left" w:pos="6060"/>
        </w:tabs>
        <w:spacing w:line="600" w:lineRule="exact"/>
        <w:ind w:firstLine="472" w:firstLineChars="224"/>
        <w:rPr>
          <w:rFonts w:hint="eastAsia" w:ascii="宋体" w:hAnsi="宋体" w:eastAsia="宋体" w:cs="宋体"/>
          <w:b/>
          <w:bCs/>
          <w:szCs w:val="21"/>
        </w:rPr>
      </w:pPr>
      <w:r>
        <w:rPr>
          <w:rFonts w:hint="eastAsia" w:ascii="宋体" w:hAnsi="宋体" w:eastAsia="宋体" w:cs="宋体"/>
          <w:b/>
          <w:bCs/>
          <w:szCs w:val="21"/>
        </w:rPr>
        <w:t>39、违约</w:t>
      </w:r>
    </w:p>
    <w:p w14:paraId="6C9E5D43">
      <w:pPr>
        <w:tabs>
          <w:tab w:val="left" w:pos="6060"/>
        </w:tabs>
        <w:spacing w:line="600" w:lineRule="exact"/>
        <w:ind w:firstLine="470" w:firstLineChars="224"/>
        <w:rPr>
          <w:rFonts w:hint="eastAsia" w:ascii="宋体" w:hAnsi="宋体" w:eastAsia="宋体" w:cs="宋体"/>
          <w:kern w:val="0"/>
          <w:szCs w:val="21"/>
        </w:rPr>
      </w:pPr>
      <w:r>
        <w:rPr>
          <w:rFonts w:hint="eastAsia" w:ascii="宋体" w:hAnsi="宋体" w:eastAsia="宋体" w:cs="宋体"/>
          <w:kern w:val="0"/>
          <w:szCs w:val="21"/>
        </w:rPr>
        <w:t>39.1本合同中关于发包人违约的具体责任如下：</w:t>
      </w:r>
    </w:p>
    <w:p w14:paraId="78A812DA">
      <w:pPr>
        <w:tabs>
          <w:tab w:val="left" w:pos="6060"/>
        </w:tabs>
        <w:spacing w:line="600" w:lineRule="exact"/>
        <w:ind w:firstLine="470" w:firstLineChars="224"/>
        <w:rPr>
          <w:rFonts w:hint="eastAsia" w:ascii="宋体" w:hAnsi="宋体" w:eastAsia="宋体" w:cs="宋体"/>
          <w:kern w:val="0"/>
          <w:szCs w:val="21"/>
        </w:rPr>
      </w:pPr>
      <w:r>
        <w:rPr>
          <w:rFonts w:hint="eastAsia" w:ascii="宋体" w:hAnsi="宋体" w:eastAsia="宋体" w:cs="宋体"/>
          <w:kern w:val="0"/>
          <w:szCs w:val="21"/>
        </w:rPr>
        <w:t xml:space="preserve">本合同通用条款第28.1条约定发包人违约应承担的违约责任： </w:t>
      </w:r>
      <w:r>
        <w:rPr>
          <w:rFonts w:hint="eastAsia" w:ascii="宋体" w:hAnsi="宋体" w:eastAsia="宋体" w:cs="宋体"/>
          <w:kern w:val="0"/>
          <w:szCs w:val="21"/>
          <w:u w:val="single"/>
        </w:rPr>
        <w:t xml:space="preserve">执行通用条款 </w:t>
      </w:r>
      <w:r>
        <w:rPr>
          <w:rFonts w:hint="eastAsia" w:ascii="宋体" w:hAnsi="宋体" w:eastAsia="宋体" w:cs="宋体"/>
          <w:kern w:val="0"/>
          <w:szCs w:val="21"/>
        </w:rPr>
        <w:t xml:space="preserve">  </w:t>
      </w:r>
    </w:p>
    <w:p w14:paraId="121E72EB">
      <w:pPr>
        <w:tabs>
          <w:tab w:val="left" w:pos="6060"/>
        </w:tabs>
        <w:spacing w:line="600" w:lineRule="exact"/>
        <w:ind w:firstLine="470" w:firstLineChars="224"/>
        <w:rPr>
          <w:rFonts w:hint="eastAsia" w:ascii="宋体" w:hAnsi="宋体" w:eastAsia="宋体" w:cs="宋体"/>
          <w:kern w:val="0"/>
          <w:szCs w:val="21"/>
        </w:rPr>
      </w:pPr>
      <w:r>
        <w:rPr>
          <w:rFonts w:hint="eastAsia" w:ascii="宋体" w:hAnsi="宋体" w:eastAsia="宋体" w:cs="宋体"/>
          <w:kern w:val="0"/>
          <w:szCs w:val="21"/>
        </w:rPr>
        <w:t xml:space="preserve">本合同通用条款第30.5款约定发包人违约应承担的违约责任： </w:t>
      </w:r>
      <w:r>
        <w:rPr>
          <w:rFonts w:hint="eastAsia" w:ascii="宋体" w:hAnsi="宋体" w:eastAsia="宋体" w:cs="宋体"/>
          <w:kern w:val="0"/>
          <w:szCs w:val="21"/>
          <w:u w:val="single"/>
        </w:rPr>
        <w:t>执行通用条款</w:t>
      </w:r>
      <w:r>
        <w:rPr>
          <w:rFonts w:hint="eastAsia" w:ascii="宋体" w:hAnsi="宋体" w:eastAsia="宋体" w:cs="宋体"/>
          <w:kern w:val="0"/>
          <w:szCs w:val="21"/>
        </w:rPr>
        <w:t xml:space="preserve">  </w:t>
      </w:r>
    </w:p>
    <w:p w14:paraId="797BFB12">
      <w:pPr>
        <w:tabs>
          <w:tab w:val="left" w:pos="6060"/>
        </w:tabs>
        <w:spacing w:line="600" w:lineRule="exact"/>
        <w:ind w:firstLine="470" w:firstLineChars="224"/>
        <w:rPr>
          <w:rFonts w:hint="eastAsia" w:ascii="宋体" w:hAnsi="宋体" w:eastAsia="宋体" w:cs="宋体"/>
          <w:kern w:val="0"/>
          <w:szCs w:val="21"/>
        </w:rPr>
      </w:pPr>
      <w:r>
        <w:rPr>
          <w:rFonts w:hint="eastAsia" w:ascii="宋体" w:hAnsi="宋体" w:eastAsia="宋体" w:cs="宋体"/>
          <w:kern w:val="0"/>
          <w:szCs w:val="21"/>
        </w:rPr>
        <w:t>本合同通用条款第37.6款约定发包人违约应承担的违约责任：</w:t>
      </w:r>
      <w:r>
        <w:rPr>
          <w:rFonts w:hint="eastAsia" w:ascii="宋体" w:hAnsi="宋体" w:eastAsia="宋体" w:cs="宋体"/>
          <w:kern w:val="0"/>
          <w:szCs w:val="21"/>
          <w:u w:val="single"/>
        </w:rPr>
        <w:t xml:space="preserve"> 执行通用条款</w:t>
      </w:r>
      <w:r>
        <w:rPr>
          <w:rFonts w:hint="eastAsia" w:ascii="宋体" w:hAnsi="宋体" w:eastAsia="宋体" w:cs="宋体"/>
          <w:kern w:val="0"/>
          <w:szCs w:val="21"/>
        </w:rPr>
        <w:t xml:space="preserve">  </w:t>
      </w:r>
    </w:p>
    <w:p w14:paraId="71C93DDF">
      <w:pPr>
        <w:tabs>
          <w:tab w:val="left" w:pos="6060"/>
        </w:tabs>
        <w:spacing w:line="600" w:lineRule="exact"/>
        <w:ind w:firstLine="470" w:firstLineChars="224"/>
        <w:rPr>
          <w:rFonts w:hint="eastAsia" w:ascii="宋体" w:hAnsi="宋体" w:eastAsia="宋体" w:cs="宋体"/>
          <w:kern w:val="0"/>
          <w:szCs w:val="21"/>
        </w:rPr>
      </w:pPr>
      <w:r>
        <w:rPr>
          <w:rFonts w:hint="eastAsia" w:ascii="宋体" w:hAnsi="宋体" w:eastAsia="宋体" w:cs="宋体"/>
          <w:kern w:val="0"/>
          <w:szCs w:val="21"/>
        </w:rPr>
        <w:t xml:space="preserve">双方约定的发包人其他违约责任： </w:t>
      </w:r>
      <w:r>
        <w:rPr>
          <w:rFonts w:hint="eastAsia" w:ascii="宋体" w:hAnsi="宋体" w:eastAsia="宋体" w:cs="宋体"/>
          <w:kern w:val="0"/>
          <w:szCs w:val="21"/>
          <w:u w:val="single"/>
        </w:rPr>
        <w:t>执行通用条款</w:t>
      </w:r>
    </w:p>
    <w:p w14:paraId="000F1B41">
      <w:pPr>
        <w:tabs>
          <w:tab w:val="left" w:pos="6060"/>
        </w:tabs>
        <w:spacing w:line="600" w:lineRule="exact"/>
        <w:ind w:firstLine="470" w:firstLineChars="224"/>
        <w:rPr>
          <w:rFonts w:hint="eastAsia" w:ascii="宋体" w:hAnsi="宋体" w:eastAsia="宋体" w:cs="宋体"/>
          <w:kern w:val="0"/>
          <w:szCs w:val="21"/>
        </w:rPr>
      </w:pPr>
      <w:r>
        <w:rPr>
          <w:rFonts w:hint="eastAsia" w:ascii="宋体" w:hAnsi="宋体" w:eastAsia="宋体" w:cs="宋体"/>
          <w:kern w:val="0"/>
          <w:szCs w:val="21"/>
        </w:rPr>
        <w:t>39.2本合同中关于承包人违约的具体责任如下：</w:t>
      </w:r>
    </w:p>
    <w:p w14:paraId="271BE6CA">
      <w:pPr>
        <w:tabs>
          <w:tab w:val="left" w:pos="6060"/>
        </w:tabs>
        <w:spacing w:line="600" w:lineRule="exact"/>
        <w:ind w:firstLine="470" w:firstLineChars="224"/>
        <w:rPr>
          <w:rFonts w:hint="eastAsia" w:ascii="宋体" w:hAnsi="宋体" w:eastAsia="宋体" w:cs="宋体"/>
          <w:kern w:val="0"/>
          <w:szCs w:val="21"/>
        </w:rPr>
      </w:pPr>
      <w:r>
        <w:rPr>
          <w:rFonts w:hint="eastAsia" w:ascii="宋体" w:hAnsi="宋体" w:eastAsia="宋体" w:cs="宋体"/>
          <w:kern w:val="0"/>
          <w:szCs w:val="21"/>
        </w:rPr>
        <w:t>本合同通用条款第14.2款约定承包人违约应承担的违约责任：</w:t>
      </w:r>
      <w:r>
        <w:rPr>
          <w:rFonts w:hint="eastAsia" w:ascii="宋体" w:hAnsi="宋体" w:eastAsia="宋体" w:cs="宋体"/>
          <w:kern w:val="0"/>
          <w:szCs w:val="21"/>
          <w:u w:val="single"/>
        </w:rPr>
        <w:t>执行通用条款。</w:t>
      </w:r>
      <w:r>
        <w:rPr>
          <w:rFonts w:hint="eastAsia" w:ascii="宋体" w:hAnsi="宋体" w:eastAsia="宋体" w:cs="宋体"/>
          <w:kern w:val="0"/>
          <w:szCs w:val="21"/>
        </w:rPr>
        <w:t xml:space="preserve">  </w:t>
      </w:r>
    </w:p>
    <w:p w14:paraId="1E367131">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本合同通用条款第15.1款约定承包人违约应承担的违约责任：</w:t>
      </w:r>
      <w:r>
        <w:rPr>
          <w:rFonts w:hint="eastAsia" w:ascii="宋体" w:hAnsi="宋体" w:eastAsia="宋体" w:cs="宋体"/>
          <w:kern w:val="0"/>
          <w:szCs w:val="21"/>
          <w:u w:val="single"/>
        </w:rPr>
        <w:t>承包人除按合同价的5%承担违约金外，另按国务院279号令有关规定处理。达不到合格质量标准，承包人应负责返工，直至重新通过验收，承包人应负责返工所发生的所有费用，所延误的工期不得顺延。如返修后仍不能通过验收的，则发包人有权终止合同，不予支付工程价款；如有其它损失的，承包人应赔偿发包人由此引起的一切损失。</w:t>
      </w:r>
    </w:p>
    <w:p w14:paraId="17FBA00F">
      <w:pPr>
        <w:tabs>
          <w:tab w:val="left" w:pos="5985"/>
        </w:tabs>
        <w:spacing w:line="600" w:lineRule="exact"/>
        <w:ind w:firstLine="411" w:firstLineChars="196"/>
        <w:rPr>
          <w:rFonts w:hint="eastAsia" w:ascii="宋体" w:hAnsi="宋体" w:eastAsia="宋体" w:cs="宋体"/>
          <w:kern w:val="0"/>
          <w:szCs w:val="21"/>
        </w:rPr>
      </w:pPr>
      <w:r>
        <w:rPr>
          <w:rFonts w:hint="eastAsia" w:ascii="宋体" w:hAnsi="宋体" w:eastAsia="宋体" w:cs="宋体"/>
          <w:kern w:val="0"/>
          <w:szCs w:val="21"/>
        </w:rPr>
        <w:t>双方约定的承包人其他违约责任：</w:t>
      </w:r>
      <w:r>
        <w:rPr>
          <w:rFonts w:hint="eastAsia" w:ascii="宋体" w:hAnsi="宋体" w:eastAsia="宋体" w:cs="宋体"/>
          <w:kern w:val="0"/>
          <w:szCs w:val="21"/>
          <w:u w:val="single"/>
        </w:rPr>
        <w:t xml:space="preserve">无 </w:t>
      </w:r>
      <w:r>
        <w:rPr>
          <w:rFonts w:hint="eastAsia" w:ascii="宋体" w:hAnsi="宋体" w:eastAsia="宋体" w:cs="宋体"/>
          <w:kern w:val="0"/>
          <w:szCs w:val="21"/>
        </w:rPr>
        <w:t xml:space="preserve"> 。  </w:t>
      </w:r>
      <w:bookmarkStart w:id="79" w:name="_Toc222906350"/>
    </w:p>
    <w:p w14:paraId="58C40F0E">
      <w:pPr>
        <w:tabs>
          <w:tab w:val="left" w:pos="5985"/>
        </w:tabs>
        <w:spacing w:line="600" w:lineRule="exact"/>
        <w:ind w:firstLine="411" w:firstLineChars="196"/>
        <w:rPr>
          <w:rFonts w:hint="eastAsia" w:ascii="宋体" w:hAnsi="宋体" w:eastAsia="宋体" w:cs="宋体"/>
          <w:kern w:val="0"/>
          <w:szCs w:val="21"/>
        </w:rPr>
      </w:pPr>
      <w:r>
        <w:rPr>
          <w:rFonts w:hint="eastAsia" w:ascii="宋体" w:hAnsi="宋体" w:eastAsia="宋体" w:cs="宋体"/>
          <w:kern w:val="0"/>
          <w:szCs w:val="21"/>
        </w:rPr>
        <w:t>本合同通用条款第21款约定发包人违约应承担的违约责任：</w:t>
      </w:r>
      <w:r>
        <w:rPr>
          <w:rFonts w:hint="eastAsia" w:ascii="宋体" w:hAnsi="宋体" w:eastAsia="宋体" w:cs="宋体"/>
          <w:kern w:val="0"/>
          <w:szCs w:val="21"/>
          <w:u w:val="single"/>
        </w:rPr>
        <w:t>执行通用条款。</w:t>
      </w:r>
    </w:p>
    <w:p w14:paraId="695DD10C">
      <w:pPr>
        <w:tabs>
          <w:tab w:val="left" w:pos="5985"/>
        </w:tabs>
        <w:spacing w:line="600" w:lineRule="exact"/>
        <w:ind w:firstLine="411" w:firstLineChars="196"/>
        <w:rPr>
          <w:rFonts w:hint="eastAsia" w:ascii="宋体" w:hAnsi="宋体" w:eastAsia="宋体" w:cs="宋体"/>
          <w:kern w:val="0"/>
          <w:szCs w:val="21"/>
          <w:u w:val="single"/>
        </w:rPr>
      </w:pPr>
      <w:r>
        <w:rPr>
          <w:rFonts w:hint="eastAsia" w:ascii="宋体" w:hAnsi="宋体" w:eastAsia="宋体" w:cs="宋体"/>
          <w:kern w:val="0"/>
          <w:szCs w:val="21"/>
        </w:rPr>
        <w:t>本合同通用条款第24款约定发包人违约应承担的违约责任：</w:t>
      </w:r>
      <w:r>
        <w:rPr>
          <w:rFonts w:hint="eastAsia" w:ascii="宋体" w:hAnsi="宋体" w:eastAsia="宋体" w:cs="宋体"/>
          <w:kern w:val="0"/>
          <w:szCs w:val="21"/>
          <w:u w:val="single"/>
        </w:rPr>
        <w:t>执行通用条款。</w:t>
      </w:r>
    </w:p>
    <w:p w14:paraId="0AEA542B">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双方约定的承包人其他违约责任：</w:t>
      </w:r>
      <w:r>
        <w:rPr>
          <w:rFonts w:hint="eastAsia" w:ascii="宋体" w:hAnsi="宋体" w:eastAsia="宋体" w:cs="宋体"/>
          <w:kern w:val="0"/>
          <w:szCs w:val="21"/>
          <w:u w:val="single"/>
        </w:rPr>
        <w:t xml:space="preserve">承包人原因导致工期延误，每延误一天按照 </w:t>
      </w:r>
      <w:bookmarkStart w:id="80" w:name="OLE_LINK1"/>
      <w:r>
        <w:rPr>
          <w:rFonts w:hint="eastAsia" w:ascii="宋体" w:hAnsi="宋体" w:eastAsia="宋体" w:cs="宋体"/>
          <w:kern w:val="0"/>
          <w:szCs w:val="21"/>
          <w:u w:val="single"/>
        </w:rPr>
        <w:t>5000元/天</w:t>
      </w:r>
      <w:bookmarkEnd w:id="80"/>
      <w:r>
        <w:rPr>
          <w:rFonts w:hint="eastAsia" w:ascii="宋体" w:hAnsi="宋体" w:eastAsia="宋体" w:cs="宋体"/>
          <w:kern w:val="0"/>
          <w:szCs w:val="21"/>
          <w:u w:val="single"/>
        </w:rPr>
        <w:t xml:space="preserve"> 向发包人支付逾期违约金。若因承包人原因影响专业发包中标单位或指定分包单位的进场，应按照5000元/天赔偿由此给专业承包单位造成的工期延误损失。</w:t>
      </w:r>
    </w:p>
    <w:p w14:paraId="3C07D700">
      <w:pPr>
        <w:tabs>
          <w:tab w:val="left" w:pos="6060"/>
        </w:tabs>
        <w:spacing w:line="600" w:lineRule="exact"/>
        <w:ind w:firstLine="472" w:firstLineChars="224"/>
        <w:rPr>
          <w:rFonts w:hint="eastAsia" w:ascii="宋体" w:hAnsi="宋体" w:eastAsia="宋体" w:cs="宋体"/>
          <w:b/>
          <w:bCs/>
          <w:szCs w:val="21"/>
        </w:rPr>
      </w:pPr>
      <w:r>
        <w:rPr>
          <w:rFonts w:hint="eastAsia" w:ascii="宋体" w:hAnsi="宋体" w:eastAsia="宋体" w:cs="宋体"/>
          <w:b/>
          <w:bCs/>
          <w:szCs w:val="21"/>
        </w:rPr>
        <w:t>40、索赔</w:t>
      </w:r>
    </w:p>
    <w:p w14:paraId="043C561F">
      <w:pPr>
        <w:tabs>
          <w:tab w:val="left" w:pos="5985"/>
        </w:tabs>
        <w:spacing w:line="600" w:lineRule="exact"/>
        <w:ind w:firstLine="411" w:firstLineChars="196"/>
        <w:rPr>
          <w:rFonts w:hint="eastAsia" w:ascii="宋体" w:hAnsi="宋体" w:eastAsia="宋体" w:cs="宋体"/>
          <w:kern w:val="0"/>
          <w:szCs w:val="21"/>
        </w:rPr>
      </w:pPr>
      <w:r>
        <w:rPr>
          <w:rFonts w:hint="eastAsia" w:ascii="宋体" w:hAnsi="宋体" w:eastAsia="宋体" w:cs="宋体"/>
          <w:kern w:val="0"/>
          <w:szCs w:val="21"/>
        </w:rPr>
        <w:t>40.1合同一方向另一方提出索赔时，应有正当的索赔理由和有效证据，并符合合同的相关规定。</w:t>
      </w:r>
    </w:p>
    <w:p w14:paraId="1E91DD01">
      <w:pPr>
        <w:shd w:val="clear" w:color="auto" w:fill="FFFFFF"/>
        <w:spacing w:line="600" w:lineRule="exact"/>
        <w:ind w:firstLine="480"/>
        <w:rPr>
          <w:rFonts w:hint="eastAsia" w:ascii="宋体" w:hAnsi="宋体" w:eastAsia="宋体" w:cs="宋体"/>
          <w:kern w:val="0"/>
          <w:szCs w:val="21"/>
        </w:rPr>
      </w:pPr>
      <w:r>
        <w:rPr>
          <w:rFonts w:hint="eastAsia" w:ascii="宋体" w:hAnsi="宋体" w:eastAsia="宋体" w:cs="宋体"/>
          <w:kern w:val="0"/>
          <w:szCs w:val="21"/>
        </w:rPr>
        <w:t>40.2</w:t>
      </w:r>
      <w:r>
        <w:rPr>
          <w:rFonts w:hint="eastAsia" w:ascii="宋体" w:hAnsi="宋体" w:eastAsia="宋体" w:cs="宋体"/>
          <w:color w:val="333333"/>
          <w:szCs w:val="21"/>
        </w:rPr>
        <w:t xml:space="preserve"> </w:t>
      </w:r>
      <w:r>
        <w:rPr>
          <w:rFonts w:hint="eastAsia" w:ascii="宋体" w:hAnsi="宋体" w:eastAsia="宋体" w:cs="宋体"/>
          <w:kern w:val="0"/>
          <w:szCs w:val="21"/>
        </w:rPr>
        <w:t>执行通用条款</w:t>
      </w:r>
    </w:p>
    <w:p w14:paraId="6C0287B7">
      <w:pPr>
        <w:tabs>
          <w:tab w:val="left" w:pos="5985"/>
        </w:tabs>
        <w:spacing w:line="600" w:lineRule="exact"/>
        <w:ind w:firstLine="411" w:firstLineChars="196"/>
        <w:rPr>
          <w:rFonts w:hint="eastAsia" w:ascii="宋体" w:hAnsi="宋体" w:eastAsia="宋体" w:cs="宋体"/>
          <w:kern w:val="0"/>
          <w:szCs w:val="21"/>
        </w:rPr>
      </w:pPr>
      <w:r>
        <w:rPr>
          <w:rFonts w:hint="eastAsia" w:ascii="宋体" w:hAnsi="宋体" w:eastAsia="宋体" w:cs="宋体"/>
          <w:kern w:val="0"/>
          <w:szCs w:val="21"/>
        </w:rPr>
        <w:t>40.3 执行通用条款</w:t>
      </w:r>
    </w:p>
    <w:p w14:paraId="4BF5FAB1">
      <w:pPr>
        <w:tabs>
          <w:tab w:val="left" w:pos="5985"/>
        </w:tabs>
        <w:spacing w:line="600" w:lineRule="exact"/>
        <w:ind w:firstLine="411" w:firstLineChars="196"/>
        <w:rPr>
          <w:rFonts w:hint="eastAsia" w:ascii="宋体" w:hAnsi="宋体" w:eastAsia="宋体" w:cs="宋体"/>
          <w:kern w:val="0"/>
          <w:szCs w:val="21"/>
        </w:rPr>
      </w:pPr>
      <w:r>
        <w:rPr>
          <w:rFonts w:hint="eastAsia" w:ascii="宋体" w:hAnsi="宋体" w:eastAsia="宋体" w:cs="宋体"/>
          <w:kern w:val="0"/>
          <w:szCs w:val="21"/>
        </w:rPr>
        <w:t>40.4发承包双方确认的索赔支付方式同签证变更增加费用。</w:t>
      </w:r>
    </w:p>
    <w:p w14:paraId="7D48DBF5">
      <w:pPr>
        <w:tabs>
          <w:tab w:val="left" w:pos="6060"/>
        </w:tabs>
        <w:spacing w:line="600" w:lineRule="exact"/>
        <w:ind w:firstLine="472" w:firstLineChars="224"/>
        <w:rPr>
          <w:rFonts w:hint="eastAsia" w:ascii="宋体" w:hAnsi="宋体" w:eastAsia="宋体" w:cs="宋体"/>
          <w:b/>
          <w:bCs/>
          <w:szCs w:val="21"/>
        </w:rPr>
      </w:pPr>
      <w:r>
        <w:rPr>
          <w:rFonts w:hint="eastAsia" w:ascii="宋体" w:hAnsi="宋体" w:eastAsia="宋体" w:cs="宋体"/>
          <w:b/>
          <w:bCs/>
          <w:szCs w:val="21"/>
        </w:rPr>
        <w:t>41、争议</w:t>
      </w:r>
    </w:p>
    <w:p w14:paraId="7B150A7C">
      <w:pPr>
        <w:tabs>
          <w:tab w:val="left" w:pos="5985"/>
        </w:tabs>
        <w:spacing w:line="600" w:lineRule="exact"/>
        <w:ind w:firstLine="411" w:firstLineChars="196"/>
        <w:rPr>
          <w:rFonts w:hint="eastAsia" w:ascii="宋体" w:hAnsi="宋体" w:eastAsia="宋体" w:cs="宋体"/>
          <w:kern w:val="0"/>
          <w:szCs w:val="21"/>
        </w:rPr>
      </w:pPr>
      <w:r>
        <w:rPr>
          <w:rFonts w:hint="eastAsia" w:ascii="宋体" w:hAnsi="宋体" w:eastAsia="宋体" w:cs="宋体"/>
          <w:kern w:val="0"/>
          <w:szCs w:val="21"/>
        </w:rPr>
        <w:t>41.1执行通用条款</w:t>
      </w:r>
    </w:p>
    <w:p w14:paraId="2B0B7106">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41.2执行通用条款</w:t>
      </w:r>
    </w:p>
    <w:p w14:paraId="3BBC5A0E">
      <w:pPr>
        <w:keepNext/>
        <w:keepLines/>
        <w:spacing w:line="600" w:lineRule="exact"/>
        <w:ind w:firstLine="314" w:firstLineChars="149"/>
        <w:outlineLvl w:val="0"/>
        <w:rPr>
          <w:rFonts w:hint="eastAsia" w:ascii="宋体" w:hAnsi="宋体" w:eastAsia="宋体" w:cs="宋体"/>
          <w:b/>
          <w:bCs/>
          <w:kern w:val="44"/>
          <w:szCs w:val="21"/>
        </w:rPr>
      </w:pPr>
      <w:bookmarkStart w:id="81" w:name="_Toc482003907"/>
      <w:bookmarkStart w:id="82" w:name="_Toc482003980"/>
      <w:bookmarkStart w:id="83" w:name="_Toc12047"/>
      <w:r>
        <w:rPr>
          <w:rFonts w:hint="eastAsia" w:ascii="宋体" w:hAnsi="宋体" w:eastAsia="宋体" w:cs="宋体"/>
          <w:b/>
          <w:kern w:val="44"/>
          <w:szCs w:val="21"/>
        </w:rPr>
        <w:t>十一</w:t>
      </w:r>
      <w:r>
        <w:rPr>
          <w:rFonts w:hint="eastAsia" w:ascii="宋体" w:hAnsi="宋体" w:eastAsia="宋体" w:cs="宋体"/>
          <w:b/>
          <w:bCs/>
          <w:kern w:val="44"/>
          <w:szCs w:val="21"/>
        </w:rPr>
        <w:t>、其他</w:t>
      </w:r>
      <w:bookmarkEnd w:id="79"/>
      <w:bookmarkEnd w:id="81"/>
      <w:bookmarkEnd w:id="82"/>
      <w:bookmarkEnd w:id="83"/>
    </w:p>
    <w:p w14:paraId="7D95DB71">
      <w:pPr>
        <w:tabs>
          <w:tab w:val="left" w:pos="6060"/>
        </w:tabs>
        <w:spacing w:line="600" w:lineRule="exact"/>
        <w:ind w:firstLine="377" w:firstLineChars="179"/>
        <w:rPr>
          <w:rFonts w:hint="eastAsia" w:ascii="宋体" w:hAnsi="宋体" w:eastAsia="宋体" w:cs="宋体"/>
          <w:b/>
          <w:bCs/>
          <w:szCs w:val="21"/>
        </w:rPr>
      </w:pPr>
      <w:r>
        <w:rPr>
          <w:rFonts w:hint="eastAsia" w:ascii="宋体" w:hAnsi="宋体" w:eastAsia="宋体" w:cs="宋体"/>
          <w:b/>
          <w:bCs/>
          <w:szCs w:val="21"/>
        </w:rPr>
        <w:t>42、工程分包</w:t>
      </w:r>
    </w:p>
    <w:p w14:paraId="52F9C383">
      <w:pPr>
        <w:tabs>
          <w:tab w:val="left" w:pos="5985"/>
        </w:tabs>
        <w:spacing w:line="600" w:lineRule="exact"/>
        <w:ind w:firstLine="411" w:firstLineChars="196"/>
        <w:rPr>
          <w:rFonts w:hint="eastAsia" w:ascii="宋体" w:hAnsi="宋体" w:eastAsia="宋体" w:cs="宋体"/>
          <w:kern w:val="0"/>
          <w:szCs w:val="21"/>
          <w:u w:val="single"/>
        </w:rPr>
      </w:pPr>
      <w:r>
        <w:rPr>
          <w:rFonts w:hint="eastAsia" w:ascii="宋体" w:hAnsi="宋体" w:eastAsia="宋体" w:cs="宋体"/>
          <w:kern w:val="0"/>
          <w:szCs w:val="21"/>
        </w:rPr>
        <w:t>42.1本工程发包人同意承包人分包的专业工程：</w:t>
      </w:r>
      <w:r>
        <w:rPr>
          <w:rFonts w:hint="eastAsia" w:ascii="宋体" w:hAnsi="宋体" w:eastAsia="宋体" w:cs="宋体"/>
          <w:kern w:val="0"/>
          <w:szCs w:val="21"/>
          <w:u w:val="single"/>
        </w:rPr>
        <w:t>原则上不同意，确需分包时需征得发包人同意。</w:t>
      </w:r>
    </w:p>
    <w:p w14:paraId="3E2F1701">
      <w:pPr>
        <w:spacing w:line="600" w:lineRule="exact"/>
        <w:ind w:firstLine="500"/>
        <w:rPr>
          <w:rFonts w:hint="eastAsia" w:ascii="宋体" w:hAnsi="宋体" w:eastAsia="宋体" w:cs="宋体"/>
          <w:b/>
          <w:bCs/>
          <w:szCs w:val="21"/>
        </w:rPr>
      </w:pPr>
      <w:r>
        <w:rPr>
          <w:rFonts w:hint="eastAsia" w:ascii="宋体" w:hAnsi="宋体" w:eastAsia="宋体" w:cs="宋体"/>
          <w:b/>
          <w:bCs/>
          <w:szCs w:val="21"/>
        </w:rPr>
        <w:t>43、不可抗力</w:t>
      </w:r>
    </w:p>
    <w:p w14:paraId="43AEED6A">
      <w:pPr>
        <w:tabs>
          <w:tab w:val="left" w:pos="6060"/>
        </w:tabs>
        <w:spacing w:line="600" w:lineRule="exact"/>
        <w:ind w:firstLine="375" w:firstLineChars="179"/>
        <w:rPr>
          <w:rFonts w:hint="eastAsia" w:ascii="宋体" w:hAnsi="宋体" w:eastAsia="宋体" w:cs="宋体"/>
          <w:kern w:val="0"/>
          <w:szCs w:val="21"/>
        </w:rPr>
      </w:pPr>
      <w:r>
        <w:rPr>
          <w:rFonts w:hint="eastAsia" w:ascii="宋体" w:hAnsi="宋体" w:eastAsia="宋体" w:cs="宋体"/>
          <w:kern w:val="0"/>
          <w:szCs w:val="21"/>
        </w:rPr>
        <w:t>43.1双方关于不可抗力的约定：</w:t>
      </w:r>
    </w:p>
    <w:p w14:paraId="1C75551F">
      <w:pPr>
        <w:tabs>
          <w:tab w:val="left" w:pos="5985"/>
        </w:tabs>
        <w:spacing w:line="600" w:lineRule="exact"/>
        <w:ind w:firstLine="411" w:firstLineChars="196"/>
        <w:rPr>
          <w:rFonts w:hint="eastAsia" w:ascii="宋体" w:hAnsi="宋体" w:eastAsia="宋体" w:cs="宋体"/>
          <w:kern w:val="0"/>
          <w:szCs w:val="21"/>
        </w:rPr>
      </w:pPr>
      <w:r>
        <w:rPr>
          <w:rFonts w:hint="eastAsia" w:ascii="宋体" w:hAnsi="宋体" w:eastAsia="宋体" w:cs="宋体"/>
          <w:kern w:val="0"/>
          <w:szCs w:val="21"/>
        </w:rPr>
        <w:t xml:space="preserve">(1)烈度为8度及以上的地震、战争、动乱、洪水、空中飞行物坠落或其它非发包人、承包人责任造成的爆炸火灾； </w:t>
      </w:r>
    </w:p>
    <w:p w14:paraId="5A320B3E">
      <w:pPr>
        <w:tabs>
          <w:tab w:val="left" w:pos="5985"/>
        </w:tabs>
        <w:spacing w:line="600" w:lineRule="exact"/>
        <w:ind w:firstLine="411" w:firstLineChars="196"/>
        <w:rPr>
          <w:rFonts w:hint="eastAsia" w:ascii="宋体" w:hAnsi="宋体" w:eastAsia="宋体" w:cs="宋体"/>
          <w:kern w:val="0"/>
          <w:szCs w:val="21"/>
        </w:rPr>
      </w:pPr>
      <w:r>
        <w:rPr>
          <w:rFonts w:hint="eastAsia" w:ascii="宋体" w:hAnsi="宋体" w:eastAsia="宋体" w:cs="宋体"/>
          <w:kern w:val="0"/>
          <w:szCs w:val="21"/>
        </w:rPr>
        <w:t>(2)八级及以上持续1天的大风；</w:t>
      </w:r>
    </w:p>
    <w:p w14:paraId="782A0DF1">
      <w:pPr>
        <w:tabs>
          <w:tab w:val="left" w:pos="5985"/>
        </w:tabs>
        <w:spacing w:line="600" w:lineRule="exact"/>
        <w:ind w:firstLine="411" w:firstLineChars="196"/>
        <w:rPr>
          <w:rFonts w:hint="eastAsia" w:ascii="宋体" w:hAnsi="宋体" w:eastAsia="宋体" w:cs="宋体"/>
          <w:kern w:val="0"/>
          <w:szCs w:val="21"/>
        </w:rPr>
      </w:pPr>
      <w:r>
        <w:rPr>
          <w:rFonts w:hint="eastAsia" w:ascii="宋体" w:hAnsi="宋体" w:eastAsia="宋体" w:cs="宋体"/>
          <w:kern w:val="0"/>
          <w:szCs w:val="21"/>
        </w:rPr>
        <w:t>(3)持续降雨72小时以上，或24小时连续雨量达150mm以上的暴雨（以气象台发布的公告为准）。</w:t>
      </w:r>
    </w:p>
    <w:p w14:paraId="3BEC5EE0">
      <w:pPr>
        <w:tabs>
          <w:tab w:val="left" w:pos="5985"/>
        </w:tabs>
        <w:spacing w:line="600" w:lineRule="exact"/>
        <w:ind w:firstLine="411" w:firstLineChars="196"/>
        <w:rPr>
          <w:rFonts w:hint="eastAsia" w:ascii="宋体" w:hAnsi="宋体" w:eastAsia="宋体" w:cs="宋体"/>
          <w:kern w:val="0"/>
          <w:szCs w:val="21"/>
        </w:rPr>
      </w:pPr>
      <w:r>
        <w:rPr>
          <w:rFonts w:hint="eastAsia" w:ascii="宋体" w:hAnsi="宋体" w:eastAsia="宋体" w:cs="宋体"/>
          <w:kern w:val="0"/>
          <w:szCs w:val="21"/>
        </w:rPr>
        <w:t>(4)持续7天超过39°C的高温天气（气象部门预报为准）。</w:t>
      </w:r>
    </w:p>
    <w:p w14:paraId="21E92487">
      <w:pPr>
        <w:tabs>
          <w:tab w:val="left" w:pos="5985"/>
        </w:tabs>
        <w:spacing w:line="600" w:lineRule="exact"/>
        <w:ind w:firstLine="411" w:firstLineChars="196"/>
        <w:rPr>
          <w:rFonts w:hint="eastAsia" w:ascii="宋体" w:hAnsi="宋体" w:eastAsia="宋体" w:cs="宋体"/>
          <w:kern w:val="0"/>
          <w:szCs w:val="21"/>
        </w:rPr>
      </w:pPr>
      <w:r>
        <w:rPr>
          <w:rFonts w:hint="eastAsia" w:ascii="宋体" w:hAnsi="宋体" w:eastAsia="宋体" w:cs="宋体"/>
          <w:kern w:val="0"/>
          <w:szCs w:val="21"/>
        </w:rPr>
        <w:t>(5)区县级以上政府规定的不允许施工的时间。</w:t>
      </w:r>
    </w:p>
    <w:p w14:paraId="1F01BDA8">
      <w:pPr>
        <w:tabs>
          <w:tab w:val="left" w:pos="5985"/>
        </w:tabs>
        <w:spacing w:line="600" w:lineRule="exact"/>
        <w:ind w:firstLine="411" w:firstLineChars="196"/>
        <w:rPr>
          <w:rFonts w:hint="eastAsia" w:ascii="宋体" w:hAnsi="宋体" w:eastAsia="宋体" w:cs="宋体"/>
          <w:kern w:val="0"/>
          <w:szCs w:val="21"/>
        </w:rPr>
      </w:pPr>
      <w:r>
        <w:rPr>
          <w:rFonts w:hint="eastAsia" w:ascii="宋体" w:hAnsi="宋体" w:eastAsia="宋体" w:cs="宋体"/>
          <w:kern w:val="0"/>
          <w:szCs w:val="21"/>
        </w:rPr>
        <w:t>遇有上述不可抗力的一方，应立即将事故情况通报发包人，并应在7日内提供详情及合同不能履行或部分不能履行或需要延期履行的理由的有效证明文件。</w:t>
      </w:r>
    </w:p>
    <w:p w14:paraId="4E5CF06E">
      <w:pPr>
        <w:tabs>
          <w:tab w:val="left" w:pos="6060"/>
        </w:tabs>
        <w:spacing w:line="600" w:lineRule="exact"/>
        <w:ind w:firstLine="377" w:firstLineChars="179"/>
        <w:rPr>
          <w:rFonts w:hint="eastAsia" w:ascii="宋体" w:hAnsi="宋体" w:eastAsia="宋体" w:cs="宋体"/>
          <w:b/>
          <w:bCs/>
          <w:szCs w:val="21"/>
        </w:rPr>
      </w:pPr>
      <w:r>
        <w:rPr>
          <w:rFonts w:hint="eastAsia" w:ascii="宋体" w:hAnsi="宋体" w:eastAsia="宋体" w:cs="宋体"/>
          <w:b/>
          <w:bCs/>
          <w:szCs w:val="21"/>
        </w:rPr>
        <w:t>44、保险</w:t>
      </w:r>
    </w:p>
    <w:p w14:paraId="62229BAA">
      <w:pPr>
        <w:tabs>
          <w:tab w:val="left" w:pos="6060"/>
        </w:tabs>
        <w:spacing w:line="600" w:lineRule="exact"/>
        <w:ind w:firstLine="375" w:firstLineChars="179"/>
        <w:rPr>
          <w:rFonts w:hint="eastAsia" w:ascii="宋体" w:hAnsi="宋体" w:eastAsia="宋体" w:cs="宋体"/>
          <w:kern w:val="0"/>
          <w:szCs w:val="21"/>
        </w:rPr>
      </w:pPr>
      <w:r>
        <w:rPr>
          <w:rFonts w:hint="eastAsia" w:ascii="宋体" w:hAnsi="宋体" w:eastAsia="宋体" w:cs="宋体"/>
          <w:kern w:val="0"/>
          <w:szCs w:val="21"/>
        </w:rPr>
        <w:t>44.6本工程双方约定投保内容如下：</w:t>
      </w:r>
    </w:p>
    <w:p w14:paraId="1EFD28D1">
      <w:pPr>
        <w:tabs>
          <w:tab w:val="left" w:pos="5985"/>
        </w:tabs>
        <w:spacing w:line="600" w:lineRule="exact"/>
        <w:ind w:firstLine="411" w:firstLineChars="196"/>
        <w:rPr>
          <w:rFonts w:hint="eastAsia" w:ascii="宋体" w:hAnsi="宋体" w:eastAsia="宋体" w:cs="宋体"/>
          <w:kern w:val="0"/>
          <w:szCs w:val="21"/>
        </w:rPr>
      </w:pPr>
      <w:r>
        <w:rPr>
          <w:rFonts w:hint="eastAsia" w:ascii="宋体" w:hAnsi="宋体" w:eastAsia="宋体" w:cs="宋体"/>
          <w:kern w:val="0"/>
          <w:szCs w:val="21"/>
        </w:rPr>
        <w:t>（1）发包人投保内容：</w:t>
      </w:r>
      <w:r>
        <w:rPr>
          <w:rFonts w:hint="eastAsia" w:ascii="宋体" w:hAnsi="宋体" w:eastAsia="宋体" w:cs="宋体"/>
          <w:kern w:val="0"/>
          <w:szCs w:val="21"/>
          <w:u w:val="single"/>
        </w:rPr>
        <w:t>执行通用条款</w:t>
      </w:r>
      <w:r>
        <w:rPr>
          <w:rFonts w:hint="eastAsia" w:ascii="宋体" w:hAnsi="宋体" w:eastAsia="宋体" w:cs="宋体"/>
          <w:kern w:val="0"/>
          <w:szCs w:val="21"/>
        </w:rPr>
        <w:t>。</w:t>
      </w:r>
    </w:p>
    <w:p w14:paraId="4839FC6A">
      <w:pPr>
        <w:tabs>
          <w:tab w:val="left" w:pos="5985"/>
        </w:tabs>
        <w:spacing w:line="600" w:lineRule="exact"/>
        <w:ind w:firstLine="411" w:firstLineChars="196"/>
        <w:rPr>
          <w:rFonts w:hint="eastAsia" w:ascii="宋体" w:hAnsi="宋体" w:eastAsia="宋体" w:cs="宋体"/>
          <w:kern w:val="0"/>
          <w:szCs w:val="21"/>
        </w:rPr>
      </w:pPr>
      <w:r>
        <w:rPr>
          <w:rFonts w:hint="eastAsia" w:ascii="宋体" w:hAnsi="宋体" w:eastAsia="宋体" w:cs="宋体"/>
          <w:kern w:val="0"/>
          <w:szCs w:val="21"/>
        </w:rPr>
        <w:t>（2）承包人投保内容：</w:t>
      </w:r>
      <w:r>
        <w:rPr>
          <w:rFonts w:hint="eastAsia" w:ascii="宋体" w:hAnsi="宋体" w:eastAsia="宋体" w:cs="宋体"/>
          <w:kern w:val="0"/>
          <w:szCs w:val="21"/>
          <w:u w:val="single"/>
        </w:rPr>
        <w:t>执行政府有关规定</w:t>
      </w:r>
      <w:r>
        <w:rPr>
          <w:rFonts w:hint="eastAsia" w:ascii="宋体" w:hAnsi="宋体" w:eastAsia="宋体" w:cs="宋体"/>
          <w:kern w:val="0"/>
          <w:szCs w:val="21"/>
        </w:rPr>
        <w:t>。</w:t>
      </w:r>
    </w:p>
    <w:p w14:paraId="31E72743">
      <w:pPr>
        <w:tabs>
          <w:tab w:val="left" w:pos="6060"/>
        </w:tabs>
        <w:spacing w:line="600" w:lineRule="exact"/>
        <w:ind w:firstLine="310" w:firstLineChars="147"/>
        <w:rPr>
          <w:rFonts w:hint="eastAsia" w:ascii="宋体" w:hAnsi="宋体" w:eastAsia="宋体" w:cs="宋体"/>
          <w:b/>
          <w:bCs/>
          <w:szCs w:val="21"/>
        </w:rPr>
      </w:pPr>
      <w:r>
        <w:rPr>
          <w:rFonts w:hint="eastAsia" w:ascii="宋体" w:hAnsi="宋体" w:eastAsia="宋体" w:cs="宋体"/>
          <w:b/>
          <w:bCs/>
          <w:szCs w:val="21"/>
        </w:rPr>
        <w:t>45、担保</w:t>
      </w:r>
    </w:p>
    <w:p w14:paraId="429161EB">
      <w:pPr>
        <w:tabs>
          <w:tab w:val="left" w:pos="6060"/>
        </w:tabs>
        <w:spacing w:line="600" w:lineRule="exact"/>
        <w:ind w:firstLine="315" w:firstLineChars="150"/>
        <w:rPr>
          <w:rFonts w:hint="eastAsia" w:ascii="宋体" w:hAnsi="宋体" w:eastAsia="宋体" w:cs="宋体"/>
          <w:kern w:val="0"/>
          <w:szCs w:val="21"/>
        </w:rPr>
      </w:pPr>
      <w:r>
        <w:rPr>
          <w:rFonts w:hint="eastAsia" w:ascii="宋体" w:hAnsi="宋体" w:eastAsia="宋体" w:cs="宋体"/>
          <w:kern w:val="0"/>
          <w:szCs w:val="21"/>
        </w:rPr>
        <w:t>45.3本工程双方约定担保事项如下：</w:t>
      </w:r>
    </w:p>
    <w:p w14:paraId="1E454298">
      <w:pPr>
        <w:tabs>
          <w:tab w:val="left" w:pos="6060"/>
        </w:tabs>
        <w:spacing w:line="600" w:lineRule="exact"/>
        <w:ind w:firstLine="539" w:firstLineChars="257"/>
        <w:rPr>
          <w:rFonts w:hint="eastAsia" w:ascii="宋体" w:hAnsi="宋体" w:eastAsia="宋体" w:cs="宋体"/>
          <w:kern w:val="0"/>
          <w:szCs w:val="21"/>
          <w:u w:val="single"/>
        </w:rPr>
      </w:pPr>
      <w:r>
        <w:rPr>
          <w:rFonts w:hint="eastAsia" w:ascii="宋体" w:hAnsi="宋体" w:eastAsia="宋体" w:cs="宋体"/>
          <w:kern w:val="0"/>
          <w:szCs w:val="21"/>
        </w:rPr>
        <w:t>（1）发包人向承包人提供履约担保，担保方式为：</w:t>
      </w:r>
      <w:r>
        <w:rPr>
          <w:rFonts w:hint="eastAsia" w:ascii="宋体" w:hAnsi="宋体" w:eastAsia="宋体" w:cs="宋体"/>
          <w:kern w:val="0"/>
          <w:szCs w:val="21"/>
          <w:u w:val="single"/>
        </w:rPr>
        <w:t xml:space="preserve"> 无</w:t>
      </w:r>
    </w:p>
    <w:p w14:paraId="3545C098">
      <w:pPr>
        <w:tabs>
          <w:tab w:val="left" w:pos="6060"/>
        </w:tabs>
        <w:spacing w:line="600" w:lineRule="exact"/>
        <w:ind w:firstLine="539" w:firstLineChars="257"/>
        <w:rPr>
          <w:rFonts w:hint="eastAsia" w:ascii="宋体" w:hAnsi="宋体" w:eastAsia="宋体" w:cs="宋体"/>
          <w:kern w:val="0"/>
          <w:szCs w:val="21"/>
          <w:u w:val="single"/>
        </w:rPr>
      </w:pPr>
      <w:r>
        <w:rPr>
          <w:rFonts w:hint="eastAsia" w:ascii="宋体" w:hAnsi="宋体" w:eastAsia="宋体" w:cs="宋体"/>
          <w:kern w:val="0"/>
          <w:szCs w:val="21"/>
        </w:rPr>
        <w:t>（2）承包人向发包人提供履约担保，担保方式为：</w:t>
      </w:r>
      <w:r>
        <w:rPr>
          <w:rFonts w:hint="eastAsia" w:ascii="宋体" w:hAnsi="宋体" w:eastAsia="宋体" w:cs="宋体"/>
          <w:kern w:val="0"/>
          <w:szCs w:val="21"/>
          <w:u w:val="single"/>
        </w:rPr>
        <w:t xml:space="preserve">  现金或银行保函（不计息） </w:t>
      </w:r>
      <w:r>
        <w:rPr>
          <w:rFonts w:hint="eastAsia" w:ascii="宋体" w:hAnsi="宋体" w:eastAsia="宋体" w:cs="宋体"/>
          <w:kern w:val="0"/>
          <w:szCs w:val="21"/>
        </w:rPr>
        <w:t xml:space="preserve"> 。担保金额：</w:t>
      </w:r>
      <w:r>
        <w:rPr>
          <w:rFonts w:hint="eastAsia" w:ascii="宋体" w:hAnsi="宋体" w:eastAsia="宋体" w:cs="宋体"/>
          <w:kern w:val="0"/>
          <w:szCs w:val="21"/>
          <w:u w:val="single"/>
        </w:rPr>
        <w:t xml:space="preserve"> 合同价的10%  </w:t>
      </w:r>
      <w:r>
        <w:rPr>
          <w:rFonts w:hint="eastAsia" w:ascii="宋体" w:hAnsi="宋体" w:eastAsia="宋体" w:cs="宋体"/>
          <w:kern w:val="0"/>
          <w:szCs w:val="21"/>
        </w:rPr>
        <w:t>，担保有效期：</w:t>
      </w:r>
      <w:r>
        <w:rPr>
          <w:rFonts w:hint="eastAsia" w:ascii="宋体" w:hAnsi="宋体" w:eastAsia="宋体" w:cs="宋体"/>
          <w:kern w:val="0"/>
          <w:szCs w:val="21"/>
          <w:u w:val="single"/>
        </w:rPr>
        <w:t>自签订合同之日起至工程竣工验收合格之日止。履约保证金（保函）返还时间：在竣工验收合格后。</w:t>
      </w:r>
    </w:p>
    <w:p w14:paraId="7CC64C90">
      <w:pPr>
        <w:tabs>
          <w:tab w:val="left" w:pos="6060"/>
        </w:tabs>
        <w:spacing w:line="600" w:lineRule="exact"/>
        <w:ind w:firstLine="525" w:firstLineChars="250"/>
        <w:rPr>
          <w:rFonts w:hint="eastAsia" w:ascii="宋体" w:hAnsi="宋体" w:eastAsia="宋体" w:cs="宋体"/>
          <w:kern w:val="0"/>
          <w:szCs w:val="21"/>
        </w:rPr>
      </w:pPr>
      <w:r>
        <w:rPr>
          <w:rFonts w:hint="eastAsia" w:ascii="宋体" w:hAnsi="宋体" w:eastAsia="宋体" w:cs="宋体"/>
          <w:kern w:val="0"/>
          <w:szCs w:val="21"/>
        </w:rPr>
        <w:t>（3）双方约定的其他担保事项：</w:t>
      </w:r>
      <w:r>
        <w:rPr>
          <w:rFonts w:hint="eastAsia" w:ascii="宋体" w:hAnsi="宋体" w:eastAsia="宋体" w:cs="宋体"/>
          <w:kern w:val="0"/>
          <w:szCs w:val="21"/>
          <w:u w:val="single"/>
        </w:rPr>
        <w:t>无 。</w:t>
      </w:r>
      <w:r>
        <w:rPr>
          <w:rFonts w:hint="eastAsia" w:ascii="宋体" w:hAnsi="宋体" w:eastAsia="宋体" w:cs="宋体"/>
          <w:kern w:val="0"/>
          <w:szCs w:val="21"/>
        </w:rPr>
        <w:t xml:space="preserve">  </w:t>
      </w:r>
    </w:p>
    <w:p w14:paraId="3B736571">
      <w:pPr>
        <w:tabs>
          <w:tab w:val="left" w:pos="6060"/>
        </w:tabs>
        <w:spacing w:line="600" w:lineRule="exact"/>
        <w:ind w:firstLine="377" w:firstLineChars="179"/>
        <w:rPr>
          <w:rFonts w:hint="eastAsia" w:ascii="宋体" w:hAnsi="宋体" w:eastAsia="宋体" w:cs="宋体"/>
          <w:b/>
          <w:bCs/>
          <w:szCs w:val="21"/>
        </w:rPr>
      </w:pPr>
      <w:r>
        <w:rPr>
          <w:rFonts w:hint="eastAsia" w:ascii="宋体" w:hAnsi="宋体" w:eastAsia="宋体" w:cs="宋体"/>
          <w:b/>
          <w:bCs/>
          <w:szCs w:val="21"/>
        </w:rPr>
        <w:t>50、合同份数</w:t>
      </w:r>
    </w:p>
    <w:p w14:paraId="4488AAF0">
      <w:pPr>
        <w:spacing w:line="600" w:lineRule="exact"/>
        <w:ind w:firstLine="525"/>
        <w:rPr>
          <w:rFonts w:hint="eastAsia" w:ascii="宋体" w:hAnsi="宋体" w:eastAsia="宋体" w:cs="宋体"/>
          <w:kern w:val="0"/>
          <w:szCs w:val="21"/>
          <w:u w:val="single"/>
        </w:rPr>
      </w:pPr>
      <w:r>
        <w:rPr>
          <w:rFonts w:hint="eastAsia" w:ascii="宋体" w:hAnsi="宋体" w:eastAsia="宋体" w:cs="宋体"/>
          <w:kern w:val="0"/>
          <w:szCs w:val="21"/>
        </w:rPr>
        <w:t xml:space="preserve">50.1双方约定合同副本份数： </w:t>
      </w:r>
      <w:r>
        <w:rPr>
          <w:rFonts w:hint="eastAsia" w:ascii="宋体" w:hAnsi="宋体" w:eastAsia="宋体" w:cs="宋体"/>
          <w:kern w:val="0"/>
          <w:szCs w:val="21"/>
          <w:u w:val="single"/>
        </w:rPr>
        <w:t>正本两份，甲乙双方各执一份，副本六份，发包人执四份，承包人执两份。</w:t>
      </w:r>
    </w:p>
    <w:p w14:paraId="7990CE79">
      <w:pPr>
        <w:spacing w:line="600" w:lineRule="exact"/>
        <w:ind w:firstLine="422" w:firstLineChars="200"/>
        <w:rPr>
          <w:rFonts w:hint="eastAsia" w:ascii="宋体" w:hAnsi="宋体" w:eastAsia="宋体" w:cs="宋体"/>
          <w:b/>
          <w:kern w:val="0"/>
          <w:szCs w:val="21"/>
        </w:rPr>
      </w:pPr>
      <w:r>
        <w:rPr>
          <w:rFonts w:hint="eastAsia" w:ascii="宋体" w:hAnsi="宋体" w:eastAsia="宋体" w:cs="宋体"/>
          <w:b/>
          <w:kern w:val="0"/>
          <w:szCs w:val="21"/>
        </w:rPr>
        <w:t>51.补充条款</w:t>
      </w:r>
    </w:p>
    <w:p w14:paraId="70EFDF71">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（1）承包人应贯彻执行《关于对全省建筑施工现场关键岗位实施实名制管理的通知》（陕建发（2014）194号）。</w:t>
      </w:r>
    </w:p>
    <w:p w14:paraId="30C7E0BF">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2）承包人现场管理组织机构中，须具备且不限于以下人员：项目经理、技术负责人、质量管理负责人、安全管理负责人，以上人员除项目经理外其他人员对其资历要求均为：工程类本科专业毕业，从事本专业年限不少于10年，工程师或者二级以上注册建造师。</w:t>
      </w:r>
    </w:p>
    <w:p w14:paraId="49B5CA98">
      <w:pPr>
        <w:autoSpaceDE w:val="0"/>
        <w:autoSpaceDN w:val="0"/>
        <w:adjustRightInd w:val="0"/>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承包人在合同履行期间有违反《住建部关于印发《建筑工程施工转包违法分包等违法行为认定查处管理办法（试行）》的通知》（建市（2014）118号）文件规定的情况，发包人可拒绝支付工程进度款，直至解除合同。根据该文件规定，承包人派驻施工现场的项目经理、技术负责人、质量管理负责人、安全管理负责人与承包人没有订立劳动合同、没有建立劳资关系、没有社会养老保险关系证明的，一律不能编入施工组织管理机构中。缺少上述主要管理人员以及其证明材料的，其无权履行职责，发包人拒绝下达开工令以及支付进度款，直至解除合同关系，造成的损失由承包人承担。</w:t>
      </w:r>
    </w:p>
    <w:p w14:paraId="3B4F111F">
      <w:pPr>
        <w:autoSpaceDE w:val="0"/>
        <w:autoSpaceDN w:val="0"/>
        <w:adjustRightInd w:val="0"/>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项目经理应常驻施工现场，且每月在施工现场时间不得少于25天。项目经理不得同时担任其他项目的项目经理。项目经理确需离开施工现场时，应事先通知监理人，并取得发包人的同意。发包人有权要求更换发包人认为不称职的项目经理，由此增加的费用和（或）延误的工期由承包人承担。</w:t>
      </w:r>
    </w:p>
    <w:p w14:paraId="186B2010">
      <w:pPr>
        <w:autoSpaceDE w:val="0"/>
        <w:autoSpaceDN w:val="0"/>
        <w:adjustRightInd w:val="0"/>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发包人对于承包人主要施工管理人员的资格或能力有异议时，要求撤换不能按照合同约定履行职责及义务的主要施工管理人员的，承包人应当在提出要求后的15天内撤换。承包人无正当理由拒绝撤换的，应按每人10万元标准承担违约责任。</w:t>
      </w:r>
    </w:p>
    <w:p w14:paraId="5123354A">
      <w:pPr>
        <w:autoSpaceDE w:val="0"/>
        <w:autoSpaceDN w:val="0"/>
        <w:adjustRightInd w:val="0"/>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承包人的主要施工管理人员离开施工现场每月累计不超过5天的，应报监理人同意；离开施工现场每月累计超过5天的，应通知监理人，并征得发包人同意。主要施工管理人员离开施工现场前应指定一名有经验的人员临时代行其职责，该人员应具备履行相应职责的资格和能力，且应征得监理人或发包人的同意。</w:t>
      </w:r>
    </w:p>
    <w:p w14:paraId="6B889ADA">
      <w:pPr>
        <w:autoSpaceDE w:val="0"/>
        <w:autoSpaceDN w:val="0"/>
        <w:adjustRightInd w:val="0"/>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承包人擅自更换主要施工管理人员，应按每人10万元标准承担违约责任；或前述人员未经监理人或发包人同意擅自离开施工现场的，应按每人2万元标准承担违约责任；擅自更换项目经理，承包人向发包人支付50万元违约金，且发包人有权拒绝进度款支付，直至解除合同关系。</w:t>
      </w:r>
    </w:p>
    <w:p w14:paraId="1EA2ECBD">
      <w:pPr>
        <w:autoSpaceDE w:val="0"/>
        <w:autoSpaceDN w:val="0"/>
        <w:adjustRightInd w:val="0"/>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 xml:space="preserve">（4）总承包服务费（配合费）的计取：发包人直接发包的专业工程及设备采购，结算价在5000万元以上的按1%计取；1000-5000万元的按1.5%计取；1000万元以下的按2%计取。如果承包人不按实际需要提供服务、配合、管理、协调工作，发包人有权视情况决定是否给予计取该项费用或者计取的费率大小。总承包服务费只计取税金，支付办法见前述。 </w:t>
      </w:r>
    </w:p>
    <w:p w14:paraId="63A19B4A">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（5）农民工工资</w:t>
      </w:r>
    </w:p>
    <w:p w14:paraId="775C375E">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承包人必须按时、足额、采用实名方式支付农民工工资，如发生农民工和材料供应商，因拖欠工资或材料款等引起的群体性堵、闹事件，发包人有权在应付承包人的工程款范围内扣除款项后直接向相关方支付，因此造成的损失由承包人承担。并根据情节和社会影响程度，每次由承包人向发包人支付5-30万元违约金。</w:t>
      </w:r>
    </w:p>
    <w:p w14:paraId="74A401C8">
      <w:pPr>
        <w:widowControl/>
        <w:spacing w:line="600" w:lineRule="exact"/>
        <w:ind w:firstLine="315" w:firstLineChars="150"/>
        <w:rPr>
          <w:rFonts w:hint="eastAsia" w:ascii="宋体" w:hAnsi="宋体" w:eastAsia="宋体" w:cs="宋体"/>
          <w:kern w:val="0"/>
          <w:szCs w:val="21"/>
        </w:rPr>
      </w:pPr>
      <w:r>
        <w:rPr>
          <w:rFonts w:hint="eastAsia" w:ascii="宋体" w:hAnsi="宋体" w:eastAsia="宋体" w:cs="宋体"/>
          <w:kern w:val="0"/>
          <w:szCs w:val="21"/>
        </w:rPr>
        <w:t>（6）如果发包人不能按约定的付款期限的2个月内支付进度款，承包人应保证施工的连续性和正常性，承包人不能依此向发包人主张索赔、承担融资利息等要求。2个月后执行通用条款的约定。此约定如与通用条款、专用条款有冲突或者理解有歧义时，以本条为准。</w:t>
      </w:r>
    </w:p>
    <w:p w14:paraId="47F087F2">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（7）施工用水电费由承包人向供应单位交纳，不找差价。</w:t>
      </w:r>
    </w:p>
    <w:p w14:paraId="79B7D3D6">
      <w:pPr>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8）消防工程在施工过程中，需要提前计划并完成后期装饰装修及设备安装等工程所需的预埋预留工作，施工过程中应紧密配合。消防工程的单个喷淋头位置改变导致支管长度变化在±20米内，下调在2米以内，一律不予调整工程量，也不作签证，因此引起的强弱电管线增加或减少30米以内的都不予工程量变更。</w:t>
      </w:r>
    </w:p>
    <w:p w14:paraId="0AA878B7">
      <w:pPr>
        <w:widowControl/>
        <w:spacing w:line="6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（9）执行发包人制定的施工现场管理奖罚办法。</w:t>
      </w:r>
    </w:p>
    <w:p w14:paraId="0489470D">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（10）暂停施工：</w:t>
      </w:r>
    </w:p>
    <w:p w14:paraId="426F25EA">
      <w:pPr>
        <w:widowControl/>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将通用条款第12条“暂停施工”改为：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7天，从第8天起至复工之日至，由发包人只承担必要的留守看护人员工资，不承担因此造成的损失，相应顺延工期；因发包人原因造成停工＜7天，发包人不承担因此造成的损失，相应顺延工期；因承包人原因造成停工的，由承包人承担发生的费用，工期不予顺延。</w:t>
      </w:r>
    </w:p>
    <w:p w14:paraId="11C89A18">
      <w:pPr>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（11）竣工退场：竣工预验收后或者室外总体工程开工前，承包人应按以下要求对施工现场进行清理：</w:t>
      </w:r>
    </w:p>
    <w:p w14:paraId="599BF224">
      <w:pPr>
        <w:spacing w:line="600" w:lineRule="exact"/>
        <w:ind w:firstLine="630" w:firstLineChars="300"/>
        <w:jc w:val="left"/>
        <w:rPr>
          <w:rFonts w:hint="eastAsia" w:ascii="宋体" w:hAnsi="宋体" w:eastAsia="宋体" w:cs="宋体"/>
          <w:kern w:val="0"/>
          <w:szCs w:val="21"/>
        </w:rPr>
      </w:pPr>
      <w:r>
        <w:rPr>
          <w:rFonts w:hint="eastAsia" w:ascii="宋体" w:hAnsi="宋体" w:eastAsia="宋体" w:cs="宋体"/>
          <w:kern w:val="0"/>
          <w:szCs w:val="21"/>
        </w:rPr>
        <w:t>① 施工现场内残留的垃圾已全部清除出场；</w:t>
      </w:r>
    </w:p>
    <w:p w14:paraId="6C733267">
      <w:pPr>
        <w:spacing w:line="600" w:lineRule="exact"/>
        <w:ind w:firstLine="630" w:firstLineChars="300"/>
        <w:jc w:val="left"/>
        <w:rPr>
          <w:rFonts w:hint="eastAsia" w:ascii="宋体" w:hAnsi="宋体" w:eastAsia="宋体" w:cs="宋体"/>
          <w:kern w:val="0"/>
          <w:szCs w:val="21"/>
        </w:rPr>
      </w:pPr>
      <w:r>
        <w:rPr>
          <w:rFonts w:hint="eastAsia" w:ascii="宋体" w:hAnsi="宋体" w:eastAsia="宋体" w:cs="宋体"/>
          <w:kern w:val="0"/>
          <w:szCs w:val="21"/>
        </w:rPr>
        <w:t>② 临时工程已拆除，场地已进行清理、平整或复原；</w:t>
      </w:r>
    </w:p>
    <w:p w14:paraId="213F7CEB">
      <w:pPr>
        <w:spacing w:line="600" w:lineRule="exact"/>
        <w:ind w:firstLine="630" w:firstLineChars="300"/>
        <w:jc w:val="left"/>
        <w:rPr>
          <w:rFonts w:hint="eastAsia" w:ascii="宋体" w:hAnsi="宋体" w:eastAsia="宋体" w:cs="宋体"/>
          <w:kern w:val="0"/>
          <w:szCs w:val="21"/>
        </w:rPr>
      </w:pPr>
      <w:r>
        <w:rPr>
          <w:rFonts w:hint="eastAsia" w:ascii="宋体" w:hAnsi="宋体" w:eastAsia="宋体" w:cs="宋体"/>
          <w:kern w:val="0"/>
          <w:szCs w:val="21"/>
        </w:rPr>
        <w:t>③ 按合同约定应撤离的人员、承包人施工设备和剩余的材料，包括废弃的施工设备和材料，已按计划撤离施工现场；</w:t>
      </w:r>
    </w:p>
    <w:p w14:paraId="4F09EF3F">
      <w:pPr>
        <w:spacing w:line="600" w:lineRule="exact"/>
        <w:ind w:firstLine="630" w:firstLineChars="300"/>
        <w:jc w:val="left"/>
        <w:rPr>
          <w:rFonts w:hint="eastAsia" w:ascii="宋体" w:hAnsi="宋体" w:eastAsia="宋体" w:cs="宋体"/>
          <w:kern w:val="0"/>
          <w:szCs w:val="21"/>
        </w:rPr>
      </w:pPr>
      <w:r>
        <w:rPr>
          <w:rFonts w:hint="eastAsia" w:ascii="宋体" w:hAnsi="宋体" w:eastAsia="宋体" w:cs="宋体"/>
          <w:kern w:val="0"/>
          <w:szCs w:val="21"/>
        </w:rPr>
        <w:t>④ 施工现场周边及其附近道路、河道的施工堆积物，已全部清理；</w:t>
      </w:r>
    </w:p>
    <w:p w14:paraId="38C5BE89">
      <w:pPr>
        <w:spacing w:line="600" w:lineRule="exact"/>
        <w:ind w:firstLine="630" w:firstLineChars="300"/>
        <w:jc w:val="left"/>
        <w:rPr>
          <w:rFonts w:hint="eastAsia" w:ascii="宋体" w:hAnsi="宋体" w:eastAsia="宋体" w:cs="宋体"/>
          <w:kern w:val="0"/>
          <w:szCs w:val="21"/>
        </w:rPr>
      </w:pPr>
      <w:r>
        <w:rPr>
          <w:rFonts w:hint="eastAsia" w:ascii="宋体" w:hAnsi="宋体" w:eastAsia="宋体" w:cs="宋体"/>
          <w:kern w:val="0"/>
          <w:szCs w:val="21"/>
        </w:rPr>
        <w:t>⑤ 施工现场其他场地清理工作已全部完成。</w:t>
      </w:r>
    </w:p>
    <w:p w14:paraId="780F4D2A">
      <w:pPr>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施工现场的竣工退场费用由承包人承担。逾期未完成的，发包人有权出售或另行处理承包人遗留的物品，由此支出的费用由承包人承担，发包人出售承包人遗留物品所得款项在扣除必要费用后应返还承包人。</w:t>
      </w:r>
    </w:p>
    <w:p w14:paraId="2A2A810C">
      <w:pPr>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（12）地表还原：承包人未按发包人的要求恢复临时占地，或者场地清理未达到发包人要求的，发包人有权委托其他人恢复或清理，所发生的费用由承包人承担。</w:t>
      </w:r>
    </w:p>
    <w:p w14:paraId="4FEEE053">
      <w:pPr>
        <w:spacing w:line="6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（13）对于部分专业工程或分项工程，发包人有可能甩项或者指定分包，承包人应予以积极配合，发包人不承担因此给承包人带来预期利润降低的损失。</w:t>
      </w:r>
    </w:p>
    <w:p w14:paraId="07722F38">
      <w:pPr>
        <w:spacing w:line="600" w:lineRule="exact"/>
        <w:ind w:firstLine="472" w:firstLineChars="225"/>
        <w:jc w:val="left"/>
        <w:rPr>
          <w:rFonts w:ascii="宋体" w:hAnsi="宋体" w:eastAsia="宋体" w:cs="宋体"/>
          <w:kern w:val="0"/>
          <w:szCs w:val="21"/>
        </w:rPr>
      </w:pPr>
      <w:r>
        <w:rPr>
          <w:rFonts w:hint="eastAsia" w:ascii="宋体" w:hAnsi="宋体" w:eastAsia="宋体" w:cs="宋体"/>
          <w:kern w:val="0"/>
          <w:szCs w:val="21"/>
        </w:rPr>
        <w:t>(14) 招标工程量清单编制说明及有关材料品牌、价格要求是合同的重要组成部分应严格执行。</w:t>
      </w:r>
    </w:p>
    <w:p w14:paraId="09A597E3">
      <w:pPr>
        <w:spacing w:line="460" w:lineRule="exact"/>
        <w:ind w:firstLine="420" w:firstLineChars="200"/>
        <w:jc w:val="left"/>
        <w:rPr>
          <w:rFonts w:ascii="宋体" w:hAnsi="宋体" w:eastAsia="宋体" w:cs="宋体"/>
          <w:color w:val="auto"/>
          <w:kern w:val="0"/>
          <w:szCs w:val="21"/>
        </w:rPr>
      </w:pPr>
      <w:r>
        <w:rPr>
          <w:rFonts w:hint="eastAsia" w:ascii="宋体" w:hAnsi="宋体" w:eastAsia="宋体" w:cs="宋体"/>
          <w:color w:val="auto"/>
          <w:kern w:val="0"/>
          <w:szCs w:val="21"/>
        </w:rPr>
        <w:t>（</w:t>
      </w:r>
      <w:r>
        <w:rPr>
          <w:rFonts w:ascii="宋体" w:hAnsi="宋体" w:eastAsia="宋体" w:cs="宋体"/>
          <w:color w:val="auto"/>
          <w:kern w:val="0"/>
          <w:szCs w:val="21"/>
        </w:rPr>
        <w:t>15）</w:t>
      </w:r>
      <w:r>
        <w:rPr>
          <w:rFonts w:hint="eastAsia" w:ascii="宋体" w:hAnsi="宋体" w:eastAsia="宋体" w:cs="宋体"/>
          <w:color w:val="auto"/>
          <w:kern w:val="0"/>
          <w:szCs w:val="21"/>
        </w:rPr>
        <w:t>非发包人主观因素（如土地纠纷引起的阻挡等）造成的停窝工及工期延误引起的一切费用不予认可。</w:t>
      </w:r>
    </w:p>
    <w:p w14:paraId="3C8E98CC">
      <w:pPr>
        <w:rPr>
          <w:rFonts w:hint="eastAsia" w:ascii="Times New Roman" w:hAnsi="Times New Roman" w:eastAsia="宋体" w:cs="Times New Roman"/>
          <w:color w:val="auto"/>
          <w:szCs w:val="24"/>
        </w:rPr>
      </w:pPr>
    </w:p>
    <w:p w14:paraId="0A8F1467">
      <w:pPr>
        <w:rPr>
          <w:rFonts w:ascii="Times New Roman" w:hAnsi="Times New Roman" w:eastAsia="宋体" w:cs="Times New Roman"/>
          <w:szCs w:val="24"/>
        </w:rPr>
        <w:sectPr>
          <w:footerReference r:id="rId3" w:type="default"/>
          <w:pgSz w:w="11906" w:h="16838"/>
          <w:pgMar w:top="1440" w:right="1800" w:bottom="1440" w:left="1800" w:header="708" w:footer="708" w:gutter="0"/>
          <w:pgNumType w:start="1"/>
          <w:cols w:space="720" w:num="1"/>
          <w:docGrid w:type="lines" w:linePitch="360" w:charSpace="0"/>
        </w:sectPr>
      </w:pPr>
    </w:p>
    <w:p w14:paraId="03291E8C">
      <w:pPr>
        <w:widowControl/>
        <w:spacing w:line="600" w:lineRule="exact"/>
        <w:rPr>
          <w:rFonts w:hint="eastAsia" w:ascii="宋体" w:hAnsi="宋体" w:eastAsia="宋体" w:cs="宋体"/>
          <w:color w:val="000000"/>
          <w:kern w:val="0"/>
          <w:szCs w:val="21"/>
        </w:rPr>
      </w:pPr>
      <w:r>
        <w:rPr>
          <w:rFonts w:hint="eastAsia" w:ascii="宋体" w:hAnsi="宋体" w:eastAsia="宋体" w:cs="宋体"/>
          <w:color w:val="000000"/>
          <w:kern w:val="0"/>
          <w:szCs w:val="21"/>
        </w:rPr>
        <w:t>附件1：</w:t>
      </w:r>
    </w:p>
    <w:p w14:paraId="08143473">
      <w:pPr>
        <w:widowControl/>
        <w:spacing w:line="600" w:lineRule="exact"/>
        <w:jc w:val="center"/>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承包人承揽工程项目一览表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720"/>
        <w:gridCol w:w="720"/>
        <w:gridCol w:w="540"/>
        <w:gridCol w:w="720"/>
        <w:gridCol w:w="1080"/>
        <w:gridCol w:w="3060"/>
        <w:gridCol w:w="1440"/>
        <w:gridCol w:w="1260"/>
        <w:gridCol w:w="1080"/>
      </w:tblGrid>
      <w:tr w14:paraId="5A991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22DC7F66">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单位工程名称</w:t>
            </w:r>
          </w:p>
        </w:tc>
        <w:tc>
          <w:tcPr>
            <w:tcW w:w="720" w:type="dxa"/>
            <w:vAlign w:val="center"/>
          </w:tcPr>
          <w:p w14:paraId="278451D0">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建设</w:t>
            </w:r>
          </w:p>
          <w:p w14:paraId="6C3CB212">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规模</w:t>
            </w:r>
          </w:p>
        </w:tc>
        <w:tc>
          <w:tcPr>
            <w:tcW w:w="720" w:type="dxa"/>
            <w:vAlign w:val="center"/>
          </w:tcPr>
          <w:p w14:paraId="1E3B044F">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建筑</w:t>
            </w:r>
          </w:p>
          <w:p w14:paraId="4EA99CE4">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面积</w:t>
            </w:r>
          </w:p>
        </w:tc>
        <w:tc>
          <w:tcPr>
            <w:tcW w:w="540" w:type="dxa"/>
            <w:vAlign w:val="center"/>
          </w:tcPr>
          <w:p w14:paraId="4FCEE75F">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结构</w:t>
            </w:r>
          </w:p>
        </w:tc>
        <w:tc>
          <w:tcPr>
            <w:tcW w:w="720" w:type="dxa"/>
            <w:vAlign w:val="center"/>
          </w:tcPr>
          <w:p w14:paraId="23C927DB">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层数</w:t>
            </w:r>
          </w:p>
        </w:tc>
        <w:tc>
          <w:tcPr>
            <w:tcW w:w="1080" w:type="dxa"/>
            <w:vAlign w:val="center"/>
          </w:tcPr>
          <w:p w14:paraId="159F4C01">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跨度</w:t>
            </w:r>
          </w:p>
          <w:p w14:paraId="3D847814">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（米）</w:t>
            </w:r>
          </w:p>
        </w:tc>
        <w:tc>
          <w:tcPr>
            <w:tcW w:w="3060" w:type="dxa"/>
            <w:vAlign w:val="center"/>
          </w:tcPr>
          <w:p w14:paraId="439243EA">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设备安装内容</w:t>
            </w:r>
          </w:p>
        </w:tc>
        <w:tc>
          <w:tcPr>
            <w:tcW w:w="1440" w:type="dxa"/>
            <w:vAlign w:val="center"/>
          </w:tcPr>
          <w:p w14:paraId="50495EB5">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工程造价</w:t>
            </w:r>
          </w:p>
          <w:p w14:paraId="06B66A4C">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（元）</w:t>
            </w:r>
          </w:p>
        </w:tc>
        <w:tc>
          <w:tcPr>
            <w:tcW w:w="1260" w:type="dxa"/>
            <w:vAlign w:val="center"/>
          </w:tcPr>
          <w:p w14:paraId="340FCA2A">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开工</w:t>
            </w:r>
          </w:p>
          <w:p w14:paraId="111872F7">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日期</w:t>
            </w:r>
          </w:p>
        </w:tc>
        <w:tc>
          <w:tcPr>
            <w:tcW w:w="1080" w:type="dxa"/>
            <w:vAlign w:val="center"/>
          </w:tcPr>
          <w:p w14:paraId="0F4E0F81">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竣工</w:t>
            </w:r>
          </w:p>
          <w:p w14:paraId="5E42CF45">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日期</w:t>
            </w:r>
          </w:p>
        </w:tc>
      </w:tr>
      <w:tr w14:paraId="186BB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7E2AC191">
            <w:pPr>
              <w:widowControl/>
              <w:spacing w:line="600" w:lineRule="exact"/>
              <w:jc w:val="center"/>
              <w:rPr>
                <w:rFonts w:hint="eastAsia" w:ascii="宋体" w:hAnsi="宋体" w:eastAsia="宋体" w:cs="宋体"/>
                <w:color w:val="000000"/>
                <w:kern w:val="0"/>
                <w:szCs w:val="21"/>
              </w:rPr>
            </w:pPr>
          </w:p>
        </w:tc>
        <w:tc>
          <w:tcPr>
            <w:tcW w:w="720" w:type="dxa"/>
            <w:vAlign w:val="center"/>
          </w:tcPr>
          <w:p w14:paraId="1BB84FD5">
            <w:pPr>
              <w:widowControl/>
              <w:spacing w:line="600" w:lineRule="exact"/>
              <w:jc w:val="center"/>
              <w:rPr>
                <w:rFonts w:hint="eastAsia" w:ascii="宋体" w:hAnsi="宋体" w:eastAsia="宋体" w:cs="宋体"/>
                <w:color w:val="000000"/>
                <w:kern w:val="0"/>
                <w:szCs w:val="21"/>
              </w:rPr>
            </w:pPr>
          </w:p>
        </w:tc>
        <w:tc>
          <w:tcPr>
            <w:tcW w:w="720" w:type="dxa"/>
            <w:vAlign w:val="center"/>
          </w:tcPr>
          <w:p w14:paraId="0786E4F6">
            <w:pPr>
              <w:widowControl/>
              <w:spacing w:line="600" w:lineRule="exact"/>
              <w:jc w:val="center"/>
              <w:rPr>
                <w:rFonts w:hint="eastAsia" w:ascii="宋体" w:hAnsi="宋体" w:eastAsia="宋体" w:cs="宋体"/>
                <w:color w:val="000000"/>
                <w:kern w:val="0"/>
                <w:szCs w:val="21"/>
              </w:rPr>
            </w:pPr>
          </w:p>
        </w:tc>
        <w:tc>
          <w:tcPr>
            <w:tcW w:w="540" w:type="dxa"/>
            <w:vAlign w:val="center"/>
          </w:tcPr>
          <w:p w14:paraId="26C57BAA">
            <w:pPr>
              <w:widowControl/>
              <w:spacing w:line="600" w:lineRule="exact"/>
              <w:jc w:val="center"/>
              <w:rPr>
                <w:rFonts w:hint="eastAsia" w:ascii="宋体" w:hAnsi="宋体" w:eastAsia="宋体" w:cs="宋体"/>
                <w:color w:val="000000"/>
                <w:kern w:val="0"/>
                <w:szCs w:val="21"/>
              </w:rPr>
            </w:pPr>
          </w:p>
        </w:tc>
        <w:tc>
          <w:tcPr>
            <w:tcW w:w="720" w:type="dxa"/>
            <w:vAlign w:val="center"/>
          </w:tcPr>
          <w:p w14:paraId="07B1070D">
            <w:pPr>
              <w:widowControl/>
              <w:spacing w:line="600" w:lineRule="exact"/>
              <w:jc w:val="center"/>
              <w:rPr>
                <w:rFonts w:hint="eastAsia" w:ascii="宋体" w:hAnsi="宋体" w:eastAsia="宋体" w:cs="宋体"/>
                <w:color w:val="000000"/>
                <w:kern w:val="0"/>
                <w:szCs w:val="21"/>
              </w:rPr>
            </w:pPr>
          </w:p>
        </w:tc>
        <w:tc>
          <w:tcPr>
            <w:tcW w:w="1080" w:type="dxa"/>
            <w:vAlign w:val="center"/>
          </w:tcPr>
          <w:p w14:paraId="0F0FF334">
            <w:pPr>
              <w:widowControl/>
              <w:spacing w:line="600" w:lineRule="exact"/>
              <w:jc w:val="center"/>
              <w:rPr>
                <w:rFonts w:hint="eastAsia" w:ascii="宋体" w:hAnsi="宋体" w:eastAsia="宋体" w:cs="宋体"/>
                <w:color w:val="000000"/>
                <w:kern w:val="0"/>
                <w:szCs w:val="21"/>
              </w:rPr>
            </w:pPr>
          </w:p>
        </w:tc>
        <w:tc>
          <w:tcPr>
            <w:tcW w:w="3060" w:type="dxa"/>
            <w:vAlign w:val="center"/>
          </w:tcPr>
          <w:p w14:paraId="621EB9B8">
            <w:pPr>
              <w:widowControl/>
              <w:spacing w:line="600" w:lineRule="exact"/>
              <w:jc w:val="center"/>
              <w:rPr>
                <w:rFonts w:hint="eastAsia" w:ascii="宋体" w:hAnsi="宋体" w:eastAsia="宋体" w:cs="宋体"/>
                <w:color w:val="000000"/>
                <w:kern w:val="0"/>
                <w:szCs w:val="21"/>
              </w:rPr>
            </w:pPr>
          </w:p>
        </w:tc>
        <w:tc>
          <w:tcPr>
            <w:tcW w:w="1440" w:type="dxa"/>
            <w:vAlign w:val="center"/>
          </w:tcPr>
          <w:p w14:paraId="0D75EA04">
            <w:pPr>
              <w:widowControl/>
              <w:spacing w:line="600" w:lineRule="exact"/>
              <w:jc w:val="center"/>
              <w:rPr>
                <w:rFonts w:hint="eastAsia" w:ascii="宋体" w:hAnsi="宋体" w:eastAsia="宋体" w:cs="宋体"/>
                <w:color w:val="000000"/>
                <w:kern w:val="0"/>
                <w:szCs w:val="21"/>
              </w:rPr>
            </w:pPr>
          </w:p>
        </w:tc>
        <w:tc>
          <w:tcPr>
            <w:tcW w:w="1260" w:type="dxa"/>
            <w:vAlign w:val="center"/>
          </w:tcPr>
          <w:p w14:paraId="796AB2D4">
            <w:pPr>
              <w:widowControl/>
              <w:spacing w:line="600" w:lineRule="exact"/>
              <w:jc w:val="center"/>
              <w:rPr>
                <w:rFonts w:hint="eastAsia" w:ascii="宋体" w:hAnsi="宋体" w:eastAsia="宋体" w:cs="宋体"/>
                <w:color w:val="000000"/>
                <w:kern w:val="0"/>
                <w:szCs w:val="21"/>
              </w:rPr>
            </w:pPr>
          </w:p>
        </w:tc>
        <w:tc>
          <w:tcPr>
            <w:tcW w:w="1080" w:type="dxa"/>
            <w:vAlign w:val="center"/>
          </w:tcPr>
          <w:p w14:paraId="4A472983">
            <w:pPr>
              <w:widowControl/>
              <w:spacing w:line="600" w:lineRule="exact"/>
              <w:jc w:val="center"/>
              <w:rPr>
                <w:rFonts w:hint="eastAsia" w:ascii="宋体" w:hAnsi="宋体" w:eastAsia="宋体" w:cs="宋体"/>
                <w:color w:val="000000"/>
                <w:kern w:val="0"/>
                <w:szCs w:val="21"/>
              </w:rPr>
            </w:pPr>
          </w:p>
        </w:tc>
      </w:tr>
      <w:tr w14:paraId="54861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2E232342">
            <w:pPr>
              <w:widowControl/>
              <w:spacing w:line="600" w:lineRule="exact"/>
              <w:jc w:val="center"/>
              <w:rPr>
                <w:rFonts w:hint="eastAsia" w:ascii="宋体" w:hAnsi="宋体" w:eastAsia="宋体" w:cs="宋体"/>
                <w:color w:val="000000"/>
                <w:kern w:val="0"/>
                <w:szCs w:val="21"/>
              </w:rPr>
            </w:pPr>
          </w:p>
        </w:tc>
        <w:tc>
          <w:tcPr>
            <w:tcW w:w="720" w:type="dxa"/>
            <w:vAlign w:val="center"/>
          </w:tcPr>
          <w:p w14:paraId="3429469B">
            <w:pPr>
              <w:widowControl/>
              <w:spacing w:line="600" w:lineRule="exact"/>
              <w:jc w:val="center"/>
              <w:rPr>
                <w:rFonts w:hint="eastAsia" w:ascii="宋体" w:hAnsi="宋体" w:eastAsia="宋体" w:cs="宋体"/>
                <w:color w:val="000000"/>
                <w:kern w:val="0"/>
                <w:szCs w:val="21"/>
              </w:rPr>
            </w:pPr>
          </w:p>
        </w:tc>
        <w:tc>
          <w:tcPr>
            <w:tcW w:w="720" w:type="dxa"/>
            <w:vAlign w:val="center"/>
          </w:tcPr>
          <w:p w14:paraId="7988BA9C">
            <w:pPr>
              <w:widowControl/>
              <w:spacing w:line="600" w:lineRule="exact"/>
              <w:jc w:val="center"/>
              <w:rPr>
                <w:rFonts w:hint="eastAsia" w:ascii="宋体" w:hAnsi="宋体" w:eastAsia="宋体" w:cs="宋体"/>
                <w:color w:val="000000"/>
                <w:kern w:val="0"/>
                <w:szCs w:val="21"/>
              </w:rPr>
            </w:pPr>
          </w:p>
        </w:tc>
        <w:tc>
          <w:tcPr>
            <w:tcW w:w="540" w:type="dxa"/>
            <w:vAlign w:val="center"/>
          </w:tcPr>
          <w:p w14:paraId="16269983">
            <w:pPr>
              <w:widowControl/>
              <w:spacing w:line="600" w:lineRule="exact"/>
              <w:jc w:val="center"/>
              <w:rPr>
                <w:rFonts w:hint="eastAsia" w:ascii="宋体" w:hAnsi="宋体" w:eastAsia="宋体" w:cs="宋体"/>
                <w:color w:val="000000"/>
                <w:kern w:val="0"/>
                <w:szCs w:val="21"/>
              </w:rPr>
            </w:pPr>
          </w:p>
        </w:tc>
        <w:tc>
          <w:tcPr>
            <w:tcW w:w="720" w:type="dxa"/>
            <w:vAlign w:val="center"/>
          </w:tcPr>
          <w:p w14:paraId="5BC75708">
            <w:pPr>
              <w:widowControl/>
              <w:spacing w:line="600" w:lineRule="exact"/>
              <w:jc w:val="center"/>
              <w:rPr>
                <w:rFonts w:hint="eastAsia" w:ascii="宋体" w:hAnsi="宋体" w:eastAsia="宋体" w:cs="宋体"/>
                <w:color w:val="000000"/>
                <w:kern w:val="0"/>
                <w:szCs w:val="21"/>
              </w:rPr>
            </w:pPr>
          </w:p>
        </w:tc>
        <w:tc>
          <w:tcPr>
            <w:tcW w:w="1080" w:type="dxa"/>
            <w:vAlign w:val="center"/>
          </w:tcPr>
          <w:p w14:paraId="799B1C14">
            <w:pPr>
              <w:widowControl/>
              <w:spacing w:line="600" w:lineRule="exact"/>
              <w:jc w:val="center"/>
              <w:rPr>
                <w:rFonts w:hint="eastAsia" w:ascii="宋体" w:hAnsi="宋体" w:eastAsia="宋体" w:cs="宋体"/>
                <w:color w:val="000000"/>
                <w:kern w:val="0"/>
                <w:szCs w:val="21"/>
              </w:rPr>
            </w:pPr>
          </w:p>
        </w:tc>
        <w:tc>
          <w:tcPr>
            <w:tcW w:w="3060" w:type="dxa"/>
            <w:vAlign w:val="center"/>
          </w:tcPr>
          <w:p w14:paraId="1BC3DECC">
            <w:pPr>
              <w:widowControl/>
              <w:spacing w:line="600" w:lineRule="exact"/>
              <w:jc w:val="center"/>
              <w:rPr>
                <w:rFonts w:hint="eastAsia" w:ascii="宋体" w:hAnsi="宋体" w:eastAsia="宋体" w:cs="宋体"/>
                <w:color w:val="000000"/>
                <w:kern w:val="0"/>
                <w:szCs w:val="21"/>
              </w:rPr>
            </w:pPr>
          </w:p>
        </w:tc>
        <w:tc>
          <w:tcPr>
            <w:tcW w:w="1440" w:type="dxa"/>
            <w:vAlign w:val="center"/>
          </w:tcPr>
          <w:p w14:paraId="1554C976">
            <w:pPr>
              <w:widowControl/>
              <w:spacing w:line="600" w:lineRule="exact"/>
              <w:jc w:val="center"/>
              <w:rPr>
                <w:rFonts w:hint="eastAsia" w:ascii="宋体" w:hAnsi="宋体" w:eastAsia="宋体" w:cs="宋体"/>
                <w:color w:val="000000"/>
                <w:kern w:val="0"/>
                <w:szCs w:val="21"/>
              </w:rPr>
            </w:pPr>
          </w:p>
        </w:tc>
        <w:tc>
          <w:tcPr>
            <w:tcW w:w="1260" w:type="dxa"/>
            <w:vAlign w:val="center"/>
          </w:tcPr>
          <w:p w14:paraId="4BE99AD3">
            <w:pPr>
              <w:widowControl/>
              <w:spacing w:line="600" w:lineRule="exact"/>
              <w:jc w:val="center"/>
              <w:rPr>
                <w:rFonts w:hint="eastAsia" w:ascii="宋体" w:hAnsi="宋体" w:eastAsia="宋体" w:cs="宋体"/>
                <w:color w:val="000000"/>
                <w:kern w:val="0"/>
                <w:szCs w:val="21"/>
              </w:rPr>
            </w:pPr>
          </w:p>
        </w:tc>
        <w:tc>
          <w:tcPr>
            <w:tcW w:w="1080" w:type="dxa"/>
            <w:vAlign w:val="center"/>
          </w:tcPr>
          <w:p w14:paraId="1B202D79">
            <w:pPr>
              <w:widowControl/>
              <w:spacing w:line="600" w:lineRule="exact"/>
              <w:jc w:val="center"/>
              <w:rPr>
                <w:rFonts w:hint="eastAsia" w:ascii="宋体" w:hAnsi="宋体" w:eastAsia="宋体" w:cs="宋体"/>
                <w:color w:val="000000"/>
                <w:kern w:val="0"/>
                <w:szCs w:val="21"/>
              </w:rPr>
            </w:pPr>
          </w:p>
        </w:tc>
      </w:tr>
      <w:tr w14:paraId="6CC50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0AFB6ADC">
            <w:pPr>
              <w:widowControl/>
              <w:spacing w:line="600" w:lineRule="exact"/>
              <w:jc w:val="center"/>
              <w:rPr>
                <w:rFonts w:hint="eastAsia" w:ascii="宋体" w:hAnsi="宋体" w:eastAsia="宋体" w:cs="宋体"/>
                <w:color w:val="000000"/>
                <w:kern w:val="0"/>
                <w:szCs w:val="21"/>
              </w:rPr>
            </w:pPr>
          </w:p>
        </w:tc>
        <w:tc>
          <w:tcPr>
            <w:tcW w:w="720" w:type="dxa"/>
            <w:vAlign w:val="center"/>
          </w:tcPr>
          <w:p w14:paraId="73F0777C">
            <w:pPr>
              <w:widowControl/>
              <w:spacing w:line="600" w:lineRule="exact"/>
              <w:jc w:val="center"/>
              <w:rPr>
                <w:rFonts w:hint="eastAsia" w:ascii="宋体" w:hAnsi="宋体" w:eastAsia="宋体" w:cs="宋体"/>
                <w:color w:val="000000"/>
                <w:kern w:val="0"/>
                <w:szCs w:val="21"/>
              </w:rPr>
            </w:pPr>
          </w:p>
        </w:tc>
        <w:tc>
          <w:tcPr>
            <w:tcW w:w="720" w:type="dxa"/>
            <w:vAlign w:val="center"/>
          </w:tcPr>
          <w:p w14:paraId="18EB44F9">
            <w:pPr>
              <w:widowControl/>
              <w:spacing w:line="600" w:lineRule="exact"/>
              <w:jc w:val="center"/>
              <w:rPr>
                <w:rFonts w:hint="eastAsia" w:ascii="宋体" w:hAnsi="宋体" w:eastAsia="宋体" w:cs="宋体"/>
                <w:color w:val="000000"/>
                <w:kern w:val="0"/>
                <w:szCs w:val="21"/>
              </w:rPr>
            </w:pPr>
          </w:p>
        </w:tc>
        <w:tc>
          <w:tcPr>
            <w:tcW w:w="540" w:type="dxa"/>
            <w:vAlign w:val="center"/>
          </w:tcPr>
          <w:p w14:paraId="23FCE82F">
            <w:pPr>
              <w:widowControl/>
              <w:spacing w:line="600" w:lineRule="exact"/>
              <w:jc w:val="center"/>
              <w:rPr>
                <w:rFonts w:hint="eastAsia" w:ascii="宋体" w:hAnsi="宋体" w:eastAsia="宋体" w:cs="宋体"/>
                <w:color w:val="000000"/>
                <w:kern w:val="0"/>
                <w:szCs w:val="21"/>
              </w:rPr>
            </w:pPr>
          </w:p>
        </w:tc>
        <w:tc>
          <w:tcPr>
            <w:tcW w:w="720" w:type="dxa"/>
            <w:vAlign w:val="center"/>
          </w:tcPr>
          <w:p w14:paraId="0B4CE038">
            <w:pPr>
              <w:widowControl/>
              <w:spacing w:line="600" w:lineRule="exact"/>
              <w:jc w:val="center"/>
              <w:rPr>
                <w:rFonts w:hint="eastAsia" w:ascii="宋体" w:hAnsi="宋体" w:eastAsia="宋体" w:cs="宋体"/>
                <w:color w:val="000000"/>
                <w:kern w:val="0"/>
                <w:szCs w:val="21"/>
              </w:rPr>
            </w:pPr>
          </w:p>
        </w:tc>
        <w:tc>
          <w:tcPr>
            <w:tcW w:w="1080" w:type="dxa"/>
            <w:vAlign w:val="center"/>
          </w:tcPr>
          <w:p w14:paraId="69CBEF49">
            <w:pPr>
              <w:widowControl/>
              <w:spacing w:line="600" w:lineRule="exact"/>
              <w:jc w:val="center"/>
              <w:rPr>
                <w:rFonts w:hint="eastAsia" w:ascii="宋体" w:hAnsi="宋体" w:eastAsia="宋体" w:cs="宋体"/>
                <w:color w:val="000000"/>
                <w:kern w:val="0"/>
                <w:szCs w:val="21"/>
              </w:rPr>
            </w:pPr>
          </w:p>
        </w:tc>
        <w:tc>
          <w:tcPr>
            <w:tcW w:w="3060" w:type="dxa"/>
            <w:vAlign w:val="center"/>
          </w:tcPr>
          <w:p w14:paraId="1B2CA9E6">
            <w:pPr>
              <w:widowControl/>
              <w:spacing w:line="600" w:lineRule="exact"/>
              <w:jc w:val="center"/>
              <w:rPr>
                <w:rFonts w:hint="eastAsia" w:ascii="宋体" w:hAnsi="宋体" w:eastAsia="宋体" w:cs="宋体"/>
                <w:color w:val="000000"/>
                <w:kern w:val="0"/>
                <w:szCs w:val="21"/>
              </w:rPr>
            </w:pPr>
          </w:p>
        </w:tc>
        <w:tc>
          <w:tcPr>
            <w:tcW w:w="1440" w:type="dxa"/>
            <w:vAlign w:val="center"/>
          </w:tcPr>
          <w:p w14:paraId="4AE2A6F1">
            <w:pPr>
              <w:widowControl/>
              <w:spacing w:line="600" w:lineRule="exact"/>
              <w:jc w:val="center"/>
              <w:rPr>
                <w:rFonts w:hint="eastAsia" w:ascii="宋体" w:hAnsi="宋体" w:eastAsia="宋体" w:cs="宋体"/>
                <w:color w:val="000000"/>
                <w:kern w:val="0"/>
                <w:szCs w:val="21"/>
              </w:rPr>
            </w:pPr>
          </w:p>
        </w:tc>
        <w:tc>
          <w:tcPr>
            <w:tcW w:w="1260" w:type="dxa"/>
            <w:vAlign w:val="center"/>
          </w:tcPr>
          <w:p w14:paraId="2B785C42">
            <w:pPr>
              <w:widowControl/>
              <w:spacing w:line="600" w:lineRule="exact"/>
              <w:jc w:val="center"/>
              <w:rPr>
                <w:rFonts w:hint="eastAsia" w:ascii="宋体" w:hAnsi="宋体" w:eastAsia="宋体" w:cs="宋体"/>
                <w:color w:val="000000"/>
                <w:kern w:val="0"/>
                <w:szCs w:val="21"/>
              </w:rPr>
            </w:pPr>
          </w:p>
        </w:tc>
        <w:tc>
          <w:tcPr>
            <w:tcW w:w="1080" w:type="dxa"/>
            <w:vAlign w:val="center"/>
          </w:tcPr>
          <w:p w14:paraId="0584FC1B">
            <w:pPr>
              <w:widowControl/>
              <w:spacing w:line="600" w:lineRule="exact"/>
              <w:jc w:val="center"/>
              <w:rPr>
                <w:rFonts w:hint="eastAsia" w:ascii="宋体" w:hAnsi="宋体" w:eastAsia="宋体" w:cs="宋体"/>
                <w:color w:val="000000"/>
                <w:kern w:val="0"/>
                <w:szCs w:val="21"/>
              </w:rPr>
            </w:pPr>
          </w:p>
        </w:tc>
      </w:tr>
      <w:tr w14:paraId="342BD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1EF31E47">
            <w:pPr>
              <w:widowControl/>
              <w:spacing w:line="600" w:lineRule="exact"/>
              <w:jc w:val="center"/>
              <w:rPr>
                <w:rFonts w:hint="eastAsia" w:ascii="宋体" w:hAnsi="宋体" w:eastAsia="宋体" w:cs="宋体"/>
                <w:color w:val="000000"/>
                <w:kern w:val="0"/>
                <w:szCs w:val="21"/>
              </w:rPr>
            </w:pPr>
          </w:p>
        </w:tc>
        <w:tc>
          <w:tcPr>
            <w:tcW w:w="720" w:type="dxa"/>
            <w:vAlign w:val="center"/>
          </w:tcPr>
          <w:p w14:paraId="72C26158">
            <w:pPr>
              <w:widowControl/>
              <w:spacing w:line="600" w:lineRule="exact"/>
              <w:jc w:val="center"/>
              <w:rPr>
                <w:rFonts w:hint="eastAsia" w:ascii="宋体" w:hAnsi="宋体" w:eastAsia="宋体" w:cs="宋体"/>
                <w:color w:val="000000"/>
                <w:kern w:val="0"/>
                <w:szCs w:val="21"/>
              </w:rPr>
            </w:pPr>
          </w:p>
        </w:tc>
        <w:tc>
          <w:tcPr>
            <w:tcW w:w="720" w:type="dxa"/>
            <w:vAlign w:val="center"/>
          </w:tcPr>
          <w:p w14:paraId="683EE6EB">
            <w:pPr>
              <w:widowControl/>
              <w:spacing w:line="600" w:lineRule="exact"/>
              <w:jc w:val="center"/>
              <w:rPr>
                <w:rFonts w:hint="eastAsia" w:ascii="宋体" w:hAnsi="宋体" w:eastAsia="宋体" w:cs="宋体"/>
                <w:color w:val="000000"/>
                <w:kern w:val="0"/>
                <w:szCs w:val="21"/>
              </w:rPr>
            </w:pPr>
          </w:p>
        </w:tc>
        <w:tc>
          <w:tcPr>
            <w:tcW w:w="540" w:type="dxa"/>
            <w:vAlign w:val="center"/>
          </w:tcPr>
          <w:p w14:paraId="0780180B">
            <w:pPr>
              <w:widowControl/>
              <w:spacing w:line="600" w:lineRule="exact"/>
              <w:jc w:val="center"/>
              <w:rPr>
                <w:rFonts w:hint="eastAsia" w:ascii="宋体" w:hAnsi="宋体" w:eastAsia="宋体" w:cs="宋体"/>
                <w:color w:val="000000"/>
                <w:kern w:val="0"/>
                <w:szCs w:val="21"/>
              </w:rPr>
            </w:pPr>
          </w:p>
        </w:tc>
        <w:tc>
          <w:tcPr>
            <w:tcW w:w="720" w:type="dxa"/>
            <w:vAlign w:val="center"/>
          </w:tcPr>
          <w:p w14:paraId="1C7C892E">
            <w:pPr>
              <w:widowControl/>
              <w:spacing w:line="600" w:lineRule="exact"/>
              <w:jc w:val="center"/>
              <w:rPr>
                <w:rFonts w:hint="eastAsia" w:ascii="宋体" w:hAnsi="宋体" w:eastAsia="宋体" w:cs="宋体"/>
                <w:color w:val="000000"/>
                <w:kern w:val="0"/>
                <w:szCs w:val="21"/>
              </w:rPr>
            </w:pPr>
          </w:p>
        </w:tc>
        <w:tc>
          <w:tcPr>
            <w:tcW w:w="1080" w:type="dxa"/>
            <w:vAlign w:val="center"/>
          </w:tcPr>
          <w:p w14:paraId="20995E33">
            <w:pPr>
              <w:widowControl/>
              <w:spacing w:line="600" w:lineRule="exact"/>
              <w:jc w:val="center"/>
              <w:rPr>
                <w:rFonts w:hint="eastAsia" w:ascii="宋体" w:hAnsi="宋体" w:eastAsia="宋体" w:cs="宋体"/>
                <w:color w:val="000000"/>
                <w:kern w:val="0"/>
                <w:szCs w:val="21"/>
              </w:rPr>
            </w:pPr>
          </w:p>
        </w:tc>
        <w:tc>
          <w:tcPr>
            <w:tcW w:w="3060" w:type="dxa"/>
            <w:vAlign w:val="center"/>
          </w:tcPr>
          <w:p w14:paraId="2BEA0F60">
            <w:pPr>
              <w:widowControl/>
              <w:spacing w:line="600" w:lineRule="exact"/>
              <w:jc w:val="center"/>
              <w:rPr>
                <w:rFonts w:hint="eastAsia" w:ascii="宋体" w:hAnsi="宋体" w:eastAsia="宋体" w:cs="宋体"/>
                <w:color w:val="000000"/>
                <w:kern w:val="0"/>
                <w:szCs w:val="21"/>
              </w:rPr>
            </w:pPr>
          </w:p>
        </w:tc>
        <w:tc>
          <w:tcPr>
            <w:tcW w:w="1440" w:type="dxa"/>
            <w:vAlign w:val="center"/>
          </w:tcPr>
          <w:p w14:paraId="6A4439F7">
            <w:pPr>
              <w:widowControl/>
              <w:spacing w:line="600" w:lineRule="exact"/>
              <w:jc w:val="center"/>
              <w:rPr>
                <w:rFonts w:hint="eastAsia" w:ascii="宋体" w:hAnsi="宋体" w:eastAsia="宋体" w:cs="宋体"/>
                <w:color w:val="000000"/>
                <w:kern w:val="0"/>
                <w:szCs w:val="21"/>
              </w:rPr>
            </w:pPr>
          </w:p>
        </w:tc>
        <w:tc>
          <w:tcPr>
            <w:tcW w:w="1260" w:type="dxa"/>
            <w:vAlign w:val="center"/>
          </w:tcPr>
          <w:p w14:paraId="59EFD7FC">
            <w:pPr>
              <w:widowControl/>
              <w:spacing w:line="600" w:lineRule="exact"/>
              <w:jc w:val="center"/>
              <w:rPr>
                <w:rFonts w:hint="eastAsia" w:ascii="宋体" w:hAnsi="宋体" w:eastAsia="宋体" w:cs="宋体"/>
                <w:color w:val="000000"/>
                <w:kern w:val="0"/>
                <w:szCs w:val="21"/>
              </w:rPr>
            </w:pPr>
          </w:p>
        </w:tc>
        <w:tc>
          <w:tcPr>
            <w:tcW w:w="1080" w:type="dxa"/>
            <w:vAlign w:val="center"/>
          </w:tcPr>
          <w:p w14:paraId="4C00A417">
            <w:pPr>
              <w:widowControl/>
              <w:spacing w:line="600" w:lineRule="exact"/>
              <w:jc w:val="center"/>
              <w:rPr>
                <w:rFonts w:hint="eastAsia" w:ascii="宋体" w:hAnsi="宋体" w:eastAsia="宋体" w:cs="宋体"/>
                <w:color w:val="000000"/>
                <w:kern w:val="0"/>
                <w:szCs w:val="21"/>
              </w:rPr>
            </w:pPr>
          </w:p>
        </w:tc>
      </w:tr>
      <w:tr w14:paraId="79B98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0516E787">
            <w:pPr>
              <w:widowControl/>
              <w:spacing w:line="600" w:lineRule="exact"/>
              <w:jc w:val="center"/>
              <w:rPr>
                <w:rFonts w:hint="eastAsia" w:ascii="宋体" w:hAnsi="宋体" w:eastAsia="宋体" w:cs="宋体"/>
                <w:color w:val="000000"/>
                <w:kern w:val="0"/>
                <w:szCs w:val="21"/>
              </w:rPr>
            </w:pPr>
          </w:p>
        </w:tc>
        <w:tc>
          <w:tcPr>
            <w:tcW w:w="720" w:type="dxa"/>
            <w:vAlign w:val="center"/>
          </w:tcPr>
          <w:p w14:paraId="0A7E55B8">
            <w:pPr>
              <w:widowControl/>
              <w:spacing w:line="600" w:lineRule="exact"/>
              <w:jc w:val="center"/>
              <w:rPr>
                <w:rFonts w:hint="eastAsia" w:ascii="宋体" w:hAnsi="宋体" w:eastAsia="宋体" w:cs="宋体"/>
                <w:color w:val="000000"/>
                <w:kern w:val="0"/>
                <w:szCs w:val="21"/>
              </w:rPr>
            </w:pPr>
          </w:p>
        </w:tc>
        <w:tc>
          <w:tcPr>
            <w:tcW w:w="720" w:type="dxa"/>
            <w:vAlign w:val="center"/>
          </w:tcPr>
          <w:p w14:paraId="75EB0224">
            <w:pPr>
              <w:widowControl/>
              <w:spacing w:line="600" w:lineRule="exact"/>
              <w:jc w:val="center"/>
              <w:rPr>
                <w:rFonts w:hint="eastAsia" w:ascii="宋体" w:hAnsi="宋体" w:eastAsia="宋体" w:cs="宋体"/>
                <w:color w:val="000000"/>
                <w:kern w:val="0"/>
                <w:szCs w:val="21"/>
              </w:rPr>
            </w:pPr>
          </w:p>
        </w:tc>
        <w:tc>
          <w:tcPr>
            <w:tcW w:w="540" w:type="dxa"/>
            <w:vAlign w:val="center"/>
          </w:tcPr>
          <w:p w14:paraId="4F7042C2">
            <w:pPr>
              <w:widowControl/>
              <w:spacing w:line="600" w:lineRule="exact"/>
              <w:jc w:val="center"/>
              <w:rPr>
                <w:rFonts w:hint="eastAsia" w:ascii="宋体" w:hAnsi="宋体" w:eastAsia="宋体" w:cs="宋体"/>
                <w:color w:val="000000"/>
                <w:kern w:val="0"/>
                <w:szCs w:val="21"/>
              </w:rPr>
            </w:pPr>
          </w:p>
        </w:tc>
        <w:tc>
          <w:tcPr>
            <w:tcW w:w="720" w:type="dxa"/>
            <w:vAlign w:val="center"/>
          </w:tcPr>
          <w:p w14:paraId="7CA9F4A1">
            <w:pPr>
              <w:widowControl/>
              <w:spacing w:line="600" w:lineRule="exact"/>
              <w:jc w:val="center"/>
              <w:rPr>
                <w:rFonts w:hint="eastAsia" w:ascii="宋体" w:hAnsi="宋体" w:eastAsia="宋体" w:cs="宋体"/>
                <w:color w:val="000000"/>
                <w:kern w:val="0"/>
                <w:szCs w:val="21"/>
              </w:rPr>
            </w:pPr>
          </w:p>
        </w:tc>
        <w:tc>
          <w:tcPr>
            <w:tcW w:w="1080" w:type="dxa"/>
            <w:vAlign w:val="center"/>
          </w:tcPr>
          <w:p w14:paraId="6AB892AF">
            <w:pPr>
              <w:widowControl/>
              <w:spacing w:line="600" w:lineRule="exact"/>
              <w:jc w:val="center"/>
              <w:rPr>
                <w:rFonts w:hint="eastAsia" w:ascii="宋体" w:hAnsi="宋体" w:eastAsia="宋体" w:cs="宋体"/>
                <w:color w:val="000000"/>
                <w:kern w:val="0"/>
                <w:szCs w:val="21"/>
              </w:rPr>
            </w:pPr>
          </w:p>
        </w:tc>
        <w:tc>
          <w:tcPr>
            <w:tcW w:w="3060" w:type="dxa"/>
            <w:vAlign w:val="center"/>
          </w:tcPr>
          <w:p w14:paraId="396EE7E0">
            <w:pPr>
              <w:widowControl/>
              <w:spacing w:line="600" w:lineRule="exact"/>
              <w:jc w:val="center"/>
              <w:rPr>
                <w:rFonts w:hint="eastAsia" w:ascii="宋体" w:hAnsi="宋体" w:eastAsia="宋体" w:cs="宋体"/>
                <w:color w:val="000000"/>
                <w:kern w:val="0"/>
                <w:szCs w:val="21"/>
              </w:rPr>
            </w:pPr>
          </w:p>
        </w:tc>
        <w:tc>
          <w:tcPr>
            <w:tcW w:w="1440" w:type="dxa"/>
            <w:vAlign w:val="center"/>
          </w:tcPr>
          <w:p w14:paraId="78B6D025">
            <w:pPr>
              <w:widowControl/>
              <w:spacing w:line="600" w:lineRule="exact"/>
              <w:jc w:val="center"/>
              <w:rPr>
                <w:rFonts w:hint="eastAsia" w:ascii="宋体" w:hAnsi="宋体" w:eastAsia="宋体" w:cs="宋体"/>
                <w:color w:val="000000"/>
                <w:kern w:val="0"/>
                <w:szCs w:val="21"/>
              </w:rPr>
            </w:pPr>
          </w:p>
        </w:tc>
        <w:tc>
          <w:tcPr>
            <w:tcW w:w="1260" w:type="dxa"/>
            <w:vAlign w:val="center"/>
          </w:tcPr>
          <w:p w14:paraId="4A22414E">
            <w:pPr>
              <w:widowControl/>
              <w:spacing w:line="600" w:lineRule="exact"/>
              <w:jc w:val="center"/>
              <w:rPr>
                <w:rFonts w:hint="eastAsia" w:ascii="宋体" w:hAnsi="宋体" w:eastAsia="宋体" w:cs="宋体"/>
                <w:color w:val="000000"/>
                <w:kern w:val="0"/>
                <w:szCs w:val="21"/>
              </w:rPr>
            </w:pPr>
          </w:p>
        </w:tc>
        <w:tc>
          <w:tcPr>
            <w:tcW w:w="1080" w:type="dxa"/>
            <w:vAlign w:val="center"/>
          </w:tcPr>
          <w:p w14:paraId="6AA66CCE">
            <w:pPr>
              <w:widowControl/>
              <w:spacing w:line="600" w:lineRule="exact"/>
              <w:jc w:val="center"/>
              <w:rPr>
                <w:rFonts w:hint="eastAsia" w:ascii="宋体" w:hAnsi="宋体" w:eastAsia="宋体" w:cs="宋体"/>
                <w:color w:val="000000"/>
                <w:kern w:val="0"/>
                <w:szCs w:val="21"/>
              </w:rPr>
            </w:pPr>
          </w:p>
        </w:tc>
      </w:tr>
      <w:tr w14:paraId="41029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3B2CBAC2">
            <w:pPr>
              <w:widowControl/>
              <w:spacing w:line="600" w:lineRule="exact"/>
              <w:jc w:val="center"/>
              <w:rPr>
                <w:rFonts w:hint="eastAsia" w:ascii="宋体" w:hAnsi="宋体" w:eastAsia="宋体" w:cs="宋体"/>
                <w:color w:val="000000"/>
                <w:kern w:val="0"/>
                <w:szCs w:val="21"/>
              </w:rPr>
            </w:pPr>
          </w:p>
        </w:tc>
        <w:tc>
          <w:tcPr>
            <w:tcW w:w="720" w:type="dxa"/>
            <w:vAlign w:val="center"/>
          </w:tcPr>
          <w:p w14:paraId="3EA99881">
            <w:pPr>
              <w:widowControl/>
              <w:spacing w:line="600" w:lineRule="exact"/>
              <w:jc w:val="center"/>
              <w:rPr>
                <w:rFonts w:hint="eastAsia" w:ascii="宋体" w:hAnsi="宋体" w:eastAsia="宋体" w:cs="宋体"/>
                <w:color w:val="000000"/>
                <w:kern w:val="0"/>
                <w:szCs w:val="21"/>
              </w:rPr>
            </w:pPr>
          </w:p>
        </w:tc>
        <w:tc>
          <w:tcPr>
            <w:tcW w:w="720" w:type="dxa"/>
            <w:vAlign w:val="center"/>
          </w:tcPr>
          <w:p w14:paraId="49EED49D">
            <w:pPr>
              <w:widowControl/>
              <w:spacing w:line="600" w:lineRule="exact"/>
              <w:jc w:val="center"/>
              <w:rPr>
                <w:rFonts w:hint="eastAsia" w:ascii="宋体" w:hAnsi="宋体" w:eastAsia="宋体" w:cs="宋体"/>
                <w:color w:val="000000"/>
                <w:kern w:val="0"/>
                <w:szCs w:val="21"/>
              </w:rPr>
            </w:pPr>
          </w:p>
        </w:tc>
        <w:tc>
          <w:tcPr>
            <w:tcW w:w="540" w:type="dxa"/>
            <w:vAlign w:val="center"/>
          </w:tcPr>
          <w:p w14:paraId="1F04C233">
            <w:pPr>
              <w:widowControl/>
              <w:spacing w:line="600" w:lineRule="exact"/>
              <w:jc w:val="center"/>
              <w:rPr>
                <w:rFonts w:hint="eastAsia" w:ascii="宋体" w:hAnsi="宋体" w:eastAsia="宋体" w:cs="宋体"/>
                <w:color w:val="000000"/>
                <w:kern w:val="0"/>
                <w:szCs w:val="21"/>
              </w:rPr>
            </w:pPr>
          </w:p>
        </w:tc>
        <w:tc>
          <w:tcPr>
            <w:tcW w:w="720" w:type="dxa"/>
            <w:vAlign w:val="center"/>
          </w:tcPr>
          <w:p w14:paraId="1312D0CC">
            <w:pPr>
              <w:widowControl/>
              <w:spacing w:line="600" w:lineRule="exact"/>
              <w:jc w:val="center"/>
              <w:rPr>
                <w:rFonts w:hint="eastAsia" w:ascii="宋体" w:hAnsi="宋体" w:eastAsia="宋体" w:cs="宋体"/>
                <w:color w:val="000000"/>
                <w:kern w:val="0"/>
                <w:szCs w:val="21"/>
              </w:rPr>
            </w:pPr>
          </w:p>
        </w:tc>
        <w:tc>
          <w:tcPr>
            <w:tcW w:w="1080" w:type="dxa"/>
            <w:vAlign w:val="center"/>
          </w:tcPr>
          <w:p w14:paraId="01FB4D61">
            <w:pPr>
              <w:widowControl/>
              <w:spacing w:line="600" w:lineRule="exact"/>
              <w:jc w:val="center"/>
              <w:rPr>
                <w:rFonts w:hint="eastAsia" w:ascii="宋体" w:hAnsi="宋体" w:eastAsia="宋体" w:cs="宋体"/>
                <w:color w:val="000000"/>
                <w:kern w:val="0"/>
                <w:szCs w:val="21"/>
              </w:rPr>
            </w:pPr>
          </w:p>
        </w:tc>
        <w:tc>
          <w:tcPr>
            <w:tcW w:w="3060" w:type="dxa"/>
            <w:vAlign w:val="center"/>
          </w:tcPr>
          <w:p w14:paraId="2953E32D">
            <w:pPr>
              <w:widowControl/>
              <w:spacing w:line="600" w:lineRule="exact"/>
              <w:jc w:val="center"/>
              <w:rPr>
                <w:rFonts w:hint="eastAsia" w:ascii="宋体" w:hAnsi="宋体" w:eastAsia="宋体" w:cs="宋体"/>
                <w:color w:val="000000"/>
                <w:kern w:val="0"/>
                <w:szCs w:val="21"/>
              </w:rPr>
            </w:pPr>
          </w:p>
        </w:tc>
        <w:tc>
          <w:tcPr>
            <w:tcW w:w="1440" w:type="dxa"/>
            <w:vAlign w:val="center"/>
          </w:tcPr>
          <w:p w14:paraId="3003F61E">
            <w:pPr>
              <w:widowControl/>
              <w:spacing w:line="600" w:lineRule="exact"/>
              <w:jc w:val="center"/>
              <w:rPr>
                <w:rFonts w:hint="eastAsia" w:ascii="宋体" w:hAnsi="宋体" w:eastAsia="宋体" w:cs="宋体"/>
                <w:color w:val="000000"/>
                <w:kern w:val="0"/>
                <w:szCs w:val="21"/>
              </w:rPr>
            </w:pPr>
          </w:p>
        </w:tc>
        <w:tc>
          <w:tcPr>
            <w:tcW w:w="1260" w:type="dxa"/>
            <w:vAlign w:val="center"/>
          </w:tcPr>
          <w:p w14:paraId="0B3DFFEB">
            <w:pPr>
              <w:widowControl/>
              <w:spacing w:line="600" w:lineRule="exact"/>
              <w:jc w:val="center"/>
              <w:rPr>
                <w:rFonts w:hint="eastAsia" w:ascii="宋体" w:hAnsi="宋体" w:eastAsia="宋体" w:cs="宋体"/>
                <w:color w:val="000000"/>
                <w:kern w:val="0"/>
                <w:szCs w:val="21"/>
              </w:rPr>
            </w:pPr>
          </w:p>
        </w:tc>
        <w:tc>
          <w:tcPr>
            <w:tcW w:w="1080" w:type="dxa"/>
            <w:vAlign w:val="center"/>
          </w:tcPr>
          <w:p w14:paraId="6C3CD02A">
            <w:pPr>
              <w:widowControl/>
              <w:spacing w:line="600" w:lineRule="exact"/>
              <w:jc w:val="center"/>
              <w:rPr>
                <w:rFonts w:hint="eastAsia" w:ascii="宋体" w:hAnsi="宋体" w:eastAsia="宋体" w:cs="宋体"/>
                <w:color w:val="000000"/>
                <w:kern w:val="0"/>
                <w:szCs w:val="21"/>
              </w:rPr>
            </w:pPr>
          </w:p>
        </w:tc>
      </w:tr>
      <w:tr w14:paraId="1CA22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771877B1">
            <w:pPr>
              <w:widowControl/>
              <w:spacing w:line="600" w:lineRule="exact"/>
              <w:jc w:val="center"/>
              <w:rPr>
                <w:rFonts w:hint="eastAsia" w:ascii="宋体" w:hAnsi="宋体" w:eastAsia="宋体" w:cs="宋体"/>
                <w:color w:val="000000"/>
                <w:kern w:val="0"/>
                <w:szCs w:val="21"/>
              </w:rPr>
            </w:pPr>
          </w:p>
        </w:tc>
        <w:tc>
          <w:tcPr>
            <w:tcW w:w="720" w:type="dxa"/>
            <w:vAlign w:val="center"/>
          </w:tcPr>
          <w:p w14:paraId="5E112638">
            <w:pPr>
              <w:widowControl/>
              <w:spacing w:line="600" w:lineRule="exact"/>
              <w:jc w:val="center"/>
              <w:rPr>
                <w:rFonts w:hint="eastAsia" w:ascii="宋体" w:hAnsi="宋体" w:eastAsia="宋体" w:cs="宋体"/>
                <w:color w:val="000000"/>
                <w:kern w:val="0"/>
                <w:szCs w:val="21"/>
              </w:rPr>
            </w:pPr>
          </w:p>
        </w:tc>
        <w:tc>
          <w:tcPr>
            <w:tcW w:w="720" w:type="dxa"/>
            <w:vAlign w:val="center"/>
          </w:tcPr>
          <w:p w14:paraId="52AAE1F2">
            <w:pPr>
              <w:widowControl/>
              <w:spacing w:line="600" w:lineRule="exact"/>
              <w:jc w:val="center"/>
              <w:rPr>
                <w:rFonts w:hint="eastAsia" w:ascii="宋体" w:hAnsi="宋体" w:eastAsia="宋体" w:cs="宋体"/>
                <w:color w:val="000000"/>
                <w:kern w:val="0"/>
                <w:szCs w:val="21"/>
              </w:rPr>
            </w:pPr>
          </w:p>
        </w:tc>
        <w:tc>
          <w:tcPr>
            <w:tcW w:w="540" w:type="dxa"/>
            <w:vAlign w:val="center"/>
          </w:tcPr>
          <w:p w14:paraId="717B7630">
            <w:pPr>
              <w:widowControl/>
              <w:spacing w:line="600" w:lineRule="exact"/>
              <w:jc w:val="center"/>
              <w:rPr>
                <w:rFonts w:hint="eastAsia" w:ascii="宋体" w:hAnsi="宋体" w:eastAsia="宋体" w:cs="宋体"/>
                <w:color w:val="000000"/>
                <w:kern w:val="0"/>
                <w:szCs w:val="21"/>
              </w:rPr>
            </w:pPr>
          </w:p>
        </w:tc>
        <w:tc>
          <w:tcPr>
            <w:tcW w:w="720" w:type="dxa"/>
            <w:vAlign w:val="center"/>
          </w:tcPr>
          <w:p w14:paraId="50667ABB">
            <w:pPr>
              <w:widowControl/>
              <w:spacing w:line="600" w:lineRule="exact"/>
              <w:jc w:val="center"/>
              <w:rPr>
                <w:rFonts w:hint="eastAsia" w:ascii="宋体" w:hAnsi="宋体" w:eastAsia="宋体" w:cs="宋体"/>
                <w:color w:val="000000"/>
                <w:kern w:val="0"/>
                <w:szCs w:val="21"/>
              </w:rPr>
            </w:pPr>
          </w:p>
        </w:tc>
        <w:tc>
          <w:tcPr>
            <w:tcW w:w="1080" w:type="dxa"/>
            <w:vAlign w:val="center"/>
          </w:tcPr>
          <w:p w14:paraId="2042EFEF">
            <w:pPr>
              <w:widowControl/>
              <w:spacing w:line="600" w:lineRule="exact"/>
              <w:jc w:val="center"/>
              <w:rPr>
                <w:rFonts w:hint="eastAsia" w:ascii="宋体" w:hAnsi="宋体" w:eastAsia="宋体" w:cs="宋体"/>
                <w:color w:val="000000"/>
                <w:kern w:val="0"/>
                <w:szCs w:val="21"/>
              </w:rPr>
            </w:pPr>
          </w:p>
        </w:tc>
        <w:tc>
          <w:tcPr>
            <w:tcW w:w="3060" w:type="dxa"/>
            <w:vAlign w:val="center"/>
          </w:tcPr>
          <w:p w14:paraId="65A9FD7A">
            <w:pPr>
              <w:widowControl/>
              <w:spacing w:line="600" w:lineRule="exact"/>
              <w:jc w:val="center"/>
              <w:rPr>
                <w:rFonts w:hint="eastAsia" w:ascii="宋体" w:hAnsi="宋体" w:eastAsia="宋体" w:cs="宋体"/>
                <w:color w:val="000000"/>
                <w:kern w:val="0"/>
                <w:szCs w:val="21"/>
              </w:rPr>
            </w:pPr>
          </w:p>
        </w:tc>
        <w:tc>
          <w:tcPr>
            <w:tcW w:w="1440" w:type="dxa"/>
            <w:vAlign w:val="center"/>
          </w:tcPr>
          <w:p w14:paraId="689CC998">
            <w:pPr>
              <w:widowControl/>
              <w:spacing w:line="600" w:lineRule="exact"/>
              <w:jc w:val="center"/>
              <w:rPr>
                <w:rFonts w:hint="eastAsia" w:ascii="宋体" w:hAnsi="宋体" w:eastAsia="宋体" w:cs="宋体"/>
                <w:color w:val="000000"/>
                <w:kern w:val="0"/>
                <w:szCs w:val="21"/>
              </w:rPr>
            </w:pPr>
          </w:p>
        </w:tc>
        <w:tc>
          <w:tcPr>
            <w:tcW w:w="1260" w:type="dxa"/>
            <w:vAlign w:val="center"/>
          </w:tcPr>
          <w:p w14:paraId="23C2980D">
            <w:pPr>
              <w:widowControl/>
              <w:spacing w:line="600" w:lineRule="exact"/>
              <w:jc w:val="center"/>
              <w:rPr>
                <w:rFonts w:hint="eastAsia" w:ascii="宋体" w:hAnsi="宋体" w:eastAsia="宋体" w:cs="宋体"/>
                <w:color w:val="000000"/>
                <w:kern w:val="0"/>
                <w:szCs w:val="21"/>
              </w:rPr>
            </w:pPr>
          </w:p>
        </w:tc>
        <w:tc>
          <w:tcPr>
            <w:tcW w:w="1080" w:type="dxa"/>
            <w:vAlign w:val="center"/>
          </w:tcPr>
          <w:p w14:paraId="0E57F320">
            <w:pPr>
              <w:widowControl/>
              <w:spacing w:line="600" w:lineRule="exact"/>
              <w:jc w:val="center"/>
              <w:rPr>
                <w:rFonts w:hint="eastAsia" w:ascii="宋体" w:hAnsi="宋体" w:eastAsia="宋体" w:cs="宋体"/>
                <w:color w:val="000000"/>
                <w:kern w:val="0"/>
                <w:szCs w:val="21"/>
              </w:rPr>
            </w:pPr>
          </w:p>
        </w:tc>
      </w:tr>
      <w:tr w14:paraId="39115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0962C071">
            <w:pPr>
              <w:widowControl/>
              <w:spacing w:line="600" w:lineRule="exact"/>
              <w:jc w:val="center"/>
              <w:rPr>
                <w:rFonts w:hint="eastAsia" w:ascii="宋体" w:hAnsi="宋体" w:eastAsia="宋体" w:cs="宋体"/>
                <w:color w:val="000000"/>
                <w:kern w:val="0"/>
                <w:szCs w:val="21"/>
              </w:rPr>
            </w:pPr>
          </w:p>
        </w:tc>
        <w:tc>
          <w:tcPr>
            <w:tcW w:w="720" w:type="dxa"/>
            <w:vAlign w:val="center"/>
          </w:tcPr>
          <w:p w14:paraId="57DC2804">
            <w:pPr>
              <w:widowControl/>
              <w:spacing w:line="600" w:lineRule="exact"/>
              <w:jc w:val="center"/>
              <w:rPr>
                <w:rFonts w:hint="eastAsia" w:ascii="宋体" w:hAnsi="宋体" w:eastAsia="宋体" w:cs="宋体"/>
                <w:color w:val="000000"/>
                <w:kern w:val="0"/>
                <w:szCs w:val="21"/>
              </w:rPr>
            </w:pPr>
          </w:p>
        </w:tc>
        <w:tc>
          <w:tcPr>
            <w:tcW w:w="720" w:type="dxa"/>
            <w:vAlign w:val="center"/>
          </w:tcPr>
          <w:p w14:paraId="4FCBFF8E">
            <w:pPr>
              <w:widowControl/>
              <w:spacing w:line="600" w:lineRule="exact"/>
              <w:jc w:val="center"/>
              <w:rPr>
                <w:rFonts w:hint="eastAsia" w:ascii="宋体" w:hAnsi="宋体" w:eastAsia="宋体" w:cs="宋体"/>
                <w:color w:val="000000"/>
                <w:kern w:val="0"/>
                <w:szCs w:val="21"/>
              </w:rPr>
            </w:pPr>
          </w:p>
        </w:tc>
        <w:tc>
          <w:tcPr>
            <w:tcW w:w="540" w:type="dxa"/>
            <w:vAlign w:val="center"/>
          </w:tcPr>
          <w:p w14:paraId="233CDD51">
            <w:pPr>
              <w:widowControl/>
              <w:spacing w:line="600" w:lineRule="exact"/>
              <w:jc w:val="center"/>
              <w:rPr>
                <w:rFonts w:hint="eastAsia" w:ascii="宋体" w:hAnsi="宋体" w:eastAsia="宋体" w:cs="宋体"/>
                <w:color w:val="000000"/>
                <w:kern w:val="0"/>
                <w:szCs w:val="21"/>
              </w:rPr>
            </w:pPr>
          </w:p>
        </w:tc>
        <w:tc>
          <w:tcPr>
            <w:tcW w:w="720" w:type="dxa"/>
            <w:vAlign w:val="center"/>
          </w:tcPr>
          <w:p w14:paraId="0C53AD42">
            <w:pPr>
              <w:widowControl/>
              <w:spacing w:line="600" w:lineRule="exact"/>
              <w:jc w:val="center"/>
              <w:rPr>
                <w:rFonts w:hint="eastAsia" w:ascii="宋体" w:hAnsi="宋体" w:eastAsia="宋体" w:cs="宋体"/>
                <w:color w:val="000000"/>
                <w:kern w:val="0"/>
                <w:szCs w:val="21"/>
              </w:rPr>
            </w:pPr>
          </w:p>
        </w:tc>
        <w:tc>
          <w:tcPr>
            <w:tcW w:w="1080" w:type="dxa"/>
            <w:vAlign w:val="center"/>
          </w:tcPr>
          <w:p w14:paraId="7F8F1851">
            <w:pPr>
              <w:widowControl/>
              <w:spacing w:line="600" w:lineRule="exact"/>
              <w:jc w:val="center"/>
              <w:rPr>
                <w:rFonts w:hint="eastAsia" w:ascii="宋体" w:hAnsi="宋体" w:eastAsia="宋体" w:cs="宋体"/>
                <w:color w:val="000000"/>
                <w:kern w:val="0"/>
                <w:szCs w:val="21"/>
              </w:rPr>
            </w:pPr>
          </w:p>
        </w:tc>
        <w:tc>
          <w:tcPr>
            <w:tcW w:w="3060" w:type="dxa"/>
            <w:vAlign w:val="center"/>
          </w:tcPr>
          <w:p w14:paraId="4F186C6D">
            <w:pPr>
              <w:widowControl/>
              <w:spacing w:line="600" w:lineRule="exact"/>
              <w:jc w:val="center"/>
              <w:rPr>
                <w:rFonts w:hint="eastAsia" w:ascii="宋体" w:hAnsi="宋体" w:eastAsia="宋体" w:cs="宋体"/>
                <w:color w:val="000000"/>
                <w:kern w:val="0"/>
                <w:szCs w:val="21"/>
              </w:rPr>
            </w:pPr>
          </w:p>
        </w:tc>
        <w:tc>
          <w:tcPr>
            <w:tcW w:w="1440" w:type="dxa"/>
            <w:vAlign w:val="center"/>
          </w:tcPr>
          <w:p w14:paraId="41835A1C">
            <w:pPr>
              <w:widowControl/>
              <w:spacing w:line="600" w:lineRule="exact"/>
              <w:jc w:val="center"/>
              <w:rPr>
                <w:rFonts w:hint="eastAsia" w:ascii="宋体" w:hAnsi="宋体" w:eastAsia="宋体" w:cs="宋体"/>
                <w:color w:val="000000"/>
                <w:kern w:val="0"/>
                <w:szCs w:val="21"/>
              </w:rPr>
            </w:pPr>
          </w:p>
        </w:tc>
        <w:tc>
          <w:tcPr>
            <w:tcW w:w="1260" w:type="dxa"/>
            <w:vAlign w:val="center"/>
          </w:tcPr>
          <w:p w14:paraId="199DF0E5">
            <w:pPr>
              <w:widowControl/>
              <w:spacing w:line="600" w:lineRule="exact"/>
              <w:jc w:val="center"/>
              <w:rPr>
                <w:rFonts w:hint="eastAsia" w:ascii="宋体" w:hAnsi="宋体" w:eastAsia="宋体" w:cs="宋体"/>
                <w:color w:val="000000"/>
                <w:kern w:val="0"/>
                <w:szCs w:val="21"/>
              </w:rPr>
            </w:pPr>
          </w:p>
        </w:tc>
        <w:tc>
          <w:tcPr>
            <w:tcW w:w="1080" w:type="dxa"/>
            <w:vAlign w:val="center"/>
          </w:tcPr>
          <w:p w14:paraId="05868D31">
            <w:pPr>
              <w:widowControl/>
              <w:spacing w:line="600" w:lineRule="exact"/>
              <w:jc w:val="center"/>
              <w:rPr>
                <w:rFonts w:hint="eastAsia" w:ascii="宋体" w:hAnsi="宋体" w:eastAsia="宋体" w:cs="宋体"/>
                <w:color w:val="000000"/>
                <w:kern w:val="0"/>
                <w:szCs w:val="21"/>
              </w:rPr>
            </w:pPr>
          </w:p>
        </w:tc>
      </w:tr>
      <w:tr w14:paraId="0AAD6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2659CE99">
            <w:pPr>
              <w:widowControl/>
              <w:spacing w:line="600" w:lineRule="exact"/>
              <w:jc w:val="center"/>
              <w:rPr>
                <w:rFonts w:hint="eastAsia" w:ascii="宋体" w:hAnsi="宋体" w:eastAsia="宋体" w:cs="宋体"/>
                <w:color w:val="000000"/>
                <w:kern w:val="0"/>
                <w:szCs w:val="21"/>
              </w:rPr>
            </w:pPr>
          </w:p>
        </w:tc>
        <w:tc>
          <w:tcPr>
            <w:tcW w:w="720" w:type="dxa"/>
            <w:vAlign w:val="center"/>
          </w:tcPr>
          <w:p w14:paraId="671F7753">
            <w:pPr>
              <w:widowControl/>
              <w:spacing w:line="600" w:lineRule="exact"/>
              <w:jc w:val="center"/>
              <w:rPr>
                <w:rFonts w:hint="eastAsia" w:ascii="宋体" w:hAnsi="宋体" w:eastAsia="宋体" w:cs="宋体"/>
                <w:color w:val="000000"/>
                <w:kern w:val="0"/>
                <w:szCs w:val="21"/>
              </w:rPr>
            </w:pPr>
          </w:p>
        </w:tc>
        <w:tc>
          <w:tcPr>
            <w:tcW w:w="720" w:type="dxa"/>
            <w:vAlign w:val="center"/>
          </w:tcPr>
          <w:p w14:paraId="6EF34EF9">
            <w:pPr>
              <w:widowControl/>
              <w:spacing w:line="600" w:lineRule="exact"/>
              <w:jc w:val="center"/>
              <w:rPr>
                <w:rFonts w:hint="eastAsia" w:ascii="宋体" w:hAnsi="宋体" w:eastAsia="宋体" w:cs="宋体"/>
                <w:color w:val="000000"/>
                <w:kern w:val="0"/>
                <w:szCs w:val="21"/>
              </w:rPr>
            </w:pPr>
          </w:p>
        </w:tc>
        <w:tc>
          <w:tcPr>
            <w:tcW w:w="540" w:type="dxa"/>
            <w:vAlign w:val="center"/>
          </w:tcPr>
          <w:p w14:paraId="2527BF38">
            <w:pPr>
              <w:widowControl/>
              <w:spacing w:line="600" w:lineRule="exact"/>
              <w:jc w:val="center"/>
              <w:rPr>
                <w:rFonts w:hint="eastAsia" w:ascii="宋体" w:hAnsi="宋体" w:eastAsia="宋体" w:cs="宋体"/>
                <w:color w:val="000000"/>
                <w:kern w:val="0"/>
                <w:szCs w:val="21"/>
              </w:rPr>
            </w:pPr>
          </w:p>
        </w:tc>
        <w:tc>
          <w:tcPr>
            <w:tcW w:w="720" w:type="dxa"/>
            <w:vAlign w:val="center"/>
          </w:tcPr>
          <w:p w14:paraId="36D48292">
            <w:pPr>
              <w:widowControl/>
              <w:spacing w:line="600" w:lineRule="exact"/>
              <w:jc w:val="center"/>
              <w:rPr>
                <w:rFonts w:hint="eastAsia" w:ascii="宋体" w:hAnsi="宋体" w:eastAsia="宋体" w:cs="宋体"/>
                <w:color w:val="000000"/>
                <w:kern w:val="0"/>
                <w:szCs w:val="21"/>
              </w:rPr>
            </w:pPr>
          </w:p>
        </w:tc>
        <w:tc>
          <w:tcPr>
            <w:tcW w:w="1080" w:type="dxa"/>
            <w:vAlign w:val="center"/>
          </w:tcPr>
          <w:p w14:paraId="28531ACE">
            <w:pPr>
              <w:widowControl/>
              <w:spacing w:line="600" w:lineRule="exact"/>
              <w:jc w:val="center"/>
              <w:rPr>
                <w:rFonts w:hint="eastAsia" w:ascii="宋体" w:hAnsi="宋体" w:eastAsia="宋体" w:cs="宋体"/>
                <w:color w:val="000000"/>
                <w:kern w:val="0"/>
                <w:szCs w:val="21"/>
              </w:rPr>
            </w:pPr>
          </w:p>
        </w:tc>
        <w:tc>
          <w:tcPr>
            <w:tcW w:w="3060" w:type="dxa"/>
            <w:vAlign w:val="center"/>
          </w:tcPr>
          <w:p w14:paraId="579C21DA">
            <w:pPr>
              <w:widowControl/>
              <w:spacing w:line="600" w:lineRule="exact"/>
              <w:jc w:val="center"/>
              <w:rPr>
                <w:rFonts w:hint="eastAsia" w:ascii="宋体" w:hAnsi="宋体" w:eastAsia="宋体" w:cs="宋体"/>
                <w:color w:val="000000"/>
                <w:kern w:val="0"/>
                <w:szCs w:val="21"/>
              </w:rPr>
            </w:pPr>
          </w:p>
        </w:tc>
        <w:tc>
          <w:tcPr>
            <w:tcW w:w="1440" w:type="dxa"/>
            <w:vAlign w:val="center"/>
          </w:tcPr>
          <w:p w14:paraId="5FAA22BD">
            <w:pPr>
              <w:widowControl/>
              <w:spacing w:line="600" w:lineRule="exact"/>
              <w:jc w:val="center"/>
              <w:rPr>
                <w:rFonts w:hint="eastAsia" w:ascii="宋体" w:hAnsi="宋体" w:eastAsia="宋体" w:cs="宋体"/>
                <w:color w:val="000000"/>
                <w:kern w:val="0"/>
                <w:szCs w:val="21"/>
              </w:rPr>
            </w:pPr>
          </w:p>
        </w:tc>
        <w:tc>
          <w:tcPr>
            <w:tcW w:w="1260" w:type="dxa"/>
            <w:vAlign w:val="center"/>
          </w:tcPr>
          <w:p w14:paraId="6D3E9311">
            <w:pPr>
              <w:widowControl/>
              <w:spacing w:line="600" w:lineRule="exact"/>
              <w:jc w:val="center"/>
              <w:rPr>
                <w:rFonts w:hint="eastAsia" w:ascii="宋体" w:hAnsi="宋体" w:eastAsia="宋体" w:cs="宋体"/>
                <w:color w:val="000000"/>
                <w:kern w:val="0"/>
                <w:szCs w:val="21"/>
              </w:rPr>
            </w:pPr>
          </w:p>
        </w:tc>
        <w:tc>
          <w:tcPr>
            <w:tcW w:w="1080" w:type="dxa"/>
            <w:vAlign w:val="center"/>
          </w:tcPr>
          <w:p w14:paraId="408D57BC">
            <w:pPr>
              <w:widowControl/>
              <w:spacing w:line="600" w:lineRule="exact"/>
              <w:jc w:val="center"/>
              <w:rPr>
                <w:rFonts w:hint="eastAsia" w:ascii="宋体" w:hAnsi="宋体" w:eastAsia="宋体" w:cs="宋体"/>
                <w:color w:val="000000"/>
                <w:kern w:val="0"/>
                <w:szCs w:val="21"/>
              </w:rPr>
            </w:pPr>
          </w:p>
        </w:tc>
      </w:tr>
      <w:tr w14:paraId="66F51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1F362B64">
            <w:pPr>
              <w:widowControl/>
              <w:spacing w:line="600" w:lineRule="exact"/>
              <w:jc w:val="center"/>
              <w:rPr>
                <w:rFonts w:hint="eastAsia" w:ascii="宋体" w:hAnsi="宋体" w:eastAsia="宋体" w:cs="宋体"/>
                <w:color w:val="000000"/>
                <w:kern w:val="0"/>
                <w:szCs w:val="21"/>
              </w:rPr>
            </w:pPr>
          </w:p>
        </w:tc>
        <w:tc>
          <w:tcPr>
            <w:tcW w:w="720" w:type="dxa"/>
            <w:vAlign w:val="center"/>
          </w:tcPr>
          <w:p w14:paraId="07AC4E7B">
            <w:pPr>
              <w:widowControl/>
              <w:spacing w:line="600" w:lineRule="exact"/>
              <w:jc w:val="center"/>
              <w:rPr>
                <w:rFonts w:hint="eastAsia" w:ascii="宋体" w:hAnsi="宋体" w:eastAsia="宋体" w:cs="宋体"/>
                <w:color w:val="000000"/>
                <w:kern w:val="0"/>
                <w:szCs w:val="21"/>
              </w:rPr>
            </w:pPr>
          </w:p>
        </w:tc>
        <w:tc>
          <w:tcPr>
            <w:tcW w:w="720" w:type="dxa"/>
            <w:vAlign w:val="center"/>
          </w:tcPr>
          <w:p w14:paraId="0168F2B1">
            <w:pPr>
              <w:widowControl/>
              <w:spacing w:line="600" w:lineRule="exact"/>
              <w:jc w:val="center"/>
              <w:rPr>
                <w:rFonts w:hint="eastAsia" w:ascii="宋体" w:hAnsi="宋体" w:eastAsia="宋体" w:cs="宋体"/>
                <w:color w:val="000000"/>
                <w:kern w:val="0"/>
                <w:szCs w:val="21"/>
              </w:rPr>
            </w:pPr>
          </w:p>
        </w:tc>
        <w:tc>
          <w:tcPr>
            <w:tcW w:w="540" w:type="dxa"/>
            <w:vAlign w:val="center"/>
          </w:tcPr>
          <w:p w14:paraId="239A5257">
            <w:pPr>
              <w:widowControl/>
              <w:spacing w:line="600" w:lineRule="exact"/>
              <w:jc w:val="center"/>
              <w:rPr>
                <w:rFonts w:hint="eastAsia" w:ascii="宋体" w:hAnsi="宋体" w:eastAsia="宋体" w:cs="宋体"/>
                <w:color w:val="000000"/>
                <w:kern w:val="0"/>
                <w:szCs w:val="21"/>
              </w:rPr>
            </w:pPr>
          </w:p>
        </w:tc>
        <w:tc>
          <w:tcPr>
            <w:tcW w:w="720" w:type="dxa"/>
            <w:vAlign w:val="center"/>
          </w:tcPr>
          <w:p w14:paraId="1DEAC3D3">
            <w:pPr>
              <w:widowControl/>
              <w:spacing w:line="600" w:lineRule="exact"/>
              <w:jc w:val="center"/>
              <w:rPr>
                <w:rFonts w:hint="eastAsia" w:ascii="宋体" w:hAnsi="宋体" w:eastAsia="宋体" w:cs="宋体"/>
                <w:color w:val="000000"/>
                <w:kern w:val="0"/>
                <w:szCs w:val="21"/>
              </w:rPr>
            </w:pPr>
          </w:p>
        </w:tc>
        <w:tc>
          <w:tcPr>
            <w:tcW w:w="1080" w:type="dxa"/>
            <w:vAlign w:val="center"/>
          </w:tcPr>
          <w:p w14:paraId="2310F654">
            <w:pPr>
              <w:widowControl/>
              <w:spacing w:line="600" w:lineRule="exact"/>
              <w:jc w:val="center"/>
              <w:rPr>
                <w:rFonts w:hint="eastAsia" w:ascii="宋体" w:hAnsi="宋体" w:eastAsia="宋体" w:cs="宋体"/>
                <w:color w:val="000000"/>
                <w:kern w:val="0"/>
                <w:szCs w:val="21"/>
              </w:rPr>
            </w:pPr>
          </w:p>
        </w:tc>
        <w:tc>
          <w:tcPr>
            <w:tcW w:w="3060" w:type="dxa"/>
            <w:vAlign w:val="center"/>
          </w:tcPr>
          <w:p w14:paraId="7FEB5ADB">
            <w:pPr>
              <w:widowControl/>
              <w:spacing w:line="600" w:lineRule="exact"/>
              <w:jc w:val="center"/>
              <w:rPr>
                <w:rFonts w:hint="eastAsia" w:ascii="宋体" w:hAnsi="宋体" w:eastAsia="宋体" w:cs="宋体"/>
                <w:color w:val="000000"/>
                <w:kern w:val="0"/>
                <w:szCs w:val="21"/>
              </w:rPr>
            </w:pPr>
          </w:p>
        </w:tc>
        <w:tc>
          <w:tcPr>
            <w:tcW w:w="1440" w:type="dxa"/>
            <w:vAlign w:val="center"/>
          </w:tcPr>
          <w:p w14:paraId="019398BB">
            <w:pPr>
              <w:widowControl/>
              <w:spacing w:line="600" w:lineRule="exact"/>
              <w:jc w:val="center"/>
              <w:rPr>
                <w:rFonts w:hint="eastAsia" w:ascii="宋体" w:hAnsi="宋体" w:eastAsia="宋体" w:cs="宋体"/>
                <w:color w:val="000000"/>
                <w:kern w:val="0"/>
                <w:szCs w:val="21"/>
              </w:rPr>
            </w:pPr>
          </w:p>
        </w:tc>
        <w:tc>
          <w:tcPr>
            <w:tcW w:w="1260" w:type="dxa"/>
            <w:vAlign w:val="center"/>
          </w:tcPr>
          <w:p w14:paraId="0B7444B5">
            <w:pPr>
              <w:widowControl/>
              <w:spacing w:line="600" w:lineRule="exact"/>
              <w:jc w:val="center"/>
              <w:rPr>
                <w:rFonts w:hint="eastAsia" w:ascii="宋体" w:hAnsi="宋体" w:eastAsia="宋体" w:cs="宋体"/>
                <w:color w:val="000000"/>
                <w:kern w:val="0"/>
                <w:szCs w:val="21"/>
              </w:rPr>
            </w:pPr>
          </w:p>
        </w:tc>
        <w:tc>
          <w:tcPr>
            <w:tcW w:w="1080" w:type="dxa"/>
            <w:vAlign w:val="center"/>
          </w:tcPr>
          <w:p w14:paraId="531DD82F">
            <w:pPr>
              <w:widowControl/>
              <w:spacing w:line="600" w:lineRule="exact"/>
              <w:jc w:val="center"/>
              <w:rPr>
                <w:rFonts w:hint="eastAsia" w:ascii="宋体" w:hAnsi="宋体" w:eastAsia="宋体" w:cs="宋体"/>
                <w:color w:val="000000"/>
                <w:kern w:val="0"/>
                <w:szCs w:val="21"/>
              </w:rPr>
            </w:pPr>
          </w:p>
        </w:tc>
      </w:tr>
    </w:tbl>
    <w:p w14:paraId="41F9EFA6">
      <w:pPr>
        <w:spacing w:line="600" w:lineRule="exact"/>
        <w:rPr>
          <w:rFonts w:ascii="宋体" w:hAnsi="宋体" w:eastAsia="宋体" w:cs="宋体"/>
          <w:color w:val="000000"/>
          <w:szCs w:val="21"/>
        </w:rPr>
        <w:sectPr>
          <w:pgSz w:w="16838" w:h="11906" w:orient="landscape"/>
          <w:pgMar w:top="1418" w:right="1418" w:bottom="1531" w:left="1418" w:header="851" w:footer="992" w:gutter="0"/>
          <w:pgNumType w:start="88"/>
          <w:cols w:space="720" w:num="1"/>
          <w:docGrid w:linePitch="312" w:charSpace="0"/>
        </w:sectPr>
      </w:pPr>
    </w:p>
    <w:p w14:paraId="0A0B583A">
      <w:pPr>
        <w:widowControl/>
        <w:spacing w:line="600" w:lineRule="exact"/>
        <w:rPr>
          <w:rFonts w:hint="eastAsia" w:ascii="宋体" w:hAnsi="宋体" w:eastAsia="宋体" w:cs="宋体"/>
          <w:color w:val="000000"/>
          <w:kern w:val="0"/>
          <w:szCs w:val="21"/>
        </w:rPr>
      </w:pPr>
      <w:r>
        <w:rPr>
          <w:rFonts w:hint="eastAsia" w:ascii="宋体" w:hAnsi="宋体" w:eastAsia="宋体" w:cs="宋体"/>
          <w:color w:val="000000"/>
          <w:kern w:val="0"/>
          <w:szCs w:val="21"/>
        </w:rPr>
        <w:t>附件2：</w:t>
      </w:r>
    </w:p>
    <w:p w14:paraId="0D5E9C6D">
      <w:pPr>
        <w:widowControl/>
        <w:spacing w:line="600" w:lineRule="exact"/>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发包供应材料设备一览表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
        <w:gridCol w:w="2406"/>
        <w:gridCol w:w="712"/>
        <w:gridCol w:w="426"/>
        <w:gridCol w:w="619"/>
        <w:gridCol w:w="632"/>
        <w:gridCol w:w="886"/>
        <w:gridCol w:w="886"/>
        <w:gridCol w:w="886"/>
        <w:gridCol w:w="886"/>
      </w:tblGrid>
      <w:tr w14:paraId="7F3F7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3787DBE4">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序号</w:t>
            </w:r>
          </w:p>
        </w:tc>
        <w:tc>
          <w:tcPr>
            <w:tcW w:w="2406" w:type="dxa"/>
            <w:vAlign w:val="center"/>
          </w:tcPr>
          <w:p w14:paraId="192D49E2">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材料设备品种</w:t>
            </w:r>
          </w:p>
        </w:tc>
        <w:tc>
          <w:tcPr>
            <w:tcW w:w="712" w:type="dxa"/>
            <w:vAlign w:val="center"/>
          </w:tcPr>
          <w:p w14:paraId="301155BA">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规格</w:t>
            </w:r>
          </w:p>
          <w:p w14:paraId="3891F79E">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型号</w:t>
            </w:r>
          </w:p>
        </w:tc>
        <w:tc>
          <w:tcPr>
            <w:tcW w:w="426" w:type="dxa"/>
            <w:vAlign w:val="center"/>
          </w:tcPr>
          <w:p w14:paraId="055F5EC4">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单位</w:t>
            </w:r>
          </w:p>
        </w:tc>
        <w:tc>
          <w:tcPr>
            <w:tcW w:w="619" w:type="dxa"/>
            <w:vAlign w:val="center"/>
          </w:tcPr>
          <w:p w14:paraId="23D68158">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数量</w:t>
            </w:r>
          </w:p>
        </w:tc>
        <w:tc>
          <w:tcPr>
            <w:tcW w:w="632" w:type="dxa"/>
            <w:vAlign w:val="center"/>
          </w:tcPr>
          <w:p w14:paraId="10F0FF49">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单价</w:t>
            </w:r>
          </w:p>
        </w:tc>
        <w:tc>
          <w:tcPr>
            <w:tcW w:w="886" w:type="dxa"/>
            <w:vAlign w:val="center"/>
          </w:tcPr>
          <w:p w14:paraId="761E7BBD">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质量</w:t>
            </w:r>
          </w:p>
          <w:p w14:paraId="0123F6D1">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等级</w:t>
            </w:r>
          </w:p>
        </w:tc>
        <w:tc>
          <w:tcPr>
            <w:tcW w:w="886" w:type="dxa"/>
            <w:vAlign w:val="center"/>
          </w:tcPr>
          <w:p w14:paraId="38E4F063">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供应</w:t>
            </w:r>
          </w:p>
          <w:p w14:paraId="0FF7DA6C">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时间</w:t>
            </w:r>
          </w:p>
        </w:tc>
        <w:tc>
          <w:tcPr>
            <w:tcW w:w="886" w:type="dxa"/>
            <w:vAlign w:val="center"/>
          </w:tcPr>
          <w:p w14:paraId="0ECB67A7">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送达</w:t>
            </w:r>
          </w:p>
          <w:p w14:paraId="01B56D8E">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地点</w:t>
            </w:r>
          </w:p>
        </w:tc>
        <w:tc>
          <w:tcPr>
            <w:tcW w:w="886" w:type="dxa"/>
            <w:vAlign w:val="center"/>
          </w:tcPr>
          <w:p w14:paraId="1DD34109">
            <w:pPr>
              <w:widowControl/>
              <w:spacing w:line="6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备注</w:t>
            </w:r>
          </w:p>
        </w:tc>
      </w:tr>
      <w:tr w14:paraId="782AC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78B10CD9">
            <w:pPr>
              <w:widowControl/>
              <w:spacing w:line="600" w:lineRule="exact"/>
              <w:jc w:val="right"/>
              <w:rPr>
                <w:rFonts w:hint="eastAsia" w:ascii="宋体" w:hAnsi="宋体" w:eastAsia="宋体" w:cs="宋体"/>
                <w:color w:val="000000"/>
                <w:kern w:val="0"/>
                <w:szCs w:val="21"/>
              </w:rPr>
            </w:pPr>
          </w:p>
        </w:tc>
        <w:tc>
          <w:tcPr>
            <w:tcW w:w="2406" w:type="dxa"/>
            <w:vAlign w:val="center"/>
          </w:tcPr>
          <w:p w14:paraId="2DD454D3">
            <w:pPr>
              <w:widowControl/>
              <w:spacing w:line="600" w:lineRule="exact"/>
              <w:jc w:val="center"/>
              <w:rPr>
                <w:rFonts w:hint="eastAsia" w:ascii="宋体" w:hAnsi="宋体" w:eastAsia="宋体" w:cs="宋体"/>
                <w:color w:val="000000"/>
                <w:kern w:val="0"/>
                <w:szCs w:val="21"/>
              </w:rPr>
            </w:pPr>
          </w:p>
        </w:tc>
        <w:tc>
          <w:tcPr>
            <w:tcW w:w="712" w:type="dxa"/>
            <w:vAlign w:val="center"/>
          </w:tcPr>
          <w:p w14:paraId="157A554D">
            <w:pPr>
              <w:widowControl/>
              <w:spacing w:line="600" w:lineRule="exact"/>
              <w:jc w:val="center"/>
              <w:rPr>
                <w:rFonts w:hint="eastAsia" w:ascii="宋体" w:hAnsi="宋体" w:eastAsia="宋体" w:cs="宋体"/>
                <w:color w:val="000000"/>
                <w:kern w:val="0"/>
                <w:szCs w:val="21"/>
              </w:rPr>
            </w:pPr>
          </w:p>
        </w:tc>
        <w:tc>
          <w:tcPr>
            <w:tcW w:w="426" w:type="dxa"/>
            <w:vAlign w:val="center"/>
          </w:tcPr>
          <w:p w14:paraId="5A5AB844">
            <w:pPr>
              <w:widowControl/>
              <w:spacing w:line="600" w:lineRule="exact"/>
              <w:jc w:val="center"/>
              <w:rPr>
                <w:rFonts w:hint="eastAsia" w:ascii="宋体" w:hAnsi="宋体" w:eastAsia="宋体" w:cs="宋体"/>
                <w:color w:val="000000"/>
                <w:kern w:val="0"/>
                <w:szCs w:val="21"/>
              </w:rPr>
            </w:pPr>
          </w:p>
        </w:tc>
        <w:tc>
          <w:tcPr>
            <w:tcW w:w="619" w:type="dxa"/>
            <w:vAlign w:val="center"/>
          </w:tcPr>
          <w:p w14:paraId="76117F82">
            <w:pPr>
              <w:widowControl/>
              <w:spacing w:line="600" w:lineRule="exact"/>
              <w:jc w:val="center"/>
              <w:rPr>
                <w:rFonts w:hint="eastAsia" w:ascii="宋体" w:hAnsi="宋体" w:eastAsia="宋体" w:cs="宋体"/>
                <w:color w:val="000000"/>
                <w:kern w:val="0"/>
                <w:szCs w:val="21"/>
              </w:rPr>
            </w:pPr>
          </w:p>
        </w:tc>
        <w:tc>
          <w:tcPr>
            <w:tcW w:w="632" w:type="dxa"/>
            <w:vAlign w:val="center"/>
          </w:tcPr>
          <w:p w14:paraId="2CD507F9">
            <w:pPr>
              <w:widowControl/>
              <w:spacing w:line="600" w:lineRule="exact"/>
              <w:jc w:val="center"/>
              <w:rPr>
                <w:rFonts w:hint="eastAsia" w:ascii="宋体" w:hAnsi="宋体" w:eastAsia="宋体" w:cs="宋体"/>
                <w:color w:val="000000"/>
                <w:kern w:val="0"/>
                <w:szCs w:val="21"/>
              </w:rPr>
            </w:pPr>
          </w:p>
        </w:tc>
        <w:tc>
          <w:tcPr>
            <w:tcW w:w="886" w:type="dxa"/>
            <w:vAlign w:val="center"/>
          </w:tcPr>
          <w:p w14:paraId="7A6B2236">
            <w:pPr>
              <w:widowControl/>
              <w:spacing w:line="600" w:lineRule="exact"/>
              <w:jc w:val="center"/>
              <w:rPr>
                <w:rFonts w:hint="eastAsia" w:ascii="宋体" w:hAnsi="宋体" w:eastAsia="宋体" w:cs="宋体"/>
                <w:color w:val="000000"/>
                <w:kern w:val="0"/>
                <w:szCs w:val="21"/>
              </w:rPr>
            </w:pPr>
          </w:p>
        </w:tc>
        <w:tc>
          <w:tcPr>
            <w:tcW w:w="886" w:type="dxa"/>
            <w:vAlign w:val="center"/>
          </w:tcPr>
          <w:p w14:paraId="43FDC400">
            <w:pPr>
              <w:widowControl/>
              <w:spacing w:line="600" w:lineRule="exact"/>
              <w:jc w:val="center"/>
              <w:rPr>
                <w:rFonts w:hint="eastAsia" w:ascii="宋体" w:hAnsi="宋体" w:eastAsia="宋体" w:cs="宋体"/>
                <w:color w:val="000000"/>
                <w:kern w:val="0"/>
                <w:szCs w:val="21"/>
              </w:rPr>
            </w:pPr>
          </w:p>
        </w:tc>
        <w:tc>
          <w:tcPr>
            <w:tcW w:w="886" w:type="dxa"/>
            <w:vAlign w:val="center"/>
          </w:tcPr>
          <w:p w14:paraId="78014B31">
            <w:pPr>
              <w:widowControl/>
              <w:spacing w:line="600" w:lineRule="exact"/>
              <w:jc w:val="center"/>
              <w:rPr>
                <w:rFonts w:hint="eastAsia" w:ascii="宋体" w:hAnsi="宋体" w:eastAsia="宋体" w:cs="宋体"/>
                <w:color w:val="000000"/>
                <w:kern w:val="0"/>
                <w:szCs w:val="21"/>
              </w:rPr>
            </w:pPr>
          </w:p>
        </w:tc>
        <w:tc>
          <w:tcPr>
            <w:tcW w:w="886" w:type="dxa"/>
            <w:vAlign w:val="center"/>
          </w:tcPr>
          <w:p w14:paraId="023425AD">
            <w:pPr>
              <w:widowControl/>
              <w:spacing w:line="600" w:lineRule="exact"/>
              <w:jc w:val="center"/>
              <w:rPr>
                <w:rFonts w:hint="eastAsia" w:ascii="宋体" w:hAnsi="宋体" w:eastAsia="宋体" w:cs="宋体"/>
                <w:color w:val="000000"/>
                <w:kern w:val="0"/>
                <w:szCs w:val="21"/>
              </w:rPr>
            </w:pPr>
          </w:p>
        </w:tc>
      </w:tr>
      <w:tr w14:paraId="1F08F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13ED9191">
            <w:pPr>
              <w:widowControl/>
              <w:spacing w:line="600" w:lineRule="exact"/>
              <w:jc w:val="right"/>
              <w:rPr>
                <w:rFonts w:hint="eastAsia" w:ascii="宋体" w:hAnsi="宋体" w:eastAsia="宋体" w:cs="宋体"/>
                <w:color w:val="000000"/>
                <w:kern w:val="0"/>
                <w:szCs w:val="21"/>
              </w:rPr>
            </w:pPr>
          </w:p>
        </w:tc>
        <w:tc>
          <w:tcPr>
            <w:tcW w:w="2406" w:type="dxa"/>
            <w:vAlign w:val="center"/>
          </w:tcPr>
          <w:p w14:paraId="497F02FD">
            <w:pPr>
              <w:widowControl/>
              <w:spacing w:line="600" w:lineRule="exact"/>
              <w:jc w:val="center"/>
              <w:rPr>
                <w:rFonts w:hint="eastAsia" w:ascii="宋体" w:hAnsi="宋体" w:eastAsia="宋体" w:cs="宋体"/>
                <w:color w:val="000000"/>
                <w:kern w:val="0"/>
                <w:szCs w:val="21"/>
              </w:rPr>
            </w:pPr>
          </w:p>
        </w:tc>
        <w:tc>
          <w:tcPr>
            <w:tcW w:w="712" w:type="dxa"/>
            <w:vAlign w:val="center"/>
          </w:tcPr>
          <w:p w14:paraId="7FF904BF">
            <w:pPr>
              <w:widowControl/>
              <w:spacing w:line="600" w:lineRule="exact"/>
              <w:jc w:val="center"/>
              <w:rPr>
                <w:rFonts w:hint="eastAsia" w:ascii="宋体" w:hAnsi="宋体" w:eastAsia="宋体" w:cs="宋体"/>
                <w:color w:val="000000"/>
                <w:kern w:val="0"/>
                <w:szCs w:val="21"/>
              </w:rPr>
            </w:pPr>
          </w:p>
        </w:tc>
        <w:tc>
          <w:tcPr>
            <w:tcW w:w="426" w:type="dxa"/>
            <w:vAlign w:val="center"/>
          </w:tcPr>
          <w:p w14:paraId="61C50B34">
            <w:pPr>
              <w:widowControl/>
              <w:spacing w:line="600" w:lineRule="exact"/>
              <w:jc w:val="center"/>
              <w:rPr>
                <w:rFonts w:hint="eastAsia" w:ascii="宋体" w:hAnsi="宋体" w:eastAsia="宋体" w:cs="宋体"/>
                <w:color w:val="000000"/>
                <w:kern w:val="0"/>
                <w:szCs w:val="21"/>
              </w:rPr>
            </w:pPr>
          </w:p>
        </w:tc>
        <w:tc>
          <w:tcPr>
            <w:tcW w:w="619" w:type="dxa"/>
            <w:vAlign w:val="center"/>
          </w:tcPr>
          <w:p w14:paraId="503D9FA4">
            <w:pPr>
              <w:widowControl/>
              <w:spacing w:line="600" w:lineRule="exact"/>
              <w:jc w:val="center"/>
              <w:rPr>
                <w:rFonts w:hint="eastAsia" w:ascii="宋体" w:hAnsi="宋体" w:eastAsia="宋体" w:cs="宋体"/>
                <w:color w:val="000000"/>
                <w:kern w:val="0"/>
                <w:szCs w:val="21"/>
              </w:rPr>
            </w:pPr>
          </w:p>
        </w:tc>
        <w:tc>
          <w:tcPr>
            <w:tcW w:w="632" w:type="dxa"/>
            <w:vAlign w:val="center"/>
          </w:tcPr>
          <w:p w14:paraId="2A3095B0">
            <w:pPr>
              <w:widowControl/>
              <w:spacing w:line="600" w:lineRule="exact"/>
              <w:jc w:val="center"/>
              <w:rPr>
                <w:rFonts w:hint="eastAsia" w:ascii="宋体" w:hAnsi="宋体" w:eastAsia="宋体" w:cs="宋体"/>
                <w:color w:val="000000"/>
                <w:kern w:val="0"/>
                <w:szCs w:val="21"/>
              </w:rPr>
            </w:pPr>
          </w:p>
        </w:tc>
        <w:tc>
          <w:tcPr>
            <w:tcW w:w="886" w:type="dxa"/>
            <w:vAlign w:val="center"/>
          </w:tcPr>
          <w:p w14:paraId="7CE825D6">
            <w:pPr>
              <w:widowControl/>
              <w:spacing w:line="600" w:lineRule="exact"/>
              <w:jc w:val="center"/>
              <w:rPr>
                <w:rFonts w:hint="eastAsia" w:ascii="宋体" w:hAnsi="宋体" w:eastAsia="宋体" w:cs="宋体"/>
                <w:color w:val="000000"/>
                <w:kern w:val="0"/>
                <w:szCs w:val="21"/>
              </w:rPr>
            </w:pPr>
          </w:p>
        </w:tc>
        <w:tc>
          <w:tcPr>
            <w:tcW w:w="886" w:type="dxa"/>
            <w:vAlign w:val="center"/>
          </w:tcPr>
          <w:p w14:paraId="5FEFA54A">
            <w:pPr>
              <w:widowControl/>
              <w:spacing w:line="600" w:lineRule="exact"/>
              <w:jc w:val="center"/>
              <w:rPr>
                <w:rFonts w:hint="eastAsia" w:ascii="宋体" w:hAnsi="宋体" w:eastAsia="宋体" w:cs="宋体"/>
                <w:color w:val="000000"/>
                <w:kern w:val="0"/>
                <w:szCs w:val="21"/>
              </w:rPr>
            </w:pPr>
          </w:p>
        </w:tc>
        <w:tc>
          <w:tcPr>
            <w:tcW w:w="886" w:type="dxa"/>
            <w:vAlign w:val="center"/>
          </w:tcPr>
          <w:p w14:paraId="60107C15">
            <w:pPr>
              <w:widowControl/>
              <w:spacing w:line="600" w:lineRule="exact"/>
              <w:jc w:val="center"/>
              <w:rPr>
                <w:rFonts w:hint="eastAsia" w:ascii="宋体" w:hAnsi="宋体" w:eastAsia="宋体" w:cs="宋体"/>
                <w:color w:val="000000"/>
                <w:kern w:val="0"/>
                <w:szCs w:val="21"/>
              </w:rPr>
            </w:pPr>
          </w:p>
        </w:tc>
        <w:tc>
          <w:tcPr>
            <w:tcW w:w="886" w:type="dxa"/>
            <w:vAlign w:val="center"/>
          </w:tcPr>
          <w:p w14:paraId="500D9BAD">
            <w:pPr>
              <w:widowControl/>
              <w:spacing w:line="600" w:lineRule="exact"/>
              <w:jc w:val="center"/>
              <w:rPr>
                <w:rFonts w:hint="eastAsia" w:ascii="宋体" w:hAnsi="宋体" w:eastAsia="宋体" w:cs="宋体"/>
                <w:color w:val="000000"/>
                <w:kern w:val="0"/>
                <w:szCs w:val="21"/>
              </w:rPr>
            </w:pPr>
          </w:p>
        </w:tc>
      </w:tr>
      <w:tr w14:paraId="0D139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6BB828EA">
            <w:pPr>
              <w:widowControl/>
              <w:spacing w:line="600" w:lineRule="exact"/>
              <w:jc w:val="right"/>
              <w:rPr>
                <w:rFonts w:hint="eastAsia" w:ascii="宋体" w:hAnsi="宋体" w:eastAsia="宋体" w:cs="宋体"/>
                <w:color w:val="000000"/>
                <w:kern w:val="0"/>
                <w:szCs w:val="21"/>
              </w:rPr>
            </w:pPr>
          </w:p>
        </w:tc>
        <w:tc>
          <w:tcPr>
            <w:tcW w:w="2406" w:type="dxa"/>
            <w:vAlign w:val="center"/>
          </w:tcPr>
          <w:p w14:paraId="25E23C07">
            <w:pPr>
              <w:widowControl/>
              <w:spacing w:line="600" w:lineRule="exact"/>
              <w:jc w:val="center"/>
              <w:rPr>
                <w:rFonts w:hint="eastAsia" w:ascii="宋体" w:hAnsi="宋体" w:eastAsia="宋体" w:cs="宋体"/>
                <w:color w:val="000000"/>
                <w:kern w:val="0"/>
                <w:szCs w:val="21"/>
              </w:rPr>
            </w:pPr>
          </w:p>
        </w:tc>
        <w:tc>
          <w:tcPr>
            <w:tcW w:w="712" w:type="dxa"/>
            <w:vAlign w:val="center"/>
          </w:tcPr>
          <w:p w14:paraId="151A6F6D">
            <w:pPr>
              <w:widowControl/>
              <w:spacing w:line="600" w:lineRule="exact"/>
              <w:jc w:val="center"/>
              <w:rPr>
                <w:rFonts w:hint="eastAsia" w:ascii="宋体" w:hAnsi="宋体" w:eastAsia="宋体" w:cs="宋体"/>
                <w:color w:val="000000"/>
                <w:kern w:val="0"/>
                <w:szCs w:val="21"/>
              </w:rPr>
            </w:pPr>
          </w:p>
        </w:tc>
        <w:tc>
          <w:tcPr>
            <w:tcW w:w="426" w:type="dxa"/>
            <w:vAlign w:val="center"/>
          </w:tcPr>
          <w:p w14:paraId="19C2CF06">
            <w:pPr>
              <w:widowControl/>
              <w:spacing w:line="600" w:lineRule="exact"/>
              <w:jc w:val="center"/>
              <w:rPr>
                <w:rFonts w:hint="eastAsia" w:ascii="宋体" w:hAnsi="宋体" w:eastAsia="宋体" w:cs="宋体"/>
                <w:color w:val="000000"/>
                <w:kern w:val="0"/>
                <w:szCs w:val="21"/>
              </w:rPr>
            </w:pPr>
          </w:p>
        </w:tc>
        <w:tc>
          <w:tcPr>
            <w:tcW w:w="619" w:type="dxa"/>
            <w:vAlign w:val="center"/>
          </w:tcPr>
          <w:p w14:paraId="44868281">
            <w:pPr>
              <w:widowControl/>
              <w:spacing w:line="600" w:lineRule="exact"/>
              <w:jc w:val="center"/>
              <w:rPr>
                <w:rFonts w:hint="eastAsia" w:ascii="宋体" w:hAnsi="宋体" w:eastAsia="宋体" w:cs="宋体"/>
                <w:color w:val="000000"/>
                <w:kern w:val="0"/>
                <w:szCs w:val="21"/>
              </w:rPr>
            </w:pPr>
          </w:p>
        </w:tc>
        <w:tc>
          <w:tcPr>
            <w:tcW w:w="632" w:type="dxa"/>
            <w:vAlign w:val="center"/>
          </w:tcPr>
          <w:p w14:paraId="5A90E495">
            <w:pPr>
              <w:widowControl/>
              <w:spacing w:line="600" w:lineRule="exact"/>
              <w:jc w:val="center"/>
              <w:rPr>
                <w:rFonts w:hint="eastAsia" w:ascii="宋体" w:hAnsi="宋体" w:eastAsia="宋体" w:cs="宋体"/>
                <w:color w:val="000000"/>
                <w:kern w:val="0"/>
                <w:szCs w:val="21"/>
              </w:rPr>
            </w:pPr>
          </w:p>
        </w:tc>
        <w:tc>
          <w:tcPr>
            <w:tcW w:w="886" w:type="dxa"/>
            <w:vAlign w:val="center"/>
          </w:tcPr>
          <w:p w14:paraId="6838E38C">
            <w:pPr>
              <w:widowControl/>
              <w:spacing w:line="600" w:lineRule="exact"/>
              <w:jc w:val="center"/>
              <w:rPr>
                <w:rFonts w:hint="eastAsia" w:ascii="宋体" w:hAnsi="宋体" w:eastAsia="宋体" w:cs="宋体"/>
                <w:color w:val="000000"/>
                <w:kern w:val="0"/>
                <w:szCs w:val="21"/>
              </w:rPr>
            </w:pPr>
          </w:p>
        </w:tc>
        <w:tc>
          <w:tcPr>
            <w:tcW w:w="886" w:type="dxa"/>
            <w:vAlign w:val="center"/>
          </w:tcPr>
          <w:p w14:paraId="26C8DF0D">
            <w:pPr>
              <w:widowControl/>
              <w:spacing w:line="600" w:lineRule="exact"/>
              <w:jc w:val="center"/>
              <w:rPr>
                <w:rFonts w:hint="eastAsia" w:ascii="宋体" w:hAnsi="宋体" w:eastAsia="宋体" w:cs="宋体"/>
                <w:color w:val="000000"/>
                <w:kern w:val="0"/>
                <w:szCs w:val="21"/>
              </w:rPr>
            </w:pPr>
          </w:p>
        </w:tc>
        <w:tc>
          <w:tcPr>
            <w:tcW w:w="886" w:type="dxa"/>
            <w:vAlign w:val="center"/>
          </w:tcPr>
          <w:p w14:paraId="19EE9930">
            <w:pPr>
              <w:widowControl/>
              <w:spacing w:line="600" w:lineRule="exact"/>
              <w:jc w:val="center"/>
              <w:rPr>
                <w:rFonts w:hint="eastAsia" w:ascii="宋体" w:hAnsi="宋体" w:eastAsia="宋体" w:cs="宋体"/>
                <w:color w:val="000000"/>
                <w:kern w:val="0"/>
                <w:szCs w:val="21"/>
              </w:rPr>
            </w:pPr>
          </w:p>
        </w:tc>
        <w:tc>
          <w:tcPr>
            <w:tcW w:w="886" w:type="dxa"/>
            <w:vAlign w:val="center"/>
          </w:tcPr>
          <w:p w14:paraId="6120891C">
            <w:pPr>
              <w:widowControl/>
              <w:spacing w:line="600" w:lineRule="exact"/>
              <w:jc w:val="center"/>
              <w:rPr>
                <w:rFonts w:hint="eastAsia" w:ascii="宋体" w:hAnsi="宋体" w:eastAsia="宋体" w:cs="宋体"/>
                <w:color w:val="000000"/>
                <w:kern w:val="0"/>
                <w:szCs w:val="21"/>
              </w:rPr>
            </w:pPr>
          </w:p>
        </w:tc>
      </w:tr>
      <w:tr w14:paraId="7B4FB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52B016A3">
            <w:pPr>
              <w:widowControl/>
              <w:spacing w:line="600" w:lineRule="exact"/>
              <w:jc w:val="right"/>
              <w:rPr>
                <w:rFonts w:hint="eastAsia" w:ascii="宋体" w:hAnsi="宋体" w:eastAsia="宋体" w:cs="宋体"/>
                <w:color w:val="000000"/>
                <w:kern w:val="0"/>
                <w:szCs w:val="21"/>
              </w:rPr>
            </w:pPr>
          </w:p>
        </w:tc>
        <w:tc>
          <w:tcPr>
            <w:tcW w:w="2406" w:type="dxa"/>
            <w:vAlign w:val="center"/>
          </w:tcPr>
          <w:p w14:paraId="0E61D9CB">
            <w:pPr>
              <w:widowControl/>
              <w:spacing w:line="600" w:lineRule="exact"/>
              <w:jc w:val="center"/>
              <w:rPr>
                <w:rFonts w:hint="eastAsia" w:ascii="宋体" w:hAnsi="宋体" w:eastAsia="宋体" w:cs="宋体"/>
                <w:color w:val="000000"/>
                <w:kern w:val="0"/>
                <w:szCs w:val="21"/>
              </w:rPr>
            </w:pPr>
          </w:p>
        </w:tc>
        <w:tc>
          <w:tcPr>
            <w:tcW w:w="712" w:type="dxa"/>
            <w:vAlign w:val="center"/>
          </w:tcPr>
          <w:p w14:paraId="6E9A3A92">
            <w:pPr>
              <w:widowControl/>
              <w:spacing w:line="600" w:lineRule="exact"/>
              <w:jc w:val="center"/>
              <w:rPr>
                <w:rFonts w:hint="eastAsia" w:ascii="宋体" w:hAnsi="宋体" w:eastAsia="宋体" w:cs="宋体"/>
                <w:color w:val="000000"/>
                <w:kern w:val="0"/>
                <w:szCs w:val="21"/>
              </w:rPr>
            </w:pPr>
          </w:p>
        </w:tc>
        <w:tc>
          <w:tcPr>
            <w:tcW w:w="426" w:type="dxa"/>
            <w:vAlign w:val="center"/>
          </w:tcPr>
          <w:p w14:paraId="444B5DAD">
            <w:pPr>
              <w:widowControl/>
              <w:spacing w:line="600" w:lineRule="exact"/>
              <w:jc w:val="center"/>
              <w:rPr>
                <w:rFonts w:hint="eastAsia" w:ascii="宋体" w:hAnsi="宋体" w:eastAsia="宋体" w:cs="宋体"/>
                <w:color w:val="000000"/>
                <w:kern w:val="0"/>
                <w:szCs w:val="21"/>
              </w:rPr>
            </w:pPr>
          </w:p>
        </w:tc>
        <w:tc>
          <w:tcPr>
            <w:tcW w:w="619" w:type="dxa"/>
            <w:vAlign w:val="center"/>
          </w:tcPr>
          <w:p w14:paraId="1B2FD46A">
            <w:pPr>
              <w:widowControl/>
              <w:spacing w:line="600" w:lineRule="exact"/>
              <w:jc w:val="center"/>
              <w:rPr>
                <w:rFonts w:hint="eastAsia" w:ascii="宋体" w:hAnsi="宋体" w:eastAsia="宋体" w:cs="宋体"/>
                <w:color w:val="000000"/>
                <w:kern w:val="0"/>
                <w:szCs w:val="21"/>
              </w:rPr>
            </w:pPr>
          </w:p>
        </w:tc>
        <w:tc>
          <w:tcPr>
            <w:tcW w:w="632" w:type="dxa"/>
            <w:vAlign w:val="center"/>
          </w:tcPr>
          <w:p w14:paraId="14F161FD">
            <w:pPr>
              <w:widowControl/>
              <w:spacing w:line="600" w:lineRule="exact"/>
              <w:jc w:val="center"/>
              <w:rPr>
                <w:rFonts w:hint="eastAsia" w:ascii="宋体" w:hAnsi="宋体" w:eastAsia="宋体" w:cs="宋体"/>
                <w:color w:val="000000"/>
                <w:kern w:val="0"/>
                <w:szCs w:val="21"/>
              </w:rPr>
            </w:pPr>
          </w:p>
        </w:tc>
        <w:tc>
          <w:tcPr>
            <w:tcW w:w="886" w:type="dxa"/>
            <w:vAlign w:val="center"/>
          </w:tcPr>
          <w:p w14:paraId="66DA8266">
            <w:pPr>
              <w:widowControl/>
              <w:spacing w:line="600" w:lineRule="exact"/>
              <w:jc w:val="center"/>
              <w:rPr>
                <w:rFonts w:hint="eastAsia" w:ascii="宋体" w:hAnsi="宋体" w:eastAsia="宋体" w:cs="宋体"/>
                <w:color w:val="000000"/>
                <w:kern w:val="0"/>
                <w:szCs w:val="21"/>
              </w:rPr>
            </w:pPr>
          </w:p>
        </w:tc>
        <w:tc>
          <w:tcPr>
            <w:tcW w:w="886" w:type="dxa"/>
            <w:vAlign w:val="center"/>
          </w:tcPr>
          <w:p w14:paraId="52FB60E1">
            <w:pPr>
              <w:widowControl/>
              <w:spacing w:line="600" w:lineRule="exact"/>
              <w:jc w:val="center"/>
              <w:rPr>
                <w:rFonts w:hint="eastAsia" w:ascii="宋体" w:hAnsi="宋体" w:eastAsia="宋体" w:cs="宋体"/>
                <w:color w:val="000000"/>
                <w:kern w:val="0"/>
                <w:szCs w:val="21"/>
              </w:rPr>
            </w:pPr>
          </w:p>
        </w:tc>
        <w:tc>
          <w:tcPr>
            <w:tcW w:w="886" w:type="dxa"/>
            <w:vAlign w:val="center"/>
          </w:tcPr>
          <w:p w14:paraId="1C72DD40">
            <w:pPr>
              <w:widowControl/>
              <w:spacing w:line="600" w:lineRule="exact"/>
              <w:jc w:val="center"/>
              <w:rPr>
                <w:rFonts w:hint="eastAsia" w:ascii="宋体" w:hAnsi="宋体" w:eastAsia="宋体" w:cs="宋体"/>
                <w:color w:val="000000"/>
                <w:kern w:val="0"/>
                <w:szCs w:val="21"/>
              </w:rPr>
            </w:pPr>
          </w:p>
        </w:tc>
        <w:tc>
          <w:tcPr>
            <w:tcW w:w="886" w:type="dxa"/>
            <w:vAlign w:val="center"/>
          </w:tcPr>
          <w:p w14:paraId="2B7F2937">
            <w:pPr>
              <w:widowControl/>
              <w:spacing w:line="600" w:lineRule="exact"/>
              <w:jc w:val="center"/>
              <w:rPr>
                <w:rFonts w:hint="eastAsia" w:ascii="宋体" w:hAnsi="宋体" w:eastAsia="宋体" w:cs="宋体"/>
                <w:color w:val="000000"/>
                <w:kern w:val="0"/>
                <w:szCs w:val="21"/>
              </w:rPr>
            </w:pPr>
          </w:p>
        </w:tc>
      </w:tr>
      <w:tr w14:paraId="3737F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35D8643A">
            <w:pPr>
              <w:widowControl/>
              <w:spacing w:line="600" w:lineRule="exact"/>
              <w:jc w:val="right"/>
              <w:rPr>
                <w:rFonts w:hint="eastAsia" w:ascii="宋体" w:hAnsi="宋体" w:eastAsia="宋体" w:cs="宋体"/>
                <w:color w:val="000000"/>
                <w:kern w:val="0"/>
                <w:szCs w:val="21"/>
              </w:rPr>
            </w:pPr>
          </w:p>
        </w:tc>
        <w:tc>
          <w:tcPr>
            <w:tcW w:w="2406" w:type="dxa"/>
            <w:vAlign w:val="center"/>
          </w:tcPr>
          <w:p w14:paraId="2849827A">
            <w:pPr>
              <w:widowControl/>
              <w:spacing w:line="600" w:lineRule="exact"/>
              <w:jc w:val="center"/>
              <w:rPr>
                <w:rFonts w:hint="eastAsia" w:ascii="宋体" w:hAnsi="宋体" w:eastAsia="宋体" w:cs="宋体"/>
                <w:color w:val="000000"/>
                <w:kern w:val="0"/>
                <w:szCs w:val="21"/>
              </w:rPr>
            </w:pPr>
          </w:p>
        </w:tc>
        <w:tc>
          <w:tcPr>
            <w:tcW w:w="712" w:type="dxa"/>
            <w:vAlign w:val="center"/>
          </w:tcPr>
          <w:p w14:paraId="1FBB0A19">
            <w:pPr>
              <w:widowControl/>
              <w:spacing w:line="600" w:lineRule="exact"/>
              <w:jc w:val="center"/>
              <w:rPr>
                <w:rFonts w:hint="eastAsia" w:ascii="宋体" w:hAnsi="宋体" w:eastAsia="宋体" w:cs="宋体"/>
                <w:color w:val="000000"/>
                <w:kern w:val="0"/>
                <w:szCs w:val="21"/>
              </w:rPr>
            </w:pPr>
          </w:p>
        </w:tc>
        <w:tc>
          <w:tcPr>
            <w:tcW w:w="426" w:type="dxa"/>
            <w:vAlign w:val="center"/>
          </w:tcPr>
          <w:p w14:paraId="3AF07793">
            <w:pPr>
              <w:widowControl/>
              <w:spacing w:line="600" w:lineRule="exact"/>
              <w:jc w:val="center"/>
              <w:rPr>
                <w:rFonts w:hint="eastAsia" w:ascii="宋体" w:hAnsi="宋体" w:eastAsia="宋体" w:cs="宋体"/>
                <w:color w:val="000000"/>
                <w:kern w:val="0"/>
                <w:szCs w:val="21"/>
              </w:rPr>
            </w:pPr>
          </w:p>
        </w:tc>
        <w:tc>
          <w:tcPr>
            <w:tcW w:w="619" w:type="dxa"/>
            <w:vAlign w:val="center"/>
          </w:tcPr>
          <w:p w14:paraId="1D51A67E">
            <w:pPr>
              <w:widowControl/>
              <w:spacing w:line="600" w:lineRule="exact"/>
              <w:jc w:val="center"/>
              <w:rPr>
                <w:rFonts w:hint="eastAsia" w:ascii="宋体" w:hAnsi="宋体" w:eastAsia="宋体" w:cs="宋体"/>
                <w:color w:val="000000"/>
                <w:kern w:val="0"/>
                <w:szCs w:val="21"/>
              </w:rPr>
            </w:pPr>
          </w:p>
        </w:tc>
        <w:tc>
          <w:tcPr>
            <w:tcW w:w="632" w:type="dxa"/>
            <w:vAlign w:val="center"/>
          </w:tcPr>
          <w:p w14:paraId="21C251A0">
            <w:pPr>
              <w:widowControl/>
              <w:spacing w:line="600" w:lineRule="exact"/>
              <w:jc w:val="center"/>
              <w:rPr>
                <w:rFonts w:hint="eastAsia" w:ascii="宋体" w:hAnsi="宋体" w:eastAsia="宋体" w:cs="宋体"/>
                <w:color w:val="000000"/>
                <w:kern w:val="0"/>
                <w:szCs w:val="21"/>
              </w:rPr>
            </w:pPr>
          </w:p>
        </w:tc>
        <w:tc>
          <w:tcPr>
            <w:tcW w:w="886" w:type="dxa"/>
            <w:vAlign w:val="center"/>
          </w:tcPr>
          <w:p w14:paraId="09CF11E5">
            <w:pPr>
              <w:widowControl/>
              <w:spacing w:line="600" w:lineRule="exact"/>
              <w:jc w:val="center"/>
              <w:rPr>
                <w:rFonts w:hint="eastAsia" w:ascii="宋体" w:hAnsi="宋体" w:eastAsia="宋体" w:cs="宋体"/>
                <w:color w:val="000000"/>
                <w:kern w:val="0"/>
                <w:szCs w:val="21"/>
              </w:rPr>
            </w:pPr>
          </w:p>
        </w:tc>
        <w:tc>
          <w:tcPr>
            <w:tcW w:w="886" w:type="dxa"/>
            <w:vAlign w:val="center"/>
          </w:tcPr>
          <w:p w14:paraId="52E42F60">
            <w:pPr>
              <w:widowControl/>
              <w:spacing w:line="600" w:lineRule="exact"/>
              <w:jc w:val="center"/>
              <w:rPr>
                <w:rFonts w:hint="eastAsia" w:ascii="宋体" w:hAnsi="宋体" w:eastAsia="宋体" w:cs="宋体"/>
                <w:color w:val="000000"/>
                <w:kern w:val="0"/>
                <w:szCs w:val="21"/>
              </w:rPr>
            </w:pPr>
          </w:p>
        </w:tc>
        <w:tc>
          <w:tcPr>
            <w:tcW w:w="886" w:type="dxa"/>
            <w:vAlign w:val="center"/>
          </w:tcPr>
          <w:p w14:paraId="6BD778F2">
            <w:pPr>
              <w:widowControl/>
              <w:spacing w:line="600" w:lineRule="exact"/>
              <w:jc w:val="center"/>
              <w:rPr>
                <w:rFonts w:hint="eastAsia" w:ascii="宋体" w:hAnsi="宋体" w:eastAsia="宋体" w:cs="宋体"/>
                <w:color w:val="000000"/>
                <w:kern w:val="0"/>
                <w:szCs w:val="21"/>
              </w:rPr>
            </w:pPr>
          </w:p>
        </w:tc>
        <w:tc>
          <w:tcPr>
            <w:tcW w:w="886" w:type="dxa"/>
            <w:vAlign w:val="center"/>
          </w:tcPr>
          <w:p w14:paraId="1ED199AA">
            <w:pPr>
              <w:widowControl/>
              <w:spacing w:line="600" w:lineRule="exact"/>
              <w:jc w:val="center"/>
              <w:rPr>
                <w:rFonts w:hint="eastAsia" w:ascii="宋体" w:hAnsi="宋体" w:eastAsia="宋体" w:cs="宋体"/>
                <w:color w:val="000000"/>
                <w:kern w:val="0"/>
                <w:szCs w:val="21"/>
              </w:rPr>
            </w:pPr>
          </w:p>
        </w:tc>
      </w:tr>
      <w:tr w14:paraId="3D0C7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1683AE19">
            <w:pPr>
              <w:widowControl/>
              <w:spacing w:line="600" w:lineRule="exact"/>
              <w:jc w:val="right"/>
              <w:rPr>
                <w:rFonts w:hint="eastAsia" w:ascii="宋体" w:hAnsi="宋体" w:eastAsia="宋体" w:cs="宋体"/>
                <w:color w:val="000000"/>
                <w:kern w:val="0"/>
                <w:szCs w:val="21"/>
              </w:rPr>
            </w:pPr>
          </w:p>
        </w:tc>
        <w:tc>
          <w:tcPr>
            <w:tcW w:w="2406" w:type="dxa"/>
            <w:vAlign w:val="center"/>
          </w:tcPr>
          <w:p w14:paraId="51AFAD80">
            <w:pPr>
              <w:widowControl/>
              <w:spacing w:line="600" w:lineRule="exact"/>
              <w:jc w:val="center"/>
              <w:rPr>
                <w:rFonts w:hint="eastAsia" w:ascii="宋体" w:hAnsi="宋体" w:eastAsia="宋体" w:cs="宋体"/>
                <w:color w:val="000000"/>
                <w:kern w:val="0"/>
                <w:szCs w:val="21"/>
              </w:rPr>
            </w:pPr>
          </w:p>
        </w:tc>
        <w:tc>
          <w:tcPr>
            <w:tcW w:w="712" w:type="dxa"/>
            <w:vAlign w:val="center"/>
          </w:tcPr>
          <w:p w14:paraId="35A47500">
            <w:pPr>
              <w:widowControl/>
              <w:spacing w:line="600" w:lineRule="exact"/>
              <w:jc w:val="center"/>
              <w:rPr>
                <w:rFonts w:hint="eastAsia" w:ascii="宋体" w:hAnsi="宋体" w:eastAsia="宋体" w:cs="宋体"/>
                <w:color w:val="000000"/>
                <w:kern w:val="0"/>
                <w:szCs w:val="21"/>
              </w:rPr>
            </w:pPr>
          </w:p>
        </w:tc>
        <w:tc>
          <w:tcPr>
            <w:tcW w:w="426" w:type="dxa"/>
            <w:vAlign w:val="center"/>
          </w:tcPr>
          <w:p w14:paraId="0A262479">
            <w:pPr>
              <w:widowControl/>
              <w:spacing w:line="600" w:lineRule="exact"/>
              <w:jc w:val="center"/>
              <w:rPr>
                <w:rFonts w:hint="eastAsia" w:ascii="宋体" w:hAnsi="宋体" w:eastAsia="宋体" w:cs="宋体"/>
                <w:color w:val="000000"/>
                <w:kern w:val="0"/>
                <w:szCs w:val="21"/>
              </w:rPr>
            </w:pPr>
          </w:p>
        </w:tc>
        <w:tc>
          <w:tcPr>
            <w:tcW w:w="619" w:type="dxa"/>
            <w:vAlign w:val="center"/>
          </w:tcPr>
          <w:p w14:paraId="43EA4BB7">
            <w:pPr>
              <w:widowControl/>
              <w:spacing w:line="600" w:lineRule="exact"/>
              <w:jc w:val="center"/>
              <w:rPr>
                <w:rFonts w:hint="eastAsia" w:ascii="宋体" w:hAnsi="宋体" w:eastAsia="宋体" w:cs="宋体"/>
                <w:color w:val="000000"/>
                <w:kern w:val="0"/>
                <w:szCs w:val="21"/>
              </w:rPr>
            </w:pPr>
          </w:p>
        </w:tc>
        <w:tc>
          <w:tcPr>
            <w:tcW w:w="632" w:type="dxa"/>
            <w:vAlign w:val="center"/>
          </w:tcPr>
          <w:p w14:paraId="266F1360">
            <w:pPr>
              <w:widowControl/>
              <w:spacing w:line="600" w:lineRule="exact"/>
              <w:jc w:val="center"/>
              <w:rPr>
                <w:rFonts w:hint="eastAsia" w:ascii="宋体" w:hAnsi="宋体" w:eastAsia="宋体" w:cs="宋体"/>
                <w:color w:val="000000"/>
                <w:kern w:val="0"/>
                <w:szCs w:val="21"/>
              </w:rPr>
            </w:pPr>
          </w:p>
        </w:tc>
        <w:tc>
          <w:tcPr>
            <w:tcW w:w="886" w:type="dxa"/>
            <w:vAlign w:val="center"/>
          </w:tcPr>
          <w:p w14:paraId="6DA86BCC">
            <w:pPr>
              <w:widowControl/>
              <w:spacing w:line="600" w:lineRule="exact"/>
              <w:jc w:val="center"/>
              <w:rPr>
                <w:rFonts w:hint="eastAsia" w:ascii="宋体" w:hAnsi="宋体" w:eastAsia="宋体" w:cs="宋体"/>
                <w:color w:val="000000"/>
                <w:kern w:val="0"/>
                <w:szCs w:val="21"/>
              </w:rPr>
            </w:pPr>
          </w:p>
        </w:tc>
        <w:tc>
          <w:tcPr>
            <w:tcW w:w="886" w:type="dxa"/>
            <w:vAlign w:val="center"/>
          </w:tcPr>
          <w:p w14:paraId="7C9794A4">
            <w:pPr>
              <w:widowControl/>
              <w:spacing w:line="600" w:lineRule="exact"/>
              <w:jc w:val="center"/>
              <w:rPr>
                <w:rFonts w:hint="eastAsia" w:ascii="宋体" w:hAnsi="宋体" w:eastAsia="宋体" w:cs="宋体"/>
                <w:color w:val="000000"/>
                <w:kern w:val="0"/>
                <w:szCs w:val="21"/>
              </w:rPr>
            </w:pPr>
          </w:p>
        </w:tc>
        <w:tc>
          <w:tcPr>
            <w:tcW w:w="886" w:type="dxa"/>
            <w:vAlign w:val="center"/>
          </w:tcPr>
          <w:p w14:paraId="7A8E2A41">
            <w:pPr>
              <w:widowControl/>
              <w:spacing w:line="600" w:lineRule="exact"/>
              <w:jc w:val="center"/>
              <w:rPr>
                <w:rFonts w:hint="eastAsia" w:ascii="宋体" w:hAnsi="宋体" w:eastAsia="宋体" w:cs="宋体"/>
                <w:color w:val="000000"/>
                <w:kern w:val="0"/>
                <w:szCs w:val="21"/>
              </w:rPr>
            </w:pPr>
          </w:p>
        </w:tc>
        <w:tc>
          <w:tcPr>
            <w:tcW w:w="886" w:type="dxa"/>
            <w:vAlign w:val="center"/>
          </w:tcPr>
          <w:p w14:paraId="0096E661">
            <w:pPr>
              <w:widowControl/>
              <w:spacing w:line="600" w:lineRule="exact"/>
              <w:jc w:val="center"/>
              <w:rPr>
                <w:rFonts w:hint="eastAsia" w:ascii="宋体" w:hAnsi="宋体" w:eastAsia="宋体" w:cs="宋体"/>
                <w:color w:val="000000"/>
                <w:kern w:val="0"/>
                <w:szCs w:val="21"/>
              </w:rPr>
            </w:pPr>
          </w:p>
        </w:tc>
      </w:tr>
      <w:tr w14:paraId="0D56A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37AAA76B">
            <w:pPr>
              <w:widowControl/>
              <w:spacing w:line="600" w:lineRule="exact"/>
              <w:jc w:val="right"/>
              <w:rPr>
                <w:rFonts w:hint="eastAsia" w:ascii="宋体" w:hAnsi="宋体" w:eastAsia="宋体" w:cs="宋体"/>
                <w:color w:val="000000"/>
                <w:kern w:val="0"/>
                <w:szCs w:val="21"/>
              </w:rPr>
            </w:pPr>
          </w:p>
        </w:tc>
        <w:tc>
          <w:tcPr>
            <w:tcW w:w="2406" w:type="dxa"/>
            <w:vAlign w:val="center"/>
          </w:tcPr>
          <w:p w14:paraId="39FE2FE3">
            <w:pPr>
              <w:widowControl/>
              <w:spacing w:line="600" w:lineRule="exact"/>
              <w:jc w:val="center"/>
              <w:rPr>
                <w:rFonts w:hint="eastAsia" w:ascii="宋体" w:hAnsi="宋体" w:eastAsia="宋体" w:cs="宋体"/>
                <w:color w:val="000000"/>
                <w:kern w:val="0"/>
                <w:szCs w:val="21"/>
              </w:rPr>
            </w:pPr>
          </w:p>
        </w:tc>
        <w:tc>
          <w:tcPr>
            <w:tcW w:w="712" w:type="dxa"/>
            <w:vAlign w:val="center"/>
          </w:tcPr>
          <w:p w14:paraId="12881961">
            <w:pPr>
              <w:widowControl/>
              <w:spacing w:line="600" w:lineRule="exact"/>
              <w:jc w:val="center"/>
              <w:rPr>
                <w:rFonts w:hint="eastAsia" w:ascii="宋体" w:hAnsi="宋体" w:eastAsia="宋体" w:cs="宋体"/>
                <w:color w:val="000000"/>
                <w:kern w:val="0"/>
                <w:szCs w:val="21"/>
              </w:rPr>
            </w:pPr>
          </w:p>
        </w:tc>
        <w:tc>
          <w:tcPr>
            <w:tcW w:w="426" w:type="dxa"/>
            <w:vAlign w:val="center"/>
          </w:tcPr>
          <w:p w14:paraId="73DB0355">
            <w:pPr>
              <w:widowControl/>
              <w:spacing w:line="600" w:lineRule="exact"/>
              <w:jc w:val="center"/>
              <w:rPr>
                <w:rFonts w:hint="eastAsia" w:ascii="宋体" w:hAnsi="宋体" w:eastAsia="宋体" w:cs="宋体"/>
                <w:color w:val="000000"/>
                <w:kern w:val="0"/>
                <w:szCs w:val="21"/>
              </w:rPr>
            </w:pPr>
          </w:p>
        </w:tc>
        <w:tc>
          <w:tcPr>
            <w:tcW w:w="619" w:type="dxa"/>
            <w:vAlign w:val="center"/>
          </w:tcPr>
          <w:p w14:paraId="2BEC6995">
            <w:pPr>
              <w:widowControl/>
              <w:spacing w:line="600" w:lineRule="exact"/>
              <w:jc w:val="center"/>
              <w:rPr>
                <w:rFonts w:hint="eastAsia" w:ascii="宋体" w:hAnsi="宋体" w:eastAsia="宋体" w:cs="宋体"/>
                <w:color w:val="000000"/>
                <w:kern w:val="0"/>
                <w:szCs w:val="21"/>
              </w:rPr>
            </w:pPr>
          </w:p>
        </w:tc>
        <w:tc>
          <w:tcPr>
            <w:tcW w:w="632" w:type="dxa"/>
            <w:vAlign w:val="center"/>
          </w:tcPr>
          <w:p w14:paraId="13A4D51D">
            <w:pPr>
              <w:widowControl/>
              <w:spacing w:line="600" w:lineRule="exact"/>
              <w:jc w:val="center"/>
              <w:rPr>
                <w:rFonts w:hint="eastAsia" w:ascii="宋体" w:hAnsi="宋体" w:eastAsia="宋体" w:cs="宋体"/>
                <w:color w:val="000000"/>
                <w:kern w:val="0"/>
                <w:szCs w:val="21"/>
              </w:rPr>
            </w:pPr>
          </w:p>
        </w:tc>
        <w:tc>
          <w:tcPr>
            <w:tcW w:w="886" w:type="dxa"/>
            <w:vAlign w:val="center"/>
          </w:tcPr>
          <w:p w14:paraId="2901D0C3">
            <w:pPr>
              <w:widowControl/>
              <w:spacing w:line="600" w:lineRule="exact"/>
              <w:jc w:val="center"/>
              <w:rPr>
                <w:rFonts w:hint="eastAsia" w:ascii="宋体" w:hAnsi="宋体" w:eastAsia="宋体" w:cs="宋体"/>
                <w:color w:val="000000"/>
                <w:kern w:val="0"/>
                <w:szCs w:val="21"/>
              </w:rPr>
            </w:pPr>
          </w:p>
        </w:tc>
        <w:tc>
          <w:tcPr>
            <w:tcW w:w="886" w:type="dxa"/>
            <w:vAlign w:val="center"/>
          </w:tcPr>
          <w:p w14:paraId="79C04937">
            <w:pPr>
              <w:widowControl/>
              <w:spacing w:line="600" w:lineRule="exact"/>
              <w:jc w:val="center"/>
              <w:rPr>
                <w:rFonts w:hint="eastAsia" w:ascii="宋体" w:hAnsi="宋体" w:eastAsia="宋体" w:cs="宋体"/>
                <w:color w:val="000000"/>
                <w:kern w:val="0"/>
                <w:szCs w:val="21"/>
              </w:rPr>
            </w:pPr>
          </w:p>
        </w:tc>
        <w:tc>
          <w:tcPr>
            <w:tcW w:w="886" w:type="dxa"/>
            <w:vAlign w:val="center"/>
          </w:tcPr>
          <w:p w14:paraId="20E50161">
            <w:pPr>
              <w:widowControl/>
              <w:spacing w:line="600" w:lineRule="exact"/>
              <w:jc w:val="center"/>
              <w:rPr>
                <w:rFonts w:hint="eastAsia" w:ascii="宋体" w:hAnsi="宋体" w:eastAsia="宋体" w:cs="宋体"/>
                <w:color w:val="000000"/>
                <w:kern w:val="0"/>
                <w:szCs w:val="21"/>
              </w:rPr>
            </w:pPr>
          </w:p>
        </w:tc>
        <w:tc>
          <w:tcPr>
            <w:tcW w:w="886" w:type="dxa"/>
            <w:vAlign w:val="center"/>
          </w:tcPr>
          <w:p w14:paraId="463BE40D">
            <w:pPr>
              <w:widowControl/>
              <w:spacing w:line="600" w:lineRule="exact"/>
              <w:jc w:val="center"/>
              <w:rPr>
                <w:rFonts w:hint="eastAsia" w:ascii="宋体" w:hAnsi="宋体" w:eastAsia="宋体" w:cs="宋体"/>
                <w:color w:val="000000"/>
                <w:kern w:val="0"/>
                <w:szCs w:val="21"/>
              </w:rPr>
            </w:pPr>
          </w:p>
        </w:tc>
      </w:tr>
      <w:tr w14:paraId="3BDB5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7FFF52DA">
            <w:pPr>
              <w:widowControl/>
              <w:spacing w:line="600" w:lineRule="exact"/>
              <w:jc w:val="right"/>
              <w:rPr>
                <w:rFonts w:hint="eastAsia" w:ascii="宋体" w:hAnsi="宋体" w:eastAsia="宋体" w:cs="宋体"/>
                <w:color w:val="000000"/>
                <w:kern w:val="0"/>
                <w:szCs w:val="21"/>
              </w:rPr>
            </w:pPr>
          </w:p>
        </w:tc>
        <w:tc>
          <w:tcPr>
            <w:tcW w:w="2406" w:type="dxa"/>
            <w:vAlign w:val="center"/>
          </w:tcPr>
          <w:p w14:paraId="1BB0AC65">
            <w:pPr>
              <w:widowControl/>
              <w:spacing w:line="600" w:lineRule="exact"/>
              <w:jc w:val="center"/>
              <w:rPr>
                <w:rFonts w:hint="eastAsia" w:ascii="宋体" w:hAnsi="宋体" w:eastAsia="宋体" w:cs="宋体"/>
                <w:color w:val="000000"/>
                <w:kern w:val="0"/>
                <w:szCs w:val="21"/>
              </w:rPr>
            </w:pPr>
          </w:p>
        </w:tc>
        <w:tc>
          <w:tcPr>
            <w:tcW w:w="712" w:type="dxa"/>
            <w:vAlign w:val="center"/>
          </w:tcPr>
          <w:p w14:paraId="1494AFBB">
            <w:pPr>
              <w:widowControl/>
              <w:spacing w:line="600" w:lineRule="exact"/>
              <w:jc w:val="center"/>
              <w:rPr>
                <w:rFonts w:hint="eastAsia" w:ascii="宋体" w:hAnsi="宋体" w:eastAsia="宋体" w:cs="宋体"/>
                <w:color w:val="000000"/>
                <w:kern w:val="0"/>
                <w:szCs w:val="21"/>
              </w:rPr>
            </w:pPr>
          </w:p>
        </w:tc>
        <w:tc>
          <w:tcPr>
            <w:tcW w:w="426" w:type="dxa"/>
            <w:vAlign w:val="center"/>
          </w:tcPr>
          <w:p w14:paraId="496971F2">
            <w:pPr>
              <w:widowControl/>
              <w:spacing w:line="600" w:lineRule="exact"/>
              <w:jc w:val="center"/>
              <w:rPr>
                <w:rFonts w:hint="eastAsia" w:ascii="宋体" w:hAnsi="宋体" w:eastAsia="宋体" w:cs="宋体"/>
                <w:color w:val="000000"/>
                <w:kern w:val="0"/>
                <w:szCs w:val="21"/>
              </w:rPr>
            </w:pPr>
          </w:p>
        </w:tc>
        <w:tc>
          <w:tcPr>
            <w:tcW w:w="619" w:type="dxa"/>
            <w:vAlign w:val="center"/>
          </w:tcPr>
          <w:p w14:paraId="402E7F01">
            <w:pPr>
              <w:widowControl/>
              <w:spacing w:line="600" w:lineRule="exact"/>
              <w:jc w:val="center"/>
              <w:rPr>
                <w:rFonts w:hint="eastAsia" w:ascii="宋体" w:hAnsi="宋体" w:eastAsia="宋体" w:cs="宋体"/>
                <w:color w:val="000000"/>
                <w:kern w:val="0"/>
                <w:szCs w:val="21"/>
              </w:rPr>
            </w:pPr>
          </w:p>
        </w:tc>
        <w:tc>
          <w:tcPr>
            <w:tcW w:w="632" w:type="dxa"/>
            <w:vAlign w:val="center"/>
          </w:tcPr>
          <w:p w14:paraId="6D0C77D9">
            <w:pPr>
              <w:widowControl/>
              <w:spacing w:line="600" w:lineRule="exact"/>
              <w:jc w:val="center"/>
              <w:rPr>
                <w:rFonts w:hint="eastAsia" w:ascii="宋体" w:hAnsi="宋体" w:eastAsia="宋体" w:cs="宋体"/>
                <w:color w:val="000000"/>
                <w:kern w:val="0"/>
                <w:szCs w:val="21"/>
              </w:rPr>
            </w:pPr>
          </w:p>
        </w:tc>
        <w:tc>
          <w:tcPr>
            <w:tcW w:w="886" w:type="dxa"/>
            <w:vAlign w:val="center"/>
          </w:tcPr>
          <w:p w14:paraId="0C9286E4">
            <w:pPr>
              <w:widowControl/>
              <w:spacing w:line="600" w:lineRule="exact"/>
              <w:jc w:val="center"/>
              <w:rPr>
                <w:rFonts w:hint="eastAsia" w:ascii="宋体" w:hAnsi="宋体" w:eastAsia="宋体" w:cs="宋体"/>
                <w:color w:val="000000"/>
                <w:kern w:val="0"/>
                <w:szCs w:val="21"/>
              </w:rPr>
            </w:pPr>
          </w:p>
        </w:tc>
        <w:tc>
          <w:tcPr>
            <w:tcW w:w="886" w:type="dxa"/>
            <w:vAlign w:val="center"/>
          </w:tcPr>
          <w:p w14:paraId="1B5AA293">
            <w:pPr>
              <w:widowControl/>
              <w:spacing w:line="600" w:lineRule="exact"/>
              <w:jc w:val="center"/>
              <w:rPr>
                <w:rFonts w:hint="eastAsia" w:ascii="宋体" w:hAnsi="宋体" w:eastAsia="宋体" w:cs="宋体"/>
                <w:color w:val="000000"/>
                <w:kern w:val="0"/>
                <w:szCs w:val="21"/>
              </w:rPr>
            </w:pPr>
          </w:p>
        </w:tc>
        <w:tc>
          <w:tcPr>
            <w:tcW w:w="886" w:type="dxa"/>
            <w:vAlign w:val="center"/>
          </w:tcPr>
          <w:p w14:paraId="3DB33C90">
            <w:pPr>
              <w:widowControl/>
              <w:spacing w:line="600" w:lineRule="exact"/>
              <w:jc w:val="center"/>
              <w:rPr>
                <w:rFonts w:hint="eastAsia" w:ascii="宋体" w:hAnsi="宋体" w:eastAsia="宋体" w:cs="宋体"/>
                <w:color w:val="000000"/>
                <w:kern w:val="0"/>
                <w:szCs w:val="21"/>
              </w:rPr>
            </w:pPr>
          </w:p>
        </w:tc>
        <w:tc>
          <w:tcPr>
            <w:tcW w:w="886" w:type="dxa"/>
            <w:vAlign w:val="center"/>
          </w:tcPr>
          <w:p w14:paraId="4543C0B2">
            <w:pPr>
              <w:widowControl/>
              <w:spacing w:line="600" w:lineRule="exact"/>
              <w:jc w:val="center"/>
              <w:rPr>
                <w:rFonts w:hint="eastAsia" w:ascii="宋体" w:hAnsi="宋体" w:eastAsia="宋体" w:cs="宋体"/>
                <w:color w:val="000000"/>
                <w:kern w:val="0"/>
                <w:szCs w:val="21"/>
              </w:rPr>
            </w:pPr>
          </w:p>
        </w:tc>
      </w:tr>
      <w:tr w14:paraId="0DE26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2080178C">
            <w:pPr>
              <w:widowControl/>
              <w:spacing w:line="600" w:lineRule="exact"/>
              <w:jc w:val="right"/>
              <w:rPr>
                <w:rFonts w:hint="eastAsia" w:ascii="宋体" w:hAnsi="宋体" w:eastAsia="宋体" w:cs="宋体"/>
                <w:color w:val="000000"/>
                <w:kern w:val="0"/>
                <w:szCs w:val="21"/>
              </w:rPr>
            </w:pPr>
          </w:p>
        </w:tc>
        <w:tc>
          <w:tcPr>
            <w:tcW w:w="2406" w:type="dxa"/>
            <w:vAlign w:val="center"/>
          </w:tcPr>
          <w:p w14:paraId="58FA3F82">
            <w:pPr>
              <w:widowControl/>
              <w:spacing w:line="600" w:lineRule="exact"/>
              <w:jc w:val="center"/>
              <w:rPr>
                <w:rFonts w:hint="eastAsia" w:ascii="宋体" w:hAnsi="宋体" w:eastAsia="宋体" w:cs="宋体"/>
                <w:color w:val="000000"/>
                <w:kern w:val="0"/>
                <w:szCs w:val="21"/>
              </w:rPr>
            </w:pPr>
          </w:p>
        </w:tc>
        <w:tc>
          <w:tcPr>
            <w:tcW w:w="712" w:type="dxa"/>
            <w:vAlign w:val="center"/>
          </w:tcPr>
          <w:p w14:paraId="01DCEB14">
            <w:pPr>
              <w:widowControl/>
              <w:spacing w:line="600" w:lineRule="exact"/>
              <w:jc w:val="center"/>
              <w:rPr>
                <w:rFonts w:hint="eastAsia" w:ascii="宋体" w:hAnsi="宋体" w:eastAsia="宋体" w:cs="宋体"/>
                <w:color w:val="000000"/>
                <w:kern w:val="0"/>
                <w:szCs w:val="21"/>
              </w:rPr>
            </w:pPr>
          </w:p>
        </w:tc>
        <w:tc>
          <w:tcPr>
            <w:tcW w:w="426" w:type="dxa"/>
            <w:vAlign w:val="center"/>
          </w:tcPr>
          <w:p w14:paraId="021FA9F9">
            <w:pPr>
              <w:widowControl/>
              <w:spacing w:line="600" w:lineRule="exact"/>
              <w:jc w:val="center"/>
              <w:rPr>
                <w:rFonts w:hint="eastAsia" w:ascii="宋体" w:hAnsi="宋体" w:eastAsia="宋体" w:cs="宋体"/>
                <w:color w:val="000000"/>
                <w:kern w:val="0"/>
                <w:szCs w:val="21"/>
              </w:rPr>
            </w:pPr>
          </w:p>
        </w:tc>
        <w:tc>
          <w:tcPr>
            <w:tcW w:w="619" w:type="dxa"/>
            <w:vAlign w:val="center"/>
          </w:tcPr>
          <w:p w14:paraId="4CEED105">
            <w:pPr>
              <w:widowControl/>
              <w:spacing w:line="600" w:lineRule="exact"/>
              <w:jc w:val="center"/>
              <w:rPr>
                <w:rFonts w:hint="eastAsia" w:ascii="宋体" w:hAnsi="宋体" w:eastAsia="宋体" w:cs="宋体"/>
                <w:color w:val="000000"/>
                <w:kern w:val="0"/>
                <w:szCs w:val="21"/>
              </w:rPr>
            </w:pPr>
          </w:p>
        </w:tc>
        <w:tc>
          <w:tcPr>
            <w:tcW w:w="632" w:type="dxa"/>
            <w:vAlign w:val="center"/>
          </w:tcPr>
          <w:p w14:paraId="303D414F">
            <w:pPr>
              <w:widowControl/>
              <w:spacing w:line="600" w:lineRule="exact"/>
              <w:jc w:val="center"/>
              <w:rPr>
                <w:rFonts w:hint="eastAsia" w:ascii="宋体" w:hAnsi="宋体" w:eastAsia="宋体" w:cs="宋体"/>
                <w:color w:val="000000"/>
                <w:kern w:val="0"/>
                <w:szCs w:val="21"/>
              </w:rPr>
            </w:pPr>
          </w:p>
        </w:tc>
        <w:tc>
          <w:tcPr>
            <w:tcW w:w="886" w:type="dxa"/>
            <w:vAlign w:val="center"/>
          </w:tcPr>
          <w:p w14:paraId="6F17DFE4">
            <w:pPr>
              <w:widowControl/>
              <w:spacing w:line="600" w:lineRule="exact"/>
              <w:jc w:val="center"/>
              <w:rPr>
                <w:rFonts w:hint="eastAsia" w:ascii="宋体" w:hAnsi="宋体" w:eastAsia="宋体" w:cs="宋体"/>
                <w:color w:val="000000"/>
                <w:kern w:val="0"/>
                <w:szCs w:val="21"/>
              </w:rPr>
            </w:pPr>
          </w:p>
        </w:tc>
        <w:tc>
          <w:tcPr>
            <w:tcW w:w="886" w:type="dxa"/>
            <w:vAlign w:val="center"/>
          </w:tcPr>
          <w:p w14:paraId="7AB0C0FB">
            <w:pPr>
              <w:widowControl/>
              <w:spacing w:line="600" w:lineRule="exact"/>
              <w:jc w:val="center"/>
              <w:rPr>
                <w:rFonts w:hint="eastAsia" w:ascii="宋体" w:hAnsi="宋体" w:eastAsia="宋体" w:cs="宋体"/>
                <w:color w:val="000000"/>
                <w:kern w:val="0"/>
                <w:szCs w:val="21"/>
              </w:rPr>
            </w:pPr>
          </w:p>
        </w:tc>
        <w:tc>
          <w:tcPr>
            <w:tcW w:w="886" w:type="dxa"/>
            <w:vAlign w:val="center"/>
          </w:tcPr>
          <w:p w14:paraId="7CCACFFA">
            <w:pPr>
              <w:widowControl/>
              <w:spacing w:line="600" w:lineRule="exact"/>
              <w:jc w:val="center"/>
              <w:rPr>
                <w:rFonts w:hint="eastAsia" w:ascii="宋体" w:hAnsi="宋体" w:eastAsia="宋体" w:cs="宋体"/>
                <w:color w:val="000000"/>
                <w:kern w:val="0"/>
                <w:szCs w:val="21"/>
              </w:rPr>
            </w:pPr>
          </w:p>
        </w:tc>
        <w:tc>
          <w:tcPr>
            <w:tcW w:w="886" w:type="dxa"/>
            <w:vAlign w:val="center"/>
          </w:tcPr>
          <w:p w14:paraId="1F67A1DC">
            <w:pPr>
              <w:widowControl/>
              <w:spacing w:line="600" w:lineRule="exact"/>
              <w:jc w:val="center"/>
              <w:rPr>
                <w:rFonts w:hint="eastAsia" w:ascii="宋体" w:hAnsi="宋体" w:eastAsia="宋体" w:cs="宋体"/>
                <w:color w:val="000000"/>
                <w:kern w:val="0"/>
                <w:szCs w:val="21"/>
              </w:rPr>
            </w:pPr>
          </w:p>
        </w:tc>
      </w:tr>
      <w:tr w14:paraId="2D529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2D6153E9">
            <w:pPr>
              <w:widowControl/>
              <w:spacing w:line="600" w:lineRule="exact"/>
              <w:jc w:val="right"/>
              <w:rPr>
                <w:rFonts w:hint="eastAsia" w:ascii="宋体" w:hAnsi="宋体" w:eastAsia="宋体" w:cs="宋体"/>
                <w:color w:val="000000"/>
                <w:kern w:val="0"/>
                <w:szCs w:val="21"/>
              </w:rPr>
            </w:pPr>
          </w:p>
        </w:tc>
        <w:tc>
          <w:tcPr>
            <w:tcW w:w="2406" w:type="dxa"/>
            <w:vAlign w:val="center"/>
          </w:tcPr>
          <w:p w14:paraId="461B7B52">
            <w:pPr>
              <w:widowControl/>
              <w:spacing w:line="600" w:lineRule="exact"/>
              <w:jc w:val="center"/>
              <w:rPr>
                <w:rFonts w:hint="eastAsia" w:ascii="宋体" w:hAnsi="宋体" w:eastAsia="宋体" w:cs="宋体"/>
                <w:color w:val="000000"/>
                <w:kern w:val="0"/>
                <w:szCs w:val="21"/>
              </w:rPr>
            </w:pPr>
          </w:p>
        </w:tc>
        <w:tc>
          <w:tcPr>
            <w:tcW w:w="712" w:type="dxa"/>
            <w:vAlign w:val="center"/>
          </w:tcPr>
          <w:p w14:paraId="1FB3F0CD">
            <w:pPr>
              <w:widowControl/>
              <w:spacing w:line="600" w:lineRule="exact"/>
              <w:jc w:val="center"/>
              <w:rPr>
                <w:rFonts w:hint="eastAsia" w:ascii="宋体" w:hAnsi="宋体" w:eastAsia="宋体" w:cs="宋体"/>
                <w:color w:val="000000"/>
                <w:kern w:val="0"/>
                <w:szCs w:val="21"/>
              </w:rPr>
            </w:pPr>
          </w:p>
        </w:tc>
        <w:tc>
          <w:tcPr>
            <w:tcW w:w="426" w:type="dxa"/>
            <w:vAlign w:val="center"/>
          </w:tcPr>
          <w:p w14:paraId="30E7067B">
            <w:pPr>
              <w:widowControl/>
              <w:spacing w:line="600" w:lineRule="exact"/>
              <w:jc w:val="center"/>
              <w:rPr>
                <w:rFonts w:hint="eastAsia" w:ascii="宋体" w:hAnsi="宋体" w:eastAsia="宋体" w:cs="宋体"/>
                <w:color w:val="000000"/>
                <w:kern w:val="0"/>
                <w:szCs w:val="21"/>
              </w:rPr>
            </w:pPr>
          </w:p>
        </w:tc>
        <w:tc>
          <w:tcPr>
            <w:tcW w:w="619" w:type="dxa"/>
            <w:vAlign w:val="center"/>
          </w:tcPr>
          <w:p w14:paraId="146B69BD">
            <w:pPr>
              <w:widowControl/>
              <w:spacing w:line="600" w:lineRule="exact"/>
              <w:jc w:val="center"/>
              <w:rPr>
                <w:rFonts w:hint="eastAsia" w:ascii="宋体" w:hAnsi="宋体" w:eastAsia="宋体" w:cs="宋体"/>
                <w:color w:val="000000"/>
                <w:kern w:val="0"/>
                <w:szCs w:val="21"/>
              </w:rPr>
            </w:pPr>
          </w:p>
        </w:tc>
        <w:tc>
          <w:tcPr>
            <w:tcW w:w="632" w:type="dxa"/>
            <w:vAlign w:val="center"/>
          </w:tcPr>
          <w:p w14:paraId="76EA3BE5">
            <w:pPr>
              <w:widowControl/>
              <w:spacing w:line="600" w:lineRule="exact"/>
              <w:jc w:val="center"/>
              <w:rPr>
                <w:rFonts w:hint="eastAsia" w:ascii="宋体" w:hAnsi="宋体" w:eastAsia="宋体" w:cs="宋体"/>
                <w:color w:val="000000"/>
                <w:kern w:val="0"/>
                <w:szCs w:val="21"/>
              </w:rPr>
            </w:pPr>
          </w:p>
        </w:tc>
        <w:tc>
          <w:tcPr>
            <w:tcW w:w="886" w:type="dxa"/>
            <w:vAlign w:val="center"/>
          </w:tcPr>
          <w:p w14:paraId="103AFC05">
            <w:pPr>
              <w:widowControl/>
              <w:spacing w:line="600" w:lineRule="exact"/>
              <w:jc w:val="center"/>
              <w:rPr>
                <w:rFonts w:hint="eastAsia" w:ascii="宋体" w:hAnsi="宋体" w:eastAsia="宋体" w:cs="宋体"/>
                <w:color w:val="000000"/>
                <w:kern w:val="0"/>
                <w:szCs w:val="21"/>
              </w:rPr>
            </w:pPr>
          </w:p>
        </w:tc>
        <w:tc>
          <w:tcPr>
            <w:tcW w:w="886" w:type="dxa"/>
            <w:vAlign w:val="center"/>
          </w:tcPr>
          <w:p w14:paraId="39B0B02C">
            <w:pPr>
              <w:widowControl/>
              <w:spacing w:line="600" w:lineRule="exact"/>
              <w:jc w:val="center"/>
              <w:rPr>
                <w:rFonts w:hint="eastAsia" w:ascii="宋体" w:hAnsi="宋体" w:eastAsia="宋体" w:cs="宋体"/>
                <w:color w:val="000000"/>
                <w:kern w:val="0"/>
                <w:szCs w:val="21"/>
              </w:rPr>
            </w:pPr>
          </w:p>
        </w:tc>
        <w:tc>
          <w:tcPr>
            <w:tcW w:w="886" w:type="dxa"/>
            <w:vAlign w:val="center"/>
          </w:tcPr>
          <w:p w14:paraId="7BF88F1C">
            <w:pPr>
              <w:widowControl/>
              <w:spacing w:line="600" w:lineRule="exact"/>
              <w:jc w:val="center"/>
              <w:rPr>
                <w:rFonts w:hint="eastAsia" w:ascii="宋体" w:hAnsi="宋体" w:eastAsia="宋体" w:cs="宋体"/>
                <w:color w:val="000000"/>
                <w:kern w:val="0"/>
                <w:szCs w:val="21"/>
              </w:rPr>
            </w:pPr>
          </w:p>
        </w:tc>
        <w:tc>
          <w:tcPr>
            <w:tcW w:w="886" w:type="dxa"/>
            <w:vAlign w:val="center"/>
          </w:tcPr>
          <w:p w14:paraId="28CE733C">
            <w:pPr>
              <w:widowControl/>
              <w:spacing w:line="600" w:lineRule="exact"/>
              <w:jc w:val="center"/>
              <w:rPr>
                <w:rFonts w:hint="eastAsia" w:ascii="宋体" w:hAnsi="宋体" w:eastAsia="宋体" w:cs="宋体"/>
                <w:color w:val="000000"/>
                <w:kern w:val="0"/>
                <w:szCs w:val="21"/>
              </w:rPr>
            </w:pPr>
          </w:p>
        </w:tc>
      </w:tr>
      <w:tr w14:paraId="53E52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526082F9">
            <w:pPr>
              <w:widowControl/>
              <w:spacing w:line="600" w:lineRule="exact"/>
              <w:jc w:val="right"/>
              <w:rPr>
                <w:rFonts w:hint="eastAsia" w:ascii="宋体" w:hAnsi="宋体" w:eastAsia="宋体" w:cs="宋体"/>
                <w:color w:val="000000"/>
                <w:kern w:val="0"/>
                <w:szCs w:val="21"/>
              </w:rPr>
            </w:pPr>
          </w:p>
        </w:tc>
        <w:tc>
          <w:tcPr>
            <w:tcW w:w="2406" w:type="dxa"/>
            <w:vAlign w:val="center"/>
          </w:tcPr>
          <w:p w14:paraId="211E7799">
            <w:pPr>
              <w:widowControl/>
              <w:spacing w:line="600" w:lineRule="exact"/>
              <w:jc w:val="center"/>
              <w:rPr>
                <w:rFonts w:hint="eastAsia" w:ascii="宋体" w:hAnsi="宋体" w:eastAsia="宋体" w:cs="宋体"/>
                <w:color w:val="000000"/>
                <w:kern w:val="0"/>
                <w:szCs w:val="21"/>
              </w:rPr>
            </w:pPr>
          </w:p>
        </w:tc>
        <w:tc>
          <w:tcPr>
            <w:tcW w:w="712" w:type="dxa"/>
            <w:vAlign w:val="center"/>
          </w:tcPr>
          <w:p w14:paraId="090BFA37">
            <w:pPr>
              <w:widowControl/>
              <w:spacing w:line="600" w:lineRule="exact"/>
              <w:jc w:val="center"/>
              <w:rPr>
                <w:rFonts w:hint="eastAsia" w:ascii="宋体" w:hAnsi="宋体" w:eastAsia="宋体" w:cs="宋体"/>
                <w:color w:val="000000"/>
                <w:kern w:val="0"/>
                <w:szCs w:val="21"/>
              </w:rPr>
            </w:pPr>
          </w:p>
        </w:tc>
        <w:tc>
          <w:tcPr>
            <w:tcW w:w="426" w:type="dxa"/>
            <w:vAlign w:val="center"/>
          </w:tcPr>
          <w:p w14:paraId="2F1E5466">
            <w:pPr>
              <w:widowControl/>
              <w:spacing w:line="600" w:lineRule="exact"/>
              <w:jc w:val="center"/>
              <w:rPr>
                <w:rFonts w:hint="eastAsia" w:ascii="宋体" w:hAnsi="宋体" w:eastAsia="宋体" w:cs="宋体"/>
                <w:color w:val="000000"/>
                <w:kern w:val="0"/>
                <w:szCs w:val="21"/>
              </w:rPr>
            </w:pPr>
          </w:p>
        </w:tc>
        <w:tc>
          <w:tcPr>
            <w:tcW w:w="619" w:type="dxa"/>
            <w:vAlign w:val="center"/>
          </w:tcPr>
          <w:p w14:paraId="156A9F2A">
            <w:pPr>
              <w:widowControl/>
              <w:spacing w:line="600" w:lineRule="exact"/>
              <w:jc w:val="center"/>
              <w:rPr>
                <w:rFonts w:hint="eastAsia" w:ascii="宋体" w:hAnsi="宋体" w:eastAsia="宋体" w:cs="宋体"/>
                <w:color w:val="000000"/>
                <w:kern w:val="0"/>
                <w:szCs w:val="21"/>
              </w:rPr>
            </w:pPr>
          </w:p>
        </w:tc>
        <w:tc>
          <w:tcPr>
            <w:tcW w:w="632" w:type="dxa"/>
            <w:vAlign w:val="center"/>
          </w:tcPr>
          <w:p w14:paraId="27C6BF9B">
            <w:pPr>
              <w:widowControl/>
              <w:spacing w:line="600" w:lineRule="exact"/>
              <w:jc w:val="center"/>
              <w:rPr>
                <w:rFonts w:hint="eastAsia" w:ascii="宋体" w:hAnsi="宋体" w:eastAsia="宋体" w:cs="宋体"/>
                <w:color w:val="000000"/>
                <w:kern w:val="0"/>
                <w:szCs w:val="21"/>
              </w:rPr>
            </w:pPr>
          </w:p>
        </w:tc>
        <w:tc>
          <w:tcPr>
            <w:tcW w:w="886" w:type="dxa"/>
            <w:vAlign w:val="center"/>
          </w:tcPr>
          <w:p w14:paraId="2B87CE48">
            <w:pPr>
              <w:widowControl/>
              <w:spacing w:line="600" w:lineRule="exact"/>
              <w:jc w:val="center"/>
              <w:rPr>
                <w:rFonts w:hint="eastAsia" w:ascii="宋体" w:hAnsi="宋体" w:eastAsia="宋体" w:cs="宋体"/>
                <w:color w:val="000000"/>
                <w:kern w:val="0"/>
                <w:szCs w:val="21"/>
              </w:rPr>
            </w:pPr>
          </w:p>
        </w:tc>
        <w:tc>
          <w:tcPr>
            <w:tcW w:w="886" w:type="dxa"/>
            <w:vAlign w:val="center"/>
          </w:tcPr>
          <w:p w14:paraId="1C28A4D9">
            <w:pPr>
              <w:widowControl/>
              <w:spacing w:line="600" w:lineRule="exact"/>
              <w:jc w:val="center"/>
              <w:rPr>
                <w:rFonts w:hint="eastAsia" w:ascii="宋体" w:hAnsi="宋体" w:eastAsia="宋体" w:cs="宋体"/>
                <w:color w:val="000000"/>
                <w:kern w:val="0"/>
                <w:szCs w:val="21"/>
              </w:rPr>
            </w:pPr>
          </w:p>
        </w:tc>
        <w:tc>
          <w:tcPr>
            <w:tcW w:w="886" w:type="dxa"/>
            <w:vAlign w:val="center"/>
          </w:tcPr>
          <w:p w14:paraId="535C8A9D">
            <w:pPr>
              <w:widowControl/>
              <w:spacing w:line="600" w:lineRule="exact"/>
              <w:jc w:val="center"/>
              <w:rPr>
                <w:rFonts w:hint="eastAsia" w:ascii="宋体" w:hAnsi="宋体" w:eastAsia="宋体" w:cs="宋体"/>
                <w:color w:val="000000"/>
                <w:kern w:val="0"/>
                <w:szCs w:val="21"/>
              </w:rPr>
            </w:pPr>
          </w:p>
        </w:tc>
        <w:tc>
          <w:tcPr>
            <w:tcW w:w="886" w:type="dxa"/>
            <w:vAlign w:val="center"/>
          </w:tcPr>
          <w:p w14:paraId="358DB31B">
            <w:pPr>
              <w:widowControl/>
              <w:spacing w:line="600" w:lineRule="exact"/>
              <w:jc w:val="center"/>
              <w:rPr>
                <w:rFonts w:hint="eastAsia" w:ascii="宋体" w:hAnsi="宋体" w:eastAsia="宋体" w:cs="宋体"/>
                <w:color w:val="000000"/>
                <w:kern w:val="0"/>
                <w:szCs w:val="21"/>
              </w:rPr>
            </w:pPr>
          </w:p>
        </w:tc>
      </w:tr>
      <w:tr w14:paraId="17D94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09C7A085">
            <w:pPr>
              <w:widowControl/>
              <w:spacing w:line="600" w:lineRule="exact"/>
              <w:jc w:val="right"/>
              <w:rPr>
                <w:rFonts w:hint="eastAsia" w:ascii="宋体" w:hAnsi="宋体" w:eastAsia="宋体" w:cs="宋体"/>
                <w:color w:val="000000"/>
                <w:kern w:val="0"/>
                <w:szCs w:val="21"/>
              </w:rPr>
            </w:pPr>
          </w:p>
        </w:tc>
        <w:tc>
          <w:tcPr>
            <w:tcW w:w="2406" w:type="dxa"/>
            <w:vAlign w:val="center"/>
          </w:tcPr>
          <w:p w14:paraId="67FCF52A">
            <w:pPr>
              <w:widowControl/>
              <w:spacing w:line="600" w:lineRule="exact"/>
              <w:jc w:val="center"/>
              <w:rPr>
                <w:rFonts w:hint="eastAsia" w:ascii="宋体" w:hAnsi="宋体" w:eastAsia="宋体" w:cs="宋体"/>
                <w:color w:val="000000"/>
                <w:kern w:val="0"/>
                <w:szCs w:val="21"/>
              </w:rPr>
            </w:pPr>
          </w:p>
        </w:tc>
        <w:tc>
          <w:tcPr>
            <w:tcW w:w="712" w:type="dxa"/>
            <w:vAlign w:val="center"/>
          </w:tcPr>
          <w:p w14:paraId="62A6075C">
            <w:pPr>
              <w:widowControl/>
              <w:spacing w:line="600" w:lineRule="exact"/>
              <w:jc w:val="center"/>
              <w:rPr>
                <w:rFonts w:hint="eastAsia" w:ascii="宋体" w:hAnsi="宋体" w:eastAsia="宋体" w:cs="宋体"/>
                <w:color w:val="000000"/>
                <w:kern w:val="0"/>
                <w:szCs w:val="21"/>
              </w:rPr>
            </w:pPr>
          </w:p>
        </w:tc>
        <w:tc>
          <w:tcPr>
            <w:tcW w:w="426" w:type="dxa"/>
            <w:vAlign w:val="center"/>
          </w:tcPr>
          <w:p w14:paraId="3FD105CD">
            <w:pPr>
              <w:widowControl/>
              <w:spacing w:line="600" w:lineRule="exact"/>
              <w:jc w:val="center"/>
              <w:rPr>
                <w:rFonts w:hint="eastAsia" w:ascii="宋体" w:hAnsi="宋体" w:eastAsia="宋体" w:cs="宋体"/>
                <w:color w:val="000000"/>
                <w:kern w:val="0"/>
                <w:szCs w:val="21"/>
              </w:rPr>
            </w:pPr>
          </w:p>
        </w:tc>
        <w:tc>
          <w:tcPr>
            <w:tcW w:w="619" w:type="dxa"/>
            <w:vAlign w:val="center"/>
          </w:tcPr>
          <w:p w14:paraId="6EE94F59">
            <w:pPr>
              <w:widowControl/>
              <w:spacing w:line="600" w:lineRule="exact"/>
              <w:jc w:val="center"/>
              <w:rPr>
                <w:rFonts w:hint="eastAsia" w:ascii="宋体" w:hAnsi="宋体" w:eastAsia="宋体" w:cs="宋体"/>
                <w:color w:val="000000"/>
                <w:kern w:val="0"/>
                <w:szCs w:val="21"/>
              </w:rPr>
            </w:pPr>
          </w:p>
        </w:tc>
        <w:tc>
          <w:tcPr>
            <w:tcW w:w="632" w:type="dxa"/>
            <w:vAlign w:val="center"/>
          </w:tcPr>
          <w:p w14:paraId="314CFD3E">
            <w:pPr>
              <w:widowControl/>
              <w:spacing w:line="600" w:lineRule="exact"/>
              <w:jc w:val="center"/>
              <w:rPr>
                <w:rFonts w:hint="eastAsia" w:ascii="宋体" w:hAnsi="宋体" w:eastAsia="宋体" w:cs="宋体"/>
                <w:color w:val="000000"/>
                <w:kern w:val="0"/>
                <w:szCs w:val="21"/>
              </w:rPr>
            </w:pPr>
          </w:p>
        </w:tc>
        <w:tc>
          <w:tcPr>
            <w:tcW w:w="886" w:type="dxa"/>
            <w:vAlign w:val="center"/>
          </w:tcPr>
          <w:p w14:paraId="00FD0657">
            <w:pPr>
              <w:widowControl/>
              <w:spacing w:line="600" w:lineRule="exact"/>
              <w:jc w:val="center"/>
              <w:rPr>
                <w:rFonts w:hint="eastAsia" w:ascii="宋体" w:hAnsi="宋体" w:eastAsia="宋体" w:cs="宋体"/>
                <w:color w:val="000000"/>
                <w:kern w:val="0"/>
                <w:szCs w:val="21"/>
              </w:rPr>
            </w:pPr>
          </w:p>
        </w:tc>
        <w:tc>
          <w:tcPr>
            <w:tcW w:w="886" w:type="dxa"/>
            <w:vAlign w:val="center"/>
          </w:tcPr>
          <w:p w14:paraId="043478FB">
            <w:pPr>
              <w:widowControl/>
              <w:spacing w:line="600" w:lineRule="exact"/>
              <w:jc w:val="center"/>
              <w:rPr>
                <w:rFonts w:hint="eastAsia" w:ascii="宋体" w:hAnsi="宋体" w:eastAsia="宋体" w:cs="宋体"/>
                <w:color w:val="000000"/>
                <w:kern w:val="0"/>
                <w:szCs w:val="21"/>
              </w:rPr>
            </w:pPr>
          </w:p>
        </w:tc>
        <w:tc>
          <w:tcPr>
            <w:tcW w:w="886" w:type="dxa"/>
            <w:vAlign w:val="center"/>
          </w:tcPr>
          <w:p w14:paraId="60833651">
            <w:pPr>
              <w:widowControl/>
              <w:spacing w:line="600" w:lineRule="exact"/>
              <w:jc w:val="center"/>
              <w:rPr>
                <w:rFonts w:hint="eastAsia" w:ascii="宋体" w:hAnsi="宋体" w:eastAsia="宋体" w:cs="宋体"/>
                <w:color w:val="000000"/>
                <w:kern w:val="0"/>
                <w:szCs w:val="21"/>
              </w:rPr>
            </w:pPr>
          </w:p>
        </w:tc>
        <w:tc>
          <w:tcPr>
            <w:tcW w:w="886" w:type="dxa"/>
            <w:vAlign w:val="center"/>
          </w:tcPr>
          <w:p w14:paraId="7D97183B">
            <w:pPr>
              <w:widowControl/>
              <w:spacing w:line="600" w:lineRule="exact"/>
              <w:jc w:val="center"/>
              <w:rPr>
                <w:rFonts w:hint="eastAsia" w:ascii="宋体" w:hAnsi="宋体" w:eastAsia="宋体" w:cs="宋体"/>
                <w:color w:val="000000"/>
                <w:kern w:val="0"/>
                <w:szCs w:val="21"/>
              </w:rPr>
            </w:pPr>
          </w:p>
        </w:tc>
      </w:tr>
      <w:tr w14:paraId="4A884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1BDC7C06">
            <w:pPr>
              <w:widowControl/>
              <w:spacing w:line="600" w:lineRule="exact"/>
              <w:jc w:val="right"/>
              <w:rPr>
                <w:rFonts w:hint="eastAsia" w:ascii="宋体" w:hAnsi="宋体" w:eastAsia="宋体" w:cs="宋体"/>
                <w:color w:val="000000"/>
                <w:kern w:val="0"/>
                <w:szCs w:val="21"/>
              </w:rPr>
            </w:pPr>
          </w:p>
        </w:tc>
        <w:tc>
          <w:tcPr>
            <w:tcW w:w="2406" w:type="dxa"/>
            <w:vAlign w:val="center"/>
          </w:tcPr>
          <w:p w14:paraId="08ABE18E">
            <w:pPr>
              <w:widowControl/>
              <w:spacing w:line="600" w:lineRule="exact"/>
              <w:jc w:val="center"/>
              <w:rPr>
                <w:rFonts w:hint="eastAsia" w:ascii="宋体" w:hAnsi="宋体" w:eastAsia="宋体" w:cs="宋体"/>
                <w:color w:val="000000"/>
                <w:kern w:val="0"/>
                <w:szCs w:val="21"/>
              </w:rPr>
            </w:pPr>
          </w:p>
        </w:tc>
        <w:tc>
          <w:tcPr>
            <w:tcW w:w="712" w:type="dxa"/>
            <w:vAlign w:val="center"/>
          </w:tcPr>
          <w:p w14:paraId="76D5ACDA">
            <w:pPr>
              <w:widowControl/>
              <w:spacing w:line="600" w:lineRule="exact"/>
              <w:jc w:val="center"/>
              <w:rPr>
                <w:rFonts w:hint="eastAsia" w:ascii="宋体" w:hAnsi="宋体" w:eastAsia="宋体" w:cs="宋体"/>
                <w:color w:val="000000"/>
                <w:kern w:val="0"/>
                <w:szCs w:val="21"/>
              </w:rPr>
            </w:pPr>
          </w:p>
        </w:tc>
        <w:tc>
          <w:tcPr>
            <w:tcW w:w="426" w:type="dxa"/>
            <w:vAlign w:val="center"/>
          </w:tcPr>
          <w:p w14:paraId="34CAC94F">
            <w:pPr>
              <w:widowControl/>
              <w:spacing w:line="600" w:lineRule="exact"/>
              <w:jc w:val="center"/>
              <w:rPr>
                <w:rFonts w:hint="eastAsia" w:ascii="宋体" w:hAnsi="宋体" w:eastAsia="宋体" w:cs="宋体"/>
                <w:color w:val="000000"/>
                <w:kern w:val="0"/>
                <w:szCs w:val="21"/>
              </w:rPr>
            </w:pPr>
          </w:p>
        </w:tc>
        <w:tc>
          <w:tcPr>
            <w:tcW w:w="619" w:type="dxa"/>
            <w:vAlign w:val="center"/>
          </w:tcPr>
          <w:p w14:paraId="114E9326">
            <w:pPr>
              <w:widowControl/>
              <w:spacing w:line="600" w:lineRule="exact"/>
              <w:jc w:val="center"/>
              <w:rPr>
                <w:rFonts w:hint="eastAsia" w:ascii="宋体" w:hAnsi="宋体" w:eastAsia="宋体" w:cs="宋体"/>
                <w:color w:val="000000"/>
                <w:kern w:val="0"/>
                <w:szCs w:val="21"/>
              </w:rPr>
            </w:pPr>
          </w:p>
        </w:tc>
        <w:tc>
          <w:tcPr>
            <w:tcW w:w="632" w:type="dxa"/>
            <w:vAlign w:val="center"/>
          </w:tcPr>
          <w:p w14:paraId="39655941">
            <w:pPr>
              <w:widowControl/>
              <w:spacing w:line="600" w:lineRule="exact"/>
              <w:jc w:val="center"/>
              <w:rPr>
                <w:rFonts w:hint="eastAsia" w:ascii="宋体" w:hAnsi="宋体" w:eastAsia="宋体" w:cs="宋体"/>
                <w:color w:val="000000"/>
                <w:kern w:val="0"/>
                <w:szCs w:val="21"/>
              </w:rPr>
            </w:pPr>
          </w:p>
        </w:tc>
        <w:tc>
          <w:tcPr>
            <w:tcW w:w="886" w:type="dxa"/>
            <w:vAlign w:val="center"/>
          </w:tcPr>
          <w:p w14:paraId="37D3E14A">
            <w:pPr>
              <w:widowControl/>
              <w:spacing w:line="600" w:lineRule="exact"/>
              <w:jc w:val="center"/>
              <w:rPr>
                <w:rFonts w:hint="eastAsia" w:ascii="宋体" w:hAnsi="宋体" w:eastAsia="宋体" w:cs="宋体"/>
                <w:color w:val="000000"/>
                <w:kern w:val="0"/>
                <w:szCs w:val="21"/>
              </w:rPr>
            </w:pPr>
          </w:p>
        </w:tc>
        <w:tc>
          <w:tcPr>
            <w:tcW w:w="886" w:type="dxa"/>
            <w:vAlign w:val="center"/>
          </w:tcPr>
          <w:p w14:paraId="1BF2AECD">
            <w:pPr>
              <w:widowControl/>
              <w:spacing w:line="600" w:lineRule="exact"/>
              <w:jc w:val="center"/>
              <w:rPr>
                <w:rFonts w:hint="eastAsia" w:ascii="宋体" w:hAnsi="宋体" w:eastAsia="宋体" w:cs="宋体"/>
                <w:color w:val="000000"/>
                <w:kern w:val="0"/>
                <w:szCs w:val="21"/>
              </w:rPr>
            </w:pPr>
          </w:p>
        </w:tc>
        <w:tc>
          <w:tcPr>
            <w:tcW w:w="886" w:type="dxa"/>
            <w:vAlign w:val="center"/>
          </w:tcPr>
          <w:p w14:paraId="2949F17B">
            <w:pPr>
              <w:widowControl/>
              <w:spacing w:line="600" w:lineRule="exact"/>
              <w:jc w:val="center"/>
              <w:rPr>
                <w:rFonts w:hint="eastAsia" w:ascii="宋体" w:hAnsi="宋体" w:eastAsia="宋体" w:cs="宋体"/>
                <w:color w:val="000000"/>
                <w:kern w:val="0"/>
                <w:szCs w:val="21"/>
              </w:rPr>
            </w:pPr>
          </w:p>
        </w:tc>
        <w:tc>
          <w:tcPr>
            <w:tcW w:w="886" w:type="dxa"/>
            <w:vAlign w:val="center"/>
          </w:tcPr>
          <w:p w14:paraId="0DDC31F0">
            <w:pPr>
              <w:widowControl/>
              <w:spacing w:line="600" w:lineRule="exact"/>
              <w:jc w:val="center"/>
              <w:rPr>
                <w:rFonts w:hint="eastAsia" w:ascii="宋体" w:hAnsi="宋体" w:eastAsia="宋体" w:cs="宋体"/>
                <w:color w:val="000000"/>
                <w:kern w:val="0"/>
                <w:szCs w:val="21"/>
              </w:rPr>
            </w:pPr>
          </w:p>
        </w:tc>
      </w:tr>
      <w:tr w14:paraId="46591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34BF87A0">
            <w:pPr>
              <w:widowControl/>
              <w:spacing w:line="600" w:lineRule="exact"/>
              <w:jc w:val="right"/>
              <w:rPr>
                <w:rFonts w:hint="eastAsia" w:ascii="宋体" w:hAnsi="宋体" w:eastAsia="宋体" w:cs="宋体"/>
                <w:color w:val="000000"/>
                <w:kern w:val="0"/>
                <w:szCs w:val="21"/>
              </w:rPr>
            </w:pPr>
          </w:p>
        </w:tc>
        <w:tc>
          <w:tcPr>
            <w:tcW w:w="2406" w:type="dxa"/>
            <w:vAlign w:val="center"/>
          </w:tcPr>
          <w:p w14:paraId="7E76BF62">
            <w:pPr>
              <w:widowControl/>
              <w:spacing w:line="600" w:lineRule="exact"/>
              <w:jc w:val="center"/>
              <w:rPr>
                <w:rFonts w:hint="eastAsia" w:ascii="宋体" w:hAnsi="宋体" w:eastAsia="宋体" w:cs="宋体"/>
                <w:color w:val="000000"/>
                <w:kern w:val="0"/>
                <w:szCs w:val="21"/>
              </w:rPr>
            </w:pPr>
          </w:p>
        </w:tc>
        <w:tc>
          <w:tcPr>
            <w:tcW w:w="712" w:type="dxa"/>
            <w:vAlign w:val="center"/>
          </w:tcPr>
          <w:p w14:paraId="7FE0EC59">
            <w:pPr>
              <w:widowControl/>
              <w:spacing w:line="600" w:lineRule="exact"/>
              <w:jc w:val="center"/>
              <w:rPr>
                <w:rFonts w:hint="eastAsia" w:ascii="宋体" w:hAnsi="宋体" w:eastAsia="宋体" w:cs="宋体"/>
                <w:color w:val="000000"/>
                <w:kern w:val="0"/>
                <w:szCs w:val="21"/>
              </w:rPr>
            </w:pPr>
          </w:p>
        </w:tc>
        <w:tc>
          <w:tcPr>
            <w:tcW w:w="426" w:type="dxa"/>
            <w:vAlign w:val="center"/>
          </w:tcPr>
          <w:p w14:paraId="3BE3B447">
            <w:pPr>
              <w:widowControl/>
              <w:spacing w:line="600" w:lineRule="exact"/>
              <w:jc w:val="center"/>
              <w:rPr>
                <w:rFonts w:hint="eastAsia" w:ascii="宋体" w:hAnsi="宋体" w:eastAsia="宋体" w:cs="宋体"/>
                <w:color w:val="000000"/>
                <w:kern w:val="0"/>
                <w:szCs w:val="21"/>
              </w:rPr>
            </w:pPr>
          </w:p>
        </w:tc>
        <w:tc>
          <w:tcPr>
            <w:tcW w:w="619" w:type="dxa"/>
            <w:vAlign w:val="center"/>
          </w:tcPr>
          <w:p w14:paraId="745F17CB">
            <w:pPr>
              <w:widowControl/>
              <w:spacing w:line="600" w:lineRule="exact"/>
              <w:jc w:val="center"/>
              <w:rPr>
                <w:rFonts w:hint="eastAsia" w:ascii="宋体" w:hAnsi="宋体" w:eastAsia="宋体" w:cs="宋体"/>
                <w:color w:val="000000"/>
                <w:kern w:val="0"/>
                <w:szCs w:val="21"/>
              </w:rPr>
            </w:pPr>
          </w:p>
        </w:tc>
        <w:tc>
          <w:tcPr>
            <w:tcW w:w="632" w:type="dxa"/>
            <w:vAlign w:val="center"/>
          </w:tcPr>
          <w:p w14:paraId="0B5EA136">
            <w:pPr>
              <w:widowControl/>
              <w:spacing w:line="600" w:lineRule="exact"/>
              <w:jc w:val="center"/>
              <w:rPr>
                <w:rFonts w:hint="eastAsia" w:ascii="宋体" w:hAnsi="宋体" w:eastAsia="宋体" w:cs="宋体"/>
                <w:color w:val="000000"/>
                <w:kern w:val="0"/>
                <w:szCs w:val="21"/>
              </w:rPr>
            </w:pPr>
          </w:p>
        </w:tc>
        <w:tc>
          <w:tcPr>
            <w:tcW w:w="886" w:type="dxa"/>
            <w:vAlign w:val="center"/>
          </w:tcPr>
          <w:p w14:paraId="15541D1F">
            <w:pPr>
              <w:widowControl/>
              <w:spacing w:line="600" w:lineRule="exact"/>
              <w:jc w:val="center"/>
              <w:rPr>
                <w:rFonts w:hint="eastAsia" w:ascii="宋体" w:hAnsi="宋体" w:eastAsia="宋体" w:cs="宋体"/>
                <w:color w:val="000000"/>
                <w:kern w:val="0"/>
                <w:szCs w:val="21"/>
              </w:rPr>
            </w:pPr>
          </w:p>
        </w:tc>
        <w:tc>
          <w:tcPr>
            <w:tcW w:w="886" w:type="dxa"/>
            <w:vAlign w:val="center"/>
          </w:tcPr>
          <w:p w14:paraId="7BD15367">
            <w:pPr>
              <w:widowControl/>
              <w:spacing w:line="600" w:lineRule="exact"/>
              <w:jc w:val="center"/>
              <w:rPr>
                <w:rFonts w:hint="eastAsia" w:ascii="宋体" w:hAnsi="宋体" w:eastAsia="宋体" w:cs="宋体"/>
                <w:color w:val="000000"/>
                <w:kern w:val="0"/>
                <w:szCs w:val="21"/>
              </w:rPr>
            </w:pPr>
          </w:p>
        </w:tc>
        <w:tc>
          <w:tcPr>
            <w:tcW w:w="886" w:type="dxa"/>
            <w:vAlign w:val="center"/>
          </w:tcPr>
          <w:p w14:paraId="7A2114F3">
            <w:pPr>
              <w:widowControl/>
              <w:spacing w:line="600" w:lineRule="exact"/>
              <w:jc w:val="center"/>
              <w:rPr>
                <w:rFonts w:hint="eastAsia" w:ascii="宋体" w:hAnsi="宋体" w:eastAsia="宋体" w:cs="宋体"/>
                <w:color w:val="000000"/>
                <w:kern w:val="0"/>
                <w:szCs w:val="21"/>
              </w:rPr>
            </w:pPr>
          </w:p>
        </w:tc>
        <w:tc>
          <w:tcPr>
            <w:tcW w:w="886" w:type="dxa"/>
            <w:vAlign w:val="center"/>
          </w:tcPr>
          <w:p w14:paraId="7A09811B">
            <w:pPr>
              <w:widowControl/>
              <w:spacing w:line="600" w:lineRule="exact"/>
              <w:jc w:val="center"/>
              <w:rPr>
                <w:rFonts w:hint="eastAsia" w:ascii="宋体" w:hAnsi="宋体" w:eastAsia="宋体" w:cs="宋体"/>
                <w:color w:val="000000"/>
                <w:kern w:val="0"/>
                <w:szCs w:val="21"/>
              </w:rPr>
            </w:pPr>
          </w:p>
        </w:tc>
      </w:tr>
      <w:tr w14:paraId="52F17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tcBorders>
              <w:top w:val="single" w:color="auto" w:sz="4" w:space="0"/>
              <w:left w:val="single" w:color="auto" w:sz="4" w:space="0"/>
              <w:bottom w:val="single" w:color="auto" w:sz="4" w:space="0"/>
              <w:right w:val="single" w:color="auto" w:sz="4" w:space="0"/>
            </w:tcBorders>
            <w:vAlign w:val="center"/>
          </w:tcPr>
          <w:p w14:paraId="48D337F8">
            <w:pPr>
              <w:widowControl/>
              <w:spacing w:line="600" w:lineRule="exact"/>
              <w:jc w:val="right"/>
              <w:rPr>
                <w:rFonts w:hint="eastAsia" w:ascii="宋体" w:hAnsi="宋体" w:eastAsia="宋体" w:cs="宋体"/>
                <w:color w:val="000000"/>
                <w:kern w:val="0"/>
                <w:szCs w:val="21"/>
              </w:rPr>
            </w:pPr>
          </w:p>
        </w:tc>
        <w:tc>
          <w:tcPr>
            <w:tcW w:w="2406" w:type="dxa"/>
            <w:tcBorders>
              <w:top w:val="single" w:color="auto" w:sz="4" w:space="0"/>
              <w:left w:val="single" w:color="auto" w:sz="4" w:space="0"/>
              <w:bottom w:val="single" w:color="auto" w:sz="4" w:space="0"/>
              <w:right w:val="single" w:color="auto" w:sz="4" w:space="0"/>
            </w:tcBorders>
            <w:vAlign w:val="center"/>
          </w:tcPr>
          <w:p w14:paraId="328CCA5B">
            <w:pPr>
              <w:widowControl/>
              <w:spacing w:line="600" w:lineRule="exact"/>
              <w:jc w:val="center"/>
              <w:rPr>
                <w:rFonts w:hint="eastAsia" w:ascii="宋体" w:hAnsi="宋体" w:eastAsia="宋体" w:cs="宋体"/>
                <w:color w:val="000000"/>
                <w:kern w:val="0"/>
                <w:szCs w:val="21"/>
              </w:rPr>
            </w:pPr>
          </w:p>
        </w:tc>
        <w:tc>
          <w:tcPr>
            <w:tcW w:w="712" w:type="dxa"/>
            <w:tcBorders>
              <w:top w:val="single" w:color="auto" w:sz="4" w:space="0"/>
              <w:left w:val="single" w:color="auto" w:sz="4" w:space="0"/>
              <w:bottom w:val="single" w:color="auto" w:sz="4" w:space="0"/>
              <w:right w:val="single" w:color="auto" w:sz="4" w:space="0"/>
            </w:tcBorders>
            <w:vAlign w:val="center"/>
          </w:tcPr>
          <w:p w14:paraId="265A409D">
            <w:pPr>
              <w:widowControl/>
              <w:spacing w:line="600" w:lineRule="exact"/>
              <w:jc w:val="center"/>
              <w:rPr>
                <w:rFonts w:hint="eastAsia" w:ascii="宋体" w:hAnsi="宋体" w:eastAsia="宋体" w:cs="宋体"/>
                <w:color w:val="000000"/>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14:paraId="6E30C709">
            <w:pPr>
              <w:widowControl/>
              <w:spacing w:line="600" w:lineRule="exact"/>
              <w:jc w:val="center"/>
              <w:rPr>
                <w:rFonts w:hint="eastAsia" w:ascii="宋体" w:hAnsi="宋体" w:eastAsia="宋体" w:cs="宋体"/>
                <w:color w:val="000000"/>
                <w:kern w:val="0"/>
                <w:szCs w:val="21"/>
              </w:rPr>
            </w:pPr>
          </w:p>
        </w:tc>
        <w:tc>
          <w:tcPr>
            <w:tcW w:w="619" w:type="dxa"/>
            <w:tcBorders>
              <w:top w:val="single" w:color="auto" w:sz="4" w:space="0"/>
              <w:left w:val="single" w:color="auto" w:sz="4" w:space="0"/>
              <w:bottom w:val="single" w:color="auto" w:sz="4" w:space="0"/>
              <w:right w:val="single" w:color="auto" w:sz="4" w:space="0"/>
            </w:tcBorders>
            <w:vAlign w:val="center"/>
          </w:tcPr>
          <w:p w14:paraId="2882926C">
            <w:pPr>
              <w:widowControl/>
              <w:spacing w:line="600" w:lineRule="exact"/>
              <w:jc w:val="center"/>
              <w:rPr>
                <w:rFonts w:hint="eastAsia" w:ascii="宋体" w:hAnsi="宋体" w:eastAsia="宋体" w:cs="宋体"/>
                <w:color w:val="000000"/>
                <w:kern w:val="0"/>
                <w:szCs w:val="21"/>
              </w:rPr>
            </w:pPr>
          </w:p>
        </w:tc>
        <w:tc>
          <w:tcPr>
            <w:tcW w:w="632" w:type="dxa"/>
            <w:tcBorders>
              <w:top w:val="single" w:color="auto" w:sz="4" w:space="0"/>
              <w:left w:val="single" w:color="auto" w:sz="4" w:space="0"/>
              <w:bottom w:val="single" w:color="auto" w:sz="4" w:space="0"/>
              <w:right w:val="single" w:color="auto" w:sz="4" w:space="0"/>
            </w:tcBorders>
            <w:vAlign w:val="center"/>
          </w:tcPr>
          <w:p w14:paraId="2696B8C4">
            <w:pPr>
              <w:widowControl/>
              <w:spacing w:line="600" w:lineRule="exact"/>
              <w:jc w:val="center"/>
              <w:rPr>
                <w:rFonts w:hint="eastAsia" w:ascii="宋体" w:hAnsi="宋体" w:eastAsia="宋体" w:cs="宋体"/>
                <w:color w:val="000000"/>
                <w:kern w:val="0"/>
                <w:szCs w:val="21"/>
              </w:rPr>
            </w:pPr>
          </w:p>
        </w:tc>
        <w:tc>
          <w:tcPr>
            <w:tcW w:w="886" w:type="dxa"/>
            <w:tcBorders>
              <w:top w:val="single" w:color="auto" w:sz="4" w:space="0"/>
              <w:left w:val="single" w:color="auto" w:sz="4" w:space="0"/>
              <w:bottom w:val="single" w:color="auto" w:sz="4" w:space="0"/>
              <w:right w:val="single" w:color="auto" w:sz="4" w:space="0"/>
            </w:tcBorders>
            <w:vAlign w:val="center"/>
          </w:tcPr>
          <w:p w14:paraId="710B713C">
            <w:pPr>
              <w:widowControl/>
              <w:spacing w:line="600" w:lineRule="exact"/>
              <w:jc w:val="center"/>
              <w:rPr>
                <w:rFonts w:hint="eastAsia" w:ascii="宋体" w:hAnsi="宋体" w:eastAsia="宋体" w:cs="宋体"/>
                <w:color w:val="000000"/>
                <w:kern w:val="0"/>
                <w:szCs w:val="21"/>
              </w:rPr>
            </w:pPr>
          </w:p>
        </w:tc>
        <w:tc>
          <w:tcPr>
            <w:tcW w:w="886" w:type="dxa"/>
            <w:tcBorders>
              <w:top w:val="single" w:color="auto" w:sz="4" w:space="0"/>
              <w:left w:val="single" w:color="auto" w:sz="4" w:space="0"/>
              <w:bottom w:val="single" w:color="auto" w:sz="4" w:space="0"/>
              <w:right w:val="single" w:color="auto" w:sz="4" w:space="0"/>
            </w:tcBorders>
            <w:vAlign w:val="center"/>
          </w:tcPr>
          <w:p w14:paraId="1FEFBAF5">
            <w:pPr>
              <w:widowControl/>
              <w:spacing w:line="600" w:lineRule="exact"/>
              <w:jc w:val="center"/>
              <w:rPr>
                <w:rFonts w:hint="eastAsia" w:ascii="宋体" w:hAnsi="宋体" w:eastAsia="宋体" w:cs="宋体"/>
                <w:color w:val="000000"/>
                <w:kern w:val="0"/>
                <w:szCs w:val="21"/>
              </w:rPr>
            </w:pPr>
          </w:p>
        </w:tc>
        <w:tc>
          <w:tcPr>
            <w:tcW w:w="886" w:type="dxa"/>
            <w:tcBorders>
              <w:top w:val="single" w:color="auto" w:sz="4" w:space="0"/>
              <w:left w:val="single" w:color="auto" w:sz="4" w:space="0"/>
              <w:bottom w:val="single" w:color="auto" w:sz="4" w:space="0"/>
              <w:right w:val="single" w:color="auto" w:sz="4" w:space="0"/>
            </w:tcBorders>
            <w:vAlign w:val="center"/>
          </w:tcPr>
          <w:p w14:paraId="19725D24">
            <w:pPr>
              <w:widowControl/>
              <w:spacing w:line="600" w:lineRule="exact"/>
              <w:jc w:val="center"/>
              <w:rPr>
                <w:rFonts w:hint="eastAsia" w:ascii="宋体" w:hAnsi="宋体" w:eastAsia="宋体" w:cs="宋体"/>
                <w:color w:val="000000"/>
                <w:kern w:val="0"/>
                <w:szCs w:val="21"/>
              </w:rPr>
            </w:pPr>
          </w:p>
        </w:tc>
        <w:tc>
          <w:tcPr>
            <w:tcW w:w="886" w:type="dxa"/>
            <w:tcBorders>
              <w:top w:val="single" w:color="auto" w:sz="4" w:space="0"/>
              <w:left w:val="single" w:color="auto" w:sz="4" w:space="0"/>
              <w:bottom w:val="single" w:color="auto" w:sz="4" w:space="0"/>
              <w:right w:val="single" w:color="auto" w:sz="4" w:space="0"/>
            </w:tcBorders>
            <w:vAlign w:val="center"/>
          </w:tcPr>
          <w:p w14:paraId="6F193515">
            <w:pPr>
              <w:widowControl/>
              <w:spacing w:line="600" w:lineRule="exact"/>
              <w:jc w:val="center"/>
              <w:rPr>
                <w:rFonts w:hint="eastAsia" w:ascii="宋体" w:hAnsi="宋体" w:eastAsia="宋体" w:cs="宋体"/>
                <w:color w:val="000000"/>
                <w:kern w:val="0"/>
                <w:szCs w:val="21"/>
              </w:rPr>
            </w:pPr>
          </w:p>
        </w:tc>
      </w:tr>
      <w:tr w14:paraId="4D0B3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tcBorders>
              <w:top w:val="single" w:color="auto" w:sz="4" w:space="0"/>
              <w:left w:val="single" w:color="auto" w:sz="4" w:space="0"/>
              <w:bottom w:val="single" w:color="auto" w:sz="4" w:space="0"/>
              <w:right w:val="single" w:color="auto" w:sz="4" w:space="0"/>
            </w:tcBorders>
            <w:vAlign w:val="center"/>
          </w:tcPr>
          <w:p w14:paraId="249D6244">
            <w:pPr>
              <w:widowControl/>
              <w:spacing w:line="600" w:lineRule="exact"/>
              <w:jc w:val="right"/>
              <w:rPr>
                <w:rFonts w:hint="eastAsia" w:ascii="宋体" w:hAnsi="宋体" w:eastAsia="宋体" w:cs="宋体"/>
                <w:color w:val="000000"/>
                <w:kern w:val="0"/>
                <w:szCs w:val="21"/>
              </w:rPr>
            </w:pPr>
          </w:p>
        </w:tc>
        <w:tc>
          <w:tcPr>
            <w:tcW w:w="2406" w:type="dxa"/>
            <w:tcBorders>
              <w:top w:val="single" w:color="auto" w:sz="4" w:space="0"/>
              <w:left w:val="single" w:color="auto" w:sz="4" w:space="0"/>
              <w:bottom w:val="single" w:color="auto" w:sz="4" w:space="0"/>
              <w:right w:val="single" w:color="auto" w:sz="4" w:space="0"/>
            </w:tcBorders>
            <w:vAlign w:val="center"/>
          </w:tcPr>
          <w:p w14:paraId="1834906E">
            <w:pPr>
              <w:widowControl/>
              <w:spacing w:line="600" w:lineRule="exact"/>
              <w:jc w:val="center"/>
              <w:rPr>
                <w:rFonts w:hint="eastAsia" w:ascii="宋体" w:hAnsi="宋体" w:eastAsia="宋体" w:cs="宋体"/>
                <w:color w:val="000000"/>
                <w:kern w:val="0"/>
                <w:szCs w:val="21"/>
              </w:rPr>
            </w:pPr>
          </w:p>
        </w:tc>
        <w:tc>
          <w:tcPr>
            <w:tcW w:w="712" w:type="dxa"/>
            <w:tcBorders>
              <w:top w:val="single" w:color="auto" w:sz="4" w:space="0"/>
              <w:left w:val="single" w:color="auto" w:sz="4" w:space="0"/>
              <w:bottom w:val="single" w:color="auto" w:sz="4" w:space="0"/>
              <w:right w:val="single" w:color="auto" w:sz="4" w:space="0"/>
            </w:tcBorders>
            <w:vAlign w:val="center"/>
          </w:tcPr>
          <w:p w14:paraId="52B240E6">
            <w:pPr>
              <w:widowControl/>
              <w:spacing w:line="600" w:lineRule="exact"/>
              <w:jc w:val="center"/>
              <w:rPr>
                <w:rFonts w:hint="eastAsia" w:ascii="宋体" w:hAnsi="宋体" w:eastAsia="宋体" w:cs="宋体"/>
                <w:color w:val="000000"/>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14:paraId="7E44229B">
            <w:pPr>
              <w:widowControl/>
              <w:spacing w:line="600" w:lineRule="exact"/>
              <w:jc w:val="center"/>
              <w:rPr>
                <w:rFonts w:hint="eastAsia" w:ascii="宋体" w:hAnsi="宋体" w:eastAsia="宋体" w:cs="宋体"/>
                <w:color w:val="000000"/>
                <w:kern w:val="0"/>
                <w:szCs w:val="21"/>
              </w:rPr>
            </w:pPr>
          </w:p>
        </w:tc>
        <w:tc>
          <w:tcPr>
            <w:tcW w:w="619" w:type="dxa"/>
            <w:tcBorders>
              <w:top w:val="single" w:color="auto" w:sz="4" w:space="0"/>
              <w:left w:val="single" w:color="auto" w:sz="4" w:space="0"/>
              <w:bottom w:val="single" w:color="auto" w:sz="4" w:space="0"/>
              <w:right w:val="single" w:color="auto" w:sz="4" w:space="0"/>
            </w:tcBorders>
            <w:vAlign w:val="center"/>
          </w:tcPr>
          <w:p w14:paraId="477CADD1">
            <w:pPr>
              <w:widowControl/>
              <w:spacing w:line="600" w:lineRule="exact"/>
              <w:jc w:val="center"/>
              <w:rPr>
                <w:rFonts w:hint="eastAsia" w:ascii="宋体" w:hAnsi="宋体" w:eastAsia="宋体" w:cs="宋体"/>
                <w:color w:val="000000"/>
                <w:kern w:val="0"/>
                <w:szCs w:val="21"/>
              </w:rPr>
            </w:pPr>
          </w:p>
        </w:tc>
        <w:tc>
          <w:tcPr>
            <w:tcW w:w="632" w:type="dxa"/>
            <w:tcBorders>
              <w:top w:val="single" w:color="auto" w:sz="4" w:space="0"/>
              <w:left w:val="single" w:color="auto" w:sz="4" w:space="0"/>
              <w:bottom w:val="single" w:color="auto" w:sz="4" w:space="0"/>
              <w:right w:val="single" w:color="auto" w:sz="4" w:space="0"/>
            </w:tcBorders>
            <w:vAlign w:val="center"/>
          </w:tcPr>
          <w:p w14:paraId="205542F6">
            <w:pPr>
              <w:widowControl/>
              <w:spacing w:line="600" w:lineRule="exact"/>
              <w:jc w:val="center"/>
              <w:rPr>
                <w:rFonts w:hint="eastAsia" w:ascii="宋体" w:hAnsi="宋体" w:eastAsia="宋体" w:cs="宋体"/>
                <w:color w:val="000000"/>
                <w:kern w:val="0"/>
                <w:szCs w:val="21"/>
              </w:rPr>
            </w:pPr>
          </w:p>
        </w:tc>
        <w:tc>
          <w:tcPr>
            <w:tcW w:w="886" w:type="dxa"/>
            <w:tcBorders>
              <w:top w:val="single" w:color="auto" w:sz="4" w:space="0"/>
              <w:left w:val="single" w:color="auto" w:sz="4" w:space="0"/>
              <w:bottom w:val="single" w:color="auto" w:sz="4" w:space="0"/>
              <w:right w:val="single" w:color="auto" w:sz="4" w:space="0"/>
            </w:tcBorders>
            <w:vAlign w:val="center"/>
          </w:tcPr>
          <w:p w14:paraId="173EBFDA">
            <w:pPr>
              <w:widowControl/>
              <w:spacing w:line="600" w:lineRule="exact"/>
              <w:jc w:val="center"/>
              <w:rPr>
                <w:rFonts w:hint="eastAsia" w:ascii="宋体" w:hAnsi="宋体" w:eastAsia="宋体" w:cs="宋体"/>
                <w:color w:val="000000"/>
                <w:kern w:val="0"/>
                <w:szCs w:val="21"/>
              </w:rPr>
            </w:pPr>
          </w:p>
        </w:tc>
        <w:tc>
          <w:tcPr>
            <w:tcW w:w="886" w:type="dxa"/>
            <w:tcBorders>
              <w:top w:val="single" w:color="auto" w:sz="4" w:space="0"/>
              <w:left w:val="single" w:color="auto" w:sz="4" w:space="0"/>
              <w:bottom w:val="single" w:color="auto" w:sz="4" w:space="0"/>
              <w:right w:val="single" w:color="auto" w:sz="4" w:space="0"/>
            </w:tcBorders>
            <w:vAlign w:val="center"/>
          </w:tcPr>
          <w:p w14:paraId="661660A8">
            <w:pPr>
              <w:widowControl/>
              <w:spacing w:line="600" w:lineRule="exact"/>
              <w:jc w:val="center"/>
              <w:rPr>
                <w:rFonts w:hint="eastAsia" w:ascii="宋体" w:hAnsi="宋体" w:eastAsia="宋体" w:cs="宋体"/>
                <w:color w:val="000000"/>
                <w:kern w:val="0"/>
                <w:szCs w:val="21"/>
              </w:rPr>
            </w:pPr>
          </w:p>
        </w:tc>
        <w:tc>
          <w:tcPr>
            <w:tcW w:w="886" w:type="dxa"/>
            <w:tcBorders>
              <w:top w:val="single" w:color="auto" w:sz="4" w:space="0"/>
              <w:left w:val="single" w:color="auto" w:sz="4" w:space="0"/>
              <w:bottom w:val="single" w:color="auto" w:sz="4" w:space="0"/>
              <w:right w:val="single" w:color="auto" w:sz="4" w:space="0"/>
            </w:tcBorders>
            <w:vAlign w:val="center"/>
          </w:tcPr>
          <w:p w14:paraId="7477E5F5">
            <w:pPr>
              <w:widowControl/>
              <w:spacing w:line="600" w:lineRule="exact"/>
              <w:jc w:val="center"/>
              <w:rPr>
                <w:rFonts w:hint="eastAsia" w:ascii="宋体" w:hAnsi="宋体" w:eastAsia="宋体" w:cs="宋体"/>
                <w:color w:val="000000"/>
                <w:kern w:val="0"/>
                <w:szCs w:val="21"/>
              </w:rPr>
            </w:pPr>
          </w:p>
        </w:tc>
        <w:tc>
          <w:tcPr>
            <w:tcW w:w="886" w:type="dxa"/>
            <w:tcBorders>
              <w:top w:val="single" w:color="auto" w:sz="4" w:space="0"/>
              <w:left w:val="single" w:color="auto" w:sz="4" w:space="0"/>
              <w:bottom w:val="single" w:color="auto" w:sz="4" w:space="0"/>
              <w:right w:val="single" w:color="auto" w:sz="4" w:space="0"/>
            </w:tcBorders>
            <w:vAlign w:val="center"/>
          </w:tcPr>
          <w:p w14:paraId="38FADEDC">
            <w:pPr>
              <w:widowControl/>
              <w:spacing w:line="600" w:lineRule="exact"/>
              <w:jc w:val="center"/>
              <w:rPr>
                <w:rFonts w:hint="eastAsia" w:ascii="宋体" w:hAnsi="宋体" w:eastAsia="宋体" w:cs="宋体"/>
                <w:color w:val="000000"/>
                <w:kern w:val="0"/>
                <w:szCs w:val="21"/>
              </w:rPr>
            </w:pPr>
          </w:p>
        </w:tc>
      </w:tr>
      <w:tr w14:paraId="2C5A7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tcBorders>
              <w:top w:val="single" w:color="auto" w:sz="4" w:space="0"/>
              <w:left w:val="single" w:color="auto" w:sz="4" w:space="0"/>
              <w:bottom w:val="single" w:color="auto" w:sz="4" w:space="0"/>
              <w:right w:val="single" w:color="auto" w:sz="4" w:space="0"/>
            </w:tcBorders>
            <w:vAlign w:val="center"/>
          </w:tcPr>
          <w:p w14:paraId="5245A6B5">
            <w:pPr>
              <w:widowControl/>
              <w:spacing w:line="600" w:lineRule="exact"/>
              <w:jc w:val="right"/>
              <w:rPr>
                <w:rFonts w:hint="eastAsia" w:ascii="宋体" w:hAnsi="宋体" w:eastAsia="宋体" w:cs="宋体"/>
                <w:color w:val="000000"/>
                <w:kern w:val="0"/>
                <w:szCs w:val="21"/>
              </w:rPr>
            </w:pPr>
          </w:p>
        </w:tc>
        <w:tc>
          <w:tcPr>
            <w:tcW w:w="2406" w:type="dxa"/>
            <w:tcBorders>
              <w:top w:val="single" w:color="auto" w:sz="4" w:space="0"/>
              <w:left w:val="single" w:color="auto" w:sz="4" w:space="0"/>
              <w:bottom w:val="single" w:color="auto" w:sz="4" w:space="0"/>
              <w:right w:val="single" w:color="auto" w:sz="4" w:space="0"/>
            </w:tcBorders>
            <w:vAlign w:val="center"/>
          </w:tcPr>
          <w:p w14:paraId="6196CC13">
            <w:pPr>
              <w:widowControl/>
              <w:spacing w:line="600" w:lineRule="exact"/>
              <w:jc w:val="center"/>
              <w:rPr>
                <w:rFonts w:hint="eastAsia" w:ascii="宋体" w:hAnsi="宋体" w:eastAsia="宋体" w:cs="宋体"/>
                <w:color w:val="000000"/>
                <w:kern w:val="0"/>
                <w:szCs w:val="21"/>
              </w:rPr>
            </w:pPr>
          </w:p>
        </w:tc>
        <w:tc>
          <w:tcPr>
            <w:tcW w:w="712" w:type="dxa"/>
            <w:tcBorders>
              <w:top w:val="single" w:color="auto" w:sz="4" w:space="0"/>
              <w:left w:val="single" w:color="auto" w:sz="4" w:space="0"/>
              <w:bottom w:val="single" w:color="auto" w:sz="4" w:space="0"/>
              <w:right w:val="single" w:color="auto" w:sz="4" w:space="0"/>
            </w:tcBorders>
            <w:vAlign w:val="center"/>
          </w:tcPr>
          <w:p w14:paraId="3B0E36F7">
            <w:pPr>
              <w:widowControl/>
              <w:spacing w:line="600" w:lineRule="exact"/>
              <w:jc w:val="center"/>
              <w:rPr>
                <w:rFonts w:hint="eastAsia" w:ascii="宋体" w:hAnsi="宋体" w:eastAsia="宋体" w:cs="宋体"/>
                <w:color w:val="000000"/>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14:paraId="3F351F3E">
            <w:pPr>
              <w:widowControl/>
              <w:spacing w:line="600" w:lineRule="exact"/>
              <w:jc w:val="center"/>
              <w:rPr>
                <w:rFonts w:hint="eastAsia" w:ascii="宋体" w:hAnsi="宋体" w:eastAsia="宋体" w:cs="宋体"/>
                <w:color w:val="000000"/>
                <w:kern w:val="0"/>
                <w:szCs w:val="21"/>
              </w:rPr>
            </w:pPr>
          </w:p>
        </w:tc>
        <w:tc>
          <w:tcPr>
            <w:tcW w:w="619" w:type="dxa"/>
            <w:tcBorders>
              <w:top w:val="single" w:color="auto" w:sz="4" w:space="0"/>
              <w:left w:val="single" w:color="auto" w:sz="4" w:space="0"/>
              <w:bottom w:val="single" w:color="auto" w:sz="4" w:space="0"/>
              <w:right w:val="single" w:color="auto" w:sz="4" w:space="0"/>
            </w:tcBorders>
            <w:vAlign w:val="center"/>
          </w:tcPr>
          <w:p w14:paraId="5A7F7754">
            <w:pPr>
              <w:widowControl/>
              <w:spacing w:line="600" w:lineRule="exact"/>
              <w:jc w:val="center"/>
              <w:rPr>
                <w:rFonts w:hint="eastAsia" w:ascii="宋体" w:hAnsi="宋体" w:eastAsia="宋体" w:cs="宋体"/>
                <w:color w:val="000000"/>
                <w:kern w:val="0"/>
                <w:szCs w:val="21"/>
              </w:rPr>
            </w:pPr>
          </w:p>
        </w:tc>
        <w:tc>
          <w:tcPr>
            <w:tcW w:w="632" w:type="dxa"/>
            <w:tcBorders>
              <w:top w:val="single" w:color="auto" w:sz="4" w:space="0"/>
              <w:left w:val="single" w:color="auto" w:sz="4" w:space="0"/>
              <w:bottom w:val="single" w:color="auto" w:sz="4" w:space="0"/>
              <w:right w:val="single" w:color="auto" w:sz="4" w:space="0"/>
            </w:tcBorders>
            <w:vAlign w:val="center"/>
          </w:tcPr>
          <w:p w14:paraId="35B6658C">
            <w:pPr>
              <w:widowControl/>
              <w:spacing w:line="600" w:lineRule="exact"/>
              <w:jc w:val="center"/>
              <w:rPr>
                <w:rFonts w:hint="eastAsia" w:ascii="宋体" w:hAnsi="宋体" w:eastAsia="宋体" w:cs="宋体"/>
                <w:color w:val="000000"/>
                <w:kern w:val="0"/>
                <w:szCs w:val="21"/>
              </w:rPr>
            </w:pPr>
          </w:p>
        </w:tc>
        <w:tc>
          <w:tcPr>
            <w:tcW w:w="886" w:type="dxa"/>
            <w:tcBorders>
              <w:top w:val="single" w:color="auto" w:sz="4" w:space="0"/>
              <w:left w:val="single" w:color="auto" w:sz="4" w:space="0"/>
              <w:bottom w:val="single" w:color="auto" w:sz="4" w:space="0"/>
              <w:right w:val="single" w:color="auto" w:sz="4" w:space="0"/>
            </w:tcBorders>
            <w:vAlign w:val="center"/>
          </w:tcPr>
          <w:p w14:paraId="3C343E2D">
            <w:pPr>
              <w:widowControl/>
              <w:spacing w:line="600" w:lineRule="exact"/>
              <w:jc w:val="center"/>
              <w:rPr>
                <w:rFonts w:hint="eastAsia" w:ascii="宋体" w:hAnsi="宋体" w:eastAsia="宋体" w:cs="宋体"/>
                <w:color w:val="000000"/>
                <w:kern w:val="0"/>
                <w:szCs w:val="21"/>
              </w:rPr>
            </w:pPr>
          </w:p>
        </w:tc>
        <w:tc>
          <w:tcPr>
            <w:tcW w:w="886" w:type="dxa"/>
            <w:tcBorders>
              <w:top w:val="single" w:color="auto" w:sz="4" w:space="0"/>
              <w:left w:val="single" w:color="auto" w:sz="4" w:space="0"/>
              <w:bottom w:val="single" w:color="auto" w:sz="4" w:space="0"/>
              <w:right w:val="single" w:color="auto" w:sz="4" w:space="0"/>
            </w:tcBorders>
            <w:vAlign w:val="center"/>
          </w:tcPr>
          <w:p w14:paraId="60EC92A2">
            <w:pPr>
              <w:widowControl/>
              <w:spacing w:line="600" w:lineRule="exact"/>
              <w:jc w:val="center"/>
              <w:rPr>
                <w:rFonts w:hint="eastAsia" w:ascii="宋体" w:hAnsi="宋体" w:eastAsia="宋体" w:cs="宋体"/>
                <w:color w:val="000000"/>
                <w:kern w:val="0"/>
                <w:szCs w:val="21"/>
              </w:rPr>
            </w:pPr>
          </w:p>
        </w:tc>
        <w:tc>
          <w:tcPr>
            <w:tcW w:w="886" w:type="dxa"/>
            <w:tcBorders>
              <w:top w:val="single" w:color="auto" w:sz="4" w:space="0"/>
              <w:left w:val="single" w:color="auto" w:sz="4" w:space="0"/>
              <w:bottom w:val="single" w:color="auto" w:sz="4" w:space="0"/>
              <w:right w:val="single" w:color="auto" w:sz="4" w:space="0"/>
            </w:tcBorders>
            <w:vAlign w:val="center"/>
          </w:tcPr>
          <w:p w14:paraId="086C9C22">
            <w:pPr>
              <w:widowControl/>
              <w:spacing w:line="600" w:lineRule="exact"/>
              <w:jc w:val="center"/>
              <w:rPr>
                <w:rFonts w:hint="eastAsia" w:ascii="宋体" w:hAnsi="宋体" w:eastAsia="宋体" w:cs="宋体"/>
                <w:color w:val="000000"/>
                <w:kern w:val="0"/>
                <w:szCs w:val="21"/>
              </w:rPr>
            </w:pPr>
          </w:p>
        </w:tc>
        <w:tc>
          <w:tcPr>
            <w:tcW w:w="886" w:type="dxa"/>
            <w:tcBorders>
              <w:top w:val="single" w:color="auto" w:sz="4" w:space="0"/>
              <w:left w:val="single" w:color="auto" w:sz="4" w:space="0"/>
              <w:bottom w:val="single" w:color="auto" w:sz="4" w:space="0"/>
              <w:right w:val="single" w:color="auto" w:sz="4" w:space="0"/>
            </w:tcBorders>
            <w:vAlign w:val="center"/>
          </w:tcPr>
          <w:p w14:paraId="6F4DFA8A">
            <w:pPr>
              <w:widowControl/>
              <w:spacing w:line="600" w:lineRule="exact"/>
              <w:jc w:val="center"/>
              <w:rPr>
                <w:rFonts w:hint="eastAsia" w:ascii="宋体" w:hAnsi="宋体" w:eastAsia="宋体" w:cs="宋体"/>
                <w:color w:val="000000"/>
                <w:kern w:val="0"/>
                <w:szCs w:val="21"/>
              </w:rPr>
            </w:pPr>
          </w:p>
        </w:tc>
      </w:tr>
      <w:tr w14:paraId="226DD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tcBorders>
              <w:top w:val="single" w:color="auto" w:sz="4" w:space="0"/>
              <w:left w:val="single" w:color="auto" w:sz="4" w:space="0"/>
              <w:bottom w:val="single" w:color="auto" w:sz="4" w:space="0"/>
              <w:right w:val="single" w:color="auto" w:sz="4" w:space="0"/>
            </w:tcBorders>
            <w:vAlign w:val="center"/>
          </w:tcPr>
          <w:p w14:paraId="3A222436">
            <w:pPr>
              <w:widowControl/>
              <w:spacing w:line="600" w:lineRule="exact"/>
              <w:jc w:val="right"/>
              <w:rPr>
                <w:rFonts w:hint="eastAsia" w:ascii="宋体" w:hAnsi="宋体" w:eastAsia="宋体" w:cs="宋体"/>
                <w:color w:val="000000"/>
                <w:kern w:val="0"/>
                <w:szCs w:val="21"/>
              </w:rPr>
            </w:pPr>
          </w:p>
        </w:tc>
        <w:tc>
          <w:tcPr>
            <w:tcW w:w="2406" w:type="dxa"/>
            <w:tcBorders>
              <w:top w:val="single" w:color="auto" w:sz="4" w:space="0"/>
              <w:left w:val="single" w:color="auto" w:sz="4" w:space="0"/>
              <w:bottom w:val="single" w:color="auto" w:sz="4" w:space="0"/>
              <w:right w:val="single" w:color="auto" w:sz="4" w:space="0"/>
            </w:tcBorders>
            <w:vAlign w:val="center"/>
          </w:tcPr>
          <w:p w14:paraId="7DB0E5B1">
            <w:pPr>
              <w:widowControl/>
              <w:spacing w:line="600" w:lineRule="exact"/>
              <w:jc w:val="center"/>
              <w:rPr>
                <w:rFonts w:hint="eastAsia" w:ascii="宋体" w:hAnsi="宋体" w:eastAsia="宋体" w:cs="宋体"/>
                <w:color w:val="000000"/>
                <w:kern w:val="0"/>
                <w:szCs w:val="21"/>
              </w:rPr>
            </w:pPr>
          </w:p>
        </w:tc>
        <w:tc>
          <w:tcPr>
            <w:tcW w:w="712" w:type="dxa"/>
            <w:tcBorders>
              <w:top w:val="single" w:color="auto" w:sz="4" w:space="0"/>
              <w:left w:val="single" w:color="auto" w:sz="4" w:space="0"/>
              <w:bottom w:val="single" w:color="auto" w:sz="4" w:space="0"/>
              <w:right w:val="single" w:color="auto" w:sz="4" w:space="0"/>
            </w:tcBorders>
            <w:vAlign w:val="center"/>
          </w:tcPr>
          <w:p w14:paraId="0BDCD756">
            <w:pPr>
              <w:widowControl/>
              <w:spacing w:line="600" w:lineRule="exact"/>
              <w:jc w:val="center"/>
              <w:rPr>
                <w:rFonts w:hint="eastAsia" w:ascii="宋体" w:hAnsi="宋体" w:eastAsia="宋体" w:cs="宋体"/>
                <w:color w:val="000000"/>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14:paraId="4CB3E15B">
            <w:pPr>
              <w:widowControl/>
              <w:spacing w:line="600" w:lineRule="exact"/>
              <w:jc w:val="center"/>
              <w:rPr>
                <w:rFonts w:hint="eastAsia" w:ascii="宋体" w:hAnsi="宋体" w:eastAsia="宋体" w:cs="宋体"/>
                <w:color w:val="000000"/>
                <w:kern w:val="0"/>
                <w:szCs w:val="21"/>
              </w:rPr>
            </w:pPr>
          </w:p>
        </w:tc>
        <w:tc>
          <w:tcPr>
            <w:tcW w:w="619" w:type="dxa"/>
            <w:tcBorders>
              <w:top w:val="single" w:color="auto" w:sz="4" w:space="0"/>
              <w:left w:val="single" w:color="auto" w:sz="4" w:space="0"/>
              <w:bottom w:val="single" w:color="auto" w:sz="4" w:space="0"/>
              <w:right w:val="single" w:color="auto" w:sz="4" w:space="0"/>
            </w:tcBorders>
            <w:vAlign w:val="center"/>
          </w:tcPr>
          <w:p w14:paraId="53745540">
            <w:pPr>
              <w:widowControl/>
              <w:spacing w:line="600" w:lineRule="exact"/>
              <w:jc w:val="center"/>
              <w:rPr>
                <w:rFonts w:hint="eastAsia" w:ascii="宋体" w:hAnsi="宋体" w:eastAsia="宋体" w:cs="宋体"/>
                <w:color w:val="000000"/>
                <w:kern w:val="0"/>
                <w:szCs w:val="21"/>
              </w:rPr>
            </w:pPr>
          </w:p>
        </w:tc>
        <w:tc>
          <w:tcPr>
            <w:tcW w:w="632" w:type="dxa"/>
            <w:tcBorders>
              <w:top w:val="single" w:color="auto" w:sz="4" w:space="0"/>
              <w:left w:val="single" w:color="auto" w:sz="4" w:space="0"/>
              <w:bottom w:val="single" w:color="auto" w:sz="4" w:space="0"/>
              <w:right w:val="single" w:color="auto" w:sz="4" w:space="0"/>
            </w:tcBorders>
            <w:vAlign w:val="center"/>
          </w:tcPr>
          <w:p w14:paraId="62597F37">
            <w:pPr>
              <w:widowControl/>
              <w:spacing w:line="600" w:lineRule="exact"/>
              <w:jc w:val="center"/>
              <w:rPr>
                <w:rFonts w:hint="eastAsia" w:ascii="宋体" w:hAnsi="宋体" w:eastAsia="宋体" w:cs="宋体"/>
                <w:color w:val="000000"/>
                <w:kern w:val="0"/>
                <w:szCs w:val="21"/>
              </w:rPr>
            </w:pPr>
          </w:p>
        </w:tc>
        <w:tc>
          <w:tcPr>
            <w:tcW w:w="886" w:type="dxa"/>
            <w:tcBorders>
              <w:top w:val="single" w:color="auto" w:sz="4" w:space="0"/>
              <w:left w:val="single" w:color="auto" w:sz="4" w:space="0"/>
              <w:bottom w:val="single" w:color="auto" w:sz="4" w:space="0"/>
              <w:right w:val="single" w:color="auto" w:sz="4" w:space="0"/>
            </w:tcBorders>
            <w:vAlign w:val="center"/>
          </w:tcPr>
          <w:p w14:paraId="49A223B6">
            <w:pPr>
              <w:widowControl/>
              <w:spacing w:line="600" w:lineRule="exact"/>
              <w:jc w:val="center"/>
              <w:rPr>
                <w:rFonts w:hint="eastAsia" w:ascii="宋体" w:hAnsi="宋体" w:eastAsia="宋体" w:cs="宋体"/>
                <w:color w:val="000000"/>
                <w:kern w:val="0"/>
                <w:szCs w:val="21"/>
              </w:rPr>
            </w:pPr>
          </w:p>
        </w:tc>
        <w:tc>
          <w:tcPr>
            <w:tcW w:w="886" w:type="dxa"/>
            <w:tcBorders>
              <w:top w:val="single" w:color="auto" w:sz="4" w:space="0"/>
              <w:left w:val="single" w:color="auto" w:sz="4" w:space="0"/>
              <w:bottom w:val="single" w:color="auto" w:sz="4" w:space="0"/>
              <w:right w:val="single" w:color="auto" w:sz="4" w:space="0"/>
            </w:tcBorders>
            <w:vAlign w:val="center"/>
          </w:tcPr>
          <w:p w14:paraId="1BC943C7">
            <w:pPr>
              <w:widowControl/>
              <w:spacing w:line="600" w:lineRule="exact"/>
              <w:jc w:val="center"/>
              <w:rPr>
                <w:rFonts w:hint="eastAsia" w:ascii="宋体" w:hAnsi="宋体" w:eastAsia="宋体" w:cs="宋体"/>
                <w:color w:val="000000"/>
                <w:kern w:val="0"/>
                <w:szCs w:val="21"/>
              </w:rPr>
            </w:pPr>
          </w:p>
        </w:tc>
        <w:tc>
          <w:tcPr>
            <w:tcW w:w="886" w:type="dxa"/>
            <w:tcBorders>
              <w:top w:val="single" w:color="auto" w:sz="4" w:space="0"/>
              <w:left w:val="single" w:color="auto" w:sz="4" w:space="0"/>
              <w:bottom w:val="single" w:color="auto" w:sz="4" w:space="0"/>
              <w:right w:val="single" w:color="auto" w:sz="4" w:space="0"/>
            </w:tcBorders>
            <w:vAlign w:val="center"/>
          </w:tcPr>
          <w:p w14:paraId="0F2230C5">
            <w:pPr>
              <w:widowControl/>
              <w:spacing w:line="600" w:lineRule="exact"/>
              <w:jc w:val="center"/>
              <w:rPr>
                <w:rFonts w:hint="eastAsia" w:ascii="宋体" w:hAnsi="宋体" w:eastAsia="宋体" w:cs="宋体"/>
                <w:color w:val="000000"/>
                <w:kern w:val="0"/>
                <w:szCs w:val="21"/>
              </w:rPr>
            </w:pPr>
          </w:p>
        </w:tc>
        <w:tc>
          <w:tcPr>
            <w:tcW w:w="886" w:type="dxa"/>
            <w:tcBorders>
              <w:top w:val="single" w:color="auto" w:sz="4" w:space="0"/>
              <w:left w:val="single" w:color="auto" w:sz="4" w:space="0"/>
              <w:bottom w:val="single" w:color="auto" w:sz="4" w:space="0"/>
              <w:right w:val="single" w:color="auto" w:sz="4" w:space="0"/>
            </w:tcBorders>
            <w:vAlign w:val="center"/>
          </w:tcPr>
          <w:p w14:paraId="3867D3FA">
            <w:pPr>
              <w:widowControl/>
              <w:spacing w:line="600" w:lineRule="exact"/>
              <w:jc w:val="center"/>
              <w:rPr>
                <w:rFonts w:hint="eastAsia" w:ascii="宋体" w:hAnsi="宋体" w:eastAsia="宋体" w:cs="宋体"/>
                <w:color w:val="000000"/>
                <w:kern w:val="0"/>
                <w:szCs w:val="21"/>
              </w:rPr>
            </w:pPr>
          </w:p>
        </w:tc>
      </w:tr>
    </w:tbl>
    <w:p w14:paraId="1B28D574">
      <w:pPr>
        <w:widowControl/>
        <w:spacing w:line="600" w:lineRule="exact"/>
        <w:jc w:val="center"/>
        <w:rPr>
          <w:rFonts w:hint="eastAsia" w:ascii="宋体" w:hAnsi="宋体" w:eastAsia="宋体" w:cs="宋体"/>
          <w:b/>
          <w:szCs w:val="21"/>
        </w:rPr>
      </w:pPr>
      <w:bookmarkStart w:id="86" w:name="_GoBack"/>
      <w:bookmarkEnd w:id="86"/>
      <w:r>
        <w:rPr>
          <w:rFonts w:hint="eastAsia" w:ascii="宋体" w:hAnsi="宋体" w:eastAsia="宋体" w:cs="宋体"/>
          <w:b/>
          <w:szCs w:val="21"/>
        </w:rPr>
        <w:t>工程质量保修书</w:t>
      </w:r>
    </w:p>
    <w:p w14:paraId="15E7A8BD">
      <w:pPr>
        <w:widowControl/>
        <w:spacing w:line="500" w:lineRule="exact"/>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发包人（全称）：</w:t>
      </w:r>
      <w:r>
        <w:rPr>
          <w:rFonts w:hint="eastAsia" w:ascii="宋体" w:hAnsi="宋体" w:eastAsia="宋体" w:cs="宋体"/>
          <w:kern w:val="0"/>
          <w:szCs w:val="21"/>
          <w:u w:val="single"/>
        </w:rPr>
        <w:t xml:space="preserve">                           </w:t>
      </w:r>
    </w:p>
    <w:p w14:paraId="2D44A7AB">
      <w:pPr>
        <w:widowControl/>
        <w:spacing w:line="5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承包人（全称）：</w:t>
      </w:r>
      <w:r>
        <w:rPr>
          <w:rFonts w:hint="eastAsia" w:ascii="宋体" w:hAnsi="宋体" w:eastAsia="宋体" w:cs="宋体"/>
          <w:kern w:val="0"/>
          <w:szCs w:val="21"/>
          <w:u w:val="single"/>
        </w:rPr>
        <w:t xml:space="preserve">                           </w:t>
      </w:r>
    </w:p>
    <w:p w14:paraId="371C0BDC">
      <w:pPr>
        <w:widowControl/>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 xml:space="preserve">为保证 </w:t>
      </w:r>
      <w:r>
        <w:rPr>
          <w:rFonts w:hint="eastAsia" w:ascii="宋体" w:hAnsi="宋体" w:eastAsia="宋体" w:cs="宋体"/>
          <w:kern w:val="0"/>
          <w:szCs w:val="21"/>
          <w:u w:val="single"/>
        </w:rPr>
        <w:t xml:space="preserve">           </w:t>
      </w:r>
      <w:r>
        <w:rPr>
          <w:rFonts w:hint="eastAsia" w:ascii="宋体" w:hAnsi="宋体" w:eastAsia="宋体" w:cs="宋体"/>
          <w:kern w:val="0"/>
          <w:szCs w:val="21"/>
        </w:rPr>
        <w:t>（工程名称）在合理使用期限内正常使用，发包人及承包人协商一致签订工程质量保修书。承包人在质量保修期内按照有关管理规定及双方约定承担工程质量保修责任。</w:t>
      </w:r>
    </w:p>
    <w:p w14:paraId="2BE97E68">
      <w:pPr>
        <w:widowControl/>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 xml:space="preserve">一、工程质量保修范围和内容 </w:t>
      </w:r>
    </w:p>
    <w:p w14:paraId="0C1F8BE4">
      <w:pPr>
        <w:widowControl/>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 xml:space="preserve">质量保修范围包括地基基础工程、主体结构工程、屋面防水工程和双方约定的其他土建工程，以及电气管线、上下水管线的安装工程，供热、供冷系统工程等项目。具体质量保修内容约定如下： </w:t>
      </w:r>
    </w:p>
    <w:p w14:paraId="0707F90F">
      <w:pPr>
        <w:widowControl/>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合同范围内全部工程项目</w:t>
      </w:r>
    </w:p>
    <w:p w14:paraId="1C465BC1">
      <w:pPr>
        <w:widowControl/>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 xml:space="preserve">二、质量保修期 </w:t>
      </w:r>
    </w:p>
    <w:p w14:paraId="7CFC1C20">
      <w:pPr>
        <w:widowControl/>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质量保修期自工程竣工验收合格之日起计算。</w:t>
      </w:r>
    </w:p>
    <w:p w14:paraId="27D5AC5F">
      <w:pPr>
        <w:widowControl/>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 xml:space="preserve">双方根据《建设工程质量管理条例》及国家有关规定，结合具体工程约定质量保修期如下： </w:t>
      </w:r>
    </w:p>
    <w:p w14:paraId="0C4395B0">
      <w:pPr>
        <w:widowControl/>
        <w:spacing w:line="5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1、基础设施工程、房屋建筑的地基基础工程和主体结构工程，为设计文件规定的该工程的合理使用年限；</w:t>
      </w:r>
      <w:r>
        <w:rPr>
          <w:rFonts w:hint="eastAsia" w:ascii="宋体" w:hAnsi="宋体" w:eastAsia="宋体" w:cs="宋体"/>
          <w:kern w:val="0"/>
          <w:szCs w:val="21"/>
        </w:rPr>
        <w:br w:type="textWrapping"/>
      </w:r>
      <w:r>
        <w:rPr>
          <w:rFonts w:hint="eastAsia" w:ascii="宋体" w:hAnsi="宋体" w:eastAsia="宋体" w:cs="宋体"/>
          <w:kern w:val="0"/>
          <w:szCs w:val="21"/>
        </w:rPr>
        <w:t xml:space="preserve">    2、建筑保温工程，为</w:t>
      </w:r>
      <w:r>
        <w:rPr>
          <w:rFonts w:hint="eastAsia" w:ascii="宋体" w:hAnsi="宋体" w:eastAsia="宋体" w:cs="宋体"/>
          <w:color w:val="FF00FF"/>
          <w:kern w:val="0"/>
          <w:szCs w:val="21"/>
        </w:rPr>
        <w:t>/</w:t>
      </w:r>
      <w:r>
        <w:rPr>
          <w:rFonts w:hint="eastAsia" w:ascii="宋体" w:hAnsi="宋体" w:eastAsia="宋体" w:cs="宋体"/>
          <w:kern w:val="0"/>
          <w:szCs w:val="21"/>
        </w:rPr>
        <w:t>年；</w:t>
      </w:r>
      <w:r>
        <w:rPr>
          <w:rFonts w:hint="eastAsia" w:ascii="宋体" w:hAnsi="宋体" w:eastAsia="宋体" w:cs="宋体"/>
          <w:kern w:val="0"/>
          <w:szCs w:val="21"/>
        </w:rPr>
        <w:br w:type="textWrapping"/>
      </w:r>
      <w:r>
        <w:rPr>
          <w:rFonts w:hint="eastAsia" w:ascii="宋体" w:hAnsi="宋体" w:eastAsia="宋体" w:cs="宋体"/>
          <w:kern w:val="0"/>
          <w:szCs w:val="21"/>
        </w:rPr>
        <w:t xml:space="preserve">    3、屋面防水工程、有防水要求的卫生间、房间和外墙面的防渗漏，为</w:t>
      </w:r>
      <w:r>
        <w:rPr>
          <w:rFonts w:hint="eastAsia" w:ascii="宋体" w:hAnsi="宋体" w:eastAsia="宋体" w:cs="宋体"/>
          <w:color w:val="FF00FF"/>
          <w:kern w:val="0"/>
          <w:szCs w:val="21"/>
        </w:rPr>
        <w:t>/</w:t>
      </w:r>
      <w:r>
        <w:rPr>
          <w:rFonts w:hint="eastAsia" w:ascii="宋体" w:hAnsi="宋体" w:eastAsia="宋体" w:cs="宋体"/>
          <w:kern w:val="0"/>
          <w:szCs w:val="21"/>
        </w:rPr>
        <w:t>年；</w:t>
      </w:r>
      <w:r>
        <w:rPr>
          <w:rFonts w:hint="eastAsia" w:ascii="宋体" w:hAnsi="宋体" w:eastAsia="宋体" w:cs="宋体"/>
          <w:kern w:val="0"/>
          <w:szCs w:val="21"/>
        </w:rPr>
        <w:br w:type="textWrapping"/>
      </w:r>
      <w:r>
        <w:rPr>
          <w:rFonts w:hint="eastAsia" w:ascii="宋体" w:hAnsi="宋体" w:eastAsia="宋体" w:cs="宋体"/>
          <w:kern w:val="0"/>
          <w:szCs w:val="21"/>
        </w:rPr>
        <w:t xml:space="preserve">    4、装修工程为</w:t>
      </w:r>
      <w:r>
        <w:rPr>
          <w:rFonts w:hint="eastAsia" w:ascii="宋体" w:hAnsi="宋体" w:eastAsia="宋体" w:cs="宋体"/>
          <w:color w:val="FF00FF"/>
          <w:kern w:val="0"/>
          <w:szCs w:val="21"/>
        </w:rPr>
        <w:t>/</w:t>
      </w:r>
      <w:r>
        <w:rPr>
          <w:rFonts w:hint="eastAsia" w:ascii="宋体" w:hAnsi="宋体" w:eastAsia="宋体" w:cs="宋体"/>
          <w:kern w:val="0"/>
          <w:szCs w:val="21"/>
        </w:rPr>
        <w:t>年；</w:t>
      </w:r>
      <w:r>
        <w:rPr>
          <w:rFonts w:hint="eastAsia" w:ascii="宋体" w:hAnsi="宋体" w:eastAsia="宋体" w:cs="宋体"/>
          <w:kern w:val="0"/>
          <w:szCs w:val="21"/>
        </w:rPr>
        <w:br w:type="textWrapping"/>
      </w:r>
      <w:r>
        <w:rPr>
          <w:rFonts w:hint="eastAsia" w:ascii="宋体" w:hAnsi="宋体" w:eastAsia="宋体" w:cs="宋体"/>
          <w:kern w:val="0"/>
          <w:szCs w:val="21"/>
        </w:rPr>
        <w:t xml:space="preserve">    5、供热与供冷系统，为</w:t>
      </w:r>
      <w:r>
        <w:rPr>
          <w:rFonts w:hint="eastAsia" w:ascii="宋体" w:hAnsi="宋体" w:eastAsia="宋体" w:cs="宋体"/>
          <w:color w:val="FF00FF"/>
          <w:kern w:val="0"/>
          <w:szCs w:val="21"/>
        </w:rPr>
        <w:t>/</w:t>
      </w:r>
      <w:r>
        <w:rPr>
          <w:rFonts w:hint="eastAsia" w:ascii="宋体" w:hAnsi="宋体" w:eastAsia="宋体" w:cs="宋体"/>
          <w:kern w:val="0"/>
          <w:szCs w:val="21"/>
        </w:rPr>
        <w:t>个采暖期、供冷期；</w:t>
      </w:r>
      <w:r>
        <w:rPr>
          <w:rFonts w:hint="eastAsia" w:ascii="宋体" w:hAnsi="宋体" w:eastAsia="宋体" w:cs="宋体"/>
          <w:kern w:val="0"/>
          <w:szCs w:val="21"/>
        </w:rPr>
        <w:br w:type="textWrapping"/>
      </w:r>
      <w:r>
        <w:rPr>
          <w:rFonts w:hint="eastAsia" w:ascii="宋体" w:hAnsi="宋体" w:eastAsia="宋体" w:cs="宋体"/>
          <w:kern w:val="0"/>
          <w:szCs w:val="21"/>
        </w:rPr>
        <w:t xml:space="preserve">    6、电气管线、给排水管道、设备安装为</w:t>
      </w:r>
      <w:r>
        <w:rPr>
          <w:rFonts w:hint="eastAsia" w:ascii="宋体" w:hAnsi="宋体" w:eastAsia="宋体" w:cs="宋体"/>
          <w:color w:val="FF00FF"/>
          <w:kern w:val="0"/>
          <w:szCs w:val="21"/>
        </w:rPr>
        <w:t>/</w:t>
      </w:r>
      <w:r>
        <w:rPr>
          <w:rFonts w:hint="eastAsia" w:ascii="宋体" w:hAnsi="宋体" w:eastAsia="宋体" w:cs="宋体"/>
          <w:kern w:val="0"/>
          <w:szCs w:val="21"/>
        </w:rPr>
        <w:t>年。</w:t>
      </w:r>
      <w:r>
        <w:rPr>
          <w:rFonts w:hint="eastAsia" w:ascii="宋体" w:hAnsi="宋体" w:eastAsia="宋体" w:cs="宋体"/>
          <w:kern w:val="0"/>
          <w:szCs w:val="21"/>
        </w:rPr>
        <w:br w:type="textWrapping"/>
      </w:r>
      <w:r>
        <w:rPr>
          <w:rFonts w:hint="eastAsia" w:ascii="宋体" w:hAnsi="宋体" w:eastAsia="宋体" w:cs="宋体"/>
          <w:kern w:val="0"/>
          <w:szCs w:val="21"/>
        </w:rPr>
        <w:t xml:space="preserve">    7、给排水设施、道路等配套工程为二年；</w:t>
      </w:r>
      <w:r>
        <w:rPr>
          <w:rFonts w:hint="eastAsia" w:ascii="宋体" w:hAnsi="宋体" w:eastAsia="宋体" w:cs="宋体"/>
          <w:kern w:val="0"/>
          <w:szCs w:val="21"/>
        </w:rPr>
        <w:br w:type="textWrapping"/>
      </w:r>
      <w:r>
        <w:rPr>
          <w:rFonts w:hint="eastAsia" w:ascii="宋体" w:hAnsi="宋体" w:eastAsia="宋体" w:cs="宋体"/>
          <w:kern w:val="0"/>
          <w:szCs w:val="21"/>
        </w:rPr>
        <w:t xml:space="preserve">    8、其他约定：  无     </w:t>
      </w:r>
    </w:p>
    <w:p w14:paraId="0EF2F1FC">
      <w:pPr>
        <w:widowControl/>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 xml:space="preserve">三、质量保修责任 </w:t>
      </w:r>
    </w:p>
    <w:p w14:paraId="06063E7C">
      <w:pPr>
        <w:widowControl/>
        <w:spacing w:line="500" w:lineRule="exact"/>
        <w:ind w:left="480"/>
        <w:rPr>
          <w:rFonts w:hint="eastAsia" w:ascii="宋体" w:hAnsi="宋体" w:eastAsia="宋体" w:cs="宋体"/>
          <w:kern w:val="0"/>
          <w:szCs w:val="21"/>
        </w:rPr>
      </w:pPr>
      <w:r>
        <w:rPr>
          <w:rFonts w:hint="eastAsia" w:ascii="宋体" w:hAnsi="宋体" w:eastAsia="宋体" w:cs="宋体"/>
          <w:kern w:val="0"/>
          <w:szCs w:val="21"/>
        </w:rPr>
        <w:t xml:space="preserve">1、属于保修范围和内容的项目，承包人应在接到修理通知之日后7天内派人修理。承包人不在约定期限内派人修理，发包人可委托其他人员修理，保修费用从质量保修金内扣除。 </w:t>
      </w:r>
    </w:p>
    <w:p w14:paraId="5A470500">
      <w:pPr>
        <w:widowControl/>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 xml:space="preserve">2、发生须紧急抢修事故（如上水跑水、暖气漏水漏气、燃气漏气等），承包人接到事故通知后，应立即到达事故现场抢修。非承包人施工质量引起的事故，抢修费用由发包人承担。 </w:t>
      </w:r>
    </w:p>
    <w:p w14:paraId="4A76BAFC">
      <w:pPr>
        <w:widowControl/>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 xml:space="preserve">3、在国家规定的工程合理使用期限内，承包人确保地基基础工程和主体结构的质量。因承包人原因致使工程在合理使用期限内造成人身和财产损害的，承包人应承担损害赔偿责任。 </w:t>
      </w:r>
    </w:p>
    <w:p w14:paraId="03077980">
      <w:pPr>
        <w:widowControl/>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 xml:space="preserve">四、质量保修金的支付 </w:t>
      </w:r>
    </w:p>
    <w:p w14:paraId="676A74DD">
      <w:pPr>
        <w:widowControl/>
        <w:spacing w:line="500" w:lineRule="exact"/>
        <w:ind w:firstLine="525" w:firstLineChars="250"/>
        <w:rPr>
          <w:rFonts w:hint="eastAsia" w:ascii="宋体" w:hAnsi="宋体" w:eastAsia="宋体" w:cs="宋体"/>
          <w:kern w:val="0"/>
          <w:szCs w:val="21"/>
        </w:rPr>
      </w:pPr>
      <w:r>
        <w:rPr>
          <w:rFonts w:hint="eastAsia" w:ascii="宋体" w:hAnsi="宋体" w:eastAsia="宋体" w:cs="宋体"/>
          <w:kern w:val="0"/>
          <w:szCs w:val="21"/>
        </w:rPr>
        <w:t>在工程竣工验收后发包人直接从工程款中扣除3%的质量保修金或者承包人在工程竣工验收完成后提供结算价款3%的银行保函(提交银行保函后发包人须在1个月内退还质量保修金)，不计利息。</w:t>
      </w:r>
    </w:p>
    <w:p w14:paraId="24996F36">
      <w:pPr>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 xml:space="preserve">五、质量保修金的返还 </w:t>
      </w:r>
    </w:p>
    <w:p w14:paraId="0C5CF695">
      <w:pPr>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发包人在竣工验收合格之日起2年后的第一个月，将剩余质量保修金或保函返还给承包人，承包人仍需按保修约定继续履行保修期未届满工程的保修义务。</w:t>
      </w:r>
    </w:p>
    <w:p w14:paraId="2B0F767B">
      <w:pPr>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 xml:space="preserve">六、其他 </w:t>
      </w:r>
    </w:p>
    <w:p w14:paraId="77A9F1B6">
      <w:pPr>
        <w:spacing w:line="500" w:lineRule="exact"/>
        <w:ind w:firstLine="420" w:firstLineChars="200"/>
        <w:rPr>
          <w:rFonts w:hint="eastAsia" w:ascii="宋体" w:hAnsi="宋体" w:eastAsia="宋体" w:cs="宋体"/>
          <w:kern w:val="0"/>
          <w:szCs w:val="21"/>
          <w:u w:val="single"/>
        </w:rPr>
      </w:pPr>
      <w:r>
        <w:rPr>
          <w:rFonts w:hint="eastAsia" w:ascii="宋体" w:hAnsi="宋体" w:eastAsia="宋体" w:cs="宋体"/>
          <w:kern w:val="0"/>
          <w:szCs w:val="21"/>
        </w:rPr>
        <w:t>双方约定的其他工程质量保修事项：</w:t>
      </w:r>
      <w:r>
        <w:rPr>
          <w:rFonts w:hint="eastAsia" w:ascii="宋体" w:hAnsi="宋体" w:eastAsia="宋体" w:cs="宋体"/>
          <w:kern w:val="0"/>
          <w:szCs w:val="21"/>
          <w:u w:val="single"/>
        </w:rPr>
        <w:t xml:space="preserve"> 无  </w:t>
      </w:r>
    </w:p>
    <w:p w14:paraId="22A8F153">
      <w:pPr>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本工程质量保修作书为施工合同的附件，由施工合同发包人、承包人双方共同签订。</w:t>
      </w:r>
    </w:p>
    <w:p w14:paraId="55723AE1">
      <w:pPr>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发包人（公章）：                           承包人（公章）：</w:t>
      </w:r>
    </w:p>
    <w:p w14:paraId="039E030A">
      <w:pPr>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 xml:space="preserve">法定代表人或                              法定代表人或 </w:t>
      </w:r>
    </w:p>
    <w:p w14:paraId="0424E310">
      <w:pPr>
        <w:spacing w:line="5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授权委托人（签字）：                       授权委托人（签字）</w:t>
      </w:r>
    </w:p>
    <w:p w14:paraId="0315DB34">
      <w:pPr>
        <w:spacing w:line="500" w:lineRule="exact"/>
        <w:rPr>
          <w:rFonts w:hint="eastAsia" w:ascii="宋体" w:hAnsi="宋体" w:eastAsia="宋体" w:cs="宋体"/>
          <w:kern w:val="0"/>
          <w:szCs w:val="21"/>
        </w:rPr>
      </w:pPr>
      <w:r>
        <w:rPr>
          <w:rFonts w:hint="eastAsia" w:ascii="宋体" w:hAnsi="宋体" w:eastAsia="宋体" w:cs="宋体"/>
          <w:kern w:val="0"/>
          <w:szCs w:val="21"/>
        </w:rPr>
        <w:t xml:space="preserve">              年    月   日                            年    月    日         </w:t>
      </w:r>
    </w:p>
    <w:p w14:paraId="5240FFFD">
      <w:pPr>
        <w:spacing w:line="580" w:lineRule="exact"/>
        <w:rPr>
          <w:rFonts w:hint="eastAsia" w:ascii="宋体" w:hAnsi="宋体" w:eastAsia="宋体" w:cs="宋体"/>
          <w:kern w:val="0"/>
          <w:szCs w:val="21"/>
        </w:rPr>
      </w:pPr>
    </w:p>
    <w:p w14:paraId="3A82282F">
      <w:pPr>
        <w:spacing w:line="580" w:lineRule="exact"/>
        <w:rPr>
          <w:rFonts w:hint="eastAsia" w:ascii="宋体" w:hAnsi="宋体" w:eastAsia="宋体" w:cs="宋体"/>
          <w:kern w:val="0"/>
          <w:szCs w:val="21"/>
        </w:rPr>
      </w:pPr>
    </w:p>
    <w:p w14:paraId="75C8E420">
      <w:pPr>
        <w:spacing w:line="580" w:lineRule="exact"/>
        <w:rPr>
          <w:rFonts w:hint="eastAsia" w:ascii="宋体" w:hAnsi="宋体" w:eastAsia="宋体" w:cs="宋体"/>
          <w:kern w:val="0"/>
          <w:szCs w:val="21"/>
        </w:rPr>
      </w:pPr>
    </w:p>
    <w:p w14:paraId="58200C1F">
      <w:pPr>
        <w:spacing w:line="580" w:lineRule="exact"/>
        <w:rPr>
          <w:rFonts w:hint="eastAsia" w:ascii="宋体" w:hAnsi="宋体" w:eastAsia="宋体" w:cs="宋体"/>
          <w:b/>
          <w:szCs w:val="21"/>
        </w:rPr>
      </w:pPr>
      <w:r>
        <w:rPr>
          <w:rFonts w:hint="eastAsia" w:ascii="宋体" w:hAnsi="宋体" w:eastAsia="宋体" w:cs="宋体"/>
          <w:b/>
          <w:szCs w:val="21"/>
        </w:rPr>
        <w:t>附件二：承包人提供银行履约保函或工程信用担保</w:t>
      </w:r>
    </w:p>
    <w:p w14:paraId="15FE9516">
      <w:pPr>
        <w:spacing w:line="600" w:lineRule="exact"/>
        <w:jc w:val="center"/>
        <w:rPr>
          <w:rFonts w:hint="eastAsia" w:ascii="宋体" w:hAnsi="宋体" w:eastAsia="宋体" w:cs="宋体"/>
          <w:b/>
          <w:szCs w:val="21"/>
        </w:rPr>
      </w:pPr>
      <w:r>
        <w:rPr>
          <w:rFonts w:hint="eastAsia" w:ascii="宋体" w:hAnsi="宋体" w:eastAsia="宋体" w:cs="宋体"/>
          <w:b/>
          <w:szCs w:val="21"/>
        </w:rPr>
        <w:t>（具体格式由担保银行或担保公司提供）</w:t>
      </w:r>
    </w:p>
    <w:p w14:paraId="2BC3187B">
      <w:pPr>
        <w:spacing w:line="600" w:lineRule="exact"/>
        <w:ind w:firstLine="420" w:firstLineChars="200"/>
        <w:rPr>
          <w:rFonts w:hint="eastAsia" w:ascii="宋体" w:hAnsi="宋体" w:eastAsia="宋体" w:cs="宋体"/>
          <w:szCs w:val="21"/>
        </w:rPr>
      </w:pPr>
    </w:p>
    <w:p w14:paraId="0890B564">
      <w:pPr>
        <w:spacing w:line="600" w:lineRule="exact"/>
        <w:ind w:firstLine="420" w:firstLineChars="200"/>
        <w:rPr>
          <w:rFonts w:hint="eastAsia" w:ascii="宋体" w:hAnsi="宋体" w:eastAsia="宋体" w:cs="宋体"/>
          <w:szCs w:val="21"/>
        </w:rPr>
      </w:pPr>
    </w:p>
    <w:p w14:paraId="56B214FF">
      <w:pPr>
        <w:spacing w:line="600" w:lineRule="exact"/>
        <w:ind w:firstLine="420" w:firstLineChars="200"/>
        <w:rPr>
          <w:rFonts w:hint="eastAsia" w:ascii="宋体" w:hAnsi="宋体" w:eastAsia="宋体" w:cs="宋体"/>
          <w:szCs w:val="21"/>
        </w:rPr>
      </w:pPr>
    </w:p>
    <w:p w14:paraId="0D5FF7F1">
      <w:pPr>
        <w:spacing w:line="600" w:lineRule="exact"/>
        <w:ind w:firstLine="420" w:firstLineChars="200"/>
        <w:rPr>
          <w:rFonts w:hint="eastAsia" w:ascii="宋体" w:hAnsi="宋体" w:eastAsia="宋体" w:cs="宋体"/>
          <w:szCs w:val="21"/>
        </w:rPr>
      </w:pPr>
    </w:p>
    <w:p w14:paraId="0DC515C1">
      <w:pPr>
        <w:spacing w:line="600" w:lineRule="exact"/>
        <w:ind w:firstLine="420" w:firstLineChars="200"/>
        <w:rPr>
          <w:rFonts w:hint="eastAsia" w:ascii="宋体" w:hAnsi="宋体" w:eastAsia="宋体" w:cs="宋体"/>
          <w:szCs w:val="21"/>
        </w:rPr>
      </w:pPr>
    </w:p>
    <w:p w14:paraId="589B3E42">
      <w:pPr>
        <w:spacing w:line="600" w:lineRule="exact"/>
        <w:ind w:firstLine="420" w:firstLineChars="200"/>
        <w:rPr>
          <w:rFonts w:hint="eastAsia" w:ascii="宋体" w:hAnsi="宋体" w:eastAsia="宋体" w:cs="宋体"/>
          <w:szCs w:val="21"/>
        </w:rPr>
      </w:pPr>
    </w:p>
    <w:p w14:paraId="23015D14">
      <w:pPr>
        <w:spacing w:line="600" w:lineRule="exact"/>
        <w:ind w:firstLine="420" w:firstLineChars="200"/>
        <w:rPr>
          <w:rFonts w:hint="eastAsia" w:ascii="宋体" w:hAnsi="宋体" w:eastAsia="宋体" w:cs="宋体"/>
          <w:szCs w:val="21"/>
        </w:rPr>
      </w:pPr>
    </w:p>
    <w:p w14:paraId="3CE91CE4">
      <w:pPr>
        <w:spacing w:line="600" w:lineRule="exact"/>
        <w:ind w:firstLine="420" w:firstLineChars="200"/>
        <w:rPr>
          <w:rFonts w:hint="eastAsia" w:ascii="宋体" w:hAnsi="宋体" w:eastAsia="宋体" w:cs="宋体"/>
          <w:szCs w:val="21"/>
        </w:rPr>
      </w:pPr>
    </w:p>
    <w:p w14:paraId="4B02FBD5">
      <w:pPr>
        <w:spacing w:line="600" w:lineRule="exact"/>
        <w:ind w:firstLine="420" w:firstLineChars="200"/>
        <w:rPr>
          <w:rFonts w:hint="eastAsia" w:ascii="宋体" w:hAnsi="宋体" w:eastAsia="宋体" w:cs="宋体"/>
          <w:szCs w:val="21"/>
        </w:rPr>
      </w:pPr>
    </w:p>
    <w:p w14:paraId="52B813BE">
      <w:pPr>
        <w:spacing w:line="600" w:lineRule="exact"/>
        <w:ind w:firstLine="420" w:firstLineChars="200"/>
        <w:rPr>
          <w:rFonts w:hint="eastAsia" w:ascii="宋体" w:hAnsi="宋体" w:eastAsia="宋体" w:cs="宋体"/>
          <w:szCs w:val="21"/>
        </w:rPr>
      </w:pPr>
    </w:p>
    <w:p w14:paraId="7BFB5E97">
      <w:pPr>
        <w:spacing w:line="600" w:lineRule="exact"/>
        <w:ind w:firstLine="420" w:firstLineChars="200"/>
        <w:rPr>
          <w:rFonts w:hint="eastAsia" w:ascii="宋体" w:hAnsi="宋体" w:eastAsia="宋体" w:cs="宋体"/>
          <w:szCs w:val="21"/>
        </w:rPr>
      </w:pPr>
    </w:p>
    <w:p w14:paraId="0CA7C62F">
      <w:pPr>
        <w:spacing w:line="600" w:lineRule="exact"/>
        <w:ind w:firstLine="420" w:firstLineChars="200"/>
        <w:rPr>
          <w:rFonts w:hint="eastAsia" w:ascii="宋体" w:hAnsi="宋体" w:eastAsia="宋体" w:cs="宋体"/>
          <w:szCs w:val="21"/>
        </w:rPr>
      </w:pPr>
    </w:p>
    <w:p w14:paraId="228D66BB">
      <w:pPr>
        <w:spacing w:line="600" w:lineRule="exact"/>
        <w:ind w:firstLine="420" w:firstLineChars="200"/>
        <w:rPr>
          <w:rFonts w:hint="eastAsia" w:ascii="宋体" w:hAnsi="宋体" w:eastAsia="宋体" w:cs="宋体"/>
          <w:szCs w:val="21"/>
        </w:rPr>
      </w:pPr>
    </w:p>
    <w:p w14:paraId="167F5261">
      <w:pPr>
        <w:spacing w:line="600" w:lineRule="exact"/>
        <w:ind w:firstLine="420" w:firstLineChars="200"/>
        <w:rPr>
          <w:rFonts w:hint="eastAsia" w:ascii="宋体" w:hAnsi="宋体" w:eastAsia="宋体" w:cs="宋体"/>
          <w:szCs w:val="21"/>
        </w:rPr>
      </w:pPr>
    </w:p>
    <w:p w14:paraId="71ACECB7">
      <w:pPr>
        <w:spacing w:line="600" w:lineRule="exact"/>
        <w:jc w:val="both"/>
        <w:rPr>
          <w:rFonts w:hint="eastAsia" w:ascii="宋体" w:hAnsi="宋体" w:eastAsia="宋体" w:cs="宋体"/>
          <w:b/>
          <w:szCs w:val="21"/>
        </w:rPr>
      </w:pPr>
    </w:p>
    <w:p w14:paraId="38002C98">
      <w:pPr>
        <w:spacing w:line="600" w:lineRule="exact"/>
        <w:jc w:val="both"/>
        <w:rPr>
          <w:rFonts w:hint="eastAsia" w:ascii="宋体" w:hAnsi="宋体" w:eastAsia="宋体" w:cs="宋体"/>
          <w:b/>
          <w:szCs w:val="21"/>
        </w:rPr>
      </w:pPr>
    </w:p>
    <w:p w14:paraId="09A40A3A">
      <w:pPr>
        <w:spacing w:line="600" w:lineRule="exact"/>
        <w:jc w:val="both"/>
        <w:rPr>
          <w:rFonts w:hint="eastAsia" w:ascii="宋体" w:hAnsi="宋体" w:eastAsia="宋体" w:cs="宋体"/>
          <w:b/>
          <w:szCs w:val="21"/>
        </w:rPr>
      </w:pPr>
    </w:p>
    <w:p w14:paraId="304DFB65">
      <w:pPr>
        <w:spacing w:line="600" w:lineRule="exact"/>
        <w:jc w:val="both"/>
        <w:rPr>
          <w:rFonts w:hint="eastAsia" w:ascii="宋体" w:hAnsi="宋体" w:eastAsia="宋体" w:cs="宋体"/>
          <w:b/>
          <w:szCs w:val="21"/>
        </w:rPr>
      </w:pPr>
    </w:p>
    <w:p w14:paraId="5C0E3B1F">
      <w:pPr>
        <w:spacing w:line="600" w:lineRule="exact"/>
        <w:jc w:val="both"/>
        <w:rPr>
          <w:rFonts w:hint="eastAsia" w:ascii="宋体" w:hAnsi="宋体" w:eastAsia="宋体" w:cs="宋体"/>
          <w:b/>
          <w:szCs w:val="21"/>
        </w:rPr>
      </w:pPr>
    </w:p>
    <w:p w14:paraId="4C6B1DB8">
      <w:pPr>
        <w:spacing w:line="600" w:lineRule="exact"/>
        <w:jc w:val="both"/>
        <w:rPr>
          <w:rFonts w:hint="eastAsia" w:ascii="宋体" w:hAnsi="宋体" w:eastAsia="宋体" w:cs="宋体"/>
          <w:b/>
          <w:szCs w:val="21"/>
        </w:rPr>
      </w:pPr>
    </w:p>
    <w:p w14:paraId="44D1E585">
      <w:pPr>
        <w:spacing w:line="600" w:lineRule="exact"/>
        <w:jc w:val="both"/>
        <w:rPr>
          <w:rFonts w:hint="eastAsia" w:ascii="宋体" w:hAnsi="宋体" w:eastAsia="宋体" w:cs="宋体"/>
          <w:b/>
          <w:szCs w:val="21"/>
        </w:rPr>
      </w:pPr>
      <w:r>
        <w:rPr>
          <w:rFonts w:hint="eastAsia" w:ascii="宋体" w:hAnsi="宋体" w:eastAsia="宋体" w:cs="宋体"/>
          <w:b/>
          <w:szCs w:val="21"/>
        </w:rPr>
        <w:t>附件三：发包人提供支付款银行保函或工程信用担保</w:t>
      </w:r>
    </w:p>
    <w:p w14:paraId="1A39AE5F">
      <w:pPr>
        <w:spacing w:line="600" w:lineRule="exact"/>
        <w:jc w:val="center"/>
        <w:rPr>
          <w:rFonts w:hint="eastAsia" w:ascii="宋体" w:hAnsi="宋体" w:eastAsia="宋体" w:cs="宋体"/>
          <w:b/>
          <w:szCs w:val="21"/>
        </w:rPr>
      </w:pPr>
      <w:r>
        <w:rPr>
          <w:rFonts w:hint="eastAsia" w:ascii="宋体" w:hAnsi="宋体" w:eastAsia="宋体" w:cs="宋体"/>
          <w:b/>
          <w:szCs w:val="21"/>
        </w:rPr>
        <w:t>（具体格式由担保银行或担保公司提供）</w:t>
      </w:r>
    </w:p>
    <w:p w14:paraId="3E73D8A3">
      <w:pPr>
        <w:keepNext/>
        <w:keepLines/>
        <w:spacing w:line="560" w:lineRule="exact"/>
        <w:jc w:val="center"/>
        <w:outlineLvl w:val="0"/>
        <w:rPr>
          <w:rFonts w:hint="eastAsia" w:ascii="宋体" w:hAnsi="宋体" w:eastAsia="宋体" w:cs="Times New Roman"/>
          <w:b/>
          <w:bCs/>
          <w:kern w:val="44"/>
          <w:szCs w:val="21"/>
        </w:rPr>
      </w:pPr>
      <w:bookmarkStart w:id="84" w:name="_Toc482003981"/>
      <w:bookmarkStart w:id="85" w:name="_Toc482003908"/>
    </w:p>
    <w:p w14:paraId="1BAF09D1">
      <w:pPr>
        <w:rPr>
          <w:rFonts w:hint="eastAsia" w:ascii="Times New Roman" w:hAnsi="Times New Roman" w:eastAsia="宋体" w:cs="Times New Roman"/>
          <w:szCs w:val="24"/>
        </w:rPr>
      </w:pPr>
    </w:p>
    <w:p w14:paraId="0D071C14">
      <w:pPr>
        <w:rPr>
          <w:rFonts w:hint="eastAsia" w:ascii="Times New Roman" w:hAnsi="Times New Roman" w:eastAsia="宋体" w:cs="Times New Roman"/>
          <w:szCs w:val="24"/>
        </w:rPr>
      </w:pPr>
    </w:p>
    <w:p w14:paraId="36077D7E">
      <w:pPr>
        <w:rPr>
          <w:rFonts w:hint="eastAsia" w:ascii="Times New Roman" w:hAnsi="Times New Roman" w:eastAsia="宋体" w:cs="Times New Roman"/>
          <w:szCs w:val="24"/>
        </w:rPr>
      </w:pPr>
    </w:p>
    <w:bookmarkEnd w:id="84"/>
    <w:bookmarkEnd w:id="85"/>
    <w:p w14:paraId="56A0689E"/>
    <w:p w14:paraId="759373F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F4CA8">
    <w:pPr>
      <w:pStyle w:val="2"/>
      <w:jc w:val="center"/>
      <w:rPr>
        <w:rFonts w:ascii="宋体" w:hAnsi="宋体"/>
        <w:b/>
        <w:sz w:val="28"/>
        <w:szCs w:val="28"/>
      </w:rPr>
    </w:pPr>
  </w:p>
  <w:p w14:paraId="7595AC0C">
    <w:pPr>
      <w:pStyle w:val="2"/>
      <w:jc w:val="center"/>
      <w:rPr>
        <w:rFonts w:ascii="宋体" w:hAnsi="宋体"/>
        <w:b/>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885825" cy="137795"/>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85825" cy="137795"/>
                      </a:xfrm>
                      <a:prstGeom prst="rect">
                        <a:avLst/>
                      </a:prstGeom>
                      <a:noFill/>
                      <a:ln>
                        <a:noFill/>
                      </a:ln>
                    </wps:spPr>
                    <wps:txbx>
                      <w:txbxContent>
                        <w:p w14:paraId="7851009D">
                          <w:pPr>
                            <w:pStyle w:val="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47</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61</w:t>
                          </w:r>
                          <w:r>
                            <w:rPr>
                              <w:rFonts w:hint="eastAsia"/>
                            </w:rPr>
                            <w:fldChar w:fldCharType="end"/>
                          </w:r>
                          <w:r>
                            <w:rPr>
                              <w:rFonts w:hint="eastAsia"/>
                            </w:rP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85pt;width:69.75pt;mso-position-horizontal:center;mso-position-horizontal-relative:margin;mso-wrap-style:none;z-index:251659264;mso-width-relative:page;mso-height-relative:page;" filled="f" stroked="f" coordsize="21600,21600" o:gfxdata="UEsDBAoAAAAAAIdO4kAAAAAAAAAAAAAAAAAEAAAAZHJzL1BLAwQUAAAACACHTuJAVE/mDdIAAAAE&#10;AQAADwAAAGRycy9kb3ducmV2LnhtbE2PwU7DMBBE70j8g7WVuFEnRdAS4vRQiQs3CkLito23cVR7&#10;Hdlumvw9Lhe4rDSa0czbejs5K0YKsfesoFwWIIhbr3vuFHx+vN5vQMSErNF6JgUzRdg2tzc1Vtpf&#10;+J3GfepELuFYoQKT0lBJGVtDDuPSD8TZO/rgMGUZOqkDXnK5s3JVFE/SYc95weBAO0PtaX92CtbT&#10;l6ch0o6+j2MbTD9v7Nus1N2iLF5AJJrSXxiu+Bkdmsx08GfWUVgF+ZH0e6/ew/MjiIOCVbkG2dTy&#10;P3zzA1BLAwQUAAAACACHTuJAuN+wJwsCAAACBAAADgAAAGRycy9lMm9Eb2MueG1srVNLjhMxEN0j&#10;cQfLe9JJUJjQSmc0TBSENHykGQ7guN1pi7bLKjvpDgeAG7Biw55z5RxTdqfDMGxmwcYq2+VX770q&#10;Ly4707C9Qq/BFnwyGnOmrIRS223BP9+tX8w580HYUjRgVcEPyvPL5fNni9blago1NKVCRiDW560r&#10;eB2Cy7PMy1oZ4UfglKXLCtCIQFvcZiWKltBNk03H41dZC1g6BKm8p9NVf8lPiPgUQKgqLdUK5M4o&#10;G3pUVI0IJMnX2nm+TGyrSsnwsaq8CqwpOCkNaaUiFG/imi0XIt+icLWWJwriKRQeaTJCWyp6hlqJ&#10;INgO9T9QRksED1UYSTBZLyQ5Qiom40fe3NbCqaSFrPbubLr/f7Dyw/4TMl0WfMqZFYYafvzx/fjz&#10;9/HXNzaN9rTO55R16ygvdG+go6FJUr27AfnFMwvXtbBbdYUIba1ESfQm8WX24GmP4yPIpn0PJdUR&#10;uwAJqKvQRO/IDUbo1JrDuTWqC0zS4Xw+m09nnEm6mry8uHg9SxVEPjx26MNbBYbFoOBInU/gYn/j&#10;QyQj8iEl1rKw1k2Tut/Yvw4oMZ4k8pFvzzx0m+5kxgbKA8lA6IeJvhIFNeBXzloapIJb+jecNe8s&#10;GRFnbghwCDZDIKykhwUPnPXhdehnc+dQb2vCHay+IrPWOgmJrvYcTixpNJK+0xjH2Xu4T1l/vu7y&#10;H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RP5g3SAAAABAEAAA8AAAAAAAAAAQAgAAAAIgAAAGRy&#10;cy9kb3ducmV2LnhtbFBLAQIUABQAAAAIAIdO4kC437AnCwIAAAIEAAAOAAAAAAAAAAEAIAAAACEB&#10;AABkcnMvZTJvRG9jLnhtbFBLBQYAAAAABgAGAFkBAACeBQAAAAA=&#10;">
              <v:fill on="f" focussize="0,0"/>
              <v:stroke on="f"/>
              <v:imagedata o:title=""/>
              <o:lock v:ext="edit" aspectratio="f"/>
              <v:textbox inset="0mm,0mm,0mm,0mm" style="mso-fit-shape-to-text:t;">
                <w:txbxContent>
                  <w:p w14:paraId="7851009D">
                    <w:pPr>
                      <w:pStyle w:val="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47</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61</w:t>
                    </w:r>
                    <w:r>
                      <w:rPr>
                        <w:rFonts w:hint="eastAsia"/>
                      </w:rPr>
                      <w:fldChar w:fldCharType="end"/>
                    </w:r>
                    <w:r>
                      <w:rPr>
                        <w:rFonts w:hint="eastAsia"/>
                      </w:rPr>
                      <w:t xml:space="preserve"> 页</w:t>
                    </w:r>
                  </w:p>
                </w:txbxContent>
              </v:textbox>
            </v:shape>
          </w:pict>
        </mc:Fallback>
      </mc:AlternateContent>
    </w:r>
  </w:p>
  <w:p w14:paraId="312D2A03">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D27852"/>
    <w:rsid w:val="1D042296"/>
    <w:rsid w:val="2FDC6A42"/>
    <w:rsid w:val="4F6209C5"/>
    <w:rsid w:val="629F5D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pPr>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60</Pages>
  <Words>30597</Words>
  <Characters>31721</Characters>
  <Lines>0</Lines>
  <Paragraphs>0</Paragraphs>
  <TotalTime>2</TotalTime>
  <ScaleCrop>false</ScaleCrop>
  <LinksUpToDate>false</LinksUpToDate>
  <CharactersWithSpaces>32980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82906579</cp:lastModifiedBy>
  <dcterms:modified xsi:type="dcterms:W3CDTF">2025-03-04T04:17:28Z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eyJoZGlkIjoiZjBkMjI4M2FlY2ExYWNjNTZmOWZkNmQ0MjM5N2RmNzciLCJ1c2VySWQiOiIyODQ2NzkzNTAifQ==</vt:lpwstr>
  </property>
  <property fmtid="{D5CDD505-2E9C-101B-9397-08002B2CF9AE}" pid="4" name="ICV">
    <vt:lpwstr>A103DC2D4BA947FF8604D74F6BCA68EA_13</vt:lpwstr>
  </property>
</Properties>
</file>