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版本号：XACH2025-006、XDZ2025-5-N-320250214001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2025年西安高新区税务局辅助工作劳务外包项目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XACH2025-006、XDZ2025-5-N-3</w:t>
      </w:r>
      <w:r>
        <w:br/>
      </w:r>
      <w:r>
        <w:br/>
      </w:r>
      <w:r>
        <w:br/>
      </w:r>
    </w:p>
    <w:p>
      <w:pPr>
        <w:pStyle w:val="null3"/>
        <w:jc w:val="center"/>
        <w:outlineLvl w:val="2"/>
      </w:pPr>
      <w:r>
        <w:rPr>
          <w:rFonts w:ascii="仿宋_GB2312" w:hAnsi="仿宋_GB2312" w:cs="仿宋_GB2312" w:eastAsia="仿宋_GB2312"/>
          <w:sz w:val="28"/>
          <w:b/>
        </w:rPr>
        <w:t>西安高新技术产业开发区财政金融局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西安高新技术产业开发区财政金融局</w:t>
      </w:r>
      <w:r>
        <w:rPr>
          <w:rFonts w:ascii="仿宋_GB2312" w:hAnsi="仿宋_GB2312" w:cs="仿宋_GB2312" w:eastAsia="仿宋_GB2312"/>
        </w:rPr>
        <w:t>委托，拟对</w:t>
      </w:r>
      <w:r>
        <w:rPr>
          <w:rFonts w:ascii="仿宋_GB2312" w:hAnsi="仿宋_GB2312" w:cs="仿宋_GB2312" w:eastAsia="仿宋_GB2312"/>
        </w:rPr>
        <w:t>2025年西安高新区税务局辅助工作劳务外包项目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XACH2025-006、XDZ2025-5-N-3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2025年西安高新区税务局辅助工作劳务外包项目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为促进高新经济社会发展，结合高新区实际情况，需由第三方承担税务局辅助工作劳务外包。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4、企业资质：提供有效的《人力资源服务许可证》；供应商需在项目电子化交易系统中按要求上传相应证明文件并进行电子签章。</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西安高新技术产业开发区财政金融局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西安高新技术产业开发区财政金融局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029-88338744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西安高新技术产业开发区财政金融局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西安高新技术产业开发区财政金融局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西安高新技术产业开发区财政金融局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由采购人组织或委托相关部门服务期间进行现场巡检、验收，并符合竞争性磋商文件及国家、省市及行业相关要求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为促进高新经济社会发展，结合高新区实际情况，需由第三方承担税务局辅助工作劳务外包。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2025年西安高新区税务局辅助工作劳务外包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居民服务、修理和其他服务业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标的名称：2025年西安高新区税务局辅助工作劳务外包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2025年西安高新区税务局辅助工作劳务外包项目</w:t>
            </w:r>
          </w:p>
        </w:tc>
        <w:tc>
          <w:tcPr>
            <w:tcW w:type="dxa" w:w="2076"/>
          </w:tcPr>
          <w:p>
            <w:pPr>
              <w:pStyle w:val="null3"/>
              <w:ind w:left="15" w:firstLine="572"/>
            </w:pPr>
            <w:r>
              <w:rPr>
                <w:rFonts w:ascii="仿宋_GB2312" w:hAnsi="仿宋_GB2312" w:cs="仿宋_GB2312" w:eastAsia="仿宋_GB2312"/>
              </w:rPr>
              <w:t>一、项目概况</w:t>
            </w:r>
          </w:p>
          <w:p>
            <w:pPr>
              <w:pStyle w:val="null3"/>
              <w:ind w:left="15" w:firstLine="572"/>
            </w:pPr>
            <w:r>
              <w:rPr>
                <w:rFonts w:ascii="仿宋_GB2312" w:hAnsi="仿宋_GB2312" w:cs="仿宋_GB2312" w:eastAsia="仿宋_GB2312"/>
              </w:rPr>
              <w:t>为促进高新经济社会发展，结合高新区实际情况，需由第三方承担税务局辅助工作劳务外包。</w:t>
            </w:r>
          </w:p>
          <w:p>
            <w:pPr>
              <w:pStyle w:val="null3"/>
              <w:ind w:left="15" w:firstLine="572"/>
            </w:pPr>
            <w:r>
              <w:rPr>
                <w:rFonts w:ascii="仿宋_GB2312" w:hAnsi="仿宋_GB2312" w:cs="仿宋_GB2312" w:eastAsia="仿宋_GB2312"/>
              </w:rPr>
              <w:t>二、服务要求</w:t>
            </w:r>
          </w:p>
          <w:p>
            <w:pPr>
              <w:pStyle w:val="null3"/>
              <w:ind w:left="15" w:firstLine="572"/>
            </w:pPr>
            <w:r>
              <w:rPr>
                <w:rFonts w:ascii="仿宋_GB2312" w:hAnsi="仿宋_GB2312" w:cs="仿宋_GB2312" w:eastAsia="仿宋_GB2312"/>
              </w:rPr>
              <w:t>1、</w:t>
            </w:r>
            <w:r>
              <w:rPr>
                <w:rFonts w:ascii="仿宋_GB2312" w:hAnsi="仿宋_GB2312" w:cs="仿宋_GB2312" w:eastAsia="仿宋_GB2312"/>
              </w:rPr>
              <w:t>根据实际工作情况，办税服务厅综合服务大厅业务受理工作需不少于5人。</w:t>
            </w:r>
          </w:p>
          <w:p>
            <w:pPr>
              <w:pStyle w:val="null3"/>
              <w:ind w:left="15" w:firstLine="572"/>
            </w:pPr>
            <w:r>
              <w:rPr>
                <w:rFonts w:ascii="仿宋_GB2312" w:hAnsi="仿宋_GB2312" w:cs="仿宋_GB2312" w:eastAsia="仿宋_GB2312"/>
              </w:rPr>
              <w:t>2、供应商确保5个工作日内办理完毕劳动合同的签订手续、派遣手续，并随时由采购人派遣。</w:t>
            </w:r>
          </w:p>
          <w:p>
            <w:pPr>
              <w:pStyle w:val="null3"/>
              <w:ind w:left="15" w:firstLine="572"/>
            </w:pPr>
            <w:r>
              <w:rPr>
                <w:rFonts w:ascii="仿宋_GB2312" w:hAnsi="仿宋_GB2312" w:cs="仿宋_GB2312" w:eastAsia="仿宋_GB2312"/>
              </w:rPr>
              <w:t>3、供应商应严格落实综合服务大厅业务受理人员招聘、政审制度，要求业务受理人员严格遵守法律法规，自觉维护政务大厅的良好形象，保持仪容仪表端庄大方，着装整洁统一，言行举止和善、大方得体、不得与办事群众发生争执、有一定责任心和爱岗敬业精神。</w:t>
            </w:r>
          </w:p>
          <w:p>
            <w:pPr>
              <w:pStyle w:val="null3"/>
              <w:ind w:left="15" w:firstLine="572"/>
            </w:pPr>
            <w:r>
              <w:rPr>
                <w:rFonts w:ascii="仿宋_GB2312" w:hAnsi="仿宋_GB2312" w:cs="仿宋_GB2312" w:eastAsia="仿宋_GB2312"/>
              </w:rPr>
              <w:t>4、供应商负责外包服务人员的薪酬管理和工资发放、补贴、社保办理及个保代扣代缴、劳动关系维护、有关法律法规咨询等。</w:t>
            </w:r>
          </w:p>
          <w:p>
            <w:pPr>
              <w:pStyle w:val="null3"/>
              <w:ind w:left="15" w:firstLine="572"/>
            </w:pPr>
            <w:r>
              <w:rPr>
                <w:rFonts w:ascii="仿宋_GB2312" w:hAnsi="仿宋_GB2312" w:cs="仿宋_GB2312" w:eastAsia="仿宋_GB2312"/>
              </w:rPr>
              <w:t>5、供应商应确保和谐、稳妥的处理外包服务人员的劳动仲裁、劳动诉讼及人事纠纷，避免妨碍办税服务厅综合服务大厅的正常工作，并由此带来不利的社会影响。</w:t>
            </w:r>
          </w:p>
          <w:p>
            <w:pPr>
              <w:pStyle w:val="null3"/>
              <w:ind w:left="15" w:firstLine="572"/>
            </w:pPr>
            <w:r>
              <w:rPr>
                <w:rFonts w:ascii="仿宋_GB2312" w:hAnsi="仿宋_GB2312" w:cs="仿宋_GB2312" w:eastAsia="仿宋_GB2312"/>
              </w:rPr>
              <w:t>6、供应商必须具备项目服务能力。拥有足够的人力、财力、物力和专业技术能力等资源保证劳务委托业务，有健全的组织机构和内部管理制度，有完善的质量保证体系和管理制度，有良好的服务态度和声誉。</w:t>
            </w:r>
          </w:p>
          <w:p>
            <w:pPr>
              <w:pStyle w:val="null3"/>
              <w:ind w:left="15" w:firstLine="572"/>
            </w:pPr>
            <w:r>
              <w:rPr>
                <w:rFonts w:ascii="仿宋_GB2312" w:hAnsi="仿宋_GB2312" w:cs="仿宋_GB2312" w:eastAsia="仿宋_GB2312"/>
              </w:rPr>
              <w:t>7、供应商应独立完成工作任务，不得以任何形式将工作任务再委托其他个人和机构。</w:t>
            </w:r>
          </w:p>
          <w:p>
            <w:pPr>
              <w:pStyle w:val="null3"/>
              <w:ind w:left="15" w:firstLine="572"/>
            </w:pPr>
            <w:r>
              <w:rPr>
                <w:rFonts w:ascii="仿宋_GB2312" w:hAnsi="仿宋_GB2312" w:cs="仿宋_GB2312" w:eastAsia="仿宋_GB2312"/>
              </w:rPr>
              <w:t>8、为保证项目的顺利进行，供应商应确定主要业务联系人、投诉管理人员及联系方式等情况。</w:t>
            </w:r>
          </w:p>
          <w:p>
            <w:pPr>
              <w:pStyle w:val="null3"/>
              <w:ind w:left="15" w:firstLine="572"/>
            </w:pPr>
            <w:r>
              <w:rPr>
                <w:rFonts w:ascii="仿宋_GB2312" w:hAnsi="仿宋_GB2312" w:cs="仿宋_GB2312" w:eastAsia="仿宋_GB2312"/>
              </w:rPr>
              <w:t>三、服务地点及期限</w:t>
            </w:r>
          </w:p>
          <w:p>
            <w:pPr>
              <w:pStyle w:val="null3"/>
              <w:ind w:left="15" w:firstLine="572"/>
            </w:pPr>
            <w:r>
              <w:rPr>
                <w:rFonts w:ascii="仿宋_GB2312" w:hAnsi="仿宋_GB2312" w:cs="仿宋_GB2312" w:eastAsia="仿宋_GB2312"/>
              </w:rPr>
              <w:t>1、服务地点：采购人指定地点；</w:t>
            </w:r>
          </w:p>
          <w:p>
            <w:pPr>
              <w:pStyle w:val="null3"/>
              <w:ind w:left="15" w:firstLine="572"/>
            </w:pPr>
            <w:r>
              <w:rPr>
                <w:rFonts w:ascii="仿宋_GB2312" w:hAnsi="仿宋_GB2312" w:cs="仿宋_GB2312" w:eastAsia="仿宋_GB2312"/>
              </w:rPr>
              <w:t>2、服务期限：自合同签订之日起一年。本项目采取一次</w:t>
            </w:r>
            <w:r>
              <w:rPr>
                <w:rFonts w:ascii="仿宋_GB2312" w:hAnsi="仿宋_GB2312" w:cs="仿宋_GB2312" w:eastAsia="仿宋_GB2312"/>
              </w:rPr>
              <w:t>采购</w:t>
            </w:r>
            <w:r>
              <w:rPr>
                <w:rFonts w:ascii="仿宋_GB2312" w:hAnsi="仿宋_GB2312" w:cs="仿宋_GB2312" w:eastAsia="仿宋_GB2312"/>
              </w:rPr>
              <w:t>三年沿用、实行一年一考核一签合同的办法。若一年合同期满，供应商按照合同严格履约，且符合相关规定，将继续签订下一年的政府采购合同，反之，则不再续签。若合同期满但采购人需求取消，则经采购人提前书面通知供应商后，合同到期终止，不</w:t>
            </w:r>
            <w:r>
              <w:rPr>
                <w:rFonts w:ascii="仿宋_GB2312" w:hAnsi="仿宋_GB2312" w:cs="仿宋_GB2312" w:eastAsia="仿宋_GB2312"/>
              </w:rPr>
              <w:t>再</w:t>
            </w:r>
            <w:r>
              <w:rPr>
                <w:rFonts w:ascii="仿宋_GB2312" w:hAnsi="仿宋_GB2312" w:cs="仿宋_GB2312" w:eastAsia="仿宋_GB2312"/>
              </w:rPr>
              <w:t>顺延。</w:t>
            </w:r>
          </w:p>
          <w:p>
            <w:pPr>
              <w:pStyle w:val="null3"/>
              <w:ind w:left="15" w:firstLine="572"/>
            </w:pPr>
            <w:r>
              <w:rPr>
                <w:rFonts w:ascii="仿宋_GB2312" w:hAnsi="仿宋_GB2312" w:cs="仿宋_GB2312" w:eastAsia="仿宋_GB2312"/>
              </w:rPr>
              <w:t>四、验收</w:t>
            </w:r>
          </w:p>
          <w:p>
            <w:pPr>
              <w:pStyle w:val="null3"/>
              <w:ind w:left="15" w:firstLine="572"/>
            </w:pPr>
            <w:r>
              <w:rPr>
                <w:rFonts w:ascii="仿宋_GB2312" w:hAnsi="仿宋_GB2312" w:cs="仿宋_GB2312" w:eastAsia="仿宋_GB2312"/>
              </w:rPr>
              <w:t>1、验收标准：由采购人组织或委托相关部门服务期间进行现场巡检、验收，并符合竞争性磋商文件及国家、省市及行业相关要求。</w:t>
            </w:r>
          </w:p>
          <w:p>
            <w:pPr>
              <w:pStyle w:val="null3"/>
              <w:ind w:left="15" w:firstLine="572"/>
            </w:pPr>
            <w:r>
              <w:rPr>
                <w:rFonts w:ascii="仿宋_GB2312" w:hAnsi="仿宋_GB2312" w:cs="仿宋_GB2312" w:eastAsia="仿宋_GB2312"/>
              </w:rPr>
              <w:t>2、验收依据：合同文本、竞争性磋商文件和竞争性磋商响应文件。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根据实际工作情况，办税服务厅综合服务大厅业务受理工作需不少于5人。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需执行的国家相关标准、行业标准、地方标准或者其他标准、规范标准：《人力资源外包服务规范》（GB/T 33530-2017）</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采购三年沿用、实行一年一考核一签合同的办法。若一年合同期满，供应商按照合同严格履约，且符合相关规定，将继续签订下一年的政府采购合同，反之，则不再续签。若合同期满但采购人需求取消，则经采购人提前书面通知供应商后，合同到期终止，不再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当年第三季度首月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违约责任：(一)若一方不能履行合同义务，出现重大违约，则另一方可以书面通知方式单方面终止本合同，并可要求赔偿损失。 (二)除上述规定之情形外，提供服务过程中如果没有对方的书面同意，一方不能提前解除合同。如果未经对方同意解除合同，其应当支付合同金额5%的违约金。 (三)如因成交供应商没有履行合同相关义务以及条款对采购人造成损失的由成交供应商负全部责任。 (四)合同一方违约的，另一方应积极采取适当措施阻止损失扩大，否则不得就扩大部分的损失要求赔偿；违约方应当承担守约方为阻止损失扩大而支付的合理费用。 解决争议的方法：双方本着友好合作的态度,对合同履行过程中发生的纠纷应及时协商解决，协商不成的，向采购人所在地有管辖权的人民法院诉讼解决。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报价为完成本项目磋商文件中所提出的工作范围及要求的全部内容，并达到国家及采购人验收标准而产生的所有费用，包括但不限于员工基本工资、绩效工资、岗位工资、五险一金、餐补、采暖降温、体检费用、培训费、备用金、其它福利津贴、商业保险费、招标代理费、管理费、税金、风险及完成验收阶段等所需的全部费用。不因项目规模、政策调整和服务期限调整等因素增减。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提供有效的《人力资源服务许可证》；供应商需在项目电子化交易系统中按要求上传相应证明文件并进行电子签章。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业绩证明文件及响应方案说明 响应文件封面 资格证明文件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提供2022年2月以来类似项目业绩合同（以合同签订时间为准），每份计2分，满分10分。（注：以上证明文件在磋商响应文件中附业绩合同扫描件并加盖公司公章。）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详细的服务方案（包含但不限于服务目标、实施计划、组织实施方案等）。本项满分12分。总体服务方案详细、思路清晰，可行性高，针对性强，与采购人需求契合度高，得（8-12]分；总体服务方案较详细，可行性较高，针对性较强，与采购人需求契合度一般，得（4-8]分；总体服务方案合理性、可行性简单，针对性一般，与采购人需求契合度低，得（0-4]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拟投入本项目的团队人员配置方案</w:t>
            </w:r>
          </w:p>
        </w:tc>
        <w:tc>
          <w:tcPr>
            <w:tcW w:type="dxa" w:w="2492"/>
          </w:tcPr>
          <w:p>
            <w:pPr>
              <w:pStyle w:val="null3"/>
            </w:pPr>
            <w:r>
              <w:rPr>
                <w:rFonts w:ascii="仿宋_GB2312" w:hAnsi="仿宋_GB2312" w:cs="仿宋_GB2312" w:eastAsia="仿宋_GB2312"/>
              </w:rPr>
              <w:t>提供拟投入本项目的团队人员配置方案（包括但不限于人员招聘、人员储备、岗位安排、从业经验等）。本项目满分10分。方案描述详细，人员配置科学合理，数量充足，经验丰富，证明材料详尽，得（7-10]分；方案描述较详细，人员配置较合理，数量较充足，经验一般，证明材料较详尽，得（3-7]分；方案描述简单，人员配置不够合理，数量欠缺，经验不足，证明材料不足，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情况及采购人需求，提供培训方案（包括但不限于培训目标、培训计划、培训组织方式、岗位责任、训练记录、培训内容等），本项满分10分。培训方案完整、可行性强得（7-10]分；有提供培训方案，但方案可行性一般得（3-7]分；提供的培训方案简单，不能保证服务人员服务水平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质量保障措施及承诺</w:t>
            </w:r>
          </w:p>
        </w:tc>
        <w:tc>
          <w:tcPr>
            <w:tcW w:type="dxa" w:w="2492"/>
          </w:tcPr>
          <w:p>
            <w:pPr>
              <w:pStyle w:val="null3"/>
            </w:pPr>
            <w:r>
              <w:rPr>
                <w:rFonts w:ascii="仿宋_GB2312" w:hAnsi="仿宋_GB2312" w:cs="仿宋_GB2312" w:eastAsia="仿宋_GB2312"/>
              </w:rPr>
              <w:t>根据项目实际情况提供质量保障措施及承诺，根据响应程度及可实施性计分。本项满分8分。未提供不得分。措施及承诺科学合理、考虑周全、措施到位，针对性完全满足采购人需求，得（4-8]分；措施及承诺不合理，内容缺失，有效性一般，针对性不能满足本项目服务需求，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有具体的针对劳务纠纷的处理办法及形式，本项满分6分；处理办法详尽全面，科学合理、可行性强得（3-6]分；处理办法不够全面，合理性欠缺、可行性一般得（0-3]分；未提供不得分。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实际情况提供完整的管理制度，包括但不限于各部门人员上岗方案的管理制度、日常管理制度、档案资料管理制度、内部监督制度、考核制度等。本项满分10分。各项制度内容完整、科学合理、针对性强、可操作性强，得（7-10]分。各项制度内容较完整、较合理、具有一定的操作性，得（3-7]分。各项制度内容简单，合理性欠缺，针对性不强，可操作性一般，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有针对本项目突发事件的应对措施，提供突发事件快速响应的时间、调动人员的数量、人员中途离职及其他特殊事件的处理方案。本项满分8分。应急预案针对性强，有相对全面的预见性，应对措施科学、有效、可行，得（4-8]分；应急预案存在瑕疵，欠缺预见性或缺乏应对措施，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针对本项目的合理化建议，本项满分6分。建议描述详细、可操作性强、细节描述完整得（3-6]分；描述简单、可操作性低得（0-3]分；未提供不得分。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培训、不能完全履行服务承诺时接受处罚等情况做出实质性承诺。本项满分10分。服务承诺可操作性强、细节描述详细、完整优越计（7-10]分；有相对的操作性、承诺内容良好计（3-7]分；服务承诺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报价一览表及分项报价表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