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76CA0">
      <w:pPr>
        <w:spacing w:before="62" w:line="220" w:lineRule="auto"/>
        <w:jc w:val="center"/>
        <w:outlineLvl w:val="0"/>
        <w:rPr>
          <w:rFonts w:hint="eastAsia" w:ascii="仿宋" w:hAnsi="仿宋" w:eastAsia="仿宋" w:cs="仿宋"/>
          <w:color w:val="auto"/>
          <w:sz w:val="31"/>
          <w:szCs w:val="31"/>
        </w:rPr>
      </w:pPr>
      <w:r>
        <w:rPr>
          <w:rFonts w:hint="eastAsia" w:ascii="仿宋" w:hAnsi="仿宋" w:eastAsia="仿宋" w:cs="仿宋"/>
          <w:b/>
          <w:bCs/>
          <w:color w:val="auto"/>
          <w:spacing w:val="7"/>
          <w:sz w:val="40"/>
          <w:szCs w:val="40"/>
        </w:rPr>
        <w:t>拟签订采购合同文本</w:t>
      </w:r>
    </w:p>
    <w:p w14:paraId="55D7EA9C">
      <w:pPr>
        <w:pStyle w:val="4"/>
        <w:spacing w:line="366" w:lineRule="auto"/>
        <w:rPr>
          <w:rFonts w:hint="eastAsia" w:ascii="仿宋" w:hAnsi="仿宋" w:eastAsia="仿宋" w:cs="仿宋"/>
          <w:color w:val="auto"/>
        </w:rPr>
      </w:pPr>
    </w:p>
    <w:p w14:paraId="3A8839BA">
      <w:pPr>
        <w:jc w:val="center"/>
        <w:rPr>
          <w:rFonts w:hint="eastAsia" w:ascii="仿宋" w:hAnsi="仿宋" w:eastAsia="仿宋" w:cs="仿宋"/>
          <w:b/>
          <w:color w:val="auto"/>
          <w:sz w:val="56"/>
          <w:szCs w:val="56"/>
          <w:highlight w:val="none"/>
          <w:lang w:eastAsia="zh-CN"/>
        </w:rPr>
      </w:pPr>
      <w:bookmarkStart w:id="0" w:name="_GoBack"/>
      <w:bookmarkEnd w:id="0"/>
    </w:p>
    <w:p w14:paraId="198DB7FF">
      <w:pPr>
        <w:jc w:val="center"/>
        <w:rPr>
          <w:rFonts w:hint="eastAsia" w:ascii="仿宋" w:hAnsi="仿宋" w:eastAsia="仿宋" w:cs="仿宋"/>
          <w:b/>
          <w:color w:val="auto"/>
          <w:sz w:val="56"/>
          <w:szCs w:val="56"/>
          <w:highlight w:val="none"/>
          <w:lang w:eastAsia="zh-CN"/>
        </w:rPr>
      </w:pPr>
    </w:p>
    <w:p w14:paraId="1AC41AEF">
      <w:pPr>
        <w:jc w:val="center"/>
        <w:rPr>
          <w:rFonts w:hint="eastAsia" w:ascii="仿宋" w:hAnsi="仿宋" w:eastAsia="仿宋" w:cs="仿宋"/>
          <w:b/>
          <w:color w:val="auto"/>
          <w:sz w:val="56"/>
          <w:szCs w:val="56"/>
          <w:highlight w:val="none"/>
          <w:lang w:eastAsia="zh-CN"/>
        </w:rPr>
      </w:pPr>
    </w:p>
    <w:p w14:paraId="2D24FD6B">
      <w:pPr>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综保区</w:t>
      </w:r>
      <w:r>
        <w:rPr>
          <w:rFonts w:hint="eastAsia" w:ascii="仿宋" w:hAnsi="仿宋" w:eastAsia="仿宋" w:cs="仿宋"/>
          <w:b/>
          <w:color w:val="auto"/>
          <w:sz w:val="44"/>
          <w:szCs w:val="44"/>
          <w:highlight w:val="none"/>
          <w:lang w:val="en-US" w:eastAsia="zh-CN"/>
        </w:rPr>
        <w:t>监管</w:t>
      </w:r>
      <w:r>
        <w:rPr>
          <w:rFonts w:hint="eastAsia" w:ascii="仿宋" w:hAnsi="仿宋" w:eastAsia="仿宋" w:cs="仿宋"/>
          <w:b/>
          <w:color w:val="auto"/>
          <w:sz w:val="44"/>
          <w:szCs w:val="44"/>
          <w:highlight w:val="none"/>
          <w:lang w:eastAsia="zh-CN"/>
        </w:rPr>
        <w:t>场站运营服务项目</w:t>
      </w:r>
    </w:p>
    <w:p w14:paraId="4EE17EE1">
      <w:pPr>
        <w:jc w:val="center"/>
        <w:rPr>
          <w:rFonts w:hint="eastAsia" w:ascii="仿宋" w:hAnsi="仿宋" w:eastAsia="仿宋" w:cs="仿宋"/>
          <w:b/>
          <w:color w:val="auto"/>
          <w:sz w:val="36"/>
          <w:szCs w:val="36"/>
          <w:highlight w:val="none"/>
        </w:rPr>
      </w:pPr>
    </w:p>
    <w:p w14:paraId="5DDED61B">
      <w:pPr>
        <w:jc w:val="center"/>
        <w:rPr>
          <w:rFonts w:hint="eastAsia" w:ascii="仿宋" w:hAnsi="仿宋" w:eastAsia="仿宋" w:cs="仿宋"/>
          <w:b/>
          <w:color w:val="auto"/>
          <w:sz w:val="56"/>
          <w:szCs w:val="56"/>
          <w:highlight w:val="none"/>
        </w:rPr>
      </w:pPr>
    </w:p>
    <w:p w14:paraId="2C8040AC">
      <w:pPr>
        <w:jc w:val="center"/>
        <w:rPr>
          <w:rFonts w:hint="eastAsia" w:ascii="仿宋" w:hAnsi="仿宋" w:eastAsia="仿宋" w:cs="仿宋"/>
          <w:b/>
          <w:color w:val="auto"/>
          <w:sz w:val="56"/>
          <w:szCs w:val="56"/>
          <w:highlight w:val="none"/>
        </w:rPr>
      </w:pPr>
    </w:p>
    <w:p w14:paraId="4DE801C0">
      <w:pPr>
        <w:jc w:val="center"/>
        <w:rPr>
          <w:rFonts w:hint="eastAsia" w:ascii="仿宋" w:hAnsi="仿宋" w:eastAsia="仿宋" w:cs="仿宋"/>
          <w:b/>
          <w:color w:val="auto"/>
          <w:sz w:val="52"/>
          <w:szCs w:val="52"/>
          <w:highlight w:val="none"/>
          <w:lang w:eastAsia="zh-CN"/>
        </w:rPr>
      </w:pPr>
      <w:r>
        <w:rPr>
          <w:rFonts w:hint="eastAsia" w:ascii="仿宋" w:hAnsi="仿宋" w:eastAsia="仿宋" w:cs="仿宋"/>
          <w:b/>
          <w:color w:val="auto"/>
          <w:sz w:val="52"/>
          <w:szCs w:val="52"/>
          <w:highlight w:val="none"/>
        </w:rPr>
        <w:t>合同</w:t>
      </w:r>
      <w:r>
        <w:rPr>
          <w:rFonts w:hint="eastAsia" w:ascii="仿宋" w:hAnsi="仿宋" w:eastAsia="仿宋" w:cs="仿宋"/>
          <w:b/>
          <w:color w:val="auto"/>
          <w:sz w:val="52"/>
          <w:szCs w:val="52"/>
          <w:highlight w:val="none"/>
          <w:lang w:eastAsia="zh-CN"/>
        </w:rPr>
        <w:t>主要条款</w:t>
      </w:r>
    </w:p>
    <w:p w14:paraId="7B6B9A9C">
      <w:pPr>
        <w:pStyle w:val="3"/>
        <w:rPr>
          <w:rFonts w:hint="eastAsia" w:ascii="仿宋" w:hAnsi="仿宋" w:eastAsia="仿宋" w:cs="仿宋"/>
          <w:color w:val="auto"/>
          <w:highlight w:val="none"/>
          <w:lang w:eastAsia="zh-CN"/>
        </w:rPr>
      </w:pPr>
      <w:r>
        <w:rPr>
          <w:rFonts w:hint="eastAsia" w:ascii="仿宋" w:hAnsi="仿宋" w:eastAsia="仿宋" w:cs="仿宋"/>
          <w:b/>
          <w:color w:val="auto"/>
          <w:kern w:val="0"/>
          <w:sz w:val="24"/>
          <w:szCs w:val="24"/>
          <w:highlight w:val="none"/>
          <w:lang w:val="en-US" w:eastAsia="zh-CN"/>
        </w:rPr>
        <w:t>（本格式条款供双方签订合同参考，采购人可根据项目的实际情况增加条款和内容）</w:t>
      </w:r>
    </w:p>
    <w:p w14:paraId="6D3DDC90">
      <w:pPr>
        <w:jc w:val="center"/>
        <w:rPr>
          <w:rFonts w:hint="eastAsia" w:ascii="仿宋" w:hAnsi="仿宋" w:eastAsia="仿宋" w:cs="仿宋"/>
          <w:b/>
          <w:color w:val="auto"/>
          <w:sz w:val="48"/>
          <w:szCs w:val="48"/>
          <w:highlight w:val="none"/>
        </w:rPr>
      </w:pPr>
    </w:p>
    <w:p w14:paraId="459F8A49">
      <w:pPr>
        <w:jc w:val="center"/>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24E64FF8">
      <w:pPr>
        <w:rPr>
          <w:rFonts w:hint="eastAsia" w:ascii="仿宋" w:hAnsi="仿宋" w:eastAsia="仿宋" w:cs="仿宋"/>
          <w:b/>
          <w:color w:val="auto"/>
          <w:highlight w:val="none"/>
        </w:rPr>
      </w:pPr>
    </w:p>
    <w:p w14:paraId="228EC555">
      <w:pPr>
        <w:rPr>
          <w:rFonts w:hint="eastAsia" w:ascii="仿宋" w:hAnsi="仿宋" w:eastAsia="仿宋" w:cs="仿宋"/>
          <w:b/>
          <w:color w:val="auto"/>
          <w:highlight w:val="none"/>
        </w:rPr>
      </w:pPr>
    </w:p>
    <w:p w14:paraId="3D75CF75">
      <w:pPr>
        <w:rPr>
          <w:rFonts w:hint="eastAsia" w:ascii="仿宋" w:hAnsi="仿宋" w:eastAsia="仿宋" w:cs="仿宋"/>
          <w:b/>
          <w:color w:val="auto"/>
          <w:highlight w:val="none"/>
        </w:rPr>
      </w:pPr>
    </w:p>
    <w:p w14:paraId="3EAF73E3">
      <w:pPr>
        <w:rPr>
          <w:rFonts w:hint="eastAsia" w:ascii="仿宋" w:hAnsi="仿宋" w:eastAsia="仿宋" w:cs="仿宋"/>
          <w:b/>
          <w:color w:val="auto"/>
          <w:highlight w:val="none"/>
        </w:rPr>
      </w:pPr>
    </w:p>
    <w:p w14:paraId="1C582EE3">
      <w:pPr>
        <w:rPr>
          <w:rFonts w:hint="eastAsia" w:ascii="仿宋" w:hAnsi="仿宋" w:eastAsia="仿宋" w:cs="仿宋"/>
          <w:b/>
          <w:color w:val="auto"/>
          <w:highlight w:val="none"/>
        </w:rPr>
      </w:pPr>
    </w:p>
    <w:p w14:paraId="570E861A">
      <w:pPr>
        <w:rPr>
          <w:rFonts w:hint="eastAsia" w:ascii="仿宋" w:hAnsi="仿宋" w:eastAsia="仿宋" w:cs="仿宋"/>
          <w:b/>
          <w:color w:val="auto"/>
          <w:sz w:val="48"/>
          <w:szCs w:val="48"/>
          <w:highlight w:val="none"/>
        </w:rPr>
      </w:pPr>
    </w:p>
    <w:p w14:paraId="12AAFA71">
      <w:pPr>
        <w:pStyle w:val="4"/>
        <w:rPr>
          <w:rFonts w:hint="eastAsia" w:ascii="仿宋" w:hAnsi="仿宋" w:eastAsia="仿宋" w:cs="仿宋"/>
          <w:b/>
          <w:color w:val="auto"/>
          <w:sz w:val="48"/>
          <w:szCs w:val="48"/>
          <w:highlight w:val="none"/>
        </w:rPr>
      </w:pPr>
    </w:p>
    <w:p w14:paraId="460BAC5B">
      <w:pPr>
        <w:pStyle w:val="5"/>
        <w:rPr>
          <w:rFonts w:hint="eastAsia" w:ascii="仿宋" w:hAnsi="仿宋" w:eastAsia="仿宋" w:cs="仿宋"/>
          <w:b/>
          <w:color w:val="auto"/>
          <w:sz w:val="48"/>
          <w:szCs w:val="48"/>
          <w:highlight w:val="none"/>
        </w:rPr>
      </w:pPr>
    </w:p>
    <w:p w14:paraId="4E36AA76">
      <w:pPr>
        <w:pStyle w:val="5"/>
        <w:rPr>
          <w:rFonts w:hint="eastAsia" w:ascii="仿宋" w:hAnsi="仿宋" w:eastAsia="仿宋" w:cs="仿宋"/>
          <w:b/>
          <w:color w:val="auto"/>
          <w:sz w:val="48"/>
          <w:szCs w:val="48"/>
          <w:highlight w:val="none"/>
        </w:rPr>
      </w:pPr>
    </w:p>
    <w:p w14:paraId="71EC86A9">
      <w:pPr>
        <w:pStyle w:val="4"/>
        <w:rPr>
          <w:rFonts w:hint="eastAsia"/>
          <w:color w:val="auto"/>
        </w:rPr>
      </w:pPr>
    </w:p>
    <w:p w14:paraId="0A449D78">
      <w:pPr>
        <w:pStyle w:val="4"/>
        <w:rPr>
          <w:rFonts w:hint="eastAsia" w:ascii="仿宋" w:hAnsi="仿宋" w:eastAsia="仿宋" w:cs="仿宋"/>
          <w:color w:val="auto"/>
          <w:highlight w:val="none"/>
        </w:rPr>
      </w:pPr>
    </w:p>
    <w:p w14:paraId="3586E711">
      <w:pPr>
        <w:spacing w:line="360" w:lineRule="auto"/>
        <w:ind w:left="1469"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lang w:val="en-US" w:eastAsia="zh-CN"/>
        </w:rPr>
        <w:t>采购</w:t>
      </w:r>
      <w:r>
        <w:rPr>
          <w:rFonts w:hint="eastAsia" w:ascii="仿宋" w:hAnsi="仿宋" w:eastAsia="仿宋" w:cs="仿宋"/>
          <w:b/>
          <w:color w:val="auto"/>
          <w:spacing w:val="23"/>
          <w:sz w:val="32"/>
          <w:szCs w:val="32"/>
          <w:highlight w:val="none"/>
        </w:rPr>
        <w:t>人)：</w:t>
      </w:r>
      <w:r>
        <w:rPr>
          <w:rFonts w:hint="eastAsia" w:ascii="仿宋" w:hAnsi="仿宋" w:eastAsia="仿宋" w:cs="仿宋"/>
          <w:color w:val="auto"/>
          <w:spacing w:val="23"/>
          <w:sz w:val="28"/>
          <w:szCs w:val="28"/>
          <w:highlight w:val="none"/>
          <w:u w:val="single"/>
        </w:rPr>
        <w:t></w:t>
      </w:r>
    </w:p>
    <w:p w14:paraId="42D523AE">
      <w:pPr>
        <w:spacing w:line="360" w:lineRule="auto"/>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b/>
          <w:color w:val="auto"/>
          <w:spacing w:val="23"/>
          <w:sz w:val="32"/>
          <w:szCs w:val="32"/>
          <w:highlight w:val="none"/>
          <w:lang w:val="en-US" w:eastAsia="zh-CN"/>
        </w:rPr>
        <w:t>供应商</w:t>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30B514F9">
      <w:pPr>
        <w:spacing w:line="500" w:lineRule="atLeast"/>
        <w:jc w:val="center"/>
        <w:rPr>
          <w:rFonts w:hint="eastAsia" w:ascii="仿宋" w:hAnsi="仿宋" w:eastAsia="仿宋" w:cs="仿宋"/>
          <w:b/>
          <w:bCs/>
          <w:color w:val="auto"/>
          <w:sz w:val="40"/>
          <w:szCs w:val="40"/>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358E6C73">
      <w:pPr>
        <w:widowControl/>
        <w:spacing w:line="360" w:lineRule="auto"/>
        <w:ind w:firstLine="602" w:firstLineChars="200"/>
        <w:jc w:val="center"/>
        <w:rPr>
          <w:rFonts w:hint="eastAsia" w:ascii="仿宋" w:hAnsi="仿宋" w:eastAsia="仿宋" w:cs="仿宋"/>
          <w:bCs/>
          <w:color w:val="auto"/>
          <w:sz w:val="28"/>
          <w:szCs w:val="28"/>
          <w:highlight w:val="none"/>
          <w:lang w:bidi="ar"/>
        </w:rPr>
      </w:pPr>
      <w:r>
        <w:rPr>
          <w:rFonts w:hint="eastAsia" w:ascii="仿宋" w:hAnsi="仿宋" w:eastAsia="仿宋" w:cs="仿宋"/>
          <w:b/>
          <w:color w:val="auto"/>
          <w:sz w:val="30"/>
          <w:szCs w:val="30"/>
          <w:highlight w:val="none"/>
          <w:lang w:bidi="ar"/>
        </w:rPr>
        <w:br w:type="page"/>
      </w:r>
      <w:r>
        <w:rPr>
          <w:rFonts w:hint="eastAsia" w:ascii="仿宋" w:hAnsi="仿宋" w:eastAsia="仿宋" w:cs="仿宋"/>
          <w:b/>
          <w:color w:val="auto"/>
          <w:sz w:val="36"/>
          <w:szCs w:val="36"/>
          <w:highlight w:val="none"/>
          <w:lang w:bidi="ar"/>
        </w:rPr>
        <w:t>合同范本</w:t>
      </w:r>
    </w:p>
    <w:p w14:paraId="184940DE">
      <w:pPr>
        <w:keepNext w:val="0"/>
        <w:keepLines w:val="0"/>
        <w:pageBreakBefore w:val="0"/>
        <w:widowControl/>
        <w:wordWrap/>
        <w:overflowPunct/>
        <w:topLinePunct w:val="0"/>
        <w:bidi w:val="0"/>
        <w:spacing w:line="500" w:lineRule="exact"/>
        <w:ind w:left="0" w:right="0" w:rightChars="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val="en-US" w:eastAsia="zh-CN" w:bidi="ar"/>
        </w:rPr>
        <w:t>采购</w:t>
      </w:r>
      <w:r>
        <w:rPr>
          <w:rFonts w:hint="eastAsia" w:ascii="仿宋" w:hAnsi="仿宋" w:eastAsia="仿宋" w:cs="仿宋"/>
          <w:bCs/>
          <w:color w:val="auto"/>
          <w:sz w:val="28"/>
          <w:szCs w:val="28"/>
          <w:highlight w:val="none"/>
          <w:lang w:bidi="ar"/>
        </w:rPr>
        <w:t>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u w:val="single"/>
          <w:lang w:bidi="ar"/>
        </w:rPr>
        <w:t xml:space="preserve">                               </w:t>
      </w:r>
    </w:p>
    <w:p w14:paraId="1DBC8E73">
      <w:pPr>
        <w:keepNext w:val="0"/>
        <w:keepLines w:val="0"/>
        <w:pageBreakBefore w:val="0"/>
        <w:widowControl/>
        <w:wordWrap/>
        <w:overflowPunct/>
        <w:topLinePunct w:val="0"/>
        <w:bidi w:val="0"/>
        <w:spacing w:line="500" w:lineRule="exact"/>
        <w:ind w:left="0" w:right="0" w:rightChars="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供应商</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u w:val="single"/>
          <w:lang w:bidi="ar"/>
        </w:rPr>
        <w:t xml:space="preserve">                               </w:t>
      </w:r>
    </w:p>
    <w:p w14:paraId="07B532E5">
      <w:pPr>
        <w:keepNext w:val="0"/>
        <w:keepLines w:val="0"/>
        <w:pageBreakBefore w:val="0"/>
        <w:widowControl/>
        <w:wordWrap/>
        <w:overflowPunct/>
        <w:topLinePunct w:val="0"/>
        <w:bidi w:val="0"/>
        <w:spacing w:line="500" w:lineRule="exact"/>
        <w:ind w:left="0" w:right="0" w:rightChars="0" w:firstLine="560" w:firstLineChars="200"/>
        <w:jc w:val="left"/>
        <w:rPr>
          <w:rFonts w:hint="eastAsia" w:ascii="仿宋" w:hAnsi="仿宋" w:eastAsia="仿宋" w:cs="仿宋"/>
          <w:b/>
          <w:bCs/>
          <w:color w:val="auto"/>
          <w:sz w:val="28"/>
          <w:szCs w:val="28"/>
          <w:highlight w:val="none"/>
          <w:lang w:eastAsia="zh-CN"/>
        </w:rPr>
      </w:pPr>
      <w:r>
        <w:rPr>
          <w:rFonts w:hint="eastAsia" w:ascii="仿宋" w:hAnsi="仿宋" w:eastAsia="仿宋" w:cs="仿宋"/>
          <w:color w:val="auto"/>
          <w:kern w:val="0"/>
          <w:sz w:val="28"/>
          <w:szCs w:val="28"/>
          <w:highlight w:val="none"/>
        </w:rPr>
        <w:t>甲乙双方根据</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日</w:t>
      </w:r>
      <w:r>
        <w:rPr>
          <w:rFonts w:hint="eastAsia" w:ascii="仿宋" w:hAnsi="仿宋" w:eastAsia="仿宋" w:cs="仿宋"/>
          <w:color w:val="auto"/>
          <w:kern w:val="0"/>
          <w:sz w:val="28"/>
          <w:szCs w:val="28"/>
          <w:highlight w:val="none"/>
          <w:u w:val="single"/>
        </w:rPr>
        <w:t></w:t>
      </w:r>
      <w:r>
        <w:rPr>
          <w:rFonts w:hint="eastAsia" w:ascii="仿宋" w:hAnsi="仿宋" w:eastAsia="仿宋" w:cs="仿宋"/>
          <w:color w:val="auto"/>
          <w:kern w:val="0"/>
          <w:sz w:val="28"/>
          <w:szCs w:val="28"/>
          <w:highlight w:val="none"/>
        </w:rPr>
        <w:t>项目</w:t>
      </w:r>
      <w:r>
        <w:rPr>
          <w:rFonts w:hint="eastAsia" w:ascii="仿宋" w:hAnsi="仿宋" w:eastAsia="仿宋" w:cs="仿宋"/>
          <w:color w:val="auto"/>
          <w:kern w:val="0"/>
          <w:sz w:val="28"/>
          <w:szCs w:val="28"/>
          <w:highlight w:val="none"/>
          <w:lang w:val="en-US" w:eastAsia="zh-CN"/>
        </w:rPr>
        <w:t>采购</w:t>
      </w:r>
      <w:r>
        <w:rPr>
          <w:rFonts w:hint="eastAsia" w:ascii="仿宋" w:hAnsi="仿宋" w:eastAsia="仿宋" w:cs="仿宋"/>
          <w:color w:val="auto"/>
          <w:kern w:val="0"/>
          <w:sz w:val="28"/>
          <w:szCs w:val="28"/>
          <w:highlight w:val="none"/>
        </w:rPr>
        <w:t>结果及相关</w:t>
      </w:r>
      <w:r>
        <w:rPr>
          <w:rFonts w:hint="eastAsia" w:ascii="仿宋" w:hAnsi="仿宋" w:eastAsia="仿宋" w:cs="仿宋"/>
          <w:color w:val="auto"/>
          <w:kern w:val="0"/>
          <w:sz w:val="28"/>
          <w:szCs w:val="28"/>
          <w:highlight w:val="none"/>
          <w:lang w:val="en-US" w:eastAsia="zh-CN"/>
        </w:rPr>
        <w:t>竞争性磋商</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文件</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及</w:t>
      </w:r>
      <w:r>
        <w:rPr>
          <w:rFonts w:hint="eastAsia" w:ascii="仿宋" w:hAnsi="仿宋" w:eastAsia="仿宋" w:cs="仿宋"/>
          <w:color w:val="auto"/>
          <w:kern w:val="0"/>
          <w:sz w:val="28"/>
          <w:szCs w:val="28"/>
          <w:highlight w:val="none"/>
          <w:lang w:val="en-US" w:eastAsia="zh-CN"/>
        </w:rPr>
        <w:t>磋商响应</w:t>
      </w:r>
      <w:r>
        <w:rPr>
          <w:rFonts w:hint="eastAsia" w:ascii="仿宋" w:hAnsi="仿宋" w:eastAsia="仿宋" w:cs="仿宋"/>
          <w:color w:val="auto"/>
          <w:kern w:val="0"/>
          <w:sz w:val="28"/>
          <w:szCs w:val="28"/>
          <w:highlight w:val="none"/>
        </w:rPr>
        <w:t>文件，本合同经双方友好协商平等、诚信、协作的原则，按照《</w:t>
      </w:r>
      <w:r>
        <w:rPr>
          <w:rFonts w:hint="eastAsia" w:ascii="仿宋" w:hAnsi="仿宋" w:eastAsia="仿宋" w:cs="仿宋"/>
          <w:color w:val="auto"/>
          <w:kern w:val="0"/>
          <w:sz w:val="28"/>
          <w:szCs w:val="28"/>
          <w:highlight w:val="none"/>
          <w:lang w:eastAsia="zh-CN"/>
        </w:rPr>
        <w:t>中华人民共和国民法典</w:t>
      </w:r>
      <w:r>
        <w:rPr>
          <w:rFonts w:hint="eastAsia" w:ascii="仿宋" w:hAnsi="仿宋" w:eastAsia="仿宋" w:cs="仿宋"/>
          <w:color w:val="auto"/>
          <w:kern w:val="0"/>
          <w:sz w:val="28"/>
          <w:szCs w:val="28"/>
          <w:highlight w:val="none"/>
        </w:rPr>
        <w:t>》和</w:t>
      </w:r>
      <w:r>
        <w:rPr>
          <w:rFonts w:hint="eastAsia" w:ascii="仿宋" w:hAnsi="仿宋" w:eastAsia="仿宋" w:cs="仿宋"/>
          <w:bCs/>
          <w:color w:val="auto"/>
          <w:sz w:val="28"/>
          <w:szCs w:val="28"/>
          <w:highlight w:val="none"/>
        </w:rPr>
        <w:t>《中华人民共和国政府采购法》及其它有关法律、行政法规</w:t>
      </w:r>
      <w:r>
        <w:rPr>
          <w:rFonts w:hint="eastAsia" w:ascii="仿宋" w:hAnsi="仿宋" w:eastAsia="仿宋" w:cs="仿宋"/>
          <w:color w:val="auto"/>
          <w:kern w:val="0"/>
          <w:sz w:val="28"/>
          <w:szCs w:val="28"/>
          <w:highlight w:val="none"/>
        </w:rPr>
        <w:t>，订立本合同，供双方共同遵守</w:t>
      </w:r>
      <w:r>
        <w:rPr>
          <w:rFonts w:hint="eastAsia" w:ascii="仿宋" w:hAnsi="仿宋" w:eastAsia="仿宋" w:cs="仿宋"/>
          <w:color w:val="auto"/>
          <w:kern w:val="0"/>
          <w:sz w:val="28"/>
          <w:szCs w:val="28"/>
          <w:highlight w:val="none"/>
          <w:lang w:eastAsia="zh-CN"/>
        </w:rPr>
        <w:t>。</w:t>
      </w:r>
    </w:p>
    <w:p w14:paraId="43AEE875">
      <w:pPr>
        <w:keepNext w:val="0"/>
        <w:keepLines w:val="0"/>
        <w:pageBreakBefore w:val="0"/>
        <w:widowControl/>
        <w:numPr>
          <w:ilvl w:val="0"/>
          <w:numId w:val="1"/>
        </w:numPr>
        <w:wordWrap/>
        <w:overflowPunct/>
        <w:topLinePunct w:val="0"/>
        <w:bidi w:val="0"/>
        <w:spacing w:line="500" w:lineRule="exact"/>
        <w:ind w:left="0" w:right="0" w:rightChars="0"/>
        <w:jc w:val="left"/>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28"/>
          <w:szCs w:val="28"/>
          <w:highlight w:val="none"/>
        </w:rPr>
        <w:t>合同约定的内容</w:t>
      </w:r>
      <w:r>
        <w:rPr>
          <w:rFonts w:hint="eastAsia" w:ascii="仿宋" w:hAnsi="仿宋" w:eastAsia="仿宋" w:cs="仿宋"/>
          <w:b/>
          <w:bCs/>
          <w:color w:val="auto"/>
          <w:kern w:val="0"/>
          <w:sz w:val="28"/>
          <w:szCs w:val="28"/>
          <w:highlight w:val="none"/>
          <w:lang w:eastAsia="zh-CN"/>
        </w:rPr>
        <w:t>：</w:t>
      </w:r>
    </w:p>
    <w:p w14:paraId="0D116153">
      <w:pPr>
        <w:pStyle w:val="9"/>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Style w:val="10"/>
          <w:rFonts w:hint="eastAsia" w:ascii="仿宋" w:hAnsi="仿宋" w:eastAsia="仿宋" w:cs="仿宋"/>
          <w:snapToGrid w:val="0"/>
          <w:color w:val="auto"/>
          <w:kern w:val="0"/>
          <w:sz w:val="28"/>
          <w:szCs w:val="28"/>
          <w:highlight w:val="none"/>
          <w:lang w:val="en-US" w:eastAsia="en-US" w:bidi="ar-SA"/>
        </w:rPr>
      </w:pPr>
      <w:r>
        <w:rPr>
          <w:rStyle w:val="10"/>
          <w:rFonts w:hint="eastAsia" w:ascii="仿宋" w:hAnsi="仿宋" w:eastAsia="仿宋" w:cs="仿宋"/>
          <w:snapToGrid w:val="0"/>
          <w:color w:val="auto"/>
          <w:kern w:val="0"/>
          <w:sz w:val="28"/>
          <w:szCs w:val="28"/>
          <w:highlight w:val="none"/>
          <w:lang w:val="en-US" w:eastAsia="zh-CN" w:bidi="ar-SA"/>
        </w:rPr>
        <w:t>1、</w:t>
      </w:r>
      <w:r>
        <w:rPr>
          <w:rStyle w:val="10"/>
          <w:rFonts w:hint="eastAsia" w:ascii="仿宋" w:hAnsi="仿宋" w:eastAsia="仿宋" w:cs="仿宋"/>
          <w:snapToGrid w:val="0"/>
          <w:color w:val="auto"/>
          <w:kern w:val="0"/>
          <w:sz w:val="28"/>
          <w:szCs w:val="28"/>
          <w:highlight w:val="none"/>
          <w:lang w:val="en-US" w:eastAsia="en-US" w:bidi="ar-SA"/>
        </w:rPr>
        <w:t>提供对场站现场作业装卸、搬运、存储、吊箱、出入库及海关查验等现场作业设备配置的建议，能最大限度的考虑场站业务需求和功能拓展。</w:t>
      </w:r>
    </w:p>
    <w:p w14:paraId="1B2E3E61">
      <w:pPr>
        <w:pStyle w:val="9"/>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textAlignment w:val="baseline"/>
        <w:rPr>
          <w:rStyle w:val="10"/>
          <w:rFonts w:hint="eastAsia" w:ascii="仿宋" w:hAnsi="仿宋" w:eastAsia="仿宋" w:cs="仿宋"/>
          <w:snapToGrid w:val="0"/>
          <w:color w:val="auto"/>
          <w:kern w:val="0"/>
          <w:sz w:val="28"/>
          <w:szCs w:val="28"/>
          <w:highlight w:val="none"/>
          <w:lang w:val="en-US" w:eastAsia="en-US" w:bidi="ar-SA"/>
        </w:rPr>
      </w:pPr>
      <w:r>
        <w:rPr>
          <w:rStyle w:val="10"/>
          <w:rFonts w:hint="eastAsia" w:ascii="仿宋" w:hAnsi="仿宋" w:eastAsia="仿宋" w:cs="仿宋"/>
          <w:snapToGrid w:val="0"/>
          <w:color w:val="auto"/>
          <w:kern w:val="0"/>
          <w:sz w:val="28"/>
          <w:szCs w:val="28"/>
          <w:highlight w:val="none"/>
          <w:lang w:val="en-US" w:eastAsia="zh-CN" w:bidi="ar-SA"/>
        </w:rPr>
        <w:t>2、</w:t>
      </w:r>
      <w:r>
        <w:rPr>
          <w:rStyle w:val="10"/>
          <w:rFonts w:hint="eastAsia" w:ascii="仿宋" w:hAnsi="仿宋" w:eastAsia="仿宋" w:cs="仿宋"/>
          <w:snapToGrid w:val="0"/>
          <w:color w:val="auto"/>
          <w:kern w:val="0"/>
          <w:sz w:val="28"/>
          <w:szCs w:val="28"/>
          <w:highlight w:val="none"/>
          <w:lang w:val="en-US" w:eastAsia="en-US" w:bidi="ar-SA"/>
        </w:rPr>
        <w:t>为场站监管仓库内（含装卸平台）货物的装卸、搬运、存储、运输、人员等购买相关保险提供专业意见及解决方案。</w:t>
      </w:r>
    </w:p>
    <w:p w14:paraId="50EB3FA7">
      <w:pPr>
        <w:keepNext w:val="0"/>
        <w:keepLines w:val="0"/>
        <w:pageBreakBefore w:val="0"/>
        <w:wordWrap/>
        <w:overflowPunct/>
        <w:topLinePunct w:val="0"/>
        <w:bidi w:val="0"/>
        <w:spacing w:line="500" w:lineRule="exact"/>
        <w:ind w:left="0" w:right="0" w:rightChars="0" w:firstLine="560" w:firstLineChars="200"/>
        <w:rPr>
          <w:rStyle w:val="10"/>
          <w:rFonts w:hint="eastAsia" w:ascii="仿宋" w:hAnsi="仿宋" w:eastAsia="仿宋" w:cs="仿宋"/>
          <w:snapToGrid w:val="0"/>
          <w:color w:val="auto"/>
          <w:kern w:val="0"/>
          <w:sz w:val="28"/>
          <w:szCs w:val="28"/>
          <w:highlight w:val="none"/>
          <w:lang w:val="en-US" w:eastAsia="zh-CN" w:bidi="ar-SA"/>
        </w:rPr>
      </w:pPr>
      <w:r>
        <w:rPr>
          <w:rStyle w:val="10"/>
          <w:rFonts w:hint="eastAsia" w:ascii="仿宋" w:hAnsi="仿宋" w:eastAsia="仿宋" w:cs="仿宋"/>
          <w:snapToGrid w:val="0"/>
          <w:color w:val="auto"/>
          <w:kern w:val="0"/>
          <w:sz w:val="28"/>
          <w:szCs w:val="28"/>
          <w:highlight w:val="none"/>
          <w:lang w:val="en-US" w:eastAsia="zh-CN" w:bidi="ar-SA"/>
        </w:rPr>
        <w:t>3、</w:t>
      </w:r>
      <w:r>
        <w:rPr>
          <w:rStyle w:val="10"/>
          <w:rFonts w:hint="eastAsia" w:ascii="仿宋" w:hAnsi="仿宋" w:eastAsia="仿宋" w:cs="仿宋"/>
          <w:snapToGrid w:val="0"/>
          <w:color w:val="auto"/>
          <w:kern w:val="0"/>
          <w:sz w:val="28"/>
          <w:szCs w:val="28"/>
          <w:highlight w:val="none"/>
          <w:lang w:val="en-US" w:eastAsia="en-US" w:bidi="ar-SA"/>
        </w:rPr>
        <w:t>负责西安高新综合保税区场站管理系统的使用管理、更新升级等，包括但不限于日常规范操作，负责与西安高新综合保税区海关辅助系统对接提供详细业务需求，以及与海关、软件公司关于系统对接所涉及的洽谈沟通等</w:t>
      </w:r>
      <w:r>
        <w:rPr>
          <w:rStyle w:val="10"/>
          <w:rFonts w:hint="eastAsia" w:ascii="仿宋" w:hAnsi="仿宋" w:eastAsia="仿宋" w:cs="仿宋"/>
          <w:snapToGrid w:val="0"/>
          <w:color w:val="auto"/>
          <w:kern w:val="0"/>
          <w:sz w:val="28"/>
          <w:szCs w:val="28"/>
          <w:highlight w:val="none"/>
          <w:lang w:val="en-US" w:eastAsia="zh-CN" w:bidi="ar-SA"/>
        </w:rPr>
        <w:t>（根据业务形态的要求，需提供相应的配套软件）。</w:t>
      </w:r>
    </w:p>
    <w:p w14:paraId="77066649">
      <w:pPr>
        <w:keepNext w:val="0"/>
        <w:keepLines w:val="0"/>
        <w:pageBreakBefore w:val="0"/>
        <w:wordWrap/>
        <w:overflowPunct/>
        <w:topLinePunct w:val="0"/>
        <w:bidi w:val="0"/>
        <w:spacing w:line="500" w:lineRule="exact"/>
        <w:ind w:left="0" w:right="0" w:rightChars="0" w:firstLine="560" w:firstLineChars="200"/>
        <w:rPr>
          <w:rStyle w:val="10"/>
          <w:rFonts w:hint="eastAsia" w:ascii="仿宋" w:hAnsi="仿宋" w:eastAsia="仿宋" w:cs="仿宋"/>
          <w:color w:val="auto"/>
          <w:sz w:val="28"/>
          <w:szCs w:val="28"/>
          <w:highlight w:val="none"/>
          <w:lang w:val="en-US" w:eastAsia="zh-CN"/>
        </w:rPr>
      </w:pPr>
      <w:r>
        <w:rPr>
          <w:rStyle w:val="10"/>
          <w:rFonts w:hint="eastAsia" w:ascii="仿宋" w:hAnsi="仿宋" w:eastAsia="仿宋" w:cs="仿宋"/>
          <w:color w:val="auto"/>
          <w:sz w:val="28"/>
          <w:szCs w:val="28"/>
          <w:highlight w:val="none"/>
          <w:lang w:val="en-US" w:eastAsia="zh-CN"/>
        </w:rPr>
        <w:t>4、派遣具备综合保税区场站运营管理经验较为丰富的专业人员作为项目负责人，开展场站单证、仓储、装卸、搬运、集装箱装拼并配合查验等服务，对接、协调海关等监管部门的场站业务，确保场站具有高效的服务质量，避免因主观过错发生投诉事件。</w:t>
      </w:r>
    </w:p>
    <w:p w14:paraId="015F7856">
      <w:pPr>
        <w:keepNext w:val="0"/>
        <w:keepLines w:val="0"/>
        <w:pageBreakBefore w:val="0"/>
        <w:wordWrap/>
        <w:overflowPunct/>
        <w:topLinePunct w:val="0"/>
        <w:bidi w:val="0"/>
        <w:spacing w:line="500" w:lineRule="exact"/>
        <w:ind w:left="0" w:right="0" w:rightChars="0" w:firstLine="560" w:firstLineChars="200"/>
        <w:rPr>
          <w:rStyle w:val="10"/>
          <w:rFonts w:hint="eastAsia" w:ascii="仿宋" w:hAnsi="仿宋" w:eastAsia="仿宋" w:cs="仿宋"/>
          <w:color w:val="auto"/>
          <w:sz w:val="28"/>
          <w:szCs w:val="28"/>
          <w:highlight w:val="none"/>
          <w:lang w:val="en-US" w:eastAsia="zh-CN"/>
        </w:rPr>
      </w:pPr>
      <w:r>
        <w:rPr>
          <w:rStyle w:val="10"/>
          <w:rFonts w:hint="eastAsia" w:ascii="仿宋" w:hAnsi="仿宋" w:eastAsia="仿宋" w:cs="仿宋"/>
          <w:color w:val="auto"/>
          <w:sz w:val="28"/>
          <w:szCs w:val="28"/>
          <w:highlight w:val="none"/>
          <w:lang w:val="en-US" w:eastAsia="zh-CN"/>
        </w:rPr>
        <w:t>5、项目负责人负责对西安高新综合保税区场站委托运营管理团队的培训和考核。</w:t>
      </w:r>
    </w:p>
    <w:p w14:paraId="59AC10BC">
      <w:pPr>
        <w:keepNext w:val="0"/>
        <w:keepLines w:val="0"/>
        <w:pageBreakBefore w:val="0"/>
        <w:wordWrap/>
        <w:overflowPunct/>
        <w:topLinePunct w:val="0"/>
        <w:bidi w:val="0"/>
        <w:spacing w:line="500" w:lineRule="exact"/>
        <w:ind w:left="0" w:right="0" w:rightChars="0" w:firstLine="560" w:firstLineChars="200"/>
        <w:rPr>
          <w:rStyle w:val="10"/>
          <w:rFonts w:hint="eastAsia" w:ascii="仿宋" w:hAnsi="仿宋" w:eastAsia="仿宋" w:cs="仿宋"/>
          <w:color w:val="auto"/>
          <w:sz w:val="28"/>
          <w:szCs w:val="28"/>
          <w:highlight w:val="none"/>
          <w:lang w:val="en-US" w:eastAsia="zh-CN"/>
        </w:rPr>
      </w:pPr>
      <w:r>
        <w:rPr>
          <w:rStyle w:val="10"/>
          <w:rFonts w:hint="eastAsia" w:ascii="仿宋" w:hAnsi="仿宋" w:eastAsia="仿宋" w:cs="仿宋"/>
          <w:color w:val="auto"/>
          <w:sz w:val="28"/>
          <w:szCs w:val="28"/>
          <w:highlight w:val="none"/>
          <w:lang w:val="en-US" w:eastAsia="zh-CN"/>
        </w:rPr>
        <w:t>6、按照综合保税区海关等监管部门要求，合法合规开展业务。若场站经营活动违反监管部门相关规定，则承担全部责任。</w:t>
      </w:r>
    </w:p>
    <w:p w14:paraId="2160CB07">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7、甲方负责为乙方提供办公场地、办公家具，以及场站运营所需的办公设施和监管仓库作业设备。</w:t>
      </w:r>
    </w:p>
    <w:p w14:paraId="7B0978E7">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8、乙方在日常使用中应爱护办公设施和作业设备，并负责做好对上述设施设备的日常维护保养工作。</w:t>
      </w:r>
    </w:p>
    <w:p w14:paraId="4922FBB1">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9、乙方于每月向甲方提供上月业务数据、报表等所有业务资料。</w:t>
      </w:r>
    </w:p>
    <w:p w14:paraId="39CA5C5E">
      <w:pPr>
        <w:keepNext w:val="0"/>
        <w:keepLines w:val="0"/>
        <w:pageBreakBefore w:val="0"/>
        <w:widowControl/>
        <w:wordWrap/>
        <w:overflowPunct/>
        <w:topLinePunct w:val="0"/>
        <w:bidi w:val="0"/>
        <w:spacing w:line="500" w:lineRule="exact"/>
        <w:ind w:left="0" w:right="0" w:rightChars="0"/>
        <w:jc w:val="left"/>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第二条、人员岗位要求</w:t>
      </w:r>
    </w:p>
    <w:p w14:paraId="35708448">
      <w:pPr>
        <w:pStyle w:val="4"/>
        <w:keepNext w:val="0"/>
        <w:keepLines w:val="0"/>
        <w:pageBreakBefore w:val="0"/>
        <w:widowControl w:val="0"/>
        <w:kinsoku/>
        <w:wordWrap/>
        <w:overflowPunct/>
        <w:topLinePunct w:val="0"/>
        <w:autoSpaceDE/>
        <w:autoSpaceDN/>
        <w:bidi w:val="0"/>
        <w:adjustRightInd/>
        <w:snapToGrid/>
        <w:spacing w:line="500" w:lineRule="exact"/>
        <w:ind w:left="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管理人员：主抓场站经营管理，负责场站现场作业和服务客户等方面日常管理和团队建设、规范场站内部管理并有效监控；合理配置和协调内部资源；对场站异常突发情况和重大问题积极协调采购人和海关解决；协调采购人和海关的关系，完成上级领导交代的其他事宜。</w:t>
      </w:r>
    </w:p>
    <w:p w14:paraId="316B1228">
      <w:pPr>
        <w:pStyle w:val="4"/>
        <w:keepNext w:val="0"/>
        <w:keepLines w:val="0"/>
        <w:pageBreakBefore w:val="0"/>
        <w:widowControl w:val="0"/>
        <w:kinsoku/>
        <w:wordWrap/>
        <w:overflowPunct/>
        <w:topLinePunct w:val="0"/>
        <w:autoSpaceDE/>
        <w:autoSpaceDN/>
        <w:bidi w:val="0"/>
        <w:adjustRightInd/>
        <w:snapToGrid/>
        <w:spacing w:line="500" w:lineRule="exact"/>
        <w:ind w:left="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（2）专家组：具有较强的沟通能力、执行能力、团队管理能力和创新能力且具有场站管理相关经验。</w:t>
      </w:r>
    </w:p>
    <w:p w14:paraId="4A920B64">
      <w:pPr>
        <w:pStyle w:val="4"/>
        <w:keepNext w:val="0"/>
        <w:keepLines w:val="0"/>
        <w:pageBreakBefore w:val="0"/>
        <w:widowControl w:val="0"/>
        <w:kinsoku/>
        <w:wordWrap/>
        <w:overflowPunct/>
        <w:topLinePunct w:val="0"/>
        <w:autoSpaceDE/>
        <w:autoSpaceDN/>
        <w:bidi w:val="0"/>
        <w:adjustRightInd/>
        <w:snapToGrid/>
        <w:spacing w:line="500" w:lineRule="exact"/>
        <w:ind w:left="0" w:right="0" w:rightChars="0" w:firstLine="560"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仓管兼单证业务受理员：负责场站现场单证和仓管作业岗位业务操作；熟悉各项现场操作的作业流程，严格按照现场操作的相关作业程序进行操作；按要求对叉车、堆高机、吊机进行日常维护保养并做好相关记录；完成上级领导交代的其他事宜并有涉及口岸作业单证操作方面岗位操作能力；具备良好的沟通和协调能力。</w:t>
      </w:r>
    </w:p>
    <w:p w14:paraId="056B147C">
      <w:pPr>
        <w:pStyle w:val="11"/>
        <w:keepNext w:val="0"/>
        <w:keepLines w:val="0"/>
        <w:pageBreakBefore w:val="0"/>
        <w:widowControl/>
        <w:numPr>
          <w:ilvl w:val="0"/>
          <w:numId w:val="0"/>
        </w:numPr>
        <w:wordWrap/>
        <w:overflowPunct/>
        <w:topLinePunct w:val="0"/>
        <w:bidi w:val="0"/>
        <w:spacing w:before="0" w:after="0" w:line="500" w:lineRule="exact"/>
        <w:ind w:left="0" w:leftChars="0" w:right="0" w:rightChars="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第三条、服务期限：</w:t>
      </w:r>
      <w:r>
        <w:rPr>
          <w:rFonts w:hint="eastAsia" w:ascii="仿宋" w:hAnsi="仿宋" w:eastAsia="仿宋" w:cs="仿宋"/>
          <w:b w:val="0"/>
          <w:bCs w:val="0"/>
          <w:color w:val="auto"/>
          <w:sz w:val="28"/>
          <w:szCs w:val="28"/>
          <w:highlight w:val="none"/>
          <w:lang w:val="en-US" w:eastAsia="zh-CN"/>
        </w:rPr>
        <w:t>自合同约定之日起一年。按年签订合同，</w:t>
      </w:r>
      <w:r>
        <w:rPr>
          <w:rFonts w:hint="eastAsia" w:ascii="仿宋" w:hAnsi="仿宋"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在费用不变，合同内容不变，且符合合同服务内容和要求的情况下可续签2年。每年合同期满前30天，</w:t>
      </w:r>
      <w:r>
        <w:rPr>
          <w:rFonts w:hint="eastAsia" w:ascii="仿宋" w:hAnsi="仿宋"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对</w:t>
      </w:r>
      <w:r>
        <w:rPr>
          <w:rFonts w:hint="eastAsia" w:ascii="仿宋" w:hAnsi="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在合同期内进行考核，考核合格后，可与</w:t>
      </w:r>
      <w:r>
        <w:rPr>
          <w:rFonts w:hint="eastAsia" w:ascii="仿宋" w:hAnsi="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在次年续签合同。若一年合同期满但</w:t>
      </w:r>
      <w:r>
        <w:rPr>
          <w:rFonts w:hint="eastAsia" w:ascii="仿宋" w:hAnsi="仿宋"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未获得预算或需求取消或</w:t>
      </w:r>
      <w:r>
        <w:rPr>
          <w:rFonts w:hint="eastAsia" w:ascii="仿宋" w:hAnsi="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考核不合格，则</w:t>
      </w:r>
      <w:r>
        <w:rPr>
          <w:rFonts w:hint="eastAsia" w:ascii="仿宋" w:hAnsi="仿宋"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val="en-US" w:eastAsia="zh-CN"/>
        </w:rPr>
        <w:t>提前书面通知</w:t>
      </w:r>
      <w:r>
        <w:rPr>
          <w:rFonts w:hint="eastAsia" w:ascii="仿宋" w:hAnsi="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后，合同到期终止，不再续签。</w:t>
      </w:r>
    </w:p>
    <w:p w14:paraId="5560808C">
      <w:pPr>
        <w:pStyle w:val="11"/>
        <w:keepNext w:val="0"/>
        <w:keepLines w:val="0"/>
        <w:pageBreakBefore w:val="0"/>
        <w:widowControl/>
        <w:numPr>
          <w:ilvl w:val="0"/>
          <w:numId w:val="0"/>
        </w:numPr>
        <w:wordWrap/>
        <w:overflowPunct/>
        <w:topLinePunct w:val="0"/>
        <w:bidi w:val="0"/>
        <w:spacing w:before="0" w:after="0" w:line="500" w:lineRule="exact"/>
        <w:ind w:left="0" w:leftChars="0" w:right="0" w:rightChars="0"/>
        <w:rPr>
          <w:rFonts w:hint="eastAsia" w:ascii="仿宋" w:hAnsi="仿宋" w:eastAsia="仿宋" w:cs="仿宋"/>
          <w:b/>
          <w:bCs/>
          <w:color w:val="auto"/>
          <w:szCs w:val="28"/>
          <w:highlight w:val="none"/>
          <w:lang w:eastAsia="zh-CN"/>
        </w:rPr>
      </w:pPr>
      <w:r>
        <w:rPr>
          <w:rFonts w:hint="eastAsia" w:ascii="仿宋" w:hAnsi="仿宋" w:eastAsia="仿宋" w:cs="仿宋"/>
          <w:b/>
          <w:bCs/>
          <w:color w:val="auto"/>
          <w:sz w:val="28"/>
          <w:szCs w:val="28"/>
          <w:highlight w:val="none"/>
          <w:lang w:eastAsia="zh-CN"/>
        </w:rPr>
        <w:t>第四条、服务</w:t>
      </w:r>
      <w:r>
        <w:rPr>
          <w:rFonts w:hint="eastAsia" w:ascii="仿宋" w:hAnsi="仿宋" w:eastAsia="仿宋" w:cs="仿宋"/>
          <w:b/>
          <w:bCs/>
          <w:color w:val="auto"/>
          <w:sz w:val="28"/>
          <w:szCs w:val="28"/>
          <w:highlight w:val="none"/>
        </w:rPr>
        <w:t>地点</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甲方指定地点。</w:t>
      </w:r>
    </w:p>
    <w:p w14:paraId="6B829D10">
      <w:pPr>
        <w:pStyle w:val="11"/>
        <w:keepNext w:val="0"/>
        <w:keepLines w:val="0"/>
        <w:pageBreakBefore w:val="0"/>
        <w:widowControl/>
        <w:numPr>
          <w:ilvl w:val="0"/>
          <w:numId w:val="0"/>
        </w:numPr>
        <w:wordWrap/>
        <w:overflowPunct/>
        <w:topLinePunct w:val="0"/>
        <w:bidi w:val="0"/>
        <w:spacing w:before="0" w:after="0" w:line="500" w:lineRule="exact"/>
        <w:ind w:left="0" w:leftChars="0" w:right="0" w:rightChars="0"/>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lang w:eastAsia="zh-CN"/>
        </w:rPr>
        <w:t>第五条、</w:t>
      </w:r>
      <w:r>
        <w:rPr>
          <w:rFonts w:hint="eastAsia" w:ascii="仿宋" w:hAnsi="仿宋" w:eastAsia="仿宋" w:cs="仿宋"/>
          <w:b/>
          <w:bCs/>
          <w:color w:val="auto"/>
          <w:szCs w:val="28"/>
          <w:highlight w:val="none"/>
        </w:rPr>
        <w:t>合同金额</w:t>
      </w:r>
    </w:p>
    <w:p w14:paraId="2108DD89">
      <w:pPr>
        <w:keepNext w:val="0"/>
        <w:keepLines w:val="0"/>
        <w:pageBreakBefore w:val="0"/>
        <w:widowControl/>
        <w:numPr>
          <w:ilvl w:val="0"/>
          <w:numId w:val="2"/>
        </w:numPr>
        <w:wordWrap/>
        <w:overflowPunct/>
        <w:topLinePunct w:val="0"/>
        <w:bidi w:val="0"/>
        <w:spacing w:line="500" w:lineRule="exact"/>
        <w:ind w:left="0" w:right="0" w:rightChars="0" w:firstLine="560" w:firstLineChars="200"/>
        <w:jc w:val="left"/>
        <w:rPr>
          <w:rFonts w:hint="eastAsia" w:ascii="仿宋" w:hAnsi="仿宋" w:eastAsia="仿宋" w:cs="仿宋"/>
          <w:b w:val="0"/>
          <w:bCs/>
          <w:color w:val="auto"/>
          <w:kern w:val="0"/>
          <w:sz w:val="28"/>
          <w:szCs w:val="28"/>
          <w:highlight w:val="none"/>
          <w:lang w:val="en-US" w:eastAsia="zh-CN" w:bidi="ar"/>
        </w:rPr>
      </w:pPr>
      <w:r>
        <w:rPr>
          <w:rFonts w:hint="eastAsia" w:ascii="仿宋" w:hAnsi="仿宋" w:eastAsia="仿宋" w:cs="仿宋"/>
          <w:color w:val="auto"/>
          <w:kern w:val="0"/>
          <w:sz w:val="28"/>
          <w:szCs w:val="28"/>
          <w:highlight w:val="none"/>
        </w:rPr>
        <w:t>合同</w:t>
      </w:r>
      <w:r>
        <w:rPr>
          <w:rFonts w:hint="eastAsia" w:ascii="仿宋" w:hAnsi="仿宋" w:eastAsia="仿宋" w:cs="仿宋"/>
          <w:color w:val="auto"/>
          <w:kern w:val="0"/>
          <w:sz w:val="28"/>
          <w:szCs w:val="28"/>
          <w:highlight w:val="none"/>
          <w:lang w:eastAsia="zh-CN"/>
        </w:rPr>
        <w:t>金额</w:t>
      </w:r>
      <w:r>
        <w:rPr>
          <w:rFonts w:hint="eastAsia" w:ascii="仿宋" w:hAnsi="仿宋" w:eastAsia="仿宋" w:cs="仿宋"/>
          <w:color w:val="auto"/>
          <w:kern w:val="0"/>
          <w:sz w:val="28"/>
          <w:szCs w:val="28"/>
          <w:highlight w:val="none"/>
        </w:rPr>
        <w:t>：</w:t>
      </w:r>
      <w:r>
        <w:rPr>
          <w:rFonts w:hint="eastAsia" w:ascii="仿宋" w:hAnsi="仿宋" w:eastAsia="仿宋" w:cs="仿宋"/>
          <w:color w:val="auto"/>
          <w:sz w:val="28"/>
          <w:szCs w:val="28"/>
          <w:highlight w:val="none"/>
        </w:rPr>
        <w:t>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（人民币）元；小写：（¥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w:t>
      </w:r>
      <w:r>
        <w:rPr>
          <w:rFonts w:hint="eastAsia" w:ascii="仿宋" w:hAnsi="仿宋" w:eastAsia="仿宋" w:cs="仿宋"/>
          <w:color w:val="auto"/>
          <w:kern w:val="0"/>
          <w:sz w:val="28"/>
          <w:szCs w:val="28"/>
          <w:highlight w:val="none"/>
        </w:rPr>
        <w:t>。</w:t>
      </w:r>
    </w:p>
    <w:p w14:paraId="28E45BE4">
      <w:pPr>
        <w:keepNext w:val="0"/>
        <w:keepLines w:val="0"/>
        <w:pageBreakBefore w:val="0"/>
        <w:widowControl/>
        <w:numPr>
          <w:ilvl w:val="0"/>
          <w:numId w:val="2"/>
        </w:numPr>
        <w:wordWrap/>
        <w:overflowPunct/>
        <w:topLinePunct w:val="0"/>
        <w:bidi w:val="0"/>
        <w:spacing w:line="500" w:lineRule="exact"/>
        <w:ind w:left="0" w:leftChars="0" w:right="0" w:rightChars="0"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合同金额为</w:t>
      </w:r>
      <w:r>
        <w:rPr>
          <w:rFonts w:hint="eastAsia" w:ascii="仿宋" w:hAnsi="仿宋" w:eastAsia="仿宋" w:cs="仿宋"/>
          <w:color w:val="auto"/>
          <w:sz w:val="28"/>
          <w:szCs w:val="28"/>
          <w:highlight w:val="none"/>
        </w:rPr>
        <w:t>包括但不限于</w:t>
      </w:r>
      <w:r>
        <w:rPr>
          <w:rFonts w:hint="eastAsia" w:ascii="仿宋" w:hAnsi="仿宋" w:eastAsia="仿宋" w:cs="仿宋"/>
          <w:color w:val="auto"/>
          <w:sz w:val="28"/>
          <w:szCs w:val="28"/>
          <w:highlight w:val="none"/>
          <w:lang w:eastAsia="zh-CN"/>
        </w:rPr>
        <w:t>人工费（全年薪资奖金</w:t>
      </w:r>
      <w:r>
        <w:rPr>
          <w:rFonts w:hint="eastAsia" w:ascii="仿宋" w:hAnsi="仿宋" w:eastAsia="仿宋" w:cs="仿宋"/>
          <w:color w:val="auto"/>
          <w:sz w:val="28"/>
          <w:szCs w:val="28"/>
          <w:highlight w:val="none"/>
          <w:lang w:val="en-US" w:eastAsia="zh-CN"/>
        </w:rPr>
        <w:t>、加班</w:t>
      </w:r>
      <w:r>
        <w:rPr>
          <w:rFonts w:hint="eastAsia" w:ascii="仿宋" w:hAnsi="仿宋" w:eastAsia="仿宋" w:cs="仿宋"/>
          <w:color w:val="auto"/>
          <w:sz w:val="28"/>
          <w:szCs w:val="28"/>
          <w:highlight w:val="none"/>
          <w:lang w:val="zh-TW" w:eastAsia="zh-CN"/>
        </w:rPr>
        <w:t>补贴及相关福利、节假日补助、交通费、住宿费、保险</w:t>
      </w:r>
      <w:r>
        <w:rPr>
          <w:rFonts w:hint="eastAsia" w:ascii="仿宋" w:hAnsi="仿宋" w:eastAsia="仿宋" w:cs="仿宋"/>
          <w:color w:val="auto"/>
          <w:sz w:val="28"/>
          <w:szCs w:val="28"/>
          <w:highlight w:val="none"/>
          <w:lang w:val="en-US" w:eastAsia="zh-CN"/>
        </w:rPr>
        <w:t>福利等</w:t>
      </w:r>
      <w:r>
        <w:rPr>
          <w:rFonts w:hint="eastAsia" w:ascii="仿宋" w:hAnsi="仿宋" w:eastAsia="仿宋" w:cs="仿宋"/>
          <w:color w:val="auto"/>
          <w:sz w:val="28"/>
          <w:szCs w:val="28"/>
          <w:highlight w:val="none"/>
          <w:lang w:eastAsia="zh-CN"/>
        </w:rPr>
        <w:t>）、日常办公耗材费、物料费、管理费、</w:t>
      </w:r>
      <w:r>
        <w:rPr>
          <w:rFonts w:hint="eastAsia" w:ascii="仿宋" w:hAnsi="仿宋" w:eastAsia="仿宋" w:cs="仿宋"/>
          <w:color w:val="auto"/>
          <w:sz w:val="28"/>
          <w:szCs w:val="28"/>
          <w:highlight w:val="none"/>
          <w:lang w:val="en-US" w:eastAsia="zh-CN"/>
        </w:rPr>
        <w:t>系统更新升级费、</w:t>
      </w:r>
      <w:r>
        <w:rPr>
          <w:rFonts w:hint="eastAsia" w:ascii="仿宋" w:hAnsi="仿宋" w:eastAsia="仿宋" w:cs="仿宋"/>
          <w:color w:val="auto"/>
          <w:sz w:val="28"/>
          <w:szCs w:val="28"/>
          <w:highlight w:val="none"/>
          <w:lang w:val="zh-TW" w:eastAsia="zh-CN"/>
        </w:rPr>
        <w:t>人员服装、</w:t>
      </w:r>
      <w:r>
        <w:rPr>
          <w:rFonts w:hint="eastAsia" w:ascii="仿宋" w:hAnsi="仿宋" w:eastAsia="仿宋" w:cs="仿宋"/>
          <w:color w:val="auto"/>
          <w:sz w:val="28"/>
          <w:szCs w:val="28"/>
          <w:highlight w:val="none"/>
          <w:lang w:eastAsia="zh-CN"/>
        </w:rPr>
        <w:t>培训费、维修保养费、利润、税金、招标代理服务费、风险及完成验收阶段等所需的全部费用。</w:t>
      </w:r>
    </w:p>
    <w:p w14:paraId="22A25113">
      <w:pPr>
        <w:pStyle w:val="11"/>
        <w:keepNext w:val="0"/>
        <w:keepLines w:val="0"/>
        <w:pageBreakBefore w:val="0"/>
        <w:widowControl/>
        <w:numPr>
          <w:ilvl w:val="0"/>
          <w:numId w:val="0"/>
        </w:numPr>
        <w:wordWrap/>
        <w:overflowPunct/>
        <w:topLinePunct w:val="0"/>
        <w:bidi w:val="0"/>
        <w:spacing w:before="0" w:after="0" w:line="500" w:lineRule="exact"/>
        <w:ind w:left="0" w:right="0" w:rightChars="0" w:firstLine="560" w:firstLineChars="200"/>
        <w:rPr>
          <w:rFonts w:hint="eastAsia" w:ascii="仿宋" w:hAnsi="仿宋" w:eastAsia="仿宋" w:cs="仿宋"/>
          <w:color w:val="auto"/>
          <w:highlight w:val="none"/>
          <w:lang w:val="en-US" w:eastAsia="zh-CN"/>
        </w:rPr>
      </w:pPr>
      <w:r>
        <w:rPr>
          <w:rFonts w:hint="eastAsia" w:ascii="仿宋" w:hAnsi="仿宋" w:eastAsia="仿宋" w:cs="仿宋"/>
          <w:color w:val="auto"/>
          <w:kern w:val="2"/>
          <w:sz w:val="28"/>
          <w:szCs w:val="28"/>
          <w:highlight w:val="none"/>
          <w:lang w:val="en-US" w:eastAsia="zh-CN" w:bidi="ar-SA"/>
        </w:rPr>
        <w:t>3、本合同采用固定总价的方式，不受市场价、人工费、实际工作量等变化的影响。</w:t>
      </w:r>
    </w:p>
    <w:p w14:paraId="21DDEE8C">
      <w:pPr>
        <w:keepNext w:val="0"/>
        <w:keepLines w:val="0"/>
        <w:pageBreakBefore w:val="0"/>
        <w:widowControl/>
        <w:wordWrap/>
        <w:overflowPunct/>
        <w:topLinePunct w:val="0"/>
        <w:bidi w:val="0"/>
        <w:spacing w:line="500" w:lineRule="exact"/>
        <w:ind w:left="0" w:right="0" w:rightChars="0"/>
        <w:jc w:val="left"/>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eastAsia="zh-CN"/>
        </w:rPr>
        <w:t>六</w:t>
      </w:r>
      <w:r>
        <w:rPr>
          <w:rFonts w:hint="eastAsia" w:ascii="仿宋" w:hAnsi="仿宋" w:eastAsia="仿宋" w:cs="仿宋"/>
          <w:b/>
          <w:bCs/>
          <w:color w:val="auto"/>
          <w:kern w:val="0"/>
          <w:sz w:val="28"/>
          <w:szCs w:val="28"/>
          <w:highlight w:val="none"/>
        </w:rPr>
        <w:t xml:space="preserve">条 </w:t>
      </w:r>
      <w:r>
        <w:rPr>
          <w:rFonts w:hint="eastAsia" w:ascii="仿宋" w:hAnsi="仿宋" w:eastAsia="仿宋" w:cs="仿宋"/>
          <w:b/>
          <w:bCs/>
          <w:color w:val="auto"/>
          <w:sz w:val="28"/>
          <w:szCs w:val="28"/>
          <w:highlight w:val="none"/>
        </w:rPr>
        <w:t>付款</w:t>
      </w:r>
      <w:r>
        <w:rPr>
          <w:rFonts w:hint="eastAsia" w:ascii="仿宋" w:hAnsi="仿宋" w:eastAsia="仿宋" w:cs="仿宋"/>
          <w:b/>
          <w:bCs/>
          <w:color w:val="auto"/>
          <w:sz w:val="28"/>
          <w:szCs w:val="28"/>
          <w:highlight w:val="none"/>
          <w:lang w:eastAsia="zh-CN"/>
        </w:rPr>
        <w:t>方式及依据</w:t>
      </w:r>
    </w:p>
    <w:p w14:paraId="2FEAF58C">
      <w:pPr>
        <w:keepNext w:val="0"/>
        <w:keepLines w:val="0"/>
        <w:pageBreakBefore w:val="0"/>
        <w:numPr>
          <w:ilvl w:val="0"/>
          <w:numId w:val="0"/>
        </w:numPr>
        <w:kinsoku/>
        <w:wordWrap/>
        <w:overflowPunct/>
        <w:topLinePunct w:val="0"/>
        <w:autoSpaceDE/>
        <w:autoSpaceDN/>
        <w:bidi w:val="0"/>
        <w:adjustRightInd w:val="0"/>
        <w:snapToGrid w:val="0"/>
        <w:spacing w:line="500" w:lineRule="exact"/>
        <w:ind w:left="0" w:right="0" w:righ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付款方式：</w:t>
      </w:r>
      <w:r>
        <w:rPr>
          <w:rFonts w:hint="eastAsia" w:ascii="仿宋" w:hAnsi="仿宋" w:eastAsia="仿宋" w:cs="仿宋"/>
          <w:b w:val="0"/>
          <w:bCs/>
          <w:color w:val="auto"/>
          <w:kern w:val="0"/>
          <w:sz w:val="28"/>
          <w:szCs w:val="28"/>
          <w:highlight w:val="none"/>
          <w:lang w:val="en-US" w:eastAsia="zh-CN" w:bidi="ar"/>
        </w:rPr>
        <w:t>按季度支付。自合同签订生效之日起，乙方每季度开一次发票，甲方在收到乙方发票且评价合格后支付上季度运营管理服务费。</w:t>
      </w:r>
    </w:p>
    <w:p w14:paraId="009AF19B">
      <w:pPr>
        <w:keepNext w:val="0"/>
        <w:keepLines w:val="0"/>
        <w:pageBreakBefore w:val="0"/>
        <w:numPr>
          <w:ilvl w:val="0"/>
          <w:numId w:val="0"/>
        </w:numPr>
        <w:kinsoku/>
        <w:wordWrap/>
        <w:overflowPunct/>
        <w:topLinePunct w:val="0"/>
        <w:autoSpaceDE/>
        <w:autoSpaceDN/>
        <w:bidi w:val="0"/>
        <w:adjustRightInd w:val="0"/>
        <w:snapToGrid w:val="0"/>
        <w:spacing w:line="500" w:lineRule="exact"/>
        <w:ind w:left="0" w:right="0" w:rightChars="0" w:firstLine="560" w:firstLineChars="200"/>
        <w:textAlignment w:val="auto"/>
        <w:rPr>
          <w:rFonts w:hint="eastAsia" w:ascii="仿宋" w:hAnsi="仿宋" w:eastAsia="仿宋" w:cs="仿宋"/>
          <w:b w:val="0"/>
          <w:color w:val="auto"/>
          <w:kern w:val="2"/>
          <w:sz w:val="28"/>
          <w:szCs w:val="28"/>
          <w:highlight w:val="none"/>
          <w:lang w:val="en-US" w:eastAsia="zh-CN" w:bidi="ar-SA"/>
        </w:rPr>
      </w:pPr>
      <w:r>
        <w:rPr>
          <w:rFonts w:hint="eastAsia" w:ascii="仿宋" w:hAnsi="仿宋" w:eastAsia="仿宋" w:cs="仿宋"/>
          <w:b w:val="0"/>
          <w:color w:val="auto"/>
          <w:kern w:val="2"/>
          <w:sz w:val="28"/>
          <w:szCs w:val="28"/>
          <w:highlight w:val="none"/>
          <w:lang w:val="en-US" w:eastAsia="zh-CN" w:bidi="ar-SA"/>
        </w:rPr>
        <w:t>付款依据：竞争性磋商文件、磋商响应文件、甲方出具的验收报告。</w:t>
      </w:r>
    </w:p>
    <w:p w14:paraId="75A4208D">
      <w:pPr>
        <w:keepNext w:val="0"/>
        <w:keepLines w:val="0"/>
        <w:pageBreakBefore w:val="0"/>
        <w:numPr>
          <w:ilvl w:val="0"/>
          <w:numId w:val="0"/>
        </w:numPr>
        <w:wordWrap/>
        <w:overflowPunct/>
        <w:topLinePunct w:val="0"/>
        <w:bidi w:val="0"/>
        <w:spacing w:line="500" w:lineRule="exact"/>
        <w:ind w:left="0" w:right="0" w:rightChars="0"/>
        <w:rPr>
          <w:rFonts w:hint="eastAsia"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第七条、服务职责</w:t>
      </w:r>
    </w:p>
    <w:p w14:paraId="447789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提供服务的劳务公司及派遣的人员必须严格遵守相关规定，建立健全岗位责任制度和管理制度、各种紧急(突发)事件应对处置预案等服务管理制度体系,并加强对服务人员的管理。</w:t>
      </w:r>
    </w:p>
    <w:p w14:paraId="6C781231">
      <w:pPr>
        <w:pStyle w:val="11"/>
        <w:keepNext w:val="0"/>
        <w:keepLines w:val="0"/>
        <w:pageBreakBefore w:val="0"/>
        <w:widowControl/>
        <w:wordWrap/>
        <w:overflowPunct/>
        <w:topLinePunct w:val="0"/>
        <w:bidi w:val="0"/>
        <w:spacing w:before="0" w:after="0" w:line="500" w:lineRule="exact"/>
        <w:ind w:left="0" w:leftChars="0" w:right="0" w:rightChars="0" w:firstLine="0" w:firstLineChars="0"/>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lang w:eastAsia="zh-CN"/>
        </w:rPr>
        <w:t>第八条、</w:t>
      </w:r>
      <w:r>
        <w:rPr>
          <w:rFonts w:hint="eastAsia" w:ascii="仿宋" w:hAnsi="仿宋" w:eastAsia="仿宋" w:cs="仿宋"/>
          <w:b/>
          <w:bCs/>
          <w:color w:val="auto"/>
          <w:szCs w:val="28"/>
          <w:highlight w:val="none"/>
        </w:rPr>
        <w:t>验收</w:t>
      </w:r>
    </w:p>
    <w:p w14:paraId="02083BF7">
      <w:pPr>
        <w:keepNext w:val="0"/>
        <w:keepLines w:val="0"/>
        <w:pageBreakBefore w:val="0"/>
        <w:widowControl/>
        <w:wordWrap/>
        <w:overflowPunct/>
        <w:topLinePunct w:val="0"/>
        <w:bidi w:val="0"/>
        <w:spacing w:line="500" w:lineRule="exact"/>
        <w:ind w:left="0" w:right="0" w:rightChars="0" w:firstLine="560" w:firstLineChars="20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符合国家法律法规规定的标准</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lang w:val="en-US" w:eastAsia="zh-CN"/>
        </w:rPr>
        <w:t>合同文本、磋商文件和磋商响应文件。</w:t>
      </w:r>
    </w:p>
    <w:p w14:paraId="57AE475E">
      <w:pPr>
        <w:keepNext w:val="0"/>
        <w:keepLines w:val="0"/>
        <w:pageBreakBefore w:val="0"/>
        <w:kinsoku/>
        <w:wordWrap/>
        <w:overflowPunct/>
        <w:topLinePunct w:val="0"/>
        <w:autoSpaceDE/>
        <w:autoSpaceDN/>
        <w:bidi w:val="0"/>
        <w:adjustRightInd w:val="0"/>
        <w:snapToGrid w:val="0"/>
        <w:spacing w:line="500" w:lineRule="exact"/>
        <w:ind w:left="0" w:leftChars="0" w:right="0" w:rightChars="0" w:firstLine="560" w:firstLineChars="200"/>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kern w:val="0"/>
          <w:sz w:val="28"/>
          <w:szCs w:val="28"/>
          <w:highlight w:val="none"/>
          <w:lang w:val="en-US" w:eastAsia="zh-CN"/>
        </w:rPr>
        <w:t>2、验收标准：由甲方组织或委托相关部门服务期间进行现场巡检、验收，并</w:t>
      </w:r>
      <w:r>
        <w:rPr>
          <w:rFonts w:hint="eastAsia" w:ascii="仿宋" w:hAnsi="仿宋" w:eastAsia="仿宋" w:cs="仿宋"/>
          <w:color w:val="auto"/>
          <w:kern w:val="0"/>
          <w:sz w:val="28"/>
          <w:szCs w:val="28"/>
          <w:highlight w:val="none"/>
          <w:lang w:val="zh-CN"/>
        </w:rPr>
        <w:t>符合</w:t>
      </w:r>
      <w:r>
        <w:rPr>
          <w:rFonts w:hint="eastAsia" w:ascii="仿宋" w:hAnsi="仿宋" w:eastAsia="仿宋" w:cs="仿宋"/>
          <w:color w:val="auto"/>
          <w:sz w:val="28"/>
          <w:szCs w:val="28"/>
          <w:highlight w:val="none"/>
          <w:lang w:val="en-US" w:eastAsia="zh-CN"/>
        </w:rPr>
        <w:t>磋商</w:t>
      </w:r>
      <w:r>
        <w:rPr>
          <w:rFonts w:hint="eastAsia" w:ascii="仿宋" w:hAnsi="仿宋" w:eastAsia="仿宋" w:cs="仿宋"/>
          <w:color w:val="auto"/>
          <w:sz w:val="28"/>
          <w:szCs w:val="28"/>
          <w:highlight w:val="none"/>
          <w:lang w:val="zh-CN"/>
        </w:rPr>
        <w:t>文件及</w:t>
      </w:r>
      <w:r>
        <w:rPr>
          <w:rFonts w:hint="eastAsia" w:ascii="仿宋" w:hAnsi="仿宋" w:eastAsia="仿宋" w:cs="仿宋"/>
          <w:color w:val="auto"/>
          <w:sz w:val="28"/>
          <w:szCs w:val="28"/>
          <w:highlight w:val="none"/>
        </w:rPr>
        <w:t>国家、省市及行业相关要求</w:t>
      </w:r>
      <w:r>
        <w:rPr>
          <w:rFonts w:hint="eastAsia" w:ascii="仿宋" w:hAnsi="仿宋" w:eastAsia="仿宋" w:cs="仿宋"/>
          <w:color w:val="auto"/>
          <w:sz w:val="28"/>
          <w:szCs w:val="28"/>
          <w:highlight w:val="none"/>
          <w:lang w:eastAsia="zh-CN"/>
        </w:rPr>
        <w:t>。</w:t>
      </w:r>
    </w:p>
    <w:p w14:paraId="3C504AFA">
      <w:pPr>
        <w:keepNext w:val="0"/>
        <w:keepLines w:val="0"/>
        <w:pageBreakBefore w:val="0"/>
        <w:kinsoku/>
        <w:wordWrap/>
        <w:overflowPunct/>
        <w:topLinePunct w:val="0"/>
        <w:autoSpaceDE/>
        <w:autoSpaceDN/>
        <w:bidi w:val="0"/>
        <w:adjustRightInd w:val="0"/>
        <w:snapToGrid w:val="0"/>
        <w:spacing w:line="500" w:lineRule="exact"/>
        <w:ind w:left="0" w:leftChars="0" w:right="0" w:rightChars="0" w:firstLine="560" w:firstLineChars="200"/>
        <w:textAlignment w:val="auto"/>
        <w:outlineLvl w:val="9"/>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3、验收依据：合同文本、磋商文件和磋商响应文件。</w:t>
      </w:r>
    </w:p>
    <w:p w14:paraId="0E4797C9">
      <w:pPr>
        <w:pStyle w:val="6"/>
        <w:keepNext w:val="0"/>
        <w:keepLines w:val="0"/>
        <w:pageBreakBefore w:val="0"/>
        <w:wordWrap/>
        <w:overflowPunct/>
        <w:topLinePunct w:val="0"/>
        <w:bidi w:val="0"/>
        <w:spacing w:line="500" w:lineRule="exact"/>
        <w:ind w:left="0" w:right="0" w:rightChars="0" w:firstLine="0"/>
        <w:rPr>
          <w:rFonts w:hint="eastAsia"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第九条、甲方的权利和义务</w:t>
      </w:r>
    </w:p>
    <w:p w14:paraId="35B6C2D3">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1、甲方委派专门人员对乙方人员的工作进行监督、检查和指导，有权向乙方要求调换不适合在甲方工作的人员，更换三次以上的，甲方有权解除合同，并支付更换人员实际工作天数的服务费。</w:t>
      </w:r>
    </w:p>
    <w:p w14:paraId="4BE841FE">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2、甲方有权要求乙方人员遵守甲方的规章制度，并对甲方相关信息资料进行保密。</w:t>
      </w:r>
    </w:p>
    <w:p w14:paraId="73A77372">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3、甲方应为乙方人员提供与岗位相关的办公场地、设施设备等工作保障。</w:t>
      </w:r>
    </w:p>
    <w:p w14:paraId="4353E6DE">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4、甲方应向乙方人员提供岗位工作职责说明书,并对其工作职责履行情况进行考核。</w:t>
      </w:r>
    </w:p>
    <w:p w14:paraId="04EC7396">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5、乙方在服务期间出现重大失误的,甲方有权终止协议,并向乙方追索因失误造成的相关损失。</w:t>
      </w:r>
    </w:p>
    <w:p w14:paraId="329E36F0">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6、甲方若因特殊情况需要减少外包岗位,须提前30日以书面形式通知乙方,并依法支付补偿金。</w:t>
      </w:r>
    </w:p>
    <w:p w14:paraId="589793D6">
      <w:pPr>
        <w:pStyle w:val="11"/>
        <w:keepNext w:val="0"/>
        <w:keepLines w:val="0"/>
        <w:pageBreakBefore w:val="0"/>
        <w:widowControl/>
        <w:wordWrap/>
        <w:overflowPunct/>
        <w:topLinePunct w:val="0"/>
        <w:bidi w:val="0"/>
        <w:spacing w:before="0" w:after="0" w:line="500" w:lineRule="exact"/>
        <w:ind w:left="0" w:right="0" w:rightChars="0" w:firstLine="56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7、甲方应按合同约定及时向乙方支付服务费用。</w:t>
      </w:r>
    </w:p>
    <w:p w14:paraId="6A3F5A97">
      <w:pPr>
        <w:pStyle w:val="6"/>
        <w:keepNext w:val="0"/>
        <w:keepLines w:val="0"/>
        <w:pageBreakBefore w:val="0"/>
        <w:wordWrap/>
        <w:overflowPunct/>
        <w:topLinePunct w:val="0"/>
        <w:bidi w:val="0"/>
        <w:spacing w:line="500" w:lineRule="exact"/>
        <w:ind w:left="0" w:right="0" w:rightChars="0" w:firstLine="0"/>
        <w:rPr>
          <w:rFonts w:hint="eastAsia" w:ascii="仿宋" w:hAnsi="仿宋" w:eastAsia="仿宋" w:cs="仿宋"/>
          <w:b/>
          <w:bCs/>
          <w:color w:val="auto"/>
          <w:sz w:val="28"/>
          <w:szCs w:val="28"/>
          <w:highlight w:val="none"/>
        </w:rPr>
      </w:pPr>
      <w:r>
        <w:rPr>
          <w:rFonts w:hint="eastAsia" w:ascii="仿宋" w:hAnsi="仿宋" w:eastAsia="仿宋" w:cs="仿宋"/>
          <w:b/>
          <w:bCs/>
          <w:color w:val="auto"/>
          <w:kern w:val="0"/>
          <w:sz w:val="28"/>
          <w:szCs w:val="28"/>
          <w:highlight w:val="none"/>
          <w:lang w:val="en-US" w:eastAsia="zh-CN" w:bidi="ar-SA"/>
        </w:rPr>
        <w:t>第十条</w:t>
      </w:r>
      <w:r>
        <w:rPr>
          <w:rFonts w:hint="eastAsia" w:ascii="仿宋" w:hAnsi="仿宋" w:eastAsia="仿宋" w:cs="仿宋"/>
          <w:b/>
          <w:bCs/>
          <w:color w:val="auto"/>
          <w:sz w:val="28"/>
          <w:szCs w:val="28"/>
          <w:highlight w:val="none"/>
        </w:rPr>
        <w:t>、乙方的权利和义务</w:t>
      </w:r>
    </w:p>
    <w:p w14:paraId="36B95C99">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1、根据本合同约定,乙方应按甲方需求岗位配备工作人员,并保持工作人员的相对稳定；工作人员应按照甲方要求的工作时间、工作内容、工作规范开展工作。</w:t>
      </w:r>
    </w:p>
    <w:p w14:paraId="6309D512">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2、乙方根据国家《劳动合同法》等规定,与向甲方提供服务的工作人员建立劳动关系,按时支付劳动报酬及社会保险,同时为工作人员办理用工登记手续。</w:t>
      </w:r>
    </w:p>
    <w:p w14:paraId="0E1004CC">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3、乙方根据甲方委托事项及要求进行工作人员岗位培训、服务标准、目标管理、廉政教育、安全生产教育，同时做好工作人员心理辅导、团队建设、档案管理等工作。</w:t>
      </w:r>
    </w:p>
    <w:p w14:paraId="21ECD3B9">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4、乙方应按合同配备固定的管理人员，负责合同范围内的西安高新综合保税区场站运营管理工作。乙方应在固定人员中确定一名项目负责人，项目负责人负责与甲方的联系沟通。</w:t>
      </w:r>
    </w:p>
    <w:p w14:paraId="6D761668">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乙方项目负责人：</w:t>
      </w:r>
      <w:r>
        <w:rPr>
          <w:rFonts w:hint="eastAsia" w:ascii="仿宋" w:hAnsi="仿宋" w:eastAsia="仿宋" w:cs="仿宋"/>
          <w:color w:val="auto"/>
          <w:kern w:val="0"/>
          <w:sz w:val="28"/>
          <w:szCs w:val="28"/>
          <w:highlight w:val="none"/>
          <w:u w:val="single"/>
          <w:lang w:val="en-US" w:eastAsia="zh-CN" w:bidi="ar-SA"/>
        </w:rPr>
        <w:t xml:space="preserve">             </w:t>
      </w:r>
      <w:r>
        <w:rPr>
          <w:rFonts w:hint="eastAsia" w:ascii="仿宋" w:hAnsi="仿宋" w:eastAsia="仿宋" w:cs="仿宋"/>
          <w:color w:val="auto"/>
          <w:kern w:val="0"/>
          <w:sz w:val="28"/>
          <w:szCs w:val="28"/>
          <w:highlight w:val="none"/>
          <w:lang w:val="en-US" w:eastAsia="zh-CN" w:bidi="ar-SA"/>
        </w:rPr>
        <w:t>联系电话：</w:t>
      </w:r>
      <w:r>
        <w:rPr>
          <w:rFonts w:hint="eastAsia" w:ascii="仿宋" w:hAnsi="仿宋" w:eastAsia="仿宋" w:cs="仿宋"/>
          <w:color w:val="auto"/>
          <w:kern w:val="0"/>
          <w:sz w:val="28"/>
          <w:szCs w:val="28"/>
          <w:highlight w:val="none"/>
          <w:u w:val="single"/>
          <w:lang w:val="en-US" w:eastAsia="zh-CN" w:bidi="ar-SA"/>
        </w:rPr>
        <w:t xml:space="preserve">              。</w:t>
      </w:r>
    </w:p>
    <w:p w14:paraId="3D811884">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5、乙方定期向甲方提出意见和建议,不断改进完善服务工作。</w:t>
      </w:r>
    </w:p>
    <w:p w14:paraId="3F187E39">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6、乙方负责处理工作人员的劳动争议事宜,并承担劳动稽查部门对工作人员社会保障的各项稽核责任。</w:t>
      </w:r>
    </w:p>
    <w:p w14:paraId="5BBB622F">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7、乙方工作人员若被发现有任何影响甲方正常岗位工作的行为,乙方管理人员应及时处置解决。</w:t>
      </w:r>
    </w:p>
    <w:p w14:paraId="2667D9C5">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8、乙方工作人员患病,或非因工受伤,或死亡,或发生工伤事故的,由乙方按照国家《劳动合同法》及相关法律法规全权处理。</w:t>
      </w:r>
    </w:p>
    <w:p w14:paraId="434C43B9">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9、在服务期间,乙方及其工作人员需保证所使用设施设备的完好、完整,若由于操作或使用不当造成设备损坏或丢失,须原价赔偿。</w:t>
      </w:r>
    </w:p>
    <w:p w14:paraId="4E5D8168">
      <w:pPr>
        <w:keepNext w:val="0"/>
        <w:keepLines w:val="0"/>
        <w:pageBreakBefore w:val="0"/>
        <w:widowControl/>
        <w:wordWrap/>
        <w:overflowPunct/>
        <w:topLinePunct w:val="0"/>
        <w:bidi w:val="0"/>
        <w:spacing w:line="500" w:lineRule="exact"/>
        <w:ind w:left="0" w:right="0" w:rightChars="0"/>
        <w:jc w:val="left"/>
        <w:rPr>
          <w:rFonts w:hint="eastAsia" w:ascii="仿宋" w:hAnsi="仿宋" w:eastAsia="仿宋" w:cs="仿宋"/>
          <w:b/>
          <w:bCs/>
          <w:color w:val="auto"/>
          <w:szCs w:val="28"/>
          <w:highlight w:val="none"/>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eastAsia="zh-CN"/>
        </w:rPr>
        <w:t>十一</w:t>
      </w:r>
      <w:r>
        <w:rPr>
          <w:rFonts w:hint="eastAsia" w:ascii="仿宋" w:hAnsi="仿宋" w:eastAsia="仿宋" w:cs="仿宋"/>
          <w:b/>
          <w:bCs/>
          <w:color w:val="auto"/>
          <w:kern w:val="0"/>
          <w:sz w:val="28"/>
          <w:szCs w:val="28"/>
          <w:highlight w:val="none"/>
        </w:rPr>
        <w:t>条  甲乙双方的违约责任</w:t>
      </w:r>
    </w:p>
    <w:p w14:paraId="5BE9AF06">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1、若一方不能履行合同义务，出现重大违约，则另一方可以书面通知方式单方面终止本合同，并可要求赔偿损失。</w:t>
      </w:r>
    </w:p>
    <w:p w14:paraId="75EE4933">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2、除上述规定之情形外，提供服务过程中如果没有对方的书面同意，一方不能提前解除合同。如果未经对方同意解除合同，其应当支付合同总金额百分之一的违约金。</w:t>
      </w:r>
    </w:p>
    <w:p w14:paraId="4E565263">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3、甲方延迟支付服务费，每延迟一日，应按延迟部分的千分之一向乙方支付逾期滞纳金。</w:t>
      </w:r>
    </w:p>
    <w:p w14:paraId="613555B4">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4、如因乙方没有履行本合同相关义务以及条款对甲方造成损失的由乙方负全部责任。</w:t>
      </w:r>
    </w:p>
    <w:p w14:paraId="61245E34">
      <w:pPr>
        <w:pStyle w:val="6"/>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５、合同一方违约的，对方应积极采取适当措施阻止损失扩大，否则不得就扩大部分的损失要求赔偿；违约方应当承担守约方为阻止损失扩大而支付的合理费用。</w:t>
      </w:r>
    </w:p>
    <w:p w14:paraId="021A5996">
      <w:pPr>
        <w:pStyle w:val="11"/>
        <w:keepNext w:val="0"/>
        <w:keepLines w:val="0"/>
        <w:pageBreakBefore w:val="0"/>
        <w:widowControl/>
        <w:wordWrap/>
        <w:overflowPunct/>
        <w:topLinePunct w:val="0"/>
        <w:bidi w:val="0"/>
        <w:spacing w:before="0" w:after="0" w:line="500" w:lineRule="exact"/>
        <w:ind w:left="0" w:right="0" w:rightChars="0" w:firstLine="0" w:firstLineChars="0"/>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第</w:t>
      </w:r>
      <w:r>
        <w:rPr>
          <w:rFonts w:hint="eastAsia" w:ascii="仿宋" w:hAnsi="仿宋" w:eastAsia="仿宋" w:cs="仿宋"/>
          <w:b/>
          <w:bCs/>
          <w:color w:val="auto"/>
          <w:szCs w:val="28"/>
          <w:highlight w:val="none"/>
          <w:lang w:eastAsia="zh-CN"/>
        </w:rPr>
        <w:t>十二</w:t>
      </w:r>
      <w:r>
        <w:rPr>
          <w:rFonts w:hint="eastAsia" w:ascii="仿宋" w:hAnsi="仿宋" w:eastAsia="仿宋" w:cs="仿宋"/>
          <w:b/>
          <w:bCs/>
          <w:color w:val="auto"/>
          <w:szCs w:val="28"/>
          <w:highlight w:val="none"/>
        </w:rPr>
        <w:t>条、合同变更与终止</w:t>
      </w:r>
    </w:p>
    <w:p w14:paraId="7CE8C696">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1、合同期间任何一方不得随意变更、终止合同。</w:t>
      </w:r>
    </w:p>
    <w:p w14:paraId="393F9686">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2、本合同规定的履行期限届满，合同自动终止。</w:t>
      </w:r>
    </w:p>
    <w:p w14:paraId="0A233AB0">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3、因双方机构撤并、职能调整等原因，确需终止合同的，双方可协商终止合同。</w:t>
      </w:r>
    </w:p>
    <w:p w14:paraId="62843EC5">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4、乙方应自觉遵守甲方工作纪律、规章制度，服从甲方管理。因乙方原因给甲方造成严重后果，甲方可以单方面解除合同。</w:t>
      </w:r>
    </w:p>
    <w:p w14:paraId="63C889C1">
      <w:pPr>
        <w:pStyle w:val="6"/>
        <w:keepNext w:val="0"/>
        <w:keepLines w:val="0"/>
        <w:pageBreakBefore w:val="0"/>
        <w:wordWrap/>
        <w:overflowPunct/>
        <w:topLinePunct w:val="0"/>
        <w:bidi w:val="0"/>
        <w:spacing w:line="500" w:lineRule="exact"/>
        <w:ind w:left="0" w:leftChars="0" w:right="0" w:rightChars="0" w:firstLine="0" w:firstLineChars="0"/>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第十三条、保密约定</w:t>
      </w:r>
    </w:p>
    <w:p w14:paraId="1A7F49E9">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71430F81">
      <w:pPr>
        <w:keepNext w:val="0"/>
        <w:keepLines w:val="0"/>
        <w:pageBreakBefore w:val="0"/>
        <w:wordWrap/>
        <w:overflowPunct/>
        <w:topLinePunct w:val="0"/>
        <w:bidi w:val="0"/>
        <w:spacing w:line="500" w:lineRule="exact"/>
        <w:ind w:left="0" w:right="0" w:rightChars="0"/>
        <w:rPr>
          <w:rFonts w:hint="eastAsia" w:ascii="仿宋" w:hAnsi="仿宋" w:eastAsia="仿宋" w:cs="仿宋"/>
          <w:color w:val="auto"/>
          <w:sz w:val="28"/>
          <w:szCs w:val="28"/>
          <w:highlight w:val="none"/>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eastAsia="zh-CN"/>
        </w:rPr>
        <w:t>十四</w:t>
      </w:r>
      <w:r>
        <w:rPr>
          <w:rFonts w:hint="eastAsia" w:ascii="仿宋" w:hAnsi="仿宋" w:eastAsia="仿宋" w:cs="仿宋"/>
          <w:b/>
          <w:bCs/>
          <w:color w:val="auto"/>
          <w:kern w:val="0"/>
          <w:sz w:val="28"/>
          <w:szCs w:val="28"/>
          <w:highlight w:val="none"/>
        </w:rPr>
        <w:t xml:space="preserve">条  </w:t>
      </w:r>
      <w:r>
        <w:rPr>
          <w:rFonts w:hint="eastAsia" w:ascii="仿宋" w:hAnsi="仿宋" w:eastAsia="仿宋" w:cs="仿宋"/>
          <w:b/>
          <w:bCs/>
          <w:color w:val="auto"/>
          <w:kern w:val="0"/>
          <w:sz w:val="28"/>
          <w:szCs w:val="28"/>
          <w:highlight w:val="none"/>
        </w:rPr>
        <w:fldChar w:fldCharType="begin"/>
      </w:r>
      <w:r>
        <w:rPr>
          <w:rFonts w:hint="eastAsia" w:ascii="仿宋" w:hAnsi="仿宋" w:eastAsia="仿宋" w:cs="仿宋"/>
          <w:b/>
          <w:bCs/>
          <w:color w:val="auto"/>
          <w:kern w:val="0"/>
          <w:sz w:val="28"/>
          <w:szCs w:val="28"/>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bCs/>
          <w:color w:val="auto"/>
          <w:kern w:val="0"/>
          <w:sz w:val="28"/>
          <w:szCs w:val="28"/>
          <w:highlight w:val="none"/>
        </w:rPr>
        <w:fldChar w:fldCharType="separate"/>
      </w:r>
      <w:r>
        <w:rPr>
          <w:rFonts w:hint="eastAsia" w:ascii="仿宋" w:hAnsi="仿宋" w:eastAsia="仿宋" w:cs="仿宋"/>
          <w:b/>
          <w:bCs/>
          <w:color w:val="auto"/>
          <w:kern w:val="0"/>
          <w:sz w:val="28"/>
          <w:szCs w:val="28"/>
          <w:highlight w:val="none"/>
        </w:rPr>
        <w:t>不可抗力</w:t>
      </w:r>
      <w:r>
        <w:rPr>
          <w:rFonts w:hint="eastAsia" w:ascii="仿宋" w:hAnsi="仿宋" w:eastAsia="仿宋" w:cs="仿宋"/>
          <w:b/>
          <w:bCs/>
          <w:color w:val="auto"/>
          <w:kern w:val="0"/>
          <w:sz w:val="28"/>
          <w:szCs w:val="28"/>
          <w:highlight w:val="none"/>
        </w:rPr>
        <w:fldChar w:fldCharType="end"/>
      </w:r>
    </w:p>
    <w:p w14:paraId="113DE957">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甲乙双方任何一方由于</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不可抗力</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原因不能履行合同时，应及时向对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方通</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违约责任</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p>
    <w:p w14:paraId="790B7557">
      <w:pPr>
        <w:keepNext w:val="0"/>
        <w:keepLines w:val="0"/>
        <w:pageBreakBefore w:val="0"/>
        <w:wordWrap/>
        <w:overflowPunct/>
        <w:topLinePunct w:val="0"/>
        <w:bidi w:val="0"/>
        <w:spacing w:line="500" w:lineRule="exact"/>
        <w:ind w:left="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十五</w:t>
      </w:r>
      <w:r>
        <w:rPr>
          <w:rFonts w:hint="eastAsia" w:ascii="仿宋" w:hAnsi="仿宋" w:eastAsia="仿宋" w:cs="仿宋"/>
          <w:b/>
          <w:bCs/>
          <w:color w:val="auto"/>
          <w:sz w:val="28"/>
          <w:szCs w:val="28"/>
          <w:highlight w:val="none"/>
        </w:rPr>
        <w:t>条  争议解决</w:t>
      </w:r>
    </w:p>
    <w:p w14:paraId="53DD09C8">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双方本着友好合作的态度,对合同履行过程中发生的纠纷应及时协商解决，协商不成的，向甲方所在地有管辖权的人民法院诉讼解决。</w:t>
      </w:r>
    </w:p>
    <w:p w14:paraId="7B41D979">
      <w:pPr>
        <w:keepNext w:val="0"/>
        <w:keepLines w:val="0"/>
        <w:pageBreakBefore w:val="0"/>
        <w:wordWrap/>
        <w:overflowPunct/>
        <w:topLinePunct w:val="0"/>
        <w:bidi w:val="0"/>
        <w:spacing w:line="500" w:lineRule="exact"/>
        <w:ind w:left="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十六</w:t>
      </w:r>
      <w:r>
        <w:rPr>
          <w:rFonts w:hint="eastAsia" w:ascii="仿宋" w:hAnsi="仿宋" w:eastAsia="仿宋" w:cs="仿宋"/>
          <w:b/>
          <w:bCs/>
          <w:color w:val="auto"/>
          <w:sz w:val="28"/>
          <w:szCs w:val="28"/>
          <w:highlight w:val="none"/>
        </w:rPr>
        <w:t>条  监督和管理</w:t>
      </w:r>
    </w:p>
    <w:p w14:paraId="6411C37E">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367911F">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2、甲乙双方均应自觉配合有关监督管理部门对合同履行情况的监督检查，如实反映情况，提供有关资料；否则，将对有关单位、当事人按照有关规定予以处罚。</w:t>
      </w:r>
    </w:p>
    <w:p w14:paraId="12EEDC86">
      <w:pPr>
        <w:keepNext w:val="0"/>
        <w:keepLines w:val="0"/>
        <w:pageBreakBefore w:val="0"/>
        <w:wordWrap/>
        <w:overflowPunct/>
        <w:topLinePunct w:val="0"/>
        <w:bidi w:val="0"/>
        <w:spacing w:line="500" w:lineRule="exact"/>
        <w:ind w:left="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eastAsia="zh-CN"/>
        </w:rPr>
        <w:t>七</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rPr>
        <w:fldChar w:fldCharType="begin"/>
      </w:r>
      <w:r>
        <w:rPr>
          <w:rFonts w:hint="eastAsia" w:ascii="仿宋" w:hAnsi="仿宋" w:eastAsia="仿宋" w:cs="仿宋"/>
          <w:b/>
          <w:bCs/>
          <w:color w:val="auto"/>
          <w:sz w:val="28"/>
          <w:szCs w:val="28"/>
          <w:highlight w:val="none"/>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bCs/>
          <w:color w:val="auto"/>
          <w:sz w:val="28"/>
          <w:szCs w:val="28"/>
          <w:highlight w:val="none"/>
        </w:rPr>
        <w:fldChar w:fldCharType="separate"/>
      </w:r>
      <w:r>
        <w:rPr>
          <w:rFonts w:hint="eastAsia" w:ascii="仿宋" w:hAnsi="仿宋" w:eastAsia="仿宋" w:cs="仿宋"/>
          <w:b/>
          <w:bCs/>
          <w:color w:val="auto"/>
          <w:sz w:val="28"/>
          <w:szCs w:val="28"/>
          <w:highlight w:val="none"/>
        </w:rPr>
        <w:t>无效合同</w:t>
      </w:r>
      <w:r>
        <w:rPr>
          <w:rFonts w:hint="eastAsia" w:ascii="仿宋" w:hAnsi="仿宋" w:eastAsia="仿宋" w:cs="仿宋"/>
          <w:b/>
          <w:bCs/>
          <w:color w:val="auto"/>
          <w:sz w:val="28"/>
          <w:szCs w:val="28"/>
          <w:highlight w:val="none"/>
        </w:rPr>
        <w:fldChar w:fldCharType="end"/>
      </w:r>
    </w:p>
    <w:p w14:paraId="5E649625">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甲乙双方如因违反</w:t>
      </w:r>
      <w:r>
        <w:rPr>
          <w:rFonts w:hint="eastAsia" w:ascii="仿宋" w:hAnsi="仿宋" w:eastAsia="仿宋" w:cs="仿宋"/>
          <w:color w:val="auto"/>
          <w:sz w:val="28"/>
          <w:szCs w:val="28"/>
          <w:highlight w:val="none"/>
          <w:lang w:val="en-US" w:eastAsia="zh-CN"/>
        </w:rPr>
        <w:t>政府采购</w:t>
      </w:r>
      <w:r>
        <w:rPr>
          <w:rFonts w:hint="eastAsia" w:ascii="仿宋" w:hAnsi="仿宋" w:eastAsia="仿宋" w:cs="仿宋"/>
          <w:color w:val="auto"/>
          <w:sz w:val="28"/>
          <w:szCs w:val="28"/>
          <w:highlight w:val="none"/>
        </w:rPr>
        <w:t>法及相关法律法规的规定，被宣告</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合同无效</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的，一切责任概由过错方自行承担。</w:t>
      </w:r>
    </w:p>
    <w:p w14:paraId="6C3A16DE">
      <w:pPr>
        <w:keepNext w:val="0"/>
        <w:keepLines w:val="0"/>
        <w:pageBreakBefore w:val="0"/>
        <w:wordWrap/>
        <w:overflowPunct/>
        <w:topLinePunct w:val="0"/>
        <w:bidi w:val="0"/>
        <w:spacing w:line="500" w:lineRule="exact"/>
        <w:ind w:left="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八</w:t>
      </w:r>
      <w:r>
        <w:rPr>
          <w:rFonts w:hint="eastAsia" w:ascii="仿宋" w:hAnsi="仿宋" w:eastAsia="仿宋" w:cs="仿宋"/>
          <w:b/>
          <w:bCs/>
          <w:color w:val="auto"/>
          <w:sz w:val="28"/>
          <w:szCs w:val="28"/>
          <w:highlight w:val="none"/>
        </w:rPr>
        <w:t>条  信用融资（如有）</w:t>
      </w:r>
    </w:p>
    <w:p w14:paraId="4EB1226E">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银行名称：</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，收款账号：</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w:t>
      </w:r>
    </w:p>
    <w:p w14:paraId="5BAAD457">
      <w:pPr>
        <w:keepNext w:val="0"/>
        <w:keepLines w:val="0"/>
        <w:pageBreakBefore w:val="0"/>
        <w:wordWrap/>
        <w:overflowPunct/>
        <w:topLinePunct w:val="0"/>
        <w:bidi w:val="0"/>
        <w:spacing w:line="500" w:lineRule="exact"/>
        <w:ind w:left="0" w:right="0" w:right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九</w:t>
      </w:r>
      <w:r>
        <w:rPr>
          <w:rFonts w:hint="eastAsia" w:ascii="仿宋" w:hAnsi="仿宋" w:eastAsia="仿宋" w:cs="仿宋"/>
          <w:b/>
          <w:bCs/>
          <w:color w:val="auto"/>
          <w:sz w:val="28"/>
          <w:szCs w:val="28"/>
          <w:highlight w:val="none"/>
        </w:rPr>
        <w:t>条附则</w:t>
      </w:r>
    </w:p>
    <w:p w14:paraId="345F68C8">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1、本项目的</w:t>
      </w:r>
      <w:r>
        <w:rPr>
          <w:rFonts w:hint="eastAsia" w:ascii="仿宋" w:hAnsi="仿宋" w:eastAsia="仿宋" w:cs="仿宋"/>
          <w:color w:val="auto"/>
          <w:sz w:val="28"/>
          <w:szCs w:val="28"/>
          <w:highlight w:val="none"/>
          <w:lang w:val="en-US" w:eastAsia="zh-CN"/>
        </w:rPr>
        <w:t>竞争性磋商</w:t>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lang w:val="en-US" w:eastAsia="zh-CN"/>
        </w:rPr>
        <w:t>磋商响应</w:t>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lang w:val="en-US" w:eastAsia="zh-CN"/>
        </w:rPr>
        <w:t>成交</w:t>
      </w:r>
      <w:r>
        <w:rPr>
          <w:rFonts w:hint="eastAsia" w:ascii="仿宋" w:hAnsi="仿宋" w:eastAsia="仿宋" w:cs="仿宋"/>
          <w:color w:val="auto"/>
          <w:sz w:val="28"/>
          <w:szCs w:val="28"/>
          <w:highlight w:val="none"/>
        </w:rPr>
        <w:t>通知书及澄清说明文件均为本合同的组成部分，甲、乙双方必须全面遵守，如有违反，应承担违约责任。</w:t>
      </w:r>
    </w:p>
    <w:p w14:paraId="4AAAE745">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2、本合同一式五份,甲乙双方各执一份,监督管理机构一份,</w:t>
      </w: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lang w:eastAsia="zh-CN"/>
        </w:rPr>
        <w:t>代理机构</w:t>
      </w:r>
      <w:r>
        <w:rPr>
          <w:rFonts w:hint="eastAsia" w:ascii="仿宋" w:hAnsi="仿宋" w:eastAsia="仿宋" w:cs="仿宋"/>
          <w:color w:val="auto"/>
          <w:sz w:val="28"/>
          <w:szCs w:val="28"/>
          <w:highlight w:val="none"/>
        </w:rPr>
        <w:t>两份。</w:t>
      </w:r>
    </w:p>
    <w:p w14:paraId="7EA9C175">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3、本合同自签订之日起生效。</w:t>
      </w:r>
    </w:p>
    <w:p w14:paraId="0077B288">
      <w:pPr>
        <w:keepNext w:val="0"/>
        <w:keepLines w:val="0"/>
        <w:pageBreakBefore w:val="0"/>
        <w:wordWrap/>
        <w:overflowPunct/>
        <w:topLinePunct w:val="0"/>
        <w:bidi w:val="0"/>
        <w:spacing w:line="500" w:lineRule="exact"/>
        <w:ind w:left="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4、附件：</w:t>
      </w:r>
    </w:p>
    <w:p w14:paraId="6854BB6E">
      <w:pPr>
        <w:keepNext w:val="0"/>
        <w:keepLines w:val="0"/>
        <w:pageBreakBefore w:val="0"/>
        <w:wordWrap/>
        <w:overflowPunct/>
        <w:topLinePunct w:val="0"/>
        <w:bidi w:val="0"/>
        <w:spacing w:line="500" w:lineRule="exact"/>
        <w:ind w:left="0" w:right="0" w:rightChars="0" w:firstLine="840" w:firstLineChars="3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（以下无正文）</w:t>
      </w:r>
    </w:p>
    <w:p w14:paraId="7BE0EBBF">
      <w:pPr>
        <w:pStyle w:val="3"/>
        <w:keepNext w:val="0"/>
        <w:keepLines w:val="0"/>
        <w:pageBreakBefore w:val="0"/>
        <w:wordWrap/>
        <w:overflowPunct/>
        <w:topLinePunct w:val="0"/>
        <w:bidi w:val="0"/>
        <w:spacing w:line="500" w:lineRule="exact"/>
        <w:ind w:left="0" w:right="0" w:rightChars="0"/>
        <w:rPr>
          <w:rFonts w:hint="eastAsia" w:ascii="仿宋" w:hAnsi="仿宋" w:eastAsia="仿宋" w:cs="仿宋"/>
          <w:color w:val="auto"/>
          <w:highlight w:val="none"/>
        </w:rPr>
      </w:pPr>
    </w:p>
    <w:p w14:paraId="16CFF76E">
      <w:pPr>
        <w:keepNext w:val="0"/>
        <w:keepLines w:val="0"/>
        <w:pageBreakBefore w:val="0"/>
        <w:kinsoku/>
        <w:wordWrap/>
        <w:overflowPunct/>
        <w:topLinePunct w:val="0"/>
        <w:autoSpaceDE/>
        <w:autoSpaceDN/>
        <w:bidi w:val="0"/>
        <w:spacing w:line="500" w:lineRule="exact"/>
        <w:ind w:left="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lang w:eastAsia="zh-CN"/>
        </w:rPr>
        <w:t>人</w:t>
      </w:r>
      <w:r>
        <w:rPr>
          <w:rFonts w:hint="eastAsia" w:ascii="仿宋" w:hAnsi="仿宋" w:eastAsia="仿宋" w:cs="仿宋"/>
          <w:color w:val="auto"/>
          <w:sz w:val="28"/>
          <w:szCs w:val="28"/>
          <w:highlight w:val="none"/>
        </w:rPr>
        <w:t xml:space="preserve">(甲方)：        </w:t>
      </w:r>
      <w:r>
        <w:rPr>
          <w:rFonts w:hint="eastAsia" w:ascii="仿宋" w:hAnsi="仿宋" w:eastAsia="仿宋" w:cs="仿宋"/>
          <w:color w:val="auto"/>
          <w:sz w:val="28"/>
          <w:szCs w:val="28"/>
          <w:highlight w:val="none"/>
          <w:lang w:eastAsia="zh-CN"/>
        </w:rPr>
        <w:t>（公章）</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 xml:space="preserve">(乙方)：          </w:t>
      </w:r>
      <w:r>
        <w:rPr>
          <w:rFonts w:hint="eastAsia" w:ascii="仿宋" w:hAnsi="仿宋" w:eastAsia="仿宋" w:cs="仿宋"/>
          <w:color w:val="auto"/>
          <w:sz w:val="28"/>
          <w:szCs w:val="28"/>
          <w:highlight w:val="none"/>
          <w:lang w:eastAsia="zh-CN"/>
        </w:rPr>
        <w:t>（公章）</w:t>
      </w:r>
    </w:p>
    <w:p w14:paraId="26F48FF2">
      <w:pPr>
        <w:keepNext w:val="0"/>
        <w:keepLines w:val="0"/>
        <w:pageBreakBefore w:val="0"/>
        <w:kinsoku/>
        <w:wordWrap/>
        <w:overflowPunct/>
        <w:topLinePunct w:val="0"/>
        <w:autoSpaceDE/>
        <w:autoSpaceDN/>
        <w:bidi w:val="0"/>
        <w:spacing w:line="500" w:lineRule="exact"/>
        <w:ind w:left="0" w:right="0" w:rightChars="0" w:firstLine="280" w:firstLineChars="1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p>
    <w:p w14:paraId="5D1C1A81">
      <w:pPr>
        <w:keepNext w:val="0"/>
        <w:keepLines w:val="0"/>
        <w:pageBreakBefore w:val="0"/>
        <w:kinsoku/>
        <w:wordWrap/>
        <w:overflowPunct/>
        <w:topLinePunct w:val="0"/>
        <w:autoSpaceDE/>
        <w:autoSpaceDN/>
        <w:bidi w:val="0"/>
        <w:spacing w:line="500" w:lineRule="exact"/>
        <w:ind w:left="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（签字或盖章）</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（签字或盖章）</w:t>
      </w:r>
    </w:p>
    <w:p w14:paraId="09D7B5FB">
      <w:pPr>
        <w:keepNext w:val="0"/>
        <w:keepLines w:val="0"/>
        <w:pageBreakBefore w:val="0"/>
        <w:kinsoku/>
        <w:wordWrap/>
        <w:overflowPunct/>
        <w:topLinePunct w:val="0"/>
        <w:autoSpaceDE/>
        <w:autoSpaceDN/>
        <w:bidi w:val="0"/>
        <w:spacing w:line="500" w:lineRule="exact"/>
        <w:ind w:left="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               .</w:t>
      </w:r>
    </w:p>
    <w:p w14:paraId="2817A61A">
      <w:pPr>
        <w:keepNext w:val="0"/>
        <w:keepLines w:val="0"/>
        <w:pageBreakBefore w:val="0"/>
        <w:kinsoku/>
        <w:wordWrap/>
        <w:overflowPunct/>
        <w:topLinePunct w:val="0"/>
        <w:autoSpaceDE/>
        <w:autoSpaceDN/>
        <w:bidi w:val="0"/>
        <w:spacing w:line="500" w:lineRule="exact"/>
        <w:ind w:left="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账</w:t>
      </w:r>
      <w:r>
        <w:rPr>
          <w:rFonts w:hint="eastAsia" w:ascii="仿宋" w:hAnsi="仿宋" w:eastAsia="仿宋" w:cs="仿宋"/>
          <w:color w:val="auto"/>
          <w:sz w:val="28"/>
          <w:szCs w:val="28"/>
          <w:highlight w:val="none"/>
        </w:rPr>
        <w:t xml:space="preserve">    号：                </w:t>
      </w:r>
      <w:r>
        <w:rPr>
          <w:rFonts w:hint="eastAsia" w:ascii="仿宋" w:hAnsi="仿宋" w:eastAsia="仿宋" w:cs="仿宋"/>
          <w:color w:val="auto"/>
          <w:sz w:val="28"/>
          <w:szCs w:val="28"/>
          <w:highlight w:val="none"/>
          <w:lang w:val="en-US" w:eastAsia="zh-CN"/>
        </w:rPr>
        <w:t xml:space="preserve">    账</w:t>
      </w:r>
      <w:r>
        <w:rPr>
          <w:rFonts w:hint="eastAsia" w:ascii="仿宋" w:hAnsi="仿宋" w:eastAsia="仿宋" w:cs="仿宋"/>
          <w:color w:val="auto"/>
          <w:sz w:val="28"/>
          <w:szCs w:val="28"/>
          <w:highlight w:val="none"/>
        </w:rPr>
        <w:t xml:space="preserve">    号：               .</w:t>
      </w:r>
    </w:p>
    <w:p w14:paraId="1E6023BB">
      <w:pPr>
        <w:keepNext w:val="0"/>
        <w:keepLines w:val="0"/>
        <w:pageBreakBefore w:val="0"/>
        <w:kinsoku/>
        <w:wordWrap/>
        <w:overflowPunct/>
        <w:topLinePunct w:val="0"/>
        <w:autoSpaceDE/>
        <w:autoSpaceDN/>
        <w:bidi w:val="0"/>
        <w:spacing w:line="500" w:lineRule="exact"/>
        <w:ind w:left="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电    话：               .</w:t>
      </w:r>
    </w:p>
    <w:p w14:paraId="58B4EB6E">
      <w:pPr>
        <w:keepNext w:val="0"/>
        <w:keepLines w:val="0"/>
        <w:pageBreakBefore w:val="0"/>
        <w:kinsoku/>
        <w:wordWrap/>
        <w:overflowPunct/>
        <w:topLinePunct w:val="0"/>
        <w:autoSpaceDE/>
        <w:autoSpaceDN/>
        <w:bidi w:val="0"/>
        <w:spacing w:line="500" w:lineRule="exact"/>
        <w:ind w:left="0" w:right="0" w:rightChars="0"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    址：                .</w:t>
      </w:r>
    </w:p>
    <w:p w14:paraId="6FA6DDBF">
      <w:pPr>
        <w:keepNext w:val="0"/>
        <w:keepLines w:val="0"/>
        <w:pageBreakBefore w:val="0"/>
        <w:wordWrap/>
        <w:overflowPunct/>
        <w:topLinePunct w:val="0"/>
        <w:bidi w:val="0"/>
        <w:spacing w:line="500" w:lineRule="exact"/>
        <w:ind w:left="0" w:right="0" w:rightChars="0"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时    间：  年月日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时    间： 年月日</w:t>
      </w:r>
    </w:p>
    <w:p w14:paraId="40A16CD8"/>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19E1A"/>
    <w:multiLevelType w:val="singleLevel"/>
    <w:tmpl w:val="80319E1A"/>
    <w:lvl w:ilvl="0" w:tentative="0">
      <w:start w:val="1"/>
      <w:numFmt w:val="decimal"/>
      <w:suff w:val="nothing"/>
      <w:lvlText w:val="%1、"/>
      <w:lvlJc w:val="left"/>
    </w:lvl>
  </w:abstractNum>
  <w:abstractNum w:abstractNumId="1">
    <w:nsid w:val="145F0C49"/>
    <w:multiLevelType w:val="singleLevel"/>
    <w:tmpl w:val="145F0C49"/>
    <w:lvl w:ilvl="0" w:tentative="0">
      <w:start w:val="1"/>
      <w:numFmt w:val="chineseCounting"/>
      <w:suff w:val="nothing"/>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ZmQyOWM0YzhmZTA0MzUxM2QxZGZiODk3MTllMDgifQ=="/>
  </w:docVars>
  <w:rsids>
    <w:rsidRoot w:val="45FC40D7"/>
    <w:rsid w:val="45FC4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pPr>
  </w:style>
  <w:style w:type="paragraph" w:styleId="4">
    <w:name w:val="Body Text"/>
    <w:basedOn w:val="5"/>
    <w:next w:val="5"/>
    <w:semiHidden/>
    <w:qFormat/>
    <w:uiPriority w:val="0"/>
    <w:rPr>
      <w:rFonts w:ascii="Arial" w:hAnsi="Arial" w:eastAsia="Arial" w:cs="Arial"/>
      <w:sz w:val="21"/>
      <w:szCs w:val="21"/>
      <w:lang w:val="en-US" w:eastAsia="en-US" w:bidi="ar-SA"/>
    </w:rPr>
  </w:style>
  <w:style w:type="paragraph" w:customStyle="1" w:styleId="5">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Body Text Indent 2"/>
    <w:basedOn w:val="1"/>
    <w:qFormat/>
    <w:uiPriority w:val="99"/>
    <w:pPr>
      <w:spacing w:line="520" w:lineRule="exact"/>
      <w:ind w:firstLine="624"/>
    </w:pPr>
    <w:rPr>
      <w:rFonts w:ascii="楷体_GB2312" w:eastAsia="楷体_GB2312"/>
      <w:kern w:val="0"/>
      <w:sz w:val="20"/>
      <w:szCs w:val="20"/>
    </w:rPr>
  </w:style>
  <w:style w:type="paragraph" w:customStyle="1" w:styleId="9">
    <w:name w:val="Table Text"/>
    <w:basedOn w:val="1"/>
    <w:autoRedefine/>
    <w:semiHidden/>
    <w:qFormat/>
    <w:uiPriority w:val="0"/>
    <w:rPr>
      <w:rFonts w:ascii="宋体" w:hAnsi="宋体" w:eastAsia="宋体" w:cs="宋体"/>
      <w:sz w:val="19"/>
      <w:szCs w:val="19"/>
      <w:lang w:val="en-US" w:eastAsia="en-US" w:bidi="ar-SA"/>
    </w:rPr>
  </w:style>
  <w:style w:type="character" w:customStyle="1" w:styleId="10">
    <w:name w:val="NormalCharacter"/>
    <w:autoRedefine/>
    <w:qFormat/>
    <w:uiPriority w:val="0"/>
  </w:style>
  <w:style w:type="paragraph" w:customStyle="1" w:styleId="11">
    <w:name w:val="正文空2格  1."/>
    <w:basedOn w:val="1"/>
    <w:autoRedefine/>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2024-08-23T08:06:00Z</dcterms:created>
  <dc:creator>西安辰和</dc:creator>
  <cp:lastModifiedBy>西安辰和</cp:lastModifiedBy>
  <dcterms:modified xsi:type="dcterms:W3CDTF">2024-08-23T08:07:52Z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94F64625F0D34AB69D604520A66BCF9B_11</vt:lpwstr>
  </property>
</Properties>
</file>