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B8362">
      <w:pPr>
        <w:pStyle w:val="2"/>
        <w:spacing w:line="540" w:lineRule="exact"/>
        <w:jc w:val="both"/>
        <w:rPr>
          <w:rFonts w:ascii="仿宋_GB2312" w:hAnsi="仿宋_GB2312" w:eastAsia="仿宋_GB2312" w:cs="仿宋_GB2312"/>
          <w:lang w:eastAsia="zh-CN"/>
        </w:rPr>
      </w:pPr>
    </w:p>
    <w:p w14:paraId="1B941282">
      <w:pPr>
        <w:pStyle w:val="2"/>
        <w:spacing w:line="540" w:lineRule="exact"/>
        <w:jc w:val="both"/>
        <w:rPr>
          <w:rFonts w:ascii="仿宋_GB2312" w:hAnsi="仿宋_GB2312" w:eastAsia="仿宋_GB2312" w:cs="仿宋_GB2312"/>
        </w:rPr>
      </w:pPr>
    </w:p>
    <w:p w14:paraId="5DFF0289">
      <w:pPr>
        <w:pStyle w:val="2"/>
        <w:spacing w:line="540" w:lineRule="exact"/>
        <w:jc w:val="center"/>
        <w:rPr>
          <w:rFonts w:ascii="仿宋_GB2312" w:hAnsi="仿宋_GB2312" w:eastAsia="仿宋_GB2312" w:cs="仿宋_GB2312"/>
          <w:b/>
          <w:bCs/>
          <w:sz w:val="52"/>
          <w:szCs w:val="52"/>
          <w:lang w:eastAsia="zh-CN"/>
        </w:rPr>
      </w:pPr>
      <w:r>
        <w:rPr>
          <w:rFonts w:hint="eastAsia" w:ascii="仿宋_GB2312" w:hAnsi="仿宋_GB2312" w:eastAsia="仿宋_GB2312" w:cs="仿宋_GB2312"/>
          <w:b/>
          <w:bCs/>
          <w:sz w:val="52"/>
          <w:szCs w:val="52"/>
          <w:lang w:val="en-US" w:eastAsia="zh-CN"/>
        </w:rPr>
        <w:t>西安高新区第五高级中学 xxx</w:t>
      </w:r>
      <w:r>
        <w:rPr>
          <w:rFonts w:hint="eastAsia" w:ascii="仿宋_GB2312" w:hAnsi="仿宋_GB2312" w:eastAsia="仿宋_GB2312" w:cs="仿宋_GB2312"/>
          <w:b/>
          <w:bCs/>
          <w:sz w:val="52"/>
          <w:szCs w:val="52"/>
          <w:lang w:eastAsia="zh-CN"/>
        </w:rPr>
        <w:t>采购供货合同</w:t>
      </w:r>
    </w:p>
    <w:p w14:paraId="501689CC">
      <w:pPr>
        <w:pStyle w:val="2"/>
        <w:spacing w:line="540" w:lineRule="exact"/>
        <w:jc w:val="center"/>
        <w:rPr>
          <w:rFonts w:ascii="仿宋_GB2312" w:hAnsi="仿宋_GB2312" w:eastAsia="仿宋_GB2312" w:cs="仿宋_GB2312"/>
          <w:b/>
          <w:bCs/>
          <w:sz w:val="72"/>
          <w:szCs w:val="72"/>
          <w:lang w:eastAsia="zh-CN"/>
        </w:rPr>
      </w:pPr>
    </w:p>
    <w:p w14:paraId="36E7B7A4">
      <w:pPr>
        <w:pStyle w:val="2"/>
        <w:spacing w:line="540" w:lineRule="exact"/>
        <w:rPr>
          <w:rFonts w:ascii="仿宋_GB2312" w:hAnsi="仿宋_GB2312" w:eastAsia="仿宋_GB2312" w:cs="仿宋_GB2312"/>
          <w:lang w:eastAsia="zh-CN"/>
        </w:rPr>
      </w:pPr>
    </w:p>
    <w:p w14:paraId="1F04F2C8">
      <w:pPr>
        <w:pStyle w:val="2"/>
        <w:spacing w:line="540" w:lineRule="exact"/>
        <w:rPr>
          <w:rFonts w:ascii="仿宋_GB2312" w:hAnsi="仿宋_GB2312" w:eastAsia="仿宋_GB2312" w:cs="仿宋_GB2312"/>
          <w:lang w:eastAsia="zh-CN"/>
        </w:rPr>
      </w:pPr>
    </w:p>
    <w:p w14:paraId="32342453">
      <w:pPr>
        <w:pStyle w:val="2"/>
        <w:spacing w:line="540" w:lineRule="exact"/>
        <w:rPr>
          <w:rFonts w:ascii="仿宋_GB2312" w:hAnsi="仿宋_GB2312" w:eastAsia="仿宋_GB2312" w:cs="仿宋_GB2312"/>
          <w:lang w:eastAsia="zh-CN"/>
        </w:rPr>
      </w:pPr>
    </w:p>
    <w:p w14:paraId="259C571B">
      <w:pPr>
        <w:pStyle w:val="2"/>
        <w:spacing w:line="540" w:lineRule="exact"/>
        <w:rPr>
          <w:rFonts w:ascii="仿宋_GB2312" w:hAnsi="仿宋_GB2312" w:eastAsia="仿宋_GB2312" w:cs="仿宋_GB2312"/>
          <w:lang w:eastAsia="zh-CN"/>
        </w:rPr>
      </w:pPr>
    </w:p>
    <w:p w14:paraId="27202EDB">
      <w:pPr>
        <w:pStyle w:val="2"/>
        <w:spacing w:line="540" w:lineRule="exact"/>
        <w:rPr>
          <w:rFonts w:ascii="仿宋_GB2312" w:hAnsi="仿宋_GB2312" w:eastAsia="仿宋_GB2312" w:cs="仿宋_GB2312"/>
          <w:lang w:eastAsia="zh-CN"/>
        </w:rPr>
      </w:pPr>
    </w:p>
    <w:p w14:paraId="4CF13438">
      <w:pPr>
        <w:pStyle w:val="2"/>
        <w:spacing w:line="540" w:lineRule="exact"/>
        <w:jc w:val="center"/>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甲方（采购人）：</w:t>
      </w:r>
      <w:r>
        <w:rPr>
          <w:rFonts w:hint="eastAsia" w:ascii="仿宋_GB2312" w:hAnsi="仿宋_GB2312" w:eastAsia="仿宋_GB2312" w:cs="仿宋_GB2312"/>
          <w:sz w:val="32"/>
          <w:szCs w:val="32"/>
          <w:lang w:val="en-US" w:eastAsia="zh-CN"/>
        </w:rPr>
        <w:t>西安高新区第五高级中学</w:t>
      </w:r>
    </w:p>
    <w:p w14:paraId="1031B3B6">
      <w:pPr>
        <w:pStyle w:val="2"/>
        <w:spacing w:line="540" w:lineRule="exact"/>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乙方（中标人）：</w:t>
      </w:r>
    </w:p>
    <w:p w14:paraId="018C6C73">
      <w:pPr>
        <w:pStyle w:val="2"/>
        <w:spacing w:line="540" w:lineRule="exact"/>
        <w:ind w:firstLine="1920" w:firstLineChars="600"/>
        <w:jc w:val="center"/>
        <w:rPr>
          <w:rFonts w:hint="eastAsia" w:ascii="仿宋_GB2312" w:hAnsi="仿宋_GB2312" w:eastAsia="仿宋_GB2312" w:cs="仿宋_GB2312"/>
          <w:sz w:val="32"/>
          <w:szCs w:val="32"/>
          <w:lang w:eastAsia="zh-CN"/>
        </w:rPr>
      </w:pPr>
    </w:p>
    <w:p w14:paraId="365AB24B">
      <w:pPr>
        <w:pStyle w:val="2"/>
        <w:spacing w:line="540" w:lineRule="exact"/>
        <w:ind w:firstLine="1920" w:firstLineChars="600"/>
        <w:jc w:val="center"/>
        <w:rPr>
          <w:rFonts w:hint="eastAsia" w:ascii="仿宋_GB2312" w:hAnsi="仿宋_GB2312" w:eastAsia="仿宋_GB2312" w:cs="仿宋_GB2312"/>
          <w:sz w:val="32"/>
          <w:szCs w:val="32"/>
          <w:lang w:eastAsia="zh-CN"/>
        </w:rPr>
      </w:pPr>
    </w:p>
    <w:p w14:paraId="55A8D6BA">
      <w:pPr>
        <w:pStyle w:val="2"/>
        <w:spacing w:line="540" w:lineRule="exact"/>
        <w:ind w:firstLine="1920" w:firstLineChars="600"/>
        <w:jc w:val="center"/>
        <w:rPr>
          <w:rFonts w:hint="eastAsia" w:ascii="仿宋_GB2312" w:hAnsi="仿宋_GB2312" w:eastAsia="仿宋_GB2312" w:cs="仿宋_GB2312"/>
          <w:sz w:val="32"/>
          <w:szCs w:val="32"/>
          <w:lang w:eastAsia="zh-CN"/>
        </w:rPr>
      </w:pPr>
    </w:p>
    <w:p w14:paraId="7E81E564">
      <w:pPr>
        <w:pStyle w:val="2"/>
        <w:spacing w:line="540" w:lineRule="exact"/>
        <w:jc w:val="center"/>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签订日期： _______ 年 ______ 月 ______ 日</w:t>
      </w:r>
    </w:p>
    <w:p w14:paraId="57721943">
      <w:pPr>
        <w:pStyle w:val="14"/>
        <w:spacing w:line="540" w:lineRule="exact"/>
        <w:ind w:left="0" w:leftChars="0" w:firstLine="0" w:firstLineChars="0"/>
        <w:jc w:val="center"/>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签订地点：</w:t>
      </w:r>
      <w:r>
        <w:rPr>
          <w:rFonts w:hint="eastAsia" w:ascii="仿宋_GB2312" w:hAnsi="仿宋_GB2312" w:eastAsia="仿宋_GB2312" w:cs="仿宋_GB2312"/>
          <w:sz w:val="32"/>
          <w:szCs w:val="32"/>
          <w:lang w:val="en-US" w:eastAsia="zh-CN"/>
        </w:rPr>
        <w:t>西安高新区第五高级中学</w:t>
      </w:r>
    </w:p>
    <w:p w14:paraId="599837FD">
      <w:pPr>
        <w:spacing w:line="388" w:lineRule="exact"/>
        <w:rPr>
          <w:rFonts w:hint="eastAsia" w:ascii="仿宋" w:hAnsi="仿宋" w:eastAsia="仿宋" w:cs="仿宋"/>
          <w:b/>
          <w:bCs/>
          <w:sz w:val="21"/>
          <w:szCs w:val="21"/>
        </w:rPr>
      </w:pPr>
      <w:bookmarkStart w:id="1" w:name="_GoBack"/>
      <w:bookmarkEnd w:id="1"/>
      <w:r>
        <w:rPr>
          <w:rFonts w:hint="eastAsia" w:ascii="仿宋" w:hAnsi="仿宋" w:eastAsia="仿宋" w:cs="仿宋"/>
          <w:b/>
          <w:bCs/>
          <w:sz w:val="21"/>
          <w:szCs w:val="21"/>
        </w:rPr>
        <w:t>（此合同仅供参考、以最终采购人与</w:t>
      </w:r>
      <w:r>
        <w:rPr>
          <w:rFonts w:hint="eastAsia" w:ascii="仿宋" w:hAnsi="仿宋" w:eastAsia="仿宋" w:cs="仿宋"/>
          <w:b/>
          <w:bCs/>
          <w:sz w:val="21"/>
          <w:szCs w:val="21"/>
          <w:lang w:val="en-US" w:eastAsia="zh-CN"/>
        </w:rPr>
        <w:t>成交单位</w:t>
      </w:r>
      <w:r>
        <w:rPr>
          <w:rFonts w:hint="eastAsia" w:ascii="仿宋" w:hAnsi="仿宋" w:eastAsia="仿宋" w:cs="仿宋"/>
          <w:b/>
          <w:bCs/>
          <w:sz w:val="21"/>
          <w:szCs w:val="21"/>
        </w:rPr>
        <w:t>签订的合同条款为准，最终签订合同的主要条款不能与</w:t>
      </w:r>
      <w:r>
        <w:rPr>
          <w:rFonts w:hint="eastAsia" w:ascii="仿宋" w:hAnsi="仿宋" w:eastAsia="仿宋" w:cs="仿宋"/>
          <w:b/>
          <w:bCs/>
          <w:sz w:val="21"/>
          <w:szCs w:val="21"/>
          <w:lang w:val="en-US" w:eastAsia="zh-CN"/>
        </w:rPr>
        <w:t>磋商</w:t>
      </w:r>
      <w:r>
        <w:rPr>
          <w:rFonts w:hint="eastAsia" w:ascii="仿宋" w:hAnsi="仿宋" w:eastAsia="仿宋" w:cs="仿宋"/>
          <w:b/>
          <w:bCs/>
          <w:sz w:val="21"/>
          <w:szCs w:val="21"/>
        </w:rPr>
        <w:t>文件有实质性背离）</w:t>
      </w:r>
    </w:p>
    <w:p w14:paraId="7501EE79">
      <w:pPr>
        <w:rPr>
          <w:rFonts w:hint="eastAsia" w:ascii="仿宋_GB2312" w:hAnsi="仿宋_GB2312" w:eastAsia="仿宋_GB2312" w:cs="仿宋_GB2312"/>
          <w:sz w:val="32"/>
          <w:szCs w:val="32"/>
          <w:lang w:eastAsia="zh-CN"/>
        </w:rPr>
      </w:pPr>
    </w:p>
    <w:p w14:paraId="1C4CE881">
      <w:pPr>
        <w:pStyle w:val="14"/>
        <w:spacing w:line="540" w:lineRule="exact"/>
        <w:ind w:firstLine="640"/>
        <w:rPr>
          <w:rFonts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lang w:eastAsia="zh-CN"/>
        </w:rPr>
        <w:t>采购人（甲方）：</w:t>
      </w:r>
      <w:r>
        <w:rPr>
          <w:rFonts w:hint="eastAsia" w:ascii="仿宋_GB2312" w:hAnsi="仿宋_GB2312" w:eastAsia="仿宋_GB2312" w:cs="仿宋_GB2312"/>
          <w:sz w:val="32"/>
          <w:szCs w:val="32"/>
          <w:lang w:val="en-US" w:eastAsia="zh-CN"/>
        </w:rPr>
        <w:t>西安高新区第五高级中学</w:t>
      </w:r>
    </w:p>
    <w:p w14:paraId="2DFB0D6F">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中标人（乙方）：</w:t>
      </w:r>
    </w:p>
    <w:p w14:paraId="67B4E234">
      <w:pPr>
        <w:pStyle w:val="14"/>
        <w:spacing w:beforeLines="50"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根据《中华人民共和国</w:t>
      </w:r>
      <w:r>
        <w:rPr>
          <w:rFonts w:hint="eastAsia" w:ascii="仿宋_GB2312" w:hAnsi="仿宋_GB2312" w:eastAsia="仿宋_GB2312" w:cs="仿宋_GB2312"/>
          <w:sz w:val="32"/>
          <w:szCs w:val="32"/>
          <w:lang w:val="en-US" w:eastAsia="zh-CN"/>
        </w:rPr>
        <w:t>民法典</w:t>
      </w:r>
      <w:r>
        <w:rPr>
          <w:rFonts w:hint="eastAsia" w:ascii="仿宋_GB2312" w:hAnsi="仿宋_GB2312" w:eastAsia="仿宋_GB2312" w:cs="仿宋_GB2312"/>
          <w:sz w:val="32"/>
          <w:szCs w:val="32"/>
          <w:lang w:eastAsia="zh-CN"/>
        </w:rPr>
        <w:t>》和甲方</w:t>
      </w:r>
      <w:r>
        <w:rPr>
          <w:rFonts w:hint="eastAsia" w:ascii="仿宋_GB2312" w:hAnsi="仿宋_GB2312" w:eastAsia="仿宋_GB2312" w:cs="仿宋_GB2312"/>
          <w:sz w:val="32"/>
          <w:szCs w:val="32"/>
          <w:lang w:val="en-US" w:eastAsia="zh-CN"/>
        </w:rPr>
        <w:t>xxxxxx</w:t>
      </w:r>
      <w:r>
        <w:rPr>
          <w:rFonts w:hint="eastAsia" w:ascii="仿宋_GB2312" w:hAnsi="仿宋_GB2312" w:eastAsia="仿宋_GB2312" w:cs="仿宋_GB2312"/>
          <w:sz w:val="32"/>
          <w:szCs w:val="32"/>
          <w:lang w:eastAsia="zh-CN"/>
        </w:rPr>
        <w:t>采购项目（项目编号：</w:t>
      </w:r>
      <w:r>
        <w:rPr>
          <w:rFonts w:hint="eastAsia" w:ascii="仿宋_GB2312" w:hAnsi="仿宋_GB2312" w:eastAsia="仿宋_GB2312" w:cs="仿宋_GB2312"/>
          <w:sz w:val="32"/>
          <w:szCs w:val="32"/>
          <w:lang w:val="en-US" w:eastAsia="zh-CN"/>
        </w:rPr>
        <w:t>xxxxxxxxxx</w:t>
      </w:r>
      <w:r>
        <w:rPr>
          <w:rFonts w:hint="eastAsia" w:ascii="仿宋_GB2312" w:hAnsi="仿宋_GB2312" w:eastAsia="仿宋_GB2312" w:cs="仿宋_GB2312"/>
          <w:sz w:val="32"/>
          <w:szCs w:val="32"/>
          <w:lang w:eastAsia="zh-CN"/>
        </w:rPr>
        <w:t>）的招标文件、投标文件等有关规定，为确保甲方采购项目的顺利实施，甲、乙双方在平等自愿原则下签订本合同，并共同遵守如下条款：</w:t>
      </w:r>
    </w:p>
    <w:p w14:paraId="7EABB5DD">
      <w:pPr>
        <w:pStyle w:val="14"/>
        <w:spacing w:before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第一条 合同标的及数量</w:t>
      </w:r>
    </w:p>
    <w:p w14:paraId="72BCE41E">
      <w:pPr>
        <w:pStyle w:val="14"/>
        <w:spacing w:before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乙方向甲方提供下列货物（产品）：</w:t>
      </w:r>
    </w:p>
    <w:p w14:paraId="37052E1B">
      <w:pPr>
        <w:pStyle w:val="4"/>
        <w:spacing w:beforeLines="50" w:afterLines="50" w:line="420" w:lineRule="exact"/>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供货一览表</w:t>
      </w:r>
    </w:p>
    <w:tbl>
      <w:tblPr>
        <w:tblStyle w:val="7"/>
        <w:tblpPr w:leftFromText="180" w:rightFromText="180" w:vertAnchor="text" w:horzAnchor="margin" w:tblpY="30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583"/>
        <w:gridCol w:w="1515"/>
        <w:gridCol w:w="570"/>
        <w:gridCol w:w="645"/>
        <w:gridCol w:w="1155"/>
        <w:gridCol w:w="1395"/>
        <w:gridCol w:w="1335"/>
      </w:tblGrid>
      <w:tr w14:paraId="60E8FD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12" w:space="0"/>
              <w:left w:val="single" w:color="auto" w:sz="12" w:space="0"/>
              <w:bottom w:val="single" w:color="auto" w:sz="4" w:space="0"/>
              <w:right w:val="single" w:color="auto" w:sz="4" w:space="0"/>
            </w:tcBorders>
            <w:noWrap/>
            <w:vAlign w:val="center"/>
          </w:tcPr>
          <w:p w14:paraId="3CF36400">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序号</w:t>
            </w:r>
          </w:p>
        </w:tc>
        <w:tc>
          <w:tcPr>
            <w:tcW w:w="1583" w:type="dxa"/>
            <w:tcBorders>
              <w:top w:val="single" w:color="auto" w:sz="12" w:space="0"/>
              <w:left w:val="single" w:color="auto" w:sz="4" w:space="0"/>
              <w:bottom w:val="single" w:color="auto" w:sz="4" w:space="0"/>
              <w:right w:val="single" w:color="auto" w:sz="4" w:space="0"/>
            </w:tcBorders>
            <w:noWrap/>
            <w:vAlign w:val="center"/>
          </w:tcPr>
          <w:p w14:paraId="5E4C8232">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货物名称</w:t>
            </w:r>
          </w:p>
        </w:tc>
        <w:tc>
          <w:tcPr>
            <w:tcW w:w="1515" w:type="dxa"/>
            <w:tcBorders>
              <w:top w:val="single" w:color="auto" w:sz="12" w:space="0"/>
              <w:left w:val="single" w:color="auto" w:sz="4" w:space="0"/>
              <w:bottom w:val="single" w:color="auto" w:sz="4" w:space="0"/>
              <w:right w:val="single" w:color="auto" w:sz="4" w:space="0"/>
            </w:tcBorders>
            <w:noWrap/>
            <w:vAlign w:val="center"/>
          </w:tcPr>
          <w:p w14:paraId="65D12EC9">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品牌/型号</w:t>
            </w:r>
          </w:p>
        </w:tc>
        <w:tc>
          <w:tcPr>
            <w:tcW w:w="570" w:type="dxa"/>
            <w:tcBorders>
              <w:top w:val="single" w:color="auto" w:sz="12" w:space="0"/>
              <w:left w:val="single" w:color="auto" w:sz="4" w:space="0"/>
              <w:bottom w:val="single" w:color="auto" w:sz="4" w:space="0"/>
              <w:right w:val="single" w:color="auto" w:sz="4" w:space="0"/>
            </w:tcBorders>
            <w:noWrap/>
            <w:vAlign w:val="center"/>
          </w:tcPr>
          <w:p w14:paraId="38CA5A59">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规格</w:t>
            </w:r>
          </w:p>
        </w:tc>
        <w:tc>
          <w:tcPr>
            <w:tcW w:w="645" w:type="dxa"/>
            <w:tcBorders>
              <w:top w:val="single" w:color="auto" w:sz="12" w:space="0"/>
              <w:left w:val="single" w:color="auto" w:sz="4" w:space="0"/>
              <w:bottom w:val="single" w:color="auto" w:sz="4" w:space="0"/>
              <w:right w:val="single" w:color="auto" w:sz="4" w:space="0"/>
            </w:tcBorders>
            <w:noWrap/>
            <w:vAlign w:val="center"/>
          </w:tcPr>
          <w:p w14:paraId="07596C51">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计量单位</w:t>
            </w:r>
          </w:p>
        </w:tc>
        <w:tc>
          <w:tcPr>
            <w:tcW w:w="1155" w:type="dxa"/>
            <w:tcBorders>
              <w:top w:val="single" w:color="auto" w:sz="12" w:space="0"/>
              <w:left w:val="single" w:color="auto" w:sz="4" w:space="0"/>
              <w:bottom w:val="single" w:color="auto" w:sz="4" w:space="0"/>
              <w:right w:val="single" w:color="auto" w:sz="4" w:space="0"/>
            </w:tcBorders>
            <w:noWrap/>
            <w:vAlign w:val="center"/>
          </w:tcPr>
          <w:p w14:paraId="3114A432">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数量</w:t>
            </w:r>
          </w:p>
        </w:tc>
        <w:tc>
          <w:tcPr>
            <w:tcW w:w="1395" w:type="dxa"/>
            <w:tcBorders>
              <w:top w:val="single" w:color="auto" w:sz="12" w:space="0"/>
              <w:left w:val="single" w:color="auto" w:sz="4" w:space="0"/>
              <w:bottom w:val="single" w:color="auto" w:sz="4" w:space="0"/>
              <w:right w:val="single" w:color="auto" w:sz="4" w:space="0"/>
            </w:tcBorders>
            <w:noWrap/>
            <w:vAlign w:val="center"/>
          </w:tcPr>
          <w:p w14:paraId="0ED9B470">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单价（元）</w:t>
            </w:r>
          </w:p>
        </w:tc>
        <w:tc>
          <w:tcPr>
            <w:tcW w:w="1335" w:type="dxa"/>
            <w:tcBorders>
              <w:top w:val="single" w:color="auto" w:sz="12" w:space="0"/>
              <w:left w:val="single" w:color="auto" w:sz="4" w:space="0"/>
              <w:bottom w:val="single" w:color="auto" w:sz="4" w:space="0"/>
              <w:right w:val="single" w:color="auto" w:sz="12" w:space="0"/>
            </w:tcBorders>
            <w:noWrap/>
            <w:vAlign w:val="center"/>
          </w:tcPr>
          <w:p w14:paraId="284F3F32">
            <w:pPr>
              <w:pStyle w:val="3"/>
              <w:spacing w:before="0" w:line="420" w:lineRule="exact"/>
              <w:ind w:left="314" w:hanging="315" w:hangingChars="98"/>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金额 (元)</w:t>
            </w:r>
          </w:p>
        </w:tc>
      </w:tr>
      <w:tr w14:paraId="6FFC3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6C2C626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2F2FB2F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0F7EAB4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403C1E0E">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45DBE99F">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5E38796F">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242304D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4E7B1588">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27490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3CF5FA0E">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3B6E283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72C9105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2AE40FFB">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5D3C5E1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32AF17C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444F16DD">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753B8399">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2F7803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0BA1BF19">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6814EF9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1D21BA3F">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0494409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5697045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51617C77">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5ACF44A0">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3AE0CDBF">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194F60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078989E8">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6144051B">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58BCB26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0605ABF9">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28816287">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63B7547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4336D3E3">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6C71B555">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6A5F9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7AB86EE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416E95F9">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3DAAEC9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3182A31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35F72A1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1B446A5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582E23C3">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6A5C0A16">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35CDC5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60421580">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1F9528B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6025F5DE">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627C3210">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47F4295D">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587E810D">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4BF0A903">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3B6B2F9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4DFCAC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12" w:space="0"/>
              <w:right w:val="single" w:color="auto" w:sz="4" w:space="0"/>
            </w:tcBorders>
            <w:noWrap/>
          </w:tcPr>
          <w:p w14:paraId="2420B400">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12" w:space="0"/>
              <w:right w:val="single" w:color="auto" w:sz="4" w:space="0"/>
            </w:tcBorders>
            <w:noWrap/>
            <w:vAlign w:val="center"/>
          </w:tcPr>
          <w:p w14:paraId="09D11577">
            <w:pPr>
              <w:pStyle w:val="3"/>
              <w:spacing w:before="0" w:line="420" w:lineRule="exact"/>
              <w:ind w:firstLine="472" w:firstLineChars="147"/>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合计</w:t>
            </w:r>
          </w:p>
        </w:tc>
        <w:tc>
          <w:tcPr>
            <w:tcW w:w="6615" w:type="dxa"/>
            <w:gridSpan w:val="6"/>
            <w:tcBorders>
              <w:top w:val="single" w:color="auto" w:sz="4" w:space="0"/>
              <w:left w:val="single" w:color="auto" w:sz="4" w:space="0"/>
              <w:bottom w:val="single" w:color="auto" w:sz="12" w:space="0"/>
              <w:right w:val="single" w:color="auto" w:sz="12" w:space="0"/>
            </w:tcBorders>
            <w:noWrap/>
            <w:vAlign w:val="center"/>
          </w:tcPr>
          <w:p w14:paraId="1DA9B3C1">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w:t>
            </w:r>
          </w:p>
        </w:tc>
      </w:tr>
    </w:tbl>
    <w:p w14:paraId="56472529">
      <w:pPr>
        <w:pStyle w:val="3"/>
        <w:spacing w:before="0" w:line="540" w:lineRule="exact"/>
        <w:ind w:firstLine="643" w:firstLineChars="200"/>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第二条 合同价款</w:t>
      </w:r>
    </w:p>
    <w:p w14:paraId="0821C55B">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1、合同总价为人民币大写：  元， RMB￥   元。</w:t>
      </w:r>
    </w:p>
    <w:p w14:paraId="02B91BC8">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2、本合同总价是货物（产品）设计、材料、制造、包装、运输、安装、调试、检测、验收合格交付使用之前及保修期内保修服务与备用物件等其他有关各项的含税费用。</w:t>
      </w:r>
    </w:p>
    <w:p w14:paraId="34C39D05">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3、本合同总价还包含乙方应当提供的伴随服务和售后服务费用。</w:t>
      </w:r>
    </w:p>
    <w:p w14:paraId="3E847E3E">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4、本合同执行期间合同总价不变，甲方无须另向乙方支付本合同规定之外的其他任何费用。</w:t>
      </w:r>
    </w:p>
    <w:p w14:paraId="69008C4E">
      <w:pPr>
        <w:pStyle w:val="2"/>
        <w:spacing w:line="54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第三条款项结算</w:t>
      </w:r>
    </w:p>
    <w:p w14:paraId="72F43720">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1、货物（产品）按下列</w:t>
      </w:r>
      <w:r>
        <w:rPr>
          <w:rFonts w:hint="eastAsia" w:ascii="仿宋_GB2312" w:hAnsi="仿宋_GB2312" w:eastAsia="仿宋_GB2312" w:cs="仿宋_GB2312"/>
          <w:b w:val="0"/>
          <w:color w:val="000000" w:themeColor="text1"/>
          <w:lang w:val="en-US" w:eastAsia="zh-CN"/>
          <w14:textFill>
            <w14:solidFill>
              <w14:schemeClr w14:val="tx1"/>
            </w14:solidFill>
          </w14:textFill>
        </w:rPr>
        <w:t>方式</w:t>
      </w:r>
      <w:r>
        <w:rPr>
          <w:rFonts w:hint="eastAsia" w:ascii="仿宋_GB2312" w:hAnsi="仿宋_GB2312" w:eastAsia="仿宋_GB2312" w:cs="仿宋_GB2312"/>
          <w:b w:val="0"/>
          <w:color w:val="000000" w:themeColor="text1"/>
          <w:lang w:eastAsia="zh-CN"/>
          <w14:textFill>
            <w14:solidFill>
              <w14:schemeClr w14:val="tx1"/>
            </w14:solidFill>
          </w14:textFill>
        </w:rPr>
        <w:t>支付价款：</w:t>
      </w:r>
    </w:p>
    <w:p w14:paraId="6E3D2239">
      <w:pPr>
        <w:pStyle w:val="3"/>
        <w:spacing w:before="0" w:line="540" w:lineRule="exact"/>
        <w:ind w:firstLine="627" w:firstLineChars="196"/>
        <w:rPr>
          <w:rFonts w:hint="eastAsia" w:ascii="仿宋_GB2312" w:hAnsi="仿宋_GB2312" w:eastAsia="仿宋_GB2312" w:cs="仿宋_GB2312"/>
          <w:b w:val="0"/>
          <w:color w:val="000000" w:themeColor="text1"/>
          <w:lang w:val="en-US"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交付完毕并验收合格后，甲方向乙方支付</w:t>
      </w:r>
      <w:r>
        <w:rPr>
          <w:rFonts w:hint="eastAsia" w:ascii="仿宋_GB2312" w:hAnsi="仿宋_GB2312" w:eastAsia="仿宋_GB2312" w:cs="仿宋_GB2312"/>
          <w:b w:val="0"/>
          <w:color w:val="000000" w:themeColor="text1"/>
          <w:lang w:val="en-US" w:eastAsia="zh-CN"/>
          <w14:textFill>
            <w14:solidFill>
              <w14:schemeClr w14:val="tx1"/>
            </w14:solidFill>
          </w14:textFill>
        </w:rPr>
        <w:t>全部货款。</w:t>
      </w:r>
    </w:p>
    <w:p w14:paraId="75B2C79C">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2、乙方须向甲方出具合法有效的完税发票，甲方进行支付结算。</w:t>
      </w:r>
    </w:p>
    <w:p w14:paraId="6A9E9D13">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3、结算方式：银行转账。</w:t>
      </w:r>
    </w:p>
    <w:p w14:paraId="016F8D41">
      <w:pPr>
        <w:pStyle w:val="2"/>
        <w:spacing w:line="54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第四条权利保证</w:t>
      </w:r>
    </w:p>
    <w:p w14:paraId="0E066527">
      <w:pPr>
        <w:pStyle w:val="14"/>
        <w:spacing w:line="540" w:lineRule="exact"/>
        <w:ind w:firstLine="64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1、乙方保证对其出售的货物享有合法的权利。</w:t>
      </w:r>
    </w:p>
    <w:p w14:paraId="7C59BC72">
      <w:pPr>
        <w:pStyle w:val="14"/>
        <w:spacing w:line="540" w:lineRule="exact"/>
        <w:ind w:firstLine="64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2、乙方保证对其出售的货物上不存在任何未曾向甲方透露的担保物权，如抵押权、质押权、留置权。</w:t>
      </w:r>
    </w:p>
    <w:p w14:paraId="1C97B1AA">
      <w:pPr>
        <w:pStyle w:val="14"/>
        <w:spacing w:line="540" w:lineRule="exact"/>
        <w:ind w:firstLine="64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3、乙方保证对其出售的货物或其任何一部分没有侵犯第三方的专利权、版权、商标权或其他权利。</w:t>
      </w:r>
    </w:p>
    <w:p w14:paraId="59C41BD2">
      <w:pPr>
        <w:pStyle w:val="14"/>
        <w:spacing w:line="540" w:lineRule="exact"/>
        <w:ind w:left="161" w:leftChars="67" w:firstLine="480" w:firstLineChars="15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4、如甲方在使用该货物构成上述侵权的，则由乙方承担全部责任。</w:t>
      </w:r>
    </w:p>
    <w:p w14:paraId="6E917D45">
      <w:pPr>
        <w:pStyle w:val="2"/>
        <w:spacing w:line="54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第五条交货时间与地点</w:t>
      </w:r>
    </w:p>
    <w:p w14:paraId="20427DD4">
      <w:pPr>
        <w:pStyle w:val="2"/>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乙方在合同签订生效之日起，按甲方指定时间、地点交货。</w:t>
      </w:r>
    </w:p>
    <w:p w14:paraId="26FA450F">
      <w:pPr>
        <w:pStyle w:val="2"/>
        <w:spacing w:line="54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1、交货时间（期限）：合同签订后</w:t>
      </w:r>
      <w:r>
        <w:rPr>
          <w:rFonts w:hint="eastAsia" w:ascii="仿宋_GB2312" w:hAnsi="仿宋_GB2312" w:eastAsia="仿宋_GB2312" w:cs="仿宋_GB2312"/>
          <w:sz w:val="32"/>
          <w:szCs w:val="32"/>
          <w:lang w:val="en-US" w:eastAsia="zh-CN"/>
        </w:rPr>
        <w:t>30个日历日</w:t>
      </w:r>
    </w:p>
    <w:p w14:paraId="1E8AA2EB">
      <w:pPr>
        <w:pStyle w:val="2"/>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2、交货地点：甲方指定地点</w:t>
      </w:r>
    </w:p>
    <w:p w14:paraId="3D01B993">
      <w:pPr>
        <w:pStyle w:val="14"/>
        <w:spacing w:line="540" w:lineRule="exact"/>
        <w:ind w:left="161" w:leftChars="67" w:firstLine="482" w:firstLineChars="15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 xml:space="preserve">第六条 包装要求与运输方式  </w:t>
      </w:r>
    </w:p>
    <w:p w14:paraId="212945B5">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1、除合同另有规定外，乙方提供的全部货物均应按标准保护措施进行包装，该包装应适应于远距离运输、防潮、防震、防锈和防野蛮装卸，以确保货物安全运抵指定地点。</w:t>
      </w:r>
    </w:p>
    <w:p w14:paraId="590B19E9">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2、每一包装单元应附详细的装箱单和质量合格证。</w:t>
      </w:r>
    </w:p>
    <w:p w14:paraId="204B524F">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3、乙方负责货物（产品）运输，货物运输的合理损耗及计算方法</w:t>
      </w:r>
    </w:p>
    <w:p w14:paraId="389131BA">
      <w:pPr>
        <w:pStyle w:val="14"/>
        <w:spacing w:beforeLines="50" w:after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第七条 质量保证</w:t>
      </w:r>
    </w:p>
    <w:p w14:paraId="1B961200">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1、乙方须提供全新的、未使用过的合格正品货物（含零部件、配件等），完全符合合同规定的质量、规格和性能的要求。</w:t>
      </w:r>
    </w:p>
    <w:p w14:paraId="3766DA84">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2、乙方提供的节能和环保产品必须是列入政府采购清单的产品。</w:t>
      </w:r>
    </w:p>
    <w:p w14:paraId="417B98E2">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3、质量标准按照最新颁布的国家标准、行业标准或制造商企业标准确定，上述标准不一致的，以严格标准为准。</w:t>
      </w:r>
    </w:p>
    <w:p w14:paraId="249C54EF">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4、乙方所提供货物还应符合国家和陕西省有关安全、环保、节能之规定，“3C”认证的货物（产品）应加贴“3C”认证标志。</w:t>
      </w:r>
    </w:p>
    <w:p w14:paraId="6F9B71AC">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5、货物制造质量出现问题，乙方应负责三包（包修、包换、包退），费用由乙方负担，甲方有权到乙方生产场地检查货物质量和生产进度。</w:t>
      </w:r>
    </w:p>
    <w:p w14:paraId="10779D7C">
      <w:pPr>
        <w:pStyle w:val="14"/>
        <w:spacing w:beforeLines="50" w:afterLines="50" w:line="540" w:lineRule="exact"/>
        <w:ind w:left="161" w:leftChars="67" w:firstLine="482" w:firstLineChars="15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第八条 货物验收</w:t>
      </w:r>
    </w:p>
    <w:p w14:paraId="7E98ACAE">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1、货物验收由甲方组织，乙方配合，并按下列程序进行：</w:t>
      </w:r>
    </w:p>
    <w:p w14:paraId="675A53AF">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交货验收时，乙方须提供质检部门产品抽样检查合格的检测报告（或制造商自检报告）及所提供货物（产品）的合格证、装箱清单、配件、随机工具、用户使用手册（产品使用说明书）、保修卡等资料交付给甲方；</w:t>
      </w:r>
    </w:p>
    <w:p w14:paraId="6F51E224">
      <w:pPr>
        <w:pStyle w:val="14"/>
        <w:spacing w:line="540" w:lineRule="exact"/>
        <w:ind w:firstLine="547" w:firstLineChars="171"/>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（2）到货验收 ：货物到达后，按合同第一条款的货物清单和装箱单经行逐一核对，同时检查货物外观，是否有划痕或破损的，并做好相应记录；</w:t>
      </w:r>
    </w:p>
    <w:p w14:paraId="232A77BA">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货物初验：乙方应在货物到货之日起，10日内全部完成安装调试完毕；乙方安装调试完毕后30日内完成初步验收；初步验收合格后，进入60日试用期；试用期间发生重大质量问题的乙方应按照甲方要求履行退换货责任，对于小的质量瑕疵在乙方修复后试用期相应顺延；</w:t>
      </w:r>
    </w:p>
    <w:p w14:paraId="70AC8027">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（4）货物终验：试用期结束后30日内完成最终验收；</w:t>
      </w:r>
    </w:p>
    <w:p w14:paraId="5D7D034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（5）质量验收合格，双方签署质量验收报告。</w:t>
      </w:r>
    </w:p>
    <w:p w14:paraId="64E8FAE2">
      <w:pPr>
        <w:pStyle w:val="14"/>
        <w:spacing w:line="540" w:lineRule="exact"/>
        <w:ind w:firstLine="800" w:firstLineChars="2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2、货物验收依据：</w:t>
      </w:r>
    </w:p>
    <w:p w14:paraId="18435072">
      <w:pPr>
        <w:pStyle w:val="4"/>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（1）招标文件；</w:t>
      </w:r>
    </w:p>
    <w:p w14:paraId="7CD3AC3C">
      <w:pPr>
        <w:pStyle w:val="4"/>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（2）投标文件；</w:t>
      </w:r>
    </w:p>
    <w:p w14:paraId="125D65A2">
      <w:pPr>
        <w:pStyle w:val="4"/>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（3）采购合同及补充协议；</w:t>
      </w:r>
    </w:p>
    <w:p w14:paraId="06480B75">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（4）质检部门抽样检查货物（产品）合格的检测报告。</w:t>
      </w:r>
    </w:p>
    <w:p w14:paraId="3AD90C72">
      <w:pPr>
        <w:pStyle w:val="14"/>
        <w:spacing w:line="540" w:lineRule="exact"/>
        <w:ind w:firstLine="800" w:firstLineChars="2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3、货物验收时发现问题的处理办法：</w:t>
      </w:r>
    </w:p>
    <w:p w14:paraId="3FAB1981">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（1）乙方提供不符合招标文件和本合同规定的货物（产品），甲方有权拒绝接受；</w:t>
      </w:r>
    </w:p>
    <w:p w14:paraId="3DE7CFF0">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521BDA5E">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（3）如货物经乙方次维修3次仍不能达到合同约定的质量标准，甲方有权退货，并视作乙方不能交付货物而须支付违约赔偿金给甲方，甲方还可依法追究乙方的违约责任； </w:t>
      </w:r>
    </w:p>
    <w:p w14:paraId="2B283614">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（4）货物安装完成后</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lang w:eastAsia="zh-CN"/>
        </w:rPr>
        <w:t>0日内，甲方无故不进行验收工作并已使用货物的，视同已安装调试完成并验收合格；</w:t>
      </w:r>
    </w:p>
    <w:p w14:paraId="3F027DBA">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（5）乙方不能完整交付货物及本条第一款规定的单证和工具的，必须负责补齐，否则视为未按合同约定交货；</w:t>
      </w:r>
    </w:p>
    <w:p w14:paraId="7E37315A">
      <w:pPr>
        <w:pStyle w:val="14"/>
        <w:spacing w:beforeLines="50" w:after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第九条 售后服务</w:t>
      </w:r>
    </w:p>
    <w:p w14:paraId="1DB565AE">
      <w:pPr>
        <w:pStyle w:val="2"/>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lang w:eastAsia="zh-CN"/>
        </w:rPr>
        <w:t>货物质量保</w:t>
      </w:r>
      <w:r>
        <w:rPr>
          <w:rFonts w:hint="eastAsia" w:ascii="仿宋_GB2312" w:hAnsi="仿宋_GB2312" w:eastAsia="仿宋_GB2312" w:cs="仿宋_GB2312"/>
          <w:sz w:val="32"/>
          <w:szCs w:val="32"/>
          <w:lang w:val="en-US" w:eastAsia="zh-CN"/>
        </w:rPr>
        <w:t>证</w:t>
      </w:r>
      <w:r>
        <w:rPr>
          <w:rFonts w:hint="eastAsia" w:ascii="仿宋_GB2312" w:hAnsi="仿宋_GB2312" w:eastAsia="仿宋_GB2312" w:cs="仿宋_GB2312"/>
          <w:sz w:val="32"/>
          <w:szCs w:val="32"/>
          <w:lang w:eastAsia="zh-CN"/>
        </w:rPr>
        <w:t>期为自交货物验收合格之日起</w:t>
      </w:r>
      <w:r>
        <w:rPr>
          <w:rFonts w:hint="eastAsia" w:ascii="仿宋_GB2312" w:hAnsi="仿宋_GB2312" w:eastAsia="仿宋_GB2312" w:cs="仿宋_GB2312"/>
          <w:sz w:val="32"/>
          <w:szCs w:val="32"/>
          <w:lang w:val="en-US" w:eastAsia="zh-CN"/>
        </w:rPr>
        <w:t>至 3年内（厂家规定质保期超过三年的按厂家规定执行），并</w:t>
      </w:r>
      <w:r>
        <w:rPr>
          <w:rFonts w:hint="eastAsia" w:ascii="仿宋_GB2312" w:hAnsi="仿宋_GB2312" w:eastAsia="仿宋_GB2312" w:cs="仿宋_GB2312"/>
          <w:sz w:val="32"/>
          <w:szCs w:val="32"/>
          <w:lang w:eastAsia="zh-CN"/>
        </w:rPr>
        <w:t>提供以下售后服务：</w:t>
      </w:r>
    </w:p>
    <w:p w14:paraId="55683272">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（一）质保期内：</w:t>
      </w:r>
    </w:p>
    <w:p w14:paraId="54ACA001">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1、发生质量问题，接到甲方通知后，应于当日派出专业的维修人员到现场进行检测维修，发生的全部费用由乙方承担，若需送回生产厂，乙方承担往返费用 。</w:t>
      </w:r>
    </w:p>
    <w:p w14:paraId="036EED3F">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2、定期派技术人员到现场走访，给予检查维护 。</w:t>
      </w:r>
    </w:p>
    <w:p w14:paraId="770A2A7A">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3、排除故障的期限不得超过24小时（工作日）。否则甲方有权指定第三方维修，维修费用由乙方承担。</w:t>
      </w:r>
    </w:p>
    <w:p w14:paraId="35E062C2">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（二）质保期结束前，进行系统测试，全面保养维护，确保正常运行。</w:t>
      </w:r>
    </w:p>
    <w:p w14:paraId="662808CD">
      <w:pPr>
        <w:pStyle w:val="14"/>
        <w:spacing w:afterLines="50"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第十条违约责任</w:t>
      </w:r>
    </w:p>
    <w:p w14:paraId="132D4DBE">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1、甲方违约责任</w:t>
      </w:r>
    </w:p>
    <w:p w14:paraId="1EC04590">
      <w:pPr>
        <w:pStyle w:val="14"/>
        <w:spacing w:line="540" w:lineRule="exact"/>
        <w:ind w:firstLine="387" w:firstLineChars="121"/>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（1）甲方无正当理由拒收货物的，甲方应偿付合同总价3 %的违约金；</w:t>
      </w:r>
    </w:p>
    <w:p w14:paraId="22D6AA26">
      <w:pPr>
        <w:pStyle w:val="14"/>
        <w:spacing w:line="540" w:lineRule="exact"/>
        <w:ind w:firstLine="387" w:firstLineChars="121"/>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（2）甲方逾期支付货款的，除应及时付足货款外，应向乙方每天支付欠款总额1‰的滞纳金；但累计滞纳金总额不超过欠款总额的1%。</w:t>
      </w:r>
    </w:p>
    <w:p w14:paraId="140FDDB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2、乙方违约责任</w:t>
      </w:r>
    </w:p>
    <w:p w14:paraId="172D6CDB">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（1）如乙方不能交付货物，乙方应向甲方支付合同总价5％的违约金；</w:t>
      </w:r>
    </w:p>
    <w:p w14:paraId="295A51F0">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（2）乙方逾期交付货物的，每逾期1天，乙方向甲方偿付逾期交货部分货款总额的3‰的滞纳金。如乙方逾期交货达15天，甲方有权解除合同，解除合同的通知自到达乙方时生效；</w:t>
      </w:r>
    </w:p>
    <w:p w14:paraId="5FC7FFDC">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（3）乙方所交付的货物品种、型号、规格不符合合同规定的，甲方有权拒收。甲方拒收的，乙方应向甲方支付货款总额5%的违约金；</w:t>
      </w:r>
    </w:p>
    <w:p w14:paraId="20935CF2">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7075BBA6">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C778253">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（6）乙方未按本合同约定履行自身应尽义务的，应向甲方承担违约责任，按合同总价款的5 %向甲方支付违约金；该违约金的支付不影响乙方应承担的其他违约责任；</w:t>
      </w:r>
    </w:p>
    <w:p w14:paraId="630BBA2C">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（7）乙方未按本合同的规定和“服务承诺”提供伴随服务/售后服务的，应按合同总价款的5%向甲方承担违约责任；</w:t>
      </w:r>
    </w:p>
    <w:p w14:paraId="522EC09B">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111DBAB7">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（9）乙方偿付的违约金不足以弥补甲方损失的，还应按甲方损失尚未弥补的部分，支付赔偿金给甲方。</w:t>
      </w:r>
    </w:p>
    <w:p w14:paraId="6F2785FC">
      <w:pPr>
        <w:spacing w:beforeLines="50" w:afterLines="50" w:line="540" w:lineRule="exact"/>
        <w:ind w:firstLine="643" w:firstLineChars="20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第十一条 合同的变更和终止</w:t>
      </w:r>
    </w:p>
    <w:p w14:paraId="2C68758E">
      <w:pPr>
        <w:spacing w:line="540" w:lineRule="exact"/>
        <w:ind w:firstLine="640" w:firstLineChars="200"/>
        <w:rPr>
          <w:rFonts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本合同一经签订，甲乙双方不得擅自变更、中止或终止合同。</w:t>
      </w:r>
    </w:p>
    <w:p w14:paraId="0B20D93B">
      <w:pPr>
        <w:spacing w:beforeLines="50" w:afterLines="50" w:line="540" w:lineRule="exact"/>
        <w:ind w:firstLine="643" w:firstLineChars="20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第十二条 争议的解决</w:t>
      </w:r>
    </w:p>
    <w:p w14:paraId="350BB31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1、因货物的质量问题发生争议，由质量技术监督部门或其指定的质量鉴定机构进行质量鉴定。货物符合标准的，鉴定费由甲方承担；货物不符合质量标准的，鉴定费由乙方承担。</w:t>
      </w:r>
    </w:p>
    <w:p w14:paraId="252E20E3">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2、因履行本合同引起的或与本合同有关的争议，甲、乙双方应首先通过友好协商解决，如果协商不成，则采取以下第</w:t>
      </w:r>
      <w:r>
        <w:rPr>
          <w:rFonts w:hint="eastAsia" w:ascii="仿宋_GB2312" w:hAnsi="仿宋_GB2312" w:eastAsia="仿宋_GB2312" w:cs="仿宋_GB2312"/>
          <w:sz w:val="32"/>
          <w:szCs w:val="32"/>
          <w:u w:val="single"/>
          <w:lang w:eastAsia="zh-CN"/>
        </w:rPr>
        <w:t xml:space="preserve">  2</w:t>
      </w:r>
      <w:r>
        <w:rPr>
          <w:rFonts w:hint="eastAsia" w:ascii="仿宋_GB2312" w:hAnsi="仿宋_GB2312" w:eastAsia="仿宋_GB2312" w:cs="仿宋_GB2312"/>
          <w:sz w:val="32"/>
          <w:szCs w:val="32"/>
          <w:lang w:eastAsia="zh-CN"/>
        </w:rPr>
        <w:t>种方式解决争议：</w:t>
      </w:r>
    </w:p>
    <w:p w14:paraId="0D20F0F9">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（1）向甲方所在地有管辖权的人民法院提起诉讼；</w:t>
      </w:r>
    </w:p>
    <w:p w14:paraId="59DDF67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（2）向</w:t>
      </w:r>
      <w:r>
        <w:rPr>
          <w:rFonts w:hint="eastAsia" w:ascii="仿宋_GB2312" w:hAnsi="仿宋_GB2312" w:eastAsia="仿宋_GB2312" w:cs="仿宋_GB2312"/>
          <w:sz w:val="32"/>
          <w:szCs w:val="32"/>
          <w:u w:val="single"/>
          <w:lang w:eastAsia="zh-CN"/>
        </w:rPr>
        <w:t>西安</w:t>
      </w:r>
      <w:r>
        <w:rPr>
          <w:rFonts w:hint="eastAsia" w:ascii="仿宋_GB2312" w:hAnsi="仿宋_GB2312" w:eastAsia="仿宋_GB2312" w:cs="仿宋_GB2312"/>
          <w:sz w:val="32"/>
          <w:szCs w:val="32"/>
          <w:lang w:eastAsia="zh-CN"/>
        </w:rPr>
        <w:t>仲裁委员会按其仲裁规则申请仲裁。</w:t>
      </w:r>
    </w:p>
    <w:p w14:paraId="32A814E5">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3．在仲裁期间，本合同应继续履行。</w:t>
      </w:r>
    </w:p>
    <w:p w14:paraId="2E7925B3">
      <w:pPr>
        <w:snapToGrid w:val="0"/>
        <w:spacing w:beforeLines="50" w:afterLines="50" w:line="540" w:lineRule="exact"/>
        <w:ind w:firstLine="643" w:firstLineChars="200"/>
        <w:textAlignment w:val="baseline"/>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第十三条 合同生效及其他</w:t>
      </w:r>
    </w:p>
    <w:p w14:paraId="6014DBEE">
      <w:pPr>
        <w:snapToGrid w:val="0"/>
        <w:spacing w:line="540" w:lineRule="exact"/>
        <w:ind w:firstLine="539"/>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1、如有未尽事宜，由双方依法订立补充合同。</w:t>
      </w:r>
    </w:p>
    <w:p w14:paraId="128B3480">
      <w:pPr>
        <w:snapToGrid w:val="0"/>
        <w:spacing w:line="540" w:lineRule="exact"/>
        <w:ind w:firstLine="539"/>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2、本合同自签订之日起生效。</w:t>
      </w:r>
    </w:p>
    <w:p w14:paraId="7A1DCBDE">
      <w:pPr>
        <w:snapToGrid w:val="0"/>
        <w:spacing w:line="540" w:lineRule="exact"/>
        <w:ind w:firstLine="539"/>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3、本合同一式</w:t>
      </w:r>
      <w:r>
        <w:rPr>
          <w:rFonts w:hint="eastAsia" w:ascii="仿宋_GB2312" w:hAnsi="仿宋_GB2312" w:eastAsia="仿宋_GB2312" w:cs="仿宋_GB2312"/>
          <w:sz w:val="32"/>
          <w:szCs w:val="32"/>
          <w:lang w:val="en-US" w:eastAsia="zh-CN"/>
        </w:rPr>
        <w:t>肆</w:t>
      </w:r>
      <w:r>
        <w:rPr>
          <w:rFonts w:hint="eastAsia" w:ascii="仿宋_GB2312" w:hAnsi="仿宋_GB2312" w:eastAsia="仿宋_GB2312" w:cs="仿宋_GB2312"/>
          <w:sz w:val="32"/>
          <w:szCs w:val="32"/>
          <w:lang w:eastAsia="zh-CN"/>
        </w:rPr>
        <w:t>份，具有同等法律效力，甲</w:t>
      </w:r>
      <w:r>
        <w:rPr>
          <w:rFonts w:hint="eastAsia" w:ascii="仿宋_GB2312" w:hAnsi="仿宋_GB2312" w:eastAsia="仿宋_GB2312" w:cs="仿宋_GB2312"/>
          <w:sz w:val="32"/>
          <w:szCs w:val="32"/>
          <w:lang w:val="en-US" w:eastAsia="zh-CN"/>
        </w:rPr>
        <w:t>方叁份，</w:t>
      </w:r>
      <w:r>
        <w:rPr>
          <w:rFonts w:hint="eastAsia" w:ascii="仿宋_GB2312" w:hAnsi="仿宋_GB2312" w:eastAsia="仿宋_GB2312" w:cs="仿宋_GB2312"/>
          <w:sz w:val="32"/>
          <w:szCs w:val="32"/>
          <w:lang w:eastAsia="zh-CN"/>
        </w:rPr>
        <w:t>乙</w:t>
      </w:r>
      <w:r>
        <w:rPr>
          <w:rFonts w:hint="eastAsia" w:ascii="仿宋_GB2312" w:hAnsi="仿宋_GB2312" w:eastAsia="仿宋_GB2312" w:cs="仿宋_GB2312"/>
          <w:sz w:val="32"/>
          <w:szCs w:val="32"/>
          <w:lang w:val="en-US" w:eastAsia="zh-CN"/>
        </w:rPr>
        <w:t>方壹份</w:t>
      </w:r>
      <w:r>
        <w:rPr>
          <w:rFonts w:hint="eastAsia" w:ascii="仿宋_GB2312" w:hAnsi="仿宋_GB2312" w:eastAsia="仿宋_GB2312" w:cs="仿宋_GB2312"/>
          <w:sz w:val="32"/>
          <w:szCs w:val="32"/>
          <w:lang w:eastAsia="zh-CN"/>
        </w:rPr>
        <w:t>。</w:t>
      </w:r>
    </w:p>
    <w:p w14:paraId="5C7BC785">
      <w:pPr>
        <w:spacing w:beforeLines="50" w:afterLines="50"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甲方：   （盖章）   </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乙方：   （盖章）</w:t>
      </w:r>
    </w:p>
    <w:p w14:paraId="18AE4D5D">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法定代表人/授权代表：              法定代表人/授权代表：</w:t>
      </w:r>
    </w:p>
    <w:p w14:paraId="2A2A182F">
      <w:pPr>
        <w:spacing w:beforeLines="50" w:afterLines="50" w:line="54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地    址：</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地    址：</w:t>
      </w:r>
    </w:p>
    <w:p w14:paraId="250544EF">
      <w:pPr>
        <w:spacing w:beforeLines="50" w:afterLines="50" w:line="540" w:lineRule="exact"/>
        <w:ind w:firstLine="960" w:firstLineChars="3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1B7807B8">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开户银行：</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开户银行：</w:t>
      </w:r>
    </w:p>
    <w:p w14:paraId="2878ADA1">
      <w:pPr>
        <w:spacing w:beforeLines="50" w:afterLines="50" w:line="540" w:lineRule="exact"/>
        <w:ind w:firstLine="1600" w:firstLineChars="5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13500C80">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账    号：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账    号：</w:t>
      </w:r>
    </w:p>
    <w:p w14:paraId="4EBC1E5E">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电    话：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电    话：</w:t>
      </w:r>
    </w:p>
    <w:p w14:paraId="745E94CA">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签约日期：    年  月  日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签约日期：    年  月  日</w:t>
      </w:r>
    </w:p>
    <w:p w14:paraId="4BFC295C">
      <w:pPr>
        <w:spacing w:line="540" w:lineRule="exact"/>
        <w:ind w:firstLine="640" w:firstLineChars="200"/>
        <w:rPr>
          <w:rFonts w:ascii="仿宋_GB2312" w:hAnsi="仿宋_GB2312" w:eastAsia="仿宋_GB2312" w:cs="仿宋_GB2312"/>
          <w:sz w:val="32"/>
          <w:szCs w:val="32"/>
          <w:lang w:eastAsia="zh-CN"/>
        </w:rPr>
      </w:pPr>
    </w:p>
    <w:p w14:paraId="398C255D">
      <w:pPr>
        <w:spacing w:line="540" w:lineRule="exact"/>
        <w:rPr>
          <w:rFonts w:ascii="仿宋_GB2312" w:hAnsi="仿宋_GB2312" w:eastAsia="仿宋_GB2312" w:cs="仿宋_GB2312"/>
          <w:sz w:val="32"/>
          <w:szCs w:val="32"/>
          <w:lang w:eastAsia="zh-CN"/>
        </w:rPr>
      </w:pPr>
      <w:bookmarkStart w:id="0" w:name="na-dialog-root"/>
      <w:bookmarkEnd w:id="0"/>
    </w:p>
    <w:sectPr>
      <w:pgSz w:w="11906" w:h="16838"/>
      <w:pgMar w:top="1440" w:right="1474"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NzVkNjI4ZjJjMzJjM2RiY2ZmNjcxMjRlMjYxZjcifQ=="/>
  </w:docVars>
  <w:rsids>
    <w:rsidRoot w:val="0075792D"/>
    <w:rsid w:val="0003603D"/>
    <w:rsid w:val="00111987"/>
    <w:rsid w:val="00190685"/>
    <w:rsid w:val="00276189"/>
    <w:rsid w:val="004323E2"/>
    <w:rsid w:val="004836C3"/>
    <w:rsid w:val="004917A2"/>
    <w:rsid w:val="005004A7"/>
    <w:rsid w:val="00663143"/>
    <w:rsid w:val="0075792D"/>
    <w:rsid w:val="00855768"/>
    <w:rsid w:val="00861990"/>
    <w:rsid w:val="00923214"/>
    <w:rsid w:val="00A172D3"/>
    <w:rsid w:val="00B047F7"/>
    <w:rsid w:val="00B1466C"/>
    <w:rsid w:val="00D022CF"/>
    <w:rsid w:val="00D37C6D"/>
    <w:rsid w:val="00DF3E2C"/>
    <w:rsid w:val="00F65747"/>
    <w:rsid w:val="0739796E"/>
    <w:rsid w:val="0CF609D7"/>
    <w:rsid w:val="119D52E8"/>
    <w:rsid w:val="2DF05126"/>
    <w:rsid w:val="30AF6A65"/>
    <w:rsid w:val="3C694EED"/>
    <w:rsid w:val="3F224236"/>
    <w:rsid w:val="416848F9"/>
    <w:rsid w:val="496B6DAF"/>
    <w:rsid w:val="4DC20121"/>
    <w:rsid w:val="522B76F6"/>
    <w:rsid w:val="55440C4A"/>
    <w:rsid w:val="58CE2FE6"/>
    <w:rsid w:val="660306FB"/>
    <w:rsid w:val="69B43A03"/>
    <w:rsid w:val="6AC341F7"/>
    <w:rsid w:val="6B6F6C0F"/>
    <w:rsid w:val="79AD4AC8"/>
    <w:rsid w:val="7B1D2E1F"/>
    <w:rsid w:val="7EB11997"/>
    <w:rsid w:val="7FB80C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pPr>
    <w:rPr>
      <w:rFonts w:asciiTheme="minorHAnsi" w:hAnsiTheme="minorHAnsi" w:eastAsiaTheme="minorHAnsi" w:cstheme="minorBidi"/>
      <w:sz w:val="24"/>
      <w:szCs w:val="24"/>
      <w:lang w:val="en-US" w:eastAsia="en-US" w:bidi="ar-SA"/>
    </w:rPr>
  </w:style>
  <w:style w:type="paragraph" w:styleId="3">
    <w:name w:val="heading 2"/>
    <w:basedOn w:val="1"/>
    <w:next w:val="4"/>
    <w:link w:val="11"/>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14:textFill>
        <w14:solidFill>
          <w14:schemeClr w14:val="accent1"/>
        </w14:solidFill>
      </w14:textFill>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12"/>
    <w:autoRedefine/>
    <w:semiHidden/>
    <w:unhideWhenUsed/>
    <w:qFormat/>
    <w:uiPriority w:val="0"/>
    <w:pPr>
      <w:spacing w:before="180" w:after="180"/>
    </w:pPr>
  </w:style>
  <w:style w:type="paragraph" w:styleId="4">
    <w:name w:val="Normal Indent"/>
    <w:basedOn w:val="1"/>
    <w:autoRedefine/>
    <w:semiHidden/>
    <w:unhideWhenUsed/>
    <w:qFormat/>
    <w:uiPriority w:val="0"/>
    <w:pPr>
      <w:ind w:firstLine="420"/>
    </w:pPr>
    <w:rPr>
      <w:szCs w:val="20"/>
    </w:rPr>
  </w:style>
  <w:style w:type="paragraph" w:styleId="5">
    <w:name w:val="footer"/>
    <w:basedOn w:val="1"/>
    <w:link w:val="10"/>
    <w:autoRedefine/>
    <w:semiHidden/>
    <w:unhideWhenUsed/>
    <w:qFormat/>
    <w:uiPriority w:val="99"/>
    <w:pPr>
      <w:widowControl w:val="0"/>
      <w:tabs>
        <w:tab w:val="center" w:pos="4153"/>
        <w:tab w:val="right" w:pos="8306"/>
      </w:tabs>
      <w:snapToGrid w:val="0"/>
      <w:spacing w:after="0"/>
    </w:pPr>
    <w:rPr>
      <w:rFonts w:eastAsiaTheme="minorEastAsia"/>
      <w:kern w:val="2"/>
      <w:sz w:val="18"/>
      <w:szCs w:val="18"/>
      <w:lang w:eastAsia="zh-CN"/>
    </w:rPr>
  </w:style>
  <w:style w:type="paragraph" w:styleId="6">
    <w:name w:val="header"/>
    <w:basedOn w:val="1"/>
    <w:link w:val="9"/>
    <w:autoRedefine/>
    <w:semiHidden/>
    <w:unhideWhenUsed/>
    <w:qFormat/>
    <w:uiPriority w:val="99"/>
    <w:pPr>
      <w:widowControl w:val="0"/>
      <w:pBdr>
        <w:bottom w:val="single" w:color="auto" w:sz="6" w:space="1"/>
      </w:pBdr>
      <w:tabs>
        <w:tab w:val="center" w:pos="4153"/>
        <w:tab w:val="right" w:pos="8306"/>
      </w:tabs>
      <w:snapToGrid w:val="0"/>
      <w:spacing w:after="0"/>
      <w:jc w:val="center"/>
    </w:pPr>
    <w:rPr>
      <w:rFonts w:eastAsiaTheme="minorEastAsia"/>
      <w:kern w:val="2"/>
      <w:sz w:val="18"/>
      <w:szCs w:val="18"/>
      <w:lang w:eastAsia="zh-CN"/>
    </w:rPr>
  </w:style>
  <w:style w:type="character" w:customStyle="1" w:styleId="9">
    <w:name w:val="页眉 Char"/>
    <w:basedOn w:val="8"/>
    <w:link w:val="6"/>
    <w:autoRedefine/>
    <w:semiHidden/>
    <w:qFormat/>
    <w:uiPriority w:val="99"/>
    <w:rPr>
      <w:sz w:val="18"/>
      <w:szCs w:val="18"/>
    </w:rPr>
  </w:style>
  <w:style w:type="character" w:customStyle="1" w:styleId="10">
    <w:name w:val="页脚 Char"/>
    <w:basedOn w:val="8"/>
    <w:link w:val="5"/>
    <w:autoRedefine/>
    <w:semiHidden/>
    <w:qFormat/>
    <w:uiPriority w:val="99"/>
    <w:rPr>
      <w:sz w:val="18"/>
      <w:szCs w:val="18"/>
    </w:rPr>
  </w:style>
  <w:style w:type="character" w:customStyle="1" w:styleId="11">
    <w:name w:val="标题 2 Char"/>
    <w:basedOn w:val="8"/>
    <w:link w:val="3"/>
    <w:autoRedefine/>
    <w:qFormat/>
    <w:uiPriority w:val="9"/>
    <w:rPr>
      <w:rFonts w:asciiTheme="majorHAnsi" w:hAnsiTheme="majorHAnsi" w:eastAsiaTheme="majorEastAsia" w:cstheme="majorBidi"/>
      <w:b/>
      <w:bCs/>
      <w:color w:val="4F81BD" w:themeColor="accent1"/>
      <w:kern w:val="0"/>
      <w:sz w:val="32"/>
      <w:szCs w:val="32"/>
      <w:lang w:eastAsia="en-US"/>
      <w14:textFill>
        <w14:solidFill>
          <w14:schemeClr w14:val="accent1"/>
        </w14:solidFill>
      </w14:textFill>
    </w:rPr>
  </w:style>
  <w:style w:type="character" w:customStyle="1" w:styleId="12">
    <w:name w:val="正文文本 Char"/>
    <w:basedOn w:val="8"/>
    <w:link w:val="2"/>
    <w:autoRedefine/>
    <w:semiHidden/>
    <w:qFormat/>
    <w:uiPriority w:val="0"/>
    <w:rPr>
      <w:rFonts w:eastAsiaTheme="minorHAnsi"/>
      <w:kern w:val="0"/>
      <w:sz w:val="24"/>
      <w:szCs w:val="24"/>
      <w:lang w:eastAsia="en-US"/>
    </w:rPr>
  </w:style>
  <w:style w:type="paragraph" w:customStyle="1" w:styleId="13">
    <w:name w:val="Compact"/>
    <w:basedOn w:val="2"/>
    <w:autoRedefine/>
    <w:qFormat/>
    <w:uiPriority w:val="0"/>
    <w:pPr>
      <w:spacing w:before="36" w:after="36"/>
    </w:pPr>
  </w:style>
  <w:style w:type="paragraph" w:customStyle="1" w:styleId="14">
    <w:name w:val="样式 首行缩进:  2 字符"/>
    <w:basedOn w:val="1"/>
    <w:autoRedefine/>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3357</Words>
  <Characters>3408</Characters>
  <Lines>27</Lines>
  <Paragraphs>7</Paragraphs>
  <TotalTime>0</TotalTime>
  <ScaleCrop>false</ScaleCrop>
  <LinksUpToDate>false</LinksUpToDate>
  <CharactersWithSpaces>3630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2021-03-19T03:29:00Z</dcterms:created>
  <dc:creator>Windows User</dc:creator>
  <cp:lastModifiedBy>WPS_1534732809</cp:lastModifiedBy>
  <cp:lastPrinted>2021-09-08T01:05:00Z</cp:lastPrinted>
  <dcterms:modified xsi:type="dcterms:W3CDTF">2024-08-13T06:22:14Z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4D0F1A734AA9433F949DF97F03D84832</vt:lpwstr>
  </property>
</Properties>
</file>