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E6CEF">
      <w:pPr>
        <w:spacing w:line="360" w:lineRule="auto"/>
        <w:jc w:val="center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技术及商务响应</w:t>
      </w:r>
    </w:p>
    <w:p w14:paraId="2978CA39">
      <w:pPr>
        <w:pStyle w:val="7"/>
        <w:rPr>
          <w:rFonts w:hint="eastAsia"/>
        </w:rPr>
      </w:pPr>
    </w:p>
    <w:p w14:paraId="1322E99F">
      <w:pPr>
        <w:tabs>
          <w:tab w:val="left" w:pos="1988"/>
        </w:tabs>
        <w:spacing w:line="276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供应商应按照竞争性磋商文件要求，根据“磋商项目技术、服务、商务及其他要求”及“评审办法及标准</w:t>
      </w:r>
      <w:r>
        <w:rPr>
          <w:rFonts w:hint="default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等相应内容作出全面响应。包括但不限于：技术参数、</w:t>
      </w:r>
      <w:r>
        <w:rPr>
          <w:rFonts w:hint="eastAsia" w:ascii="宋体" w:hAnsi="宋体" w:cs="仿宋_GB2312"/>
          <w:sz w:val="24"/>
          <w:szCs w:val="24"/>
          <w:highlight w:val="none"/>
          <w:lang w:val="en-US" w:eastAsia="zh-CN"/>
        </w:rPr>
        <w:t>人员配备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、实施方案、应急处理方案、</w:t>
      </w:r>
      <w:r>
        <w:rPr>
          <w:rFonts w:hint="eastAsia" w:ascii="宋体" w:hAnsi="宋体" w:cs="仿宋_GB2312"/>
          <w:sz w:val="24"/>
          <w:szCs w:val="24"/>
          <w:highlight w:val="none"/>
          <w:lang w:eastAsia="zh-CN"/>
        </w:rPr>
        <w:t>质量保证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仿宋_GB2312"/>
          <w:sz w:val="24"/>
          <w:szCs w:val="24"/>
          <w:highlight w:val="none"/>
        </w:rPr>
        <w:t>售后服务方案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、</w:t>
      </w: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业绩</w:t>
      </w:r>
      <w:r>
        <w:rPr>
          <w:rFonts w:hint="eastAsia" w:ascii="宋体" w:hAnsi="宋体" w:cs="Times New Roman"/>
          <w:b w:val="0"/>
          <w:bCs w:val="0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环保、环境标志产品政策等内容。</w:t>
      </w:r>
    </w:p>
    <w:p w14:paraId="4E5954A6">
      <w:pPr>
        <w:autoSpaceDE w:val="0"/>
        <w:autoSpaceDN w:val="0"/>
        <w:adjustRightInd w:val="0"/>
        <w:spacing w:line="360" w:lineRule="auto"/>
        <w:ind w:firstLine="420" w:firstLineChars="20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0NzVkNjI4ZjJjMzJjM2RiY2ZmNjcxMjRlMjYxZjcifQ=="/>
  </w:docVars>
  <w:rsids>
    <w:rsidRoot w:val="00F3649F"/>
    <w:rsid w:val="004B5227"/>
    <w:rsid w:val="00760753"/>
    <w:rsid w:val="00F3649F"/>
    <w:rsid w:val="31666F0B"/>
    <w:rsid w:val="408D764E"/>
    <w:rsid w:val="490B7FC6"/>
    <w:rsid w:val="53EB5322"/>
    <w:rsid w:val="65BE6A93"/>
    <w:rsid w:val="68F62348"/>
    <w:rsid w:val="7050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5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Body Text Indent 2"/>
    <w:basedOn w:val="1"/>
    <w:link w:val="14"/>
    <w:autoRedefine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7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Body Text First Indent"/>
    <w:basedOn w:val="5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2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uiPriority w:val="0"/>
    <w:rPr>
      <w:sz w:val="18"/>
      <w:szCs w:val="18"/>
    </w:rPr>
  </w:style>
  <w:style w:type="character" w:customStyle="1" w:styleId="14">
    <w:name w:val="正文文本缩进 2 Char"/>
    <w:basedOn w:val="11"/>
    <w:link w:val="6"/>
    <w:autoRedefine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5">
    <w:name w:val="标题 2 Char"/>
    <w:basedOn w:val="11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137</Words>
  <Characters>137</Characters>
  <Lines>1</Lines>
  <Paragraphs>1</Paragraphs>
  <TotalTime>0</TotalTime>
  <ScaleCrop>false</ScaleCrop>
  <LinksUpToDate>false</LinksUpToDate>
  <CharactersWithSpaces>137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2024-01-23T11:12:00Z</dcterms:created>
  <dc:creator>Administrator</dc:creator>
  <cp:lastModifiedBy>WPS_1534732809</cp:lastModifiedBy>
  <dcterms:modified xsi:type="dcterms:W3CDTF">2024-07-15T09:39:28Z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47523AE0550D4DC6912E8B8064E84BD2_12</vt:lpwstr>
  </property>
</Properties>
</file>