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搬迁服务项目</w:t>
      </w:r>
    </w:p>
    <w:p>
      <w:pPr>
        <w:pStyle w:val="null3"/>
        <w:jc w:val="center"/>
        <w:outlineLvl w:val="2"/>
      </w:pPr>
      <w:r>
        <w:rPr>
          <w:sz w:val="28"/>
          <w:b/>
        </w:rPr>
        <w:t>采购项目编号：</w:t>
      </w:r>
      <w:r>
        <w:rPr>
          <w:sz w:val="28"/>
          <w:b/>
        </w:rPr>
        <w:t>HYTF-202412001</w:t>
      </w:r>
      <w:r>
        <w:br/>
      </w:r>
      <w:r>
        <w:br/>
      </w:r>
      <w:r>
        <w:br/>
      </w:r>
    </w:p>
    <w:p>
      <w:pPr>
        <w:pStyle w:val="null3"/>
        <w:jc w:val="center"/>
        <w:outlineLvl w:val="2"/>
      </w:pPr>
      <w:r>
        <w:rPr>
          <w:sz w:val="28"/>
          <w:b/>
        </w:rPr>
        <w:t>长安区第四中学</w:t>
      </w:r>
    </w:p>
    <w:p>
      <w:pPr>
        <w:pStyle w:val="null3"/>
        <w:jc w:val="center"/>
        <w:outlineLvl w:val="2"/>
      </w:pPr>
      <w:r>
        <w:rPr>
          <w:sz w:val="28"/>
          <w:b/>
        </w:rPr>
        <w:t>陕西四方衡裕项目管理有限公司</w:t>
      </w:r>
      <w:r>
        <w:rPr>
          <w:sz w:val="28"/>
          <w:b/>
        </w:rPr>
        <w:t>共同编制</w:t>
      </w:r>
    </w:p>
    <w:p>
      <w:pPr>
        <w:pStyle w:val="null3"/>
        <w:jc w:val="center"/>
        <w:outlineLvl w:val="2"/>
      </w:pPr>
      <w:r>
        <w:rPr>
          <w:sz w:val="28"/>
          <w:b/>
        </w:rPr>
        <w:t>2024年12月25日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陕西四方衡裕项目管理有限公司</w:t>
      </w:r>
      <w:r>
        <w:rPr/>
        <w:t>（以下简称“代理机构”）受</w:t>
      </w:r>
      <w:r>
        <w:rPr/>
        <w:t>长安区第四中学</w:t>
      </w:r>
      <w:r>
        <w:rPr/>
        <w:t>委托，拟对</w:t>
      </w:r>
      <w:r>
        <w:rPr/>
        <w:t>搬迁服务项目</w:t>
      </w:r>
      <w:r>
        <w:rPr/>
        <w:t>采用竞争性磋商采购方式进行采购，兹邀请供应商参加本项目的竞争性磋商。</w:t>
      </w:r>
    </w:p>
    <w:p>
      <w:pPr>
        <w:pStyle w:val="null3"/>
        <w:outlineLvl w:val="2"/>
      </w:pPr>
      <w:r>
        <w:rPr>
          <w:sz w:val="28"/>
          <w:b/>
        </w:rPr>
        <w:t>一、项目编号：</w:t>
      </w:r>
      <w:r>
        <w:rPr>
          <w:sz w:val="28"/>
          <w:b/>
        </w:rPr>
        <w:t>HYTF-202412001</w:t>
      </w:r>
    </w:p>
    <w:p>
      <w:pPr>
        <w:pStyle w:val="null3"/>
        <w:outlineLvl w:val="2"/>
      </w:pPr>
      <w:r>
        <w:rPr>
          <w:sz w:val="28"/>
          <w:b/>
        </w:rPr>
        <w:t>二、项目名称：</w:t>
      </w:r>
      <w:r>
        <w:rPr>
          <w:sz w:val="28"/>
          <w:b/>
        </w:rPr>
        <w:t>搬迁服务项目</w:t>
      </w:r>
    </w:p>
    <w:p>
      <w:pPr>
        <w:pStyle w:val="null3"/>
        <w:outlineLvl w:val="2"/>
      </w:pPr>
      <w:r>
        <w:rPr>
          <w:sz w:val="28"/>
          <w:b/>
        </w:rPr>
        <w:t>三、磋商项目简介</w:t>
      </w:r>
    </w:p>
    <w:p>
      <w:pPr>
        <w:pStyle w:val="null3"/>
        <w:ind w:firstLine="480"/>
      </w:pPr>
      <w:r>
        <w:rPr/>
        <w:t>西安市长安区第四中学搬迁服务，1项。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采购包1（西安市长安区第四中学搬迁服务项目）：属于专门面向中小企业采购。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1、营业执照等主体资格证明文件：提供有效存续的企业营业执照/事业单位法人证书/专业服务机构执业许可证/民办非企业单位登记证书，自然人投标的提供其身份证明；</w:t>
      </w:r>
    </w:p>
    <w:p>
      <w:pPr>
        <w:pStyle w:val="null3"/>
      </w:pPr>
      <w:r>
        <w:rPr/>
        <w:t>2、财务状况报告：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t>3、税收缴纳证明：提供2024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t>4、社保缴纳证明：提供2024年6月至今已缴存任意一个月社会保障资金缴存单据或社保机构开具的社会保险参保缴费证明，依法不需要缴纳社会保障资金的单位应提供相应证明文件；</w:t>
      </w:r>
    </w:p>
    <w:p>
      <w:pPr>
        <w:pStyle w:val="null3"/>
      </w:pPr>
      <w:r>
        <w:rPr/>
        <w:t>5、履行合同所必需的设备和专业技术能力：具备履行合同所必需的设备和专业技术能力的证明材料或书面声明；</w:t>
      </w:r>
    </w:p>
    <w:p>
      <w:pPr>
        <w:pStyle w:val="null3"/>
      </w:pPr>
      <w:r>
        <w:rPr/>
        <w:t>6、采购活动前三年内在经营活动中没有重大违法记录：参加政府采购活动前三年内在经营活动中没有重大违法记录的书面声明；</w:t>
      </w:r>
    </w:p>
    <w:p>
      <w:pPr>
        <w:pStyle w:val="null3"/>
      </w:pPr>
      <w:r>
        <w:rPr/>
        <w:t>7、法律、行政法规规定的其他条件：具备法律、行政法规规定的其他条件的证明材料。</w:t>
      </w:r>
    </w:p>
    <w:p>
      <w:pPr>
        <w:pStyle w:val="null3"/>
      </w:pPr>
      <w:r>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t>10、本项目不接受联合体投标，不允许分包：本项目不接受联合体投标，不允许分包。供应商提供《非联合体不分包投标声明》，视为独立投标，不分包。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长安区第四中学</w:t>
      </w:r>
    </w:p>
    <w:p>
      <w:pPr>
        <w:pStyle w:val="null3"/>
      </w:pPr>
      <w:r>
        <w:rPr/>
        <w:t xml:space="preserve"> 地址： </w:t>
      </w:r>
      <w:r>
        <w:rPr/>
        <w:t>西安市长安区细柳街道府君庙甲字19号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13572006183</w:t>
      </w:r>
    </w:p>
    <w:p>
      <w:pPr>
        <w:pStyle w:val="null3"/>
        <w:outlineLvl w:val="3"/>
      </w:pPr>
      <w:r>
        <w:rPr>
          <w:sz w:val="24"/>
          <w:b/>
        </w:rPr>
        <w:t>代理机构：</w:t>
      </w:r>
      <w:r>
        <w:rPr>
          <w:sz w:val="24"/>
          <w:b/>
        </w:rPr>
        <w:t>陕西四方衡裕项目管理有限公司</w:t>
      </w:r>
    </w:p>
    <w:p>
      <w:pPr>
        <w:pStyle w:val="null3"/>
      </w:pPr>
      <w:r>
        <w:rPr/>
        <w:t xml:space="preserve"> 地址： </w:t>
      </w:r>
      <w:r>
        <w:rPr/>
        <w:t>西安市高新区沣惠路16号泰华金贸国际8号楼28层</w:t>
      </w:r>
    </w:p>
    <w:p>
      <w:pPr>
        <w:pStyle w:val="null3"/>
      </w:pPr>
      <w:r>
        <w:rPr/>
        <w:t xml:space="preserve"> 邮编： </w:t>
      </w:r>
      <w:r>
        <w:rPr/>
        <w:t>710075</w:t>
      </w:r>
    </w:p>
    <w:p>
      <w:pPr>
        <w:pStyle w:val="null3"/>
      </w:pPr>
      <w:r>
        <w:rPr/>
        <w:t xml:space="preserve"> 联系人： </w:t>
      </w:r>
      <w:r>
        <w:rPr/>
        <w:t>李亚容、王维、赵维</w:t>
      </w:r>
    </w:p>
    <w:p>
      <w:pPr>
        <w:pStyle w:val="null3"/>
      </w:pPr>
      <w:r>
        <w:rPr/>
        <w:t xml:space="preserve"> 联系电话： </w:t>
      </w:r>
      <w:r>
        <w:rPr/>
        <w:t>029-89284433-603</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丁丽</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采购包1：711,100.00元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踏勘时间：2025-01-03 14:00:00</w:t>
            </w:r>
          </w:p>
          <w:p>
            <w:pPr>
              <w:pStyle w:val="null3"/>
              <w:ind w:firstLine="975"/>
            </w:pPr>
            <w:r>
              <w:rPr/>
              <w:t>踏勘地点：西安市长安区细柳街道府君庙甲字19号</w:t>
            </w:r>
          </w:p>
          <w:p>
            <w:pPr>
              <w:pStyle w:val="null3"/>
              <w:ind w:firstLine="975"/>
            </w:pPr>
            <w:r>
              <w:rPr/>
              <w:t>联系人：张老师</w:t>
            </w:r>
          </w:p>
          <w:p>
            <w:pPr>
              <w:pStyle w:val="null3"/>
              <w:ind w:firstLine="975"/>
            </w:pPr>
            <w:r>
              <w:rPr/>
              <w:t>联系电话号码：13572006183</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长安区第四中学</w:t>
      </w:r>
      <w:r>
        <w:rPr/>
        <w:t>和</w:t>
      </w:r>
      <w:r>
        <w:rPr/>
        <w:t>陕西四方衡裕项目管理有限公司</w:t>
      </w:r>
      <w:r>
        <w:rPr/>
        <w:t>享有。对磋商文件中供应商参加本次政府采购活动应当具备的条件，磋商项目技术、服务、商务及其他要求，评审细则及标准由</w:t>
      </w:r>
      <w:r>
        <w:rPr/>
        <w:t>长安区第四中学</w:t>
      </w:r>
      <w:r>
        <w:rPr/>
        <w:t>负责解释。除上述磋商文件内容，其他内容由</w:t>
      </w:r>
      <w:r>
        <w:rPr/>
        <w:t>陕西四方衡裕项目管理有限公司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长安区第四中学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陕西四方衡裕项目管理有限公司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（一）供应商向采购人提交服务实施过程中的所有资料。以便采购人日后管理和维护。 （二）验收依据： 1、竞争性磋商文件、响应文件、澄清表（函）； 2、本合同及附件文本； 3、国家相应的标准、规范。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陕西四方衡裕项目管理有限公司</w:t>
      </w:r>
      <w:r>
        <w:rPr/>
        <w:t xml:space="preserve"> 负责答复；供应商对除采购需求外的采购文件的询问、质疑由</w:t>
      </w:r>
      <w:r>
        <w:rPr/>
        <w:t>陕西四方衡裕项目管理有限公司</w:t>
      </w:r>
      <w:r>
        <w:rPr/>
        <w:t xml:space="preserve"> 负责答复；供应商对采购过程、采购结果的询问、质疑由 </w:t>
      </w:r>
      <w:r>
        <w:rPr/>
        <w:t>陕西四方衡裕项目管理有限公司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联系人：赵维、王维</w:t>
      </w:r>
    </w:p>
    <w:p>
      <w:pPr>
        <w:pStyle w:val="null3"/>
      </w:pPr>
      <w:r>
        <w:rPr/>
        <w:t>联系电话：029-89284433-603</w:t>
      </w:r>
    </w:p>
    <w:p>
      <w:pPr>
        <w:pStyle w:val="null3"/>
      </w:pPr>
      <w:r>
        <w:rPr/>
        <w:t>地址：西安市高新区沣惠路16号泰华金贸国际8号楼28层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西安市长安区第四中学搬迁服务，1项。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711,100.00</w:t>
      </w:r>
    </w:p>
    <w:p>
      <w:pPr>
        <w:pStyle w:val="null3"/>
      </w:pPr>
      <w:r>
        <w:rPr/>
        <w:t>采购包最高限价（元）: 711,100.00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搬迁服务</w:t>
            </w:r>
          </w:p>
        </w:tc>
        <w:tc>
          <w:tcPr>
            <w:tcW w:type="dxa" w:w="831"/>
          </w:tcPr>
          <w:p>
            <w:pPr>
              <w:pStyle w:val="null3"/>
              <w:jc w:val="right"/>
            </w:pPr>
            <w:r>
              <w:rPr/>
              <w:t>1.00</w:t>
            </w:r>
          </w:p>
        </w:tc>
        <w:tc>
          <w:tcPr>
            <w:tcW w:type="dxa" w:w="831"/>
          </w:tcPr>
          <w:p>
            <w:pPr>
              <w:pStyle w:val="null3"/>
              <w:jc w:val="right"/>
            </w:pPr>
            <w:r>
              <w:rPr/>
              <w:t>711,100.00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标的名称：搬迁服务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一、项目概况</w:t>
            </w:r>
          </w:p>
          <w:p>
            <w:pPr>
              <w:pStyle w:val="null3"/>
              <w:jc w:val="both"/>
            </w:pPr>
            <w:r>
              <w:rPr/>
              <w:t>因地铁15号线车辆段建设，需将西安市长安区第四中学的85.098亩国有土地整宗收储，故对学校</w:t>
            </w:r>
            <w:r>
              <w:rPr/>
              <w:t>进行搬迁服务采购，搬运包含四个方面：校内搬运、新旧校区搬运、教职工物品搬运及校外搬运等。</w:t>
            </w:r>
          </w:p>
          <w:p>
            <w:pPr>
              <w:pStyle w:val="null3"/>
              <w:jc w:val="both"/>
            </w:pPr>
            <w:r>
              <w:rPr>
                <w:rFonts w:ascii="宋体" w:hAnsi="宋体" w:cs="宋体" w:eastAsia="宋体"/>
              </w:rPr>
              <w:t>二、服务内容</w:t>
            </w:r>
          </w:p>
          <w:p>
            <w:pPr>
              <w:pStyle w:val="null3"/>
              <w:jc w:val="both"/>
            </w:pPr>
            <w:r>
              <w:rPr>
                <w:rFonts w:ascii="calibri" w:hAnsi="calibri" w:cs="calibri" w:eastAsia="calibri"/>
              </w:rPr>
              <w:t>1</w:t>
            </w:r>
            <w:r>
              <w:rPr>
                <w:rFonts w:ascii="宋体" w:hAnsi="宋体" w:cs="宋体" w:eastAsia="宋体"/>
              </w:rPr>
              <w:t>、本项目涉及的物品搬运</w:t>
            </w:r>
            <w:r>
              <w:rPr>
                <w:rFonts w:ascii="宋体" w:hAnsi="宋体" w:cs="宋体" w:eastAsia="宋体"/>
              </w:rPr>
              <w:t>、拆卸、安装</w:t>
            </w:r>
            <w:r>
              <w:rPr>
                <w:rFonts w:ascii="宋体" w:hAnsi="宋体" w:cs="宋体" w:eastAsia="宋体"/>
              </w:rPr>
              <w:t>包括以下内容（数量均为预估量）：</w:t>
            </w:r>
          </w:p>
          <w:p>
            <w:pPr>
              <w:pStyle w:val="null3"/>
              <w:jc w:val="both"/>
            </w:pPr>
            <w:r>
              <w:rPr>
                <w:rFonts w:ascii="宋体" w:hAnsi="宋体" w:cs="宋体" w:eastAsia="宋体"/>
              </w:rPr>
              <w:t>（</w:t>
            </w:r>
            <w:r>
              <w:rPr>
                <w:rFonts w:ascii="calibri" w:hAnsi="calibri" w:cs="calibri" w:eastAsia="calibri"/>
              </w:rPr>
              <w:t>1</w:t>
            </w:r>
            <w:r>
              <w:rPr>
                <w:rFonts w:ascii="宋体" w:hAnsi="宋体" w:cs="宋体" w:eastAsia="宋体"/>
              </w:rPr>
              <w:t>）教学楼包括但不限于以下内容：教室约</w:t>
            </w:r>
            <w:r>
              <w:rPr>
                <w:rFonts w:ascii="calibri" w:hAnsi="calibri" w:cs="calibri" w:eastAsia="calibri"/>
              </w:rPr>
              <w:t>40</w:t>
            </w:r>
            <w:r>
              <w:rPr>
                <w:rFonts w:ascii="宋体" w:hAnsi="宋体" w:cs="宋体" w:eastAsia="宋体"/>
              </w:rPr>
              <w:t>个、年级组办公室约</w:t>
            </w:r>
            <w:r>
              <w:rPr>
                <w:rFonts w:ascii="calibri" w:hAnsi="calibri" w:cs="calibri" w:eastAsia="calibri"/>
              </w:rPr>
              <w:t>8</w:t>
            </w:r>
            <w:r>
              <w:rPr>
                <w:rFonts w:ascii="宋体" w:hAnsi="宋体" w:cs="宋体" w:eastAsia="宋体"/>
              </w:rPr>
              <w:t>个，其中桌凳约</w:t>
            </w:r>
            <w:r>
              <w:rPr>
                <w:rFonts w:ascii="calibri" w:hAnsi="calibri" w:cs="calibri" w:eastAsia="calibri"/>
              </w:rPr>
              <w:t>2160</w:t>
            </w:r>
            <w:r>
              <w:rPr>
                <w:rFonts w:ascii="宋体" w:hAnsi="宋体" w:cs="宋体" w:eastAsia="宋体"/>
              </w:rPr>
              <w:t>套，空调约</w:t>
            </w:r>
            <w:r>
              <w:rPr>
                <w:rFonts w:ascii="calibri" w:hAnsi="calibri" w:cs="calibri" w:eastAsia="calibri"/>
              </w:rPr>
              <w:t>96</w:t>
            </w:r>
            <w:r>
              <w:rPr>
                <w:rFonts w:ascii="宋体" w:hAnsi="宋体" w:cs="宋体" w:eastAsia="宋体"/>
              </w:rPr>
              <w:t>台，黑板</w:t>
            </w:r>
            <w:r>
              <w:rPr>
                <w:rFonts w:ascii="宋体" w:hAnsi="宋体" w:cs="宋体" w:eastAsia="宋体"/>
              </w:rPr>
              <w:t>约</w:t>
            </w:r>
            <w:r>
              <w:rPr>
                <w:rFonts w:ascii="calibri" w:hAnsi="calibri" w:cs="calibri" w:eastAsia="calibri"/>
              </w:rPr>
              <w:t>80</w:t>
            </w:r>
            <w:r>
              <w:rPr>
                <w:rFonts w:ascii="宋体" w:hAnsi="宋体" w:cs="宋体" w:eastAsia="宋体"/>
              </w:rPr>
              <w:t>个，多媒体约</w:t>
            </w:r>
            <w:r>
              <w:rPr>
                <w:rFonts w:ascii="calibri" w:hAnsi="calibri" w:cs="calibri" w:eastAsia="calibri"/>
              </w:rPr>
              <w:t>40</w:t>
            </w:r>
            <w:r>
              <w:rPr>
                <w:rFonts w:ascii="宋体" w:hAnsi="宋体" w:cs="宋体" w:eastAsia="宋体"/>
              </w:rPr>
              <w:t>套，灯具、监控、网络等</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2</w:t>
            </w:r>
            <w:r>
              <w:rPr>
                <w:rFonts w:ascii="宋体" w:hAnsi="宋体" w:cs="宋体" w:eastAsia="宋体"/>
              </w:rPr>
              <w:t>）公寓楼包括但不限于以下内容：宿舍约</w:t>
            </w:r>
            <w:r>
              <w:rPr>
                <w:rFonts w:ascii="calibri" w:hAnsi="calibri" w:cs="calibri" w:eastAsia="calibri"/>
              </w:rPr>
              <w:t>223</w:t>
            </w:r>
            <w:r>
              <w:rPr>
                <w:rFonts w:ascii="宋体" w:hAnsi="宋体" w:cs="宋体" w:eastAsia="宋体"/>
              </w:rPr>
              <w:t>个，其中架子床约</w:t>
            </w:r>
            <w:r>
              <w:rPr>
                <w:rFonts w:ascii="calibri" w:hAnsi="calibri" w:cs="calibri" w:eastAsia="calibri"/>
              </w:rPr>
              <w:t>890</w:t>
            </w:r>
            <w:r>
              <w:rPr>
                <w:rFonts w:ascii="宋体" w:hAnsi="宋体" w:cs="宋体" w:eastAsia="宋体"/>
              </w:rPr>
              <w:t>个，空调约</w:t>
            </w:r>
            <w:r>
              <w:rPr>
                <w:rFonts w:ascii="calibri" w:hAnsi="calibri" w:cs="calibri" w:eastAsia="calibri"/>
              </w:rPr>
              <w:t>223</w:t>
            </w:r>
            <w:r>
              <w:rPr>
                <w:rFonts w:ascii="宋体" w:hAnsi="宋体" w:cs="宋体" w:eastAsia="宋体"/>
              </w:rPr>
              <w:t>个，桌子约</w:t>
            </w:r>
            <w:r>
              <w:rPr>
                <w:rFonts w:ascii="calibri" w:hAnsi="calibri" w:cs="calibri" w:eastAsia="calibri"/>
              </w:rPr>
              <w:t>446</w:t>
            </w:r>
            <w:r>
              <w:rPr>
                <w:rFonts w:ascii="宋体" w:hAnsi="宋体" w:cs="宋体" w:eastAsia="宋体"/>
              </w:rPr>
              <w:t>张，储物柜约</w:t>
            </w:r>
            <w:r>
              <w:rPr>
                <w:rFonts w:ascii="calibri" w:hAnsi="calibri" w:cs="calibri" w:eastAsia="calibri"/>
              </w:rPr>
              <w:t>446</w:t>
            </w:r>
            <w:r>
              <w:rPr>
                <w:rFonts w:ascii="宋体" w:hAnsi="宋体" w:cs="宋体" w:eastAsia="宋体"/>
              </w:rPr>
              <w:t>个，监控、灯具、消防设备等</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3</w:t>
            </w:r>
            <w:r>
              <w:rPr>
                <w:rFonts w:ascii="宋体" w:hAnsi="宋体" w:cs="宋体" w:eastAsia="宋体"/>
              </w:rPr>
              <w:t>）餐厅、厨房包括但不限于以下内容：餐桌、椅子等</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4</w:t>
            </w:r>
            <w:r>
              <w:rPr>
                <w:rFonts w:ascii="宋体" w:hAnsi="宋体" w:cs="宋体" w:eastAsia="宋体"/>
              </w:rPr>
              <w:t>）学校库房内所有物品。</w:t>
            </w:r>
          </w:p>
          <w:p>
            <w:pPr>
              <w:pStyle w:val="null3"/>
              <w:jc w:val="both"/>
            </w:pPr>
            <w:r>
              <w:rPr>
                <w:rFonts w:ascii="宋体" w:hAnsi="宋体" w:cs="宋体" w:eastAsia="宋体"/>
              </w:rPr>
              <w:t>（</w:t>
            </w:r>
            <w:r>
              <w:rPr>
                <w:rFonts w:ascii="calibri" w:hAnsi="calibri" w:cs="calibri" w:eastAsia="calibri"/>
              </w:rPr>
              <w:t>5</w:t>
            </w:r>
            <w:r>
              <w:rPr>
                <w:rFonts w:ascii="宋体" w:hAnsi="宋体" w:cs="宋体" w:eastAsia="宋体"/>
              </w:rPr>
              <w:t>）教工宿舍：约</w:t>
            </w:r>
            <w:r>
              <w:rPr>
                <w:rFonts w:ascii="calibri" w:hAnsi="calibri" w:cs="calibri" w:eastAsia="calibri"/>
              </w:rPr>
              <w:t>130</w:t>
            </w:r>
            <w:r>
              <w:rPr>
                <w:rFonts w:ascii="宋体" w:hAnsi="宋体" w:cs="宋体" w:eastAsia="宋体"/>
              </w:rPr>
              <w:t>个（套）</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6</w:t>
            </w:r>
            <w:r>
              <w:rPr>
                <w:rFonts w:ascii="宋体" w:hAnsi="宋体" w:cs="宋体" w:eastAsia="宋体"/>
              </w:rPr>
              <w:t>）其他内容：拆装变压器、搬迁发电机、拆装校园安全监控和网络连接含耗材等</w:t>
            </w:r>
            <w:r>
              <w:rPr>
                <w:rFonts w:ascii="宋体" w:hAnsi="宋体" w:cs="宋体" w:eastAsia="宋体"/>
              </w:rPr>
              <w:t>；</w:t>
            </w:r>
          </w:p>
          <w:p>
            <w:pPr>
              <w:pStyle w:val="null3"/>
              <w:jc w:val="both"/>
            </w:pPr>
            <w:r>
              <w:rPr>
                <w:rFonts w:ascii="宋体" w:hAnsi="宋体" w:cs="宋体" w:eastAsia="宋体"/>
              </w:rPr>
              <w:t>（</w:t>
            </w:r>
            <w:r>
              <w:rPr>
                <w:rFonts w:ascii="calibri" w:hAnsi="calibri" w:cs="calibri" w:eastAsia="calibri"/>
              </w:rPr>
              <w:t>7</w:t>
            </w:r>
            <w:r>
              <w:rPr>
                <w:rFonts w:ascii="宋体" w:hAnsi="宋体" w:cs="宋体" w:eastAsia="宋体"/>
              </w:rPr>
              <w:t>）综合楼部室部分搬迁等；</w:t>
            </w:r>
          </w:p>
          <w:p>
            <w:pPr>
              <w:pStyle w:val="null3"/>
              <w:jc w:val="both"/>
            </w:pPr>
            <w:r>
              <w:rPr>
                <w:rFonts w:ascii="宋体" w:hAnsi="宋体" w:cs="宋体" w:eastAsia="宋体"/>
              </w:rPr>
              <w:t>（</w:t>
            </w:r>
            <w:r>
              <w:rPr>
                <w:rFonts w:ascii="calibri" w:hAnsi="calibri" w:cs="calibri" w:eastAsia="calibri"/>
              </w:rPr>
              <w:t>8</w:t>
            </w:r>
            <w:r>
              <w:rPr>
                <w:rFonts w:ascii="宋体" w:hAnsi="宋体" w:cs="宋体" w:eastAsia="宋体"/>
              </w:rPr>
              <w:t>）其他需要搬运的物品。</w:t>
            </w:r>
          </w:p>
          <w:p>
            <w:pPr>
              <w:pStyle w:val="null3"/>
              <w:jc w:val="both"/>
            </w:pPr>
            <w:r>
              <w:rPr>
                <w:rFonts w:ascii="calibri" w:hAnsi="calibri" w:cs="calibri" w:eastAsia="calibri"/>
              </w:rPr>
              <w:t>2</w:t>
            </w:r>
            <w:r>
              <w:rPr>
                <w:rFonts w:ascii="宋体" w:hAnsi="宋体" w:cs="宋体" w:eastAsia="宋体"/>
              </w:rPr>
              <w:t>、搬运内容共分为两期搬运。其中一期搬迁包括教学楼两座、餐厅与厨房、库房、公寓楼（部分），教工宿舍（部分），安装空调及架子床，综合楼部分部室及其它房间，监控与网络及广播系统等；二期包括男生公寓楼所需搬运物品，四层和六层楼教师宿舍，及其它需搬运内容。</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、本项目涉及的物品搬运、拆卸及安装，所需的相关材料、配件、人工、打包、调试等设施设备及费用均包含在报价内，搬迁供应商应根据实际需求保障供给。</w:t>
            </w:r>
          </w:p>
          <w:p>
            <w:pPr>
              <w:pStyle w:val="null3"/>
              <w:jc w:val="both"/>
            </w:pPr>
            <w:r>
              <w:rPr>
                <w:rFonts w:ascii="宋体" w:hAnsi="宋体" w:cs="宋体" w:eastAsia="宋体"/>
              </w:rPr>
              <w:t>三、服务要求</w:t>
            </w:r>
          </w:p>
          <w:p>
            <w:pPr>
              <w:pStyle w:val="null3"/>
              <w:jc w:val="both"/>
            </w:pPr>
            <w:r>
              <w:rPr>
                <w:rFonts w:ascii="宋体" w:hAnsi="宋体" w:cs="宋体" w:eastAsia="宋体"/>
              </w:rPr>
              <w:t>（一）</w:t>
            </w:r>
            <w:r>
              <w:rPr>
                <w:rFonts w:ascii="宋体" w:hAnsi="宋体" w:cs="宋体" w:eastAsia="宋体"/>
              </w:rPr>
              <w:t>搬迁前准备</w:t>
            </w:r>
          </w:p>
          <w:p>
            <w:pPr>
              <w:pStyle w:val="null3"/>
              <w:jc w:val="both"/>
            </w:pPr>
            <w:r>
              <w:rPr>
                <w:rFonts w:ascii="calibri" w:hAnsi="calibri" w:cs="calibri" w:eastAsia="calibri"/>
              </w:rPr>
              <w:t>1.</w:t>
            </w:r>
            <w:r>
              <w:rPr>
                <w:rFonts w:ascii="宋体" w:hAnsi="宋体" w:cs="宋体" w:eastAsia="宋体"/>
              </w:rPr>
              <w:t>搬迁供应商须提前考察搬迁物品、搬迁路线、新旧场地具体环境条件等，将采购</w:t>
            </w:r>
            <w:r>
              <w:rPr>
                <w:rFonts w:ascii="宋体" w:hAnsi="宋体" w:cs="宋体" w:eastAsia="宋体"/>
              </w:rPr>
              <w:t>人</w:t>
            </w:r>
            <w:r>
              <w:rPr>
                <w:rFonts w:ascii="宋体" w:hAnsi="宋体" w:cs="宋体" w:eastAsia="宋体"/>
              </w:rPr>
              <w:t>现用物资搬运至指定地点</w:t>
            </w:r>
            <w:r>
              <w:rPr>
                <w:rFonts w:ascii="宋体" w:hAnsi="宋体" w:cs="宋体" w:eastAsia="宋体"/>
              </w:rPr>
              <w:t>。</w:t>
            </w:r>
          </w:p>
          <w:p>
            <w:pPr>
              <w:pStyle w:val="null3"/>
              <w:jc w:val="both"/>
            </w:pPr>
            <w:r>
              <w:rPr>
                <w:rFonts w:ascii="calibri" w:hAnsi="calibri" w:cs="calibri" w:eastAsia="calibri"/>
              </w:rPr>
              <w:t>2.</w:t>
            </w:r>
            <w:r>
              <w:rPr>
                <w:rFonts w:ascii="宋体" w:hAnsi="宋体" w:cs="宋体" w:eastAsia="宋体"/>
              </w:rPr>
              <w:t>如遇下雨等恶劣天气，搬迁供应商需做好必要的防淋防潮准备。搬迁及运输过程中需确保资料及各类资产无丢失、无破损搬迁过程中造成的物品损坏，搬迁供应商需按原价赔偿</w:t>
            </w:r>
            <w:r>
              <w:rPr>
                <w:rFonts w:ascii="calibri" w:hAnsi="calibri" w:cs="calibri" w:eastAsia="calibri"/>
              </w:rPr>
              <w:t>;</w:t>
            </w:r>
            <w:r>
              <w:rPr>
                <w:rFonts w:ascii="宋体" w:hAnsi="宋体" w:cs="宋体" w:eastAsia="宋体"/>
              </w:rPr>
              <w:t>因搬迁造成资料丢失，搬迁供应商需根据国家相关规定赔偿经济损失。</w:t>
            </w:r>
          </w:p>
          <w:p>
            <w:pPr>
              <w:pStyle w:val="null3"/>
              <w:jc w:val="both"/>
            </w:pPr>
            <w:r>
              <w:rPr>
                <w:rFonts w:ascii="calibri" w:hAnsi="calibri" w:cs="calibri" w:eastAsia="calibri"/>
              </w:rPr>
              <w:t>(</w:t>
            </w:r>
            <w:r>
              <w:rPr>
                <w:rFonts w:ascii="宋体" w:hAnsi="宋体" w:cs="宋体" w:eastAsia="宋体"/>
              </w:rPr>
              <w:t>二</w:t>
            </w:r>
            <w:r>
              <w:rPr>
                <w:rFonts w:ascii="calibri" w:hAnsi="calibri" w:cs="calibri" w:eastAsia="calibri"/>
              </w:rPr>
              <w:t>)</w:t>
            </w:r>
            <w:r>
              <w:rPr>
                <w:rFonts w:ascii="宋体" w:hAnsi="宋体" w:cs="宋体" w:eastAsia="宋体"/>
              </w:rPr>
              <w:t>搬迁过程中</w:t>
            </w:r>
          </w:p>
          <w:p>
            <w:pPr>
              <w:pStyle w:val="null3"/>
              <w:jc w:val="both"/>
            </w:pPr>
            <w:r>
              <w:rPr>
                <w:rFonts w:ascii="calibri" w:hAnsi="calibri" w:cs="calibri" w:eastAsia="calibri"/>
              </w:rPr>
              <w:t>1.</w:t>
            </w:r>
            <w:r>
              <w:rPr>
                <w:rFonts w:ascii="宋体" w:hAnsi="宋体" w:cs="宋体" w:eastAsia="宋体"/>
              </w:rPr>
              <w:t>搬迁过程中需保持场地整洁、安全，由搬迁供应商做好对新旧场地墙面、地面的保护工作，造成的损坏由搬迁供应商按原价赔偿。</w:t>
            </w:r>
          </w:p>
          <w:p>
            <w:pPr>
              <w:pStyle w:val="null3"/>
              <w:jc w:val="both"/>
            </w:pPr>
            <w:r>
              <w:rPr>
                <w:rFonts w:ascii="calibri" w:hAnsi="calibri" w:cs="calibri" w:eastAsia="calibri"/>
              </w:rPr>
              <w:t>2.</w:t>
            </w:r>
            <w:r>
              <w:rPr>
                <w:rFonts w:ascii="宋体" w:hAnsi="宋体" w:cs="宋体" w:eastAsia="宋体"/>
              </w:rPr>
              <w:t>搬迁过程中要做到专人负责，搬迁人员有序组织，车辆有安排，遵守相关规定，因搬迁造成供应商方人员、车辆、物品等损失，由搬迁供应商承担责任。</w:t>
            </w:r>
          </w:p>
          <w:p>
            <w:pPr>
              <w:pStyle w:val="null3"/>
              <w:jc w:val="both"/>
            </w:pPr>
            <w:r>
              <w:rPr>
                <w:rFonts w:ascii="calibri" w:hAnsi="calibri" w:cs="calibri" w:eastAsia="calibri"/>
              </w:rPr>
              <w:t>3.</w:t>
            </w:r>
            <w:r>
              <w:rPr>
                <w:rFonts w:ascii="宋体" w:hAnsi="宋体" w:cs="宋体" w:eastAsia="宋体"/>
              </w:rPr>
              <w:t>按照采购人要求以部门为单位打包搬运，搬出原办公室前，需双方工作人员核对、签字确认，按序放到指定位置，等待搬运装车。</w:t>
            </w:r>
          </w:p>
          <w:p>
            <w:pPr>
              <w:pStyle w:val="null3"/>
              <w:jc w:val="both"/>
            </w:pPr>
            <w:r>
              <w:rPr>
                <w:rFonts w:ascii="calibri" w:hAnsi="calibri" w:cs="calibri" w:eastAsia="calibri"/>
              </w:rPr>
              <w:t>4.</w:t>
            </w:r>
            <w:r>
              <w:rPr>
                <w:rFonts w:ascii="宋体" w:hAnsi="宋体" w:cs="宋体" w:eastAsia="宋体"/>
              </w:rPr>
              <w:t>装车后，须有专人列明每辆车搬运清单，与采购人跟车人清点物品数量、确认无误并签字确认后方可出发。</w:t>
            </w:r>
          </w:p>
          <w:p>
            <w:pPr>
              <w:pStyle w:val="null3"/>
              <w:jc w:val="both"/>
            </w:pPr>
            <w:r>
              <w:rPr>
                <w:rFonts w:ascii="calibri" w:hAnsi="calibri" w:cs="calibri" w:eastAsia="calibri"/>
              </w:rPr>
              <w:t>5.</w:t>
            </w:r>
            <w:r>
              <w:rPr>
                <w:rFonts w:ascii="宋体" w:hAnsi="宋体" w:cs="宋体" w:eastAsia="宋体"/>
              </w:rPr>
              <w:t>资产搬迁至新办公场地指定位置后，由采购人工作人员核对，确认物品数量、位置准确并签字后，搬迁人员方可离开。</w:t>
            </w:r>
          </w:p>
          <w:p>
            <w:pPr>
              <w:pStyle w:val="null3"/>
              <w:jc w:val="both"/>
            </w:pPr>
            <w:r>
              <w:rPr>
                <w:rFonts w:ascii="calibri" w:hAnsi="calibri" w:cs="calibri" w:eastAsia="calibri"/>
              </w:rPr>
              <w:t>6.</w:t>
            </w:r>
            <w:r>
              <w:rPr>
                <w:rFonts w:ascii="宋体" w:hAnsi="宋体" w:cs="宋体" w:eastAsia="宋体"/>
              </w:rPr>
              <w:t>对需要拆卸后搬运的物资、设施等，搬运供应商需提供专业的拆装服务，对零部件打包、标记，搬运到指定位置后安装，保证谁拆卸谁安装</w:t>
            </w:r>
            <w:r>
              <w:rPr>
                <w:rFonts w:ascii="calibri" w:hAnsi="calibri" w:cs="calibri" w:eastAsia="calibri"/>
              </w:rPr>
              <w:t>;</w:t>
            </w:r>
            <w:r>
              <w:rPr>
                <w:rFonts w:ascii="宋体" w:hAnsi="宋体" w:cs="宋体" w:eastAsia="宋体"/>
              </w:rPr>
              <w:t>搬运过程中需要用软质包装材料包裹严实，不得损坏</w:t>
            </w:r>
            <w:r>
              <w:rPr>
                <w:rFonts w:ascii="calibri" w:hAnsi="calibri" w:cs="calibri" w:eastAsia="calibri"/>
              </w:rPr>
              <w:t>;</w:t>
            </w:r>
            <w:r>
              <w:rPr>
                <w:rFonts w:ascii="宋体" w:hAnsi="宋体" w:cs="宋体" w:eastAsia="宋体"/>
              </w:rPr>
              <w:t>禁止暴力拆卸，确保零部件的完好无损，不掉漆、不变形。对于不能拆卸的，做好防护措施后再整体搬迁，确保不会造成损坏。搬运供应商需保证在拆卸、运输过程中做好保护不受损坏，之后可再次安装使用。</w:t>
            </w:r>
          </w:p>
          <w:p>
            <w:pPr>
              <w:pStyle w:val="null3"/>
              <w:jc w:val="both"/>
            </w:pPr>
            <w:r>
              <w:rPr>
                <w:rFonts w:ascii="calibri" w:hAnsi="calibri" w:cs="calibri" w:eastAsia="calibri"/>
              </w:rPr>
              <w:t>7.</w:t>
            </w:r>
            <w:r>
              <w:rPr>
                <w:rFonts w:ascii="宋体" w:hAnsi="宋体" w:cs="宋体" w:eastAsia="宋体"/>
              </w:rPr>
              <w:t>钢制玻璃门展柜等柜体的整体搬运，实验器材的搬运需用防护棉整体包裹，搬运过程中杜绝在地面上推行</w:t>
            </w:r>
            <w:r>
              <w:rPr>
                <w:rFonts w:ascii="calibri" w:hAnsi="calibri" w:cs="calibri" w:eastAsia="calibri"/>
              </w:rPr>
              <w:t>,</w:t>
            </w:r>
            <w:r>
              <w:rPr>
                <w:rFonts w:ascii="宋体" w:hAnsi="宋体" w:cs="宋体" w:eastAsia="宋体"/>
              </w:rPr>
              <w:t>确保不会造成损坏。对易损的玻璃面板需拆除后做好防护措施，再和柜体分开进行搬运，保证运输过程中玻璃不碎和人员不被划伤。无法拆卸玻璃面板时，需要做好必要的防护措施，确保搬运过程中玻璃面板不破损。</w:t>
            </w:r>
          </w:p>
          <w:p>
            <w:pPr>
              <w:pStyle w:val="null3"/>
              <w:jc w:val="both"/>
            </w:pPr>
            <w:r>
              <w:rPr>
                <w:rFonts w:ascii="calibri" w:hAnsi="calibri" w:cs="calibri" w:eastAsia="calibri"/>
              </w:rPr>
              <w:t>(</w:t>
            </w:r>
            <w:r>
              <w:rPr>
                <w:rFonts w:ascii="宋体" w:hAnsi="宋体" w:cs="宋体" w:eastAsia="宋体"/>
              </w:rPr>
              <w:t>三</w:t>
            </w:r>
            <w:r>
              <w:rPr>
                <w:rFonts w:ascii="calibri" w:hAnsi="calibri" w:cs="calibri" w:eastAsia="calibri"/>
              </w:rPr>
              <w:t>)</w:t>
            </w:r>
            <w:r>
              <w:rPr>
                <w:rFonts w:ascii="宋体" w:hAnsi="宋体" w:cs="宋体" w:eastAsia="宋体"/>
              </w:rPr>
              <w:t>搬迁后</w:t>
            </w:r>
          </w:p>
          <w:p>
            <w:pPr>
              <w:pStyle w:val="null3"/>
              <w:jc w:val="both"/>
            </w:pPr>
            <w:r>
              <w:rPr>
                <w:rFonts w:ascii="calibri" w:hAnsi="calibri" w:cs="calibri" w:eastAsia="calibri"/>
              </w:rPr>
              <w:t>1.</w:t>
            </w:r>
            <w:r>
              <w:rPr>
                <w:rFonts w:ascii="宋体" w:hAnsi="宋体" w:cs="宋体" w:eastAsia="宋体"/>
              </w:rPr>
              <w:t>搬迁结束后，对搬迁过程中供应商产生的各种废弃物进行清理。</w:t>
            </w:r>
          </w:p>
          <w:p>
            <w:pPr>
              <w:pStyle w:val="null3"/>
              <w:jc w:val="both"/>
            </w:pPr>
            <w:r>
              <w:rPr>
                <w:rFonts w:ascii="calibri" w:hAnsi="calibri" w:cs="calibri" w:eastAsia="calibri"/>
              </w:rPr>
              <w:t>2.</w:t>
            </w:r>
            <w:r>
              <w:rPr>
                <w:rFonts w:ascii="宋体" w:hAnsi="宋体" w:cs="宋体" w:eastAsia="宋体"/>
              </w:rPr>
              <w:t>搬迁工作需按合同约定按时完成，达到合同规定的预期效果，并通过搬迁单位验收。</w:t>
            </w:r>
          </w:p>
          <w:p>
            <w:pPr>
              <w:pStyle w:val="null3"/>
              <w:jc w:val="both"/>
            </w:pPr>
            <w:r>
              <w:rPr>
                <w:rFonts w:ascii="calibri" w:hAnsi="calibri" w:cs="calibri" w:eastAsia="calibri"/>
              </w:rPr>
              <w:t>(</w:t>
            </w:r>
            <w:r>
              <w:rPr>
                <w:rFonts w:ascii="宋体" w:hAnsi="宋体" w:cs="宋体" w:eastAsia="宋体"/>
              </w:rPr>
              <w:t>四</w:t>
            </w:r>
            <w:r>
              <w:rPr>
                <w:rFonts w:ascii="calibri" w:hAnsi="calibri" w:cs="calibri" w:eastAsia="calibri"/>
              </w:rPr>
              <w:t>)</w:t>
            </w:r>
            <w:r>
              <w:rPr>
                <w:rFonts w:ascii="宋体" w:hAnsi="宋体" w:cs="宋体" w:eastAsia="宋体"/>
              </w:rPr>
              <w:t>人员要求</w:t>
            </w:r>
          </w:p>
          <w:p>
            <w:pPr>
              <w:pStyle w:val="null3"/>
              <w:jc w:val="both"/>
            </w:pPr>
            <w:r>
              <w:rPr>
                <w:rFonts w:ascii="宋体" w:hAnsi="宋体" w:cs="宋体" w:eastAsia="宋体"/>
                <w:sz w:val="21"/>
              </w:rPr>
              <w:t>工人</w:t>
            </w:r>
            <w:r>
              <w:rPr>
                <w:rFonts w:ascii="times new roman, times, serif" w:hAnsi="times new roman, times, serif" w:cs="times new roman, times, serif" w:eastAsia="times new roman, times, serif"/>
                <w:sz w:val="21"/>
              </w:rPr>
              <w:t>:</w:t>
            </w:r>
            <w:r>
              <w:rPr>
                <w:rFonts w:ascii="宋体" w:hAnsi="宋体" w:cs="宋体" w:eastAsia="宋体"/>
                <w:sz w:val="21"/>
              </w:rPr>
              <w:t>年龄需在</w:t>
            </w:r>
            <w:r>
              <w:rPr>
                <w:rFonts w:ascii="times new roman, times, serif" w:hAnsi="times new roman, times, serif" w:cs="times new roman, times, serif" w:eastAsia="times new roman, times, serif"/>
                <w:sz w:val="21"/>
              </w:rPr>
              <w:t>18-60</w:t>
            </w:r>
            <w:r>
              <w:rPr>
                <w:rFonts w:ascii="宋体" w:hAnsi="宋体" w:cs="宋体" w:eastAsia="宋体"/>
                <w:sz w:val="21"/>
              </w:rPr>
              <w:t>岁，身体健康，无基础疾病。搬运人员如因搬运过程中出现伤亡问题，由中标供应商全权负责。采购人概不负责。</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一期搬运应在2025年1月22日前完成；二期搬运应在接采购人通知后按照采购人要求完成搬运任务。</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（一）乙方向甲方提交服务实施过程中的所有资料。以便甲方日后管理和维护。 （二）验收依据： 1、竞争性磋商文件、响应文件、澄清表（函）； 2、本合同及附件文本； 3、国家相应的标准、规范。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供应商完成一期搬运任务，所搬运物品安装调试完成,经采购人组织验收合格后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供应商完成二期搬运任务后</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供应商完成所有物品的安装、调试，经采购人组织验收合格后</w:t>
      </w:r>
      <w:r>
        <w:rPr/>
        <w:t xml:space="preserve"> ，达到付款条件起 </w:t>
      </w:r>
      <w:r>
        <w:rPr/>
        <w:t>30</w:t>
      </w:r>
      <w:r>
        <w:rPr/>
        <w:t xml:space="preserve"> 日内，支付合同总金额的 </w:t>
      </w:r>
      <w:r>
        <w:rPr/>
        <w:t>20.00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1、本项目于2025年01月03日14:00统一组织现场踏勘，若因供应商自身原因未按时到场进行现场踏勘，逾期不重新组织现场踏勘。踏勘联系人：张老师，联系电话：13572006183。2、本项目采购内容“西安市长安区第四中学搬迁服务项目”对应的中小企业划分标准所属行业为：其他未列明行业。3、供应商需要在线提交所有通过电子化交易平台实施的政府采购项目的响应文件，成交供应商在成交结果公示后线下递交纸质响应文件正本壹份、副本贰份，递交文件地点：西安市高新区沣惠路16号泰华金贸国际8号楼28层。4、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注：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提供有效存续的企业营业执照/事业单位法人证书/专业服务机构执业许可证/民办非企业单位登记证书，自然人投标的提供其身份证明；</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提供2024年6月至今已缴存任意一个月社会保障资金缴存单据或社保机构开具的社会保险参保缴费证明，依法不需要缴纳社会保障资金的单位应提供相应证明文件；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t>资格证明材料</w:t>
            </w:r>
          </w:p>
        </w:tc>
      </w:tr>
      <w:tr>
        <w:tc>
          <w:tcPr>
            <w:tcW w:type="dxa" w:w="831"/>
          </w:tcPr>
          <w:p>
            <w:pPr>
              <w:pStyle w:val="null3"/>
            </w:pPr>
            <w:r>
              <w:rPr/>
              <w:t>5</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具备履行合同所必需的设备和专业技术能力的证明材料或书面声明；</w:t>
            </w:r>
          </w:p>
        </w:tc>
        <w:tc>
          <w:tcPr>
            <w:tcW w:type="dxa" w:w="1661"/>
          </w:tcPr>
          <w:p>
            <w:pPr>
              <w:pStyle w:val="null3"/>
            </w:pPr>
            <w:r>
              <w:rPr/>
              <w:t>资格证明材料</w:t>
            </w:r>
          </w:p>
        </w:tc>
      </w:tr>
      <w:tr>
        <w:tc>
          <w:tcPr>
            <w:tcW w:type="dxa" w:w="831"/>
          </w:tcPr>
          <w:p>
            <w:pPr>
              <w:pStyle w:val="null3"/>
            </w:pPr>
            <w:r>
              <w:rPr/>
              <w:t>6</w:t>
            </w:r>
          </w:p>
        </w:tc>
        <w:tc>
          <w:tcPr>
            <w:tcW w:type="dxa" w:w="2492"/>
          </w:tcPr>
          <w:p>
            <w:pPr>
              <w:pStyle w:val="null3"/>
            </w:pPr>
            <w:r>
              <w:rPr/>
              <w:t>采购活动前三年内在经营活动中没有重大违法记录</w:t>
            </w:r>
          </w:p>
        </w:tc>
        <w:tc>
          <w:tcPr>
            <w:tcW w:type="dxa" w:w="3322"/>
          </w:tcPr>
          <w:p>
            <w:pPr>
              <w:pStyle w:val="null3"/>
            </w:pPr>
            <w:r>
              <w:rPr/>
              <w:t>参加政府采购活动前三年内在经营活动中没有重大违法记录的书面声明；</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法律、行政法规规定的其他条件</w:t>
            </w:r>
          </w:p>
        </w:tc>
        <w:tc>
          <w:tcPr>
            <w:tcW w:type="dxa" w:w="3322"/>
          </w:tcPr>
          <w:p>
            <w:pPr>
              <w:pStyle w:val="null3"/>
            </w:pPr>
            <w:r>
              <w:rPr/>
              <w:t>具备法律、行政法规规定的其他条件的证明材料。</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企业信用查询</w:t>
            </w:r>
          </w:p>
        </w:tc>
        <w:tc>
          <w:tcPr>
            <w:tcW w:type="dxa" w:w="3322"/>
          </w:tcPr>
          <w:p>
            <w:pPr>
              <w:pStyle w:val="null3"/>
            </w:pPr>
            <w:r>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本项目不接受联合体投标，不允许分包。供应商提供《非联合体不分包投标声明》，视为独立投标，不分包。</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w:t>
            </w:r>
          </w:p>
        </w:tc>
        <w:tc>
          <w:tcPr>
            <w:tcW w:type="dxa" w:w="1661"/>
          </w:tcPr>
          <w:p>
            <w:pPr>
              <w:pStyle w:val="null3"/>
            </w:pPr>
            <w:r>
              <w:rPr/>
              <w:t>磋商报价一览表、报价明细表</w:t>
            </w:r>
          </w:p>
        </w:tc>
      </w:tr>
      <w:tr>
        <w:tc>
          <w:tcPr>
            <w:tcW w:type="dxa" w:w="831"/>
          </w:tcPr>
          <w:p>
            <w:pPr>
              <w:pStyle w:val="null3"/>
            </w:pPr>
            <w:r>
              <w:rPr/>
              <w:t>4</w:t>
            </w:r>
          </w:p>
        </w:tc>
        <w:tc>
          <w:tcPr>
            <w:tcW w:type="dxa" w:w="2492"/>
          </w:tcPr>
          <w:p>
            <w:pPr>
              <w:pStyle w:val="null3"/>
            </w:pPr>
            <w:r>
              <w:rPr/>
              <w:t>磋商响应文件内容</w:t>
            </w:r>
          </w:p>
        </w:tc>
        <w:tc>
          <w:tcPr>
            <w:tcW w:type="dxa" w:w="3322"/>
          </w:tcPr>
          <w:p>
            <w:pPr>
              <w:pStyle w:val="null3"/>
            </w:pPr>
            <w:r>
              <w:rPr/>
              <w:t>磋商响应文件内容齐全、无遗漏</w:t>
            </w:r>
          </w:p>
        </w:tc>
        <w:tc>
          <w:tcPr>
            <w:tcW w:type="dxa" w:w="1661"/>
          </w:tcPr>
          <w:p>
            <w:pPr>
              <w:pStyle w:val="null3"/>
            </w:pPr>
            <w:r>
              <w:rPr/>
              <w:t>偏差表</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要求全面响应，不能有任何采购人不能接受的附加条件</w:t>
            </w:r>
          </w:p>
        </w:tc>
        <w:tc>
          <w:tcPr>
            <w:tcW w:type="dxa" w:w="1661"/>
          </w:tcPr>
          <w:p>
            <w:pPr>
              <w:pStyle w:val="null3"/>
            </w:pPr>
            <w:r>
              <w:rPr/>
              <w:t>偏差表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应满足磋商文件中要求的服务期限</w:t>
            </w:r>
          </w:p>
        </w:tc>
        <w:tc>
          <w:tcPr>
            <w:tcW w:type="dxa" w:w="1661"/>
          </w:tcPr>
          <w:p>
            <w:pPr>
              <w:pStyle w:val="null3"/>
            </w:pPr>
            <w:r>
              <w:rPr/>
              <w:t>磋商报价一览表、报价明细表</w:t>
            </w:r>
          </w:p>
        </w:tc>
      </w:tr>
      <w:tr>
        <w:tc>
          <w:tcPr>
            <w:tcW w:type="dxa" w:w="831"/>
          </w:tcPr>
          <w:p>
            <w:pPr>
              <w:pStyle w:val="null3"/>
            </w:pPr>
            <w:r>
              <w:rPr/>
              <w:t>7</w:t>
            </w:r>
          </w:p>
        </w:tc>
        <w:tc>
          <w:tcPr>
            <w:tcW w:type="dxa" w:w="2492"/>
          </w:tcPr>
          <w:p>
            <w:pPr>
              <w:pStyle w:val="null3"/>
            </w:pPr>
            <w:r>
              <w:rPr/>
              <w:t>响应有效期</w:t>
            </w:r>
          </w:p>
        </w:tc>
        <w:tc>
          <w:tcPr>
            <w:tcW w:type="dxa" w:w="3322"/>
          </w:tcPr>
          <w:p>
            <w:pPr>
              <w:pStyle w:val="null3"/>
            </w:pPr>
            <w:r>
              <w:rPr/>
              <w:t>响应有效期满足磋商文件要求</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报价有效性</w:t>
            </w:r>
          </w:p>
        </w:tc>
        <w:tc>
          <w:tcPr>
            <w:tcW w:type="dxa" w:w="3322"/>
          </w:tcPr>
          <w:p>
            <w:pPr>
              <w:pStyle w:val="null3"/>
            </w:pPr>
            <w:r>
              <w:rPr/>
              <w:t>报价未超过磋商文件中规定的采购预算或最高限价。</w:t>
            </w:r>
          </w:p>
        </w:tc>
        <w:tc>
          <w:tcPr>
            <w:tcW w:type="dxa" w:w="1661"/>
          </w:tcPr>
          <w:p>
            <w:pPr>
              <w:pStyle w:val="null3"/>
            </w:pPr>
            <w:r>
              <w:rPr/>
              <w:t>磋商报价一览表、报价明细表</w:t>
            </w:r>
          </w:p>
        </w:tc>
      </w:tr>
      <w:tr>
        <w:tc>
          <w:tcPr>
            <w:tcW w:type="dxa" w:w="831"/>
          </w:tcPr>
          <w:p>
            <w:pPr>
              <w:pStyle w:val="null3"/>
            </w:pPr>
            <w:r>
              <w:rPr/>
              <w:t>9</w:t>
            </w:r>
          </w:p>
        </w:tc>
        <w:tc>
          <w:tcPr>
            <w:tcW w:type="dxa" w:w="2492"/>
          </w:tcPr>
          <w:p>
            <w:pPr>
              <w:pStyle w:val="null3"/>
            </w:pPr>
            <w:r>
              <w:rPr/>
              <w:t>实质性条款</w:t>
            </w:r>
          </w:p>
        </w:tc>
        <w:tc>
          <w:tcPr>
            <w:tcW w:type="dxa" w:w="3322"/>
          </w:tcPr>
          <w:p>
            <w:pPr>
              <w:pStyle w:val="null3"/>
            </w:pPr>
            <w:r>
              <w:rPr/>
              <w:t>满足本磋商文件中的实质性条款（服务期限、服务地点、付款方式）要求</w:t>
            </w:r>
          </w:p>
        </w:tc>
        <w:tc>
          <w:tcPr>
            <w:tcW w:type="dxa" w:w="1661"/>
          </w:tcPr>
          <w:p>
            <w:pPr>
              <w:pStyle w:val="null3"/>
            </w:pPr>
            <w:r>
              <w:rPr/>
              <w:t>偏差表 磋商报价一览表、报价明细表</w:t>
            </w:r>
          </w:p>
        </w:tc>
      </w:tr>
      <w:tr>
        <w:tc>
          <w:tcPr>
            <w:tcW w:type="dxa" w:w="831"/>
          </w:tcPr>
          <w:p>
            <w:pPr>
              <w:pStyle w:val="null3"/>
            </w:pPr>
            <w:r>
              <w:rPr/>
              <w:t>10</w:t>
            </w:r>
          </w:p>
        </w:tc>
        <w:tc>
          <w:tcPr>
            <w:tcW w:type="dxa" w:w="2492"/>
          </w:tcPr>
          <w:p>
            <w:pPr>
              <w:pStyle w:val="null3"/>
            </w:pPr>
            <w:r>
              <w:rPr/>
              <w:t>其他情形</w:t>
            </w:r>
          </w:p>
        </w:tc>
        <w:tc>
          <w:tcPr>
            <w:tcW w:type="dxa" w:w="3322"/>
          </w:tcPr>
          <w:p>
            <w:pPr>
              <w:pStyle w:val="null3"/>
            </w:pPr>
            <w:r>
              <w:rPr/>
              <w:t>无法律、规章、规范性文件和磋商文件规定的其他无效情形</w:t>
            </w:r>
          </w:p>
        </w:tc>
        <w:tc>
          <w:tcPr>
            <w:tcW w:type="dxa" w:w="1661"/>
          </w:tcPr>
          <w:p>
            <w:pPr>
              <w:pStyle w:val="null3"/>
            </w:pPr>
            <w:r>
              <w:rPr/>
              <w:t>磋商报价一览表、报价明细表 中小企业声明函 承诺书 资格证明材料 报价表 响应文件封面 偏差表 其他资料 残疾人福利性单位声明函 服务方案 标的清单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提供2021年1月1日至今类似项目的业绩，每提供一个计2分，最高计10分。（备注：以合同签订时间为准，响应文件中需提供合同复印件加盖公章）。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整体搬运服务方案</w:t>
            </w:r>
          </w:p>
        </w:tc>
        <w:tc>
          <w:tcPr>
            <w:tcW w:type="dxa" w:w="2492"/>
          </w:tcPr>
          <w:p>
            <w:pPr>
              <w:pStyle w:val="null3"/>
            </w:pPr>
            <w:r>
              <w:rPr/>
              <w:t>供应商针对本项目提供整体搬运服务方案，包括但不限于搬迁过程的高效省时、管控方案的合理安全（如何保证全过程物品完好等）等，方案科学合理全面、可行性强计(10-15 ]分；方案基本满足本次项目需求、可行性一般计 (5-10] 分；方案内容空泛，无实质意义计[0-5]分。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拆装方案</w:t>
            </w:r>
          </w:p>
        </w:tc>
        <w:tc>
          <w:tcPr>
            <w:tcW w:type="dxa" w:w="2492"/>
          </w:tcPr>
          <w:p>
            <w:pPr>
              <w:pStyle w:val="null3"/>
            </w:pPr>
            <w:r>
              <w:rPr/>
              <w:t>供应商对教学用具的搬运及监控、电子大屏等的拆卸，教学区二次搬运提供拆装方案。方案科学合理全面、可行性强计(7-10]分；方案基本满足本次项目需求、可行性一般计 (4-7] 分；方案内容空泛，无实质意义计[0-4]分。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拟投入的搬运工具</w:t>
            </w:r>
          </w:p>
        </w:tc>
        <w:tc>
          <w:tcPr>
            <w:tcW w:type="dxa" w:w="2492"/>
          </w:tcPr>
          <w:p>
            <w:pPr>
              <w:pStyle w:val="null3"/>
            </w:pPr>
            <w:r>
              <w:rPr/>
              <w:t>供应商针对本项目提供搬运运输工具，能够同时调配多台车辆进行搬运，并提供车辆的相关证明文件，包括但不限于：机动车登记证书、品牌规格型号等。搬运工具便捷高效，完全满足本项目需求，可行性高计(7-10]分;搬运工具能够基本满足本项目需求，可行计(4-7]分;搬运工具描述简单粗略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人员配置方案</w:t>
            </w:r>
          </w:p>
        </w:tc>
        <w:tc>
          <w:tcPr>
            <w:tcW w:type="dxa" w:w="2492"/>
          </w:tcPr>
          <w:p>
            <w:pPr>
              <w:pStyle w:val="null3"/>
            </w:pPr>
            <w:r>
              <w:rPr/>
              <w:t>供应商针对本项目有专职管理团队，并指定专职管理人员负责与采购人对接，按照要求进行相关搬运服务，对搬运工作进行指挥、监督并协调车辆安排，发现问题要及时采取措施进行处理，并告知采购人。专职管理团队针对上述情况提供管理方案，实施方案科学合理全面、可行性强计(7-10]分；方案基本满足本次项目需求、可行性一般计 (4-7] 分；方案内容空泛，无实质意义计[0-4]分。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供应商针对本项目提供应急预案，包括但不限于搬运过程中，出现损坏、遗失等无法正常使用的情况等方面。应急方案科学合理全面、可行性强计(7-10]分；应急方案基本满足本次项目需求、可行性一般计 (4-7] 分；应急方案内容空泛，无实质意义计[0-4]分。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搬运进度保障措施</w:t>
            </w:r>
          </w:p>
        </w:tc>
        <w:tc>
          <w:tcPr>
            <w:tcW w:type="dxa" w:w="2492"/>
          </w:tcPr>
          <w:p>
            <w:pPr>
              <w:pStyle w:val="null3"/>
            </w:pPr>
            <w:r>
              <w:rPr/>
              <w:t>供应商针对本项目提供搬运进度保障措施。搬运进度保障措施内容科学、详细、合理，实施性强计(7-10]分；搬运进度保障措施内容基本合理、具有实施性计(4-7]分；搬运进度保障措施内容简单或不明确计[0-4]分。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重点难点分析</w:t>
            </w:r>
          </w:p>
        </w:tc>
        <w:tc>
          <w:tcPr>
            <w:tcW w:type="dxa" w:w="2492"/>
          </w:tcPr>
          <w:p>
            <w:pPr>
              <w:pStyle w:val="null3"/>
            </w:pPr>
            <w:r>
              <w:rPr/>
              <w:t>供应商针对本项目提供重点难点分析。重难点分析合理可行、全面、有效，可实施性强计(7-10]分；重难点分析基本全面，具有可行性计(4-7]分；重难点分析简单粗略计[0-4]分。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须承诺：在搬运过程中保证人员安全、物品安全及所途经的地面、门窗、绿化、电梯等公共设施的保护工作；确保物品无遗失、无损坏；完成搬运后由采购人进行检查；由搬运、运输、拆卸、安装引起的工伤、意外伤害及相关的安全事故，造成遗失、损坏现象，由供应商负责并进行赔偿，采购人不承担任何责任；因供应商过程管理不严造成处罚罚款由供应商自行承担。按照承诺完整计(3-5]分，承诺缺项或不完整计(0-3]分，未按照上述要求承诺或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详见附件：磋商报价一览表、报价明细表</w:t>
      </w:r>
    </w:p>
    <w:p>
      <w:pPr>
        <w:pStyle w:val="null3"/>
        <w:ind w:firstLine="960"/>
      </w:pPr>
      <w:r>
        <w:rPr/>
        <w:t>详见附件：偏差表</w:t>
      </w:r>
    </w:p>
    <w:p>
      <w:pPr>
        <w:pStyle w:val="null3"/>
        <w:ind w:firstLine="960"/>
      </w:pPr>
      <w:r>
        <w:rPr/>
        <w:t>详见附件：承诺书</w:t>
      </w:r>
    </w:p>
    <w:p>
      <w:pPr>
        <w:pStyle w:val="null3"/>
        <w:ind w:firstLine="960"/>
      </w:pPr>
      <w:r>
        <w:rPr/>
        <w:t>详见附件：资格证明材料</w:t>
      </w:r>
    </w:p>
    <w:p>
      <w:pPr>
        <w:pStyle w:val="null3"/>
        <w:ind w:firstLine="960"/>
      </w:pPr>
      <w:r>
        <w:rPr/>
        <w:t>详见附件：服务方案</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