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F0354">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14:paraId="5361F54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采购人（以下简称甲方）：</w:t>
      </w:r>
    </w:p>
    <w:p w14:paraId="5BB3DA7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供应商（以下简称乙方）：</w:t>
      </w:r>
    </w:p>
    <w:p w14:paraId="20EDBCF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eastAsia="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14:paraId="33BFBA92">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14:paraId="40E9CCD7">
      <w:pPr>
        <w:keepNext w:val="0"/>
        <w:keepLines w:val="0"/>
        <w:pageBreakBefore w:val="0"/>
        <w:kinsoku/>
        <w:wordWrap/>
        <w:topLinePunct w:val="0"/>
        <w:autoSpaceDE w:val="0"/>
        <w:autoSpaceDN w:val="0"/>
        <w:bidi w:val="0"/>
        <w:adjustRightInd w:val="0"/>
        <w:snapToGrid/>
        <w:spacing w:line="348"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1AC29C16">
      <w:pPr>
        <w:keepNext w:val="0"/>
        <w:keepLines w:val="0"/>
        <w:pageBreakBefore w:val="0"/>
        <w:kinsoku/>
        <w:wordWrap/>
        <w:topLinePunct w:val="0"/>
        <w:autoSpaceDE w:val="0"/>
        <w:autoSpaceDN w:val="0"/>
        <w:bidi w:val="0"/>
        <w:adjustRightInd w:val="0"/>
        <w:snapToGrid/>
        <w:spacing w:line="348"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7156FD48">
      <w:pPr>
        <w:keepNext w:val="0"/>
        <w:keepLines w:val="0"/>
        <w:pageBreakBefore w:val="0"/>
        <w:kinsoku/>
        <w:wordWrap/>
        <w:topLinePunct w:val="0"/>
        <w:autoSpaceDE w:val="0"/>
        <w:autoSpaceDN w:val="0"/>
        <w:bidi w:val="0"/>
        <w:adjustRightInd w:val="0"/>
        <w:snapToGrid/>
        <w:spacing w:line="348"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14:paraId="75C51B3F">
      <w:pPr>
        <w:keepNext w:val="0"/>
        <w:keepLines w:val="0"/>
        <w:pageBreakBefore w:val="0"/>
        <w:kinsoku/>
        <w:wordWrap/>
        <w:topLinePunct w:val="0"/>
        <w:autoSpaceDE w:val="0"/>
        <w:autoSpaceDN w:val="0"/>
        <w:bidi w:val="0"/>
        <w:adjustRightInd w:val="0"/>
        <w:snapToGrid/>
        <w:spacing w:line="348"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14:paraId="37775627">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14:paraId="0C52E53C">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14:paraId="3E484501">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14:paraId="2EB6E601">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14:paraId="5943ED1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5C988857">
      <w:pPr>
        <w:keepNext w:val="0"/>
        <w:keepLines w:val="0"/>
        <w:pageBreakBefore w:val="0"/>
        <w:kinsoku/>
        <w:wordWrap/>
        <w:overflowPunct w:val="0"/>
        <w:topLinePunct w:val="0"/>
        <w:bidi w:val="0"/>
        <w:snapToGrid/>
        <w:spacing w:line="348"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6AAD4F3D">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14:paraId="6B39EF2C">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rPr>
        <w:t>1.</w:t>
      </w:r>
      <w:r>
        <w:rPr>
          <w:rFonts w:hint="eastAsia" w:ascii="宋体" w:hAnsi="宋体" w:eastAsia="宋体" w:cs="宋体"/>
          <w:bCs/>
          <w:color w:val="auto"/>
          <w:sz w:val="24"/>
          <w:highlight w:val="none"/>
          <w:lang w:eastAsia="zh-CN"/>
        </w:rPr>
        <w:t>采购</w:t>
      </w:r>
      <w:r>
        <w:rPr>
          <w:rFonts w:hint="eastAsia" w:ascii="宋体" w:hAnsi="宋体" w:eastAsia="宋体" w:cs="宋体"/>
          <w:bCs/>
          <w:color w:val="auto"/>
          <w:sz w:val="24"/>
          <w:highlight w:val="none"/>
        </w:rPr>
        <w:t>内容：</w:t>
      </w:r>
    </w:p>
    <w:p w14:paraId="14013780">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交货</w:t>
      </w:r>
      <w:r>
        <w:rPr>
          <w:rFonts w:hint="eastAsia" w:ascii="宋体" w:hAnsi="宋体" w:eastAsia="宋体" w:cs="宋体"/>
          <w:color w:val="auto"/>
          <w:sz w:val="24"/>
          <w:highlight w:val="none"/>
        </w:rPr>
        <w:t>期：自合同签订后</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天内交付</w:t>
      </w:r>
    </w:p>
    <w:p w14:paraId="28FDBBF8">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交货地点：</w:t>
      </w:r>
      <w:r>
        <w:rPr>
          <w:rFonts w:hint="eastAsia" w:ascii="宋体" w:hAnsi="宋体" w:eastAsia="宋体" w:cs="宋体"/>
          <w:color w:val="auto"/>
          <w:sz w:val="24"/>
          <w:highlight w:val="none"/>
          <w:lang w:val="en-US" w:eastAsia="zh-CN"/>
        </w:rPr>
        <w:t>甲方指定地点</w:t>
      </w:r>
    </w:p>
    <w:p w14:paraId="55377159">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4.质量保修范围和保修期</w:t>
      </w:r>
      <w:r>
        <w:rPr>
          <w:rFonts w:hint="eastAsia" w:ascii="宋体" w:hAnsi="宋体" w:eastAsia="宋体" w:cs="宋体"/>
          <w:color w:val="auto"/>
          <w:sz w:val="24"/>
          <w:highlight w:val="none"/>
        </w:rPr>
        <w:t>：质保期3年。</w:t>
      </w:r>
    </w:p>
    <w:p w14:paraId="7E2C96F6">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验收标准和方法</w:t>
      </w:r>
      <w:r>
        <w:rPr>
          <w:rFonts w:hint="eastAsia" w:ascii="宋体" w:hAnsi="宋体" w:eastAsia="宋体" w:cs="宋体"/>
          <w:color w:val="auto"/>
          <w:sz w:val="24"/>
          <w:highlight w:val="none"/>
          <w:lang w:eastAsia="zh-CN"/>
        </w:rPr>
        <w:t>：</w:t>
      </w:r>
    </w:p>
    <w:p w14:paraId="4AFFA00B">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5.1</w:t>
      </w:r>
      <w:r>
        <w:rPr>
          <w:rFonts w:hint="eastAsia" w:ascii="宋体" w:hAnsi="宋体" w:eastAsia="宋体" w:cs="宋体"/>
          <w:sz w:val="21"/>
          <w:szCs w:val="21"/>
          <w:highlight w:val="none"/>
        </w:rPr>
        <w:t>乙方提供的</w:t>
      </w:r>
      <w:r>
        <w:rPr>
          <w:rFonts w:hint="eastAsia" w:ascii="宋体" w:hAnsi="宋体" w:eastAsia="宋体" w:cs="宋体"/>
          <w:sz w:val="21"/>
          <w:szCs w:val="21"/>
          <w:highlight w:val="none"/>
          <w:lang w:eastAsia="zh-CN"/>
        </w:rPr>
        <w:t>产品</w:t>
      </w:r>
      <w:r>
        <w:rPr>
          <w:rFonts w:hint="eastAsia" w:ascii="宋体" w:hAnsi="宋体" w:eastAsia="宋体" w:cs="宋体"/>
          <w:sz w:val="21"/>
          <w:szCs w:val="21"/>
          <w:highlight w:val="none"/>
        </w:rPr>
        <w:t>及质量有国家标准的应符合国家标准，</w:t>
      </w:r>
      <w:r>
        <w:rPr>
          <w:rFonts w:hint="eastAsia" w:ascii="宋体" w:hAnsi="宋体" w:eastAsia="宋体" w:cs="宋体"/>
          <w:color w:val="auto"/>
          <w:sz w:val="24"/>
          <w:highlight w:val="none"/>
        </w:rPr>
        <w:t>无国家标准的应符合行业标准或企业标准，并满足需方要求；</w:t>
      </w:r>
    </w:p>
    <w:p w14:paraId="2324528B">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5.2</w:t>
      </w:r>
      <w:r>
        <w:rPr>
          <w:rFonts w:hint="eastAsia" w:ascii="宋体" w:hAnsi="宋体" w:eastAsia="宋体" w:cs="宋体"/>
          <w:color w:val="auto"/>
          <w:sz w:val="24"/>
          <w:highlight w:val="none"/>
        </w:rPr>
        <w:t>验收:当场验收，乙方需提供合格证、发票等有效质量证明材料。如发现</w:t>
      </w:r>
      <w:r>
        <w:rPr>
          <w:rFonts w:hint="eastAsia" w:ascii="宋体" w:hAnsi="宋体" w:eastAsia="宋体" w:cs="宋体"/>
          <w:color w:val="auto"/>
          <w:sz w:val="24"/>
          <w:highlight w:val="none"/>
          <w:lang w:eastAsia="zh-CN"/>
        </w:rPr>
        <w:t>产品</w:t>
      </w:r>
      <w:r>
        <w:rPr>
          <w:rFonts w:hint="eastAsia" w:ascii="宋体" w:hAnsi="宋体" w:eastAsia="宋体" w:cs="宋体"/>
          <w:color w:val="auto"/>
          <w:sz w:val="24"/>
          <w:highlight w:val="none"/>
        </w:rPr>
        <w:t>的规格,数量,质量有任何问题，乙方需无条件更换，并承担一切责任。</w:t>
      </w:r>
    </w:p>
    <w:p w14:paraId="0B21D585">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5.3</w:t>
      </w:r>
      <w:r>
        <w:rPr>
          <w:rFonts w:hint="eastAsia" w:ascii="宋体" w:hAnsi="宋体" w:eastAsia="宋体" w:cs="宋体"/>
          <w:color w:val="auto"/>
          <w:sz w:val="24"/>
          <w:highlight w:val="none"/>
        </w:rPr>
        <w:t>乙方向甲方提供项目履约过程中的所有资料,以便甲方日后管理和维护。</w:t>
      </w:r>
    </w:p>
    <w:p w14:paraId="378C649F">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xml:space="preserve">3.1验收依据 </w:t>
      </w:r>
    </w:p>
    <w:p w14:paraId="0DB8FC4A">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3.2</w:t>
      </w:r>
      <w:r>
        <w:rPr>
          <w:rFonts w:hint="eastAsia" w:ascii="宋体" w:hAnsi="宋体" w:eastAsia="宋体" w:cs="宋体"/>
          <w:color w:val="auto"/>
          <w:sz w:val="24"/>
          <w:highlight w:val="none"/>
          <w:lang w:eastAsia="zh-CN"/>
        </w:rPr>
        <w:t>磋商</w:t>
      </w:r>
      <w:r>
        <w:rPr>
          <w:rFonts w:hint="eastAsia" w:ascii="宋体" w:hAnsi="宋体" w:eastAsia="宋体" w:cs="宋体"/>
          <w:color w:val="auto"/>
          <w:sz w:val="24"/>
          <w:highlight w:val="none"/>
        </w:rPr>
        <w:t>文件、</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 xml:space="preserve">文件、澄清答疑资料（如有）； </w:t>
      </w:r>
    </w:p>
    <w:p w14:paraId="6956E799">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xml:space="preserve">3.3本合同及附件文本； </w:t>
      </w:r>
    </w:p>
    <w:p w14:paraId="1022DBF5">
      <w:pPr>
        <w:keepNext w:val="0"/>
        <w:keepLines w:val="0"/>
        <w:pageBreakBefore w:val="0"/>
        <w:kinsoku/>
        <w:wordWrap/>
        <w:topLinePunct w:val="0"/>
        <w:bidi w:val="0"/>
        <w:snapToGrid/>
        <w:spacing w:line="348" w:lineRule="auto"/>
        <w:ind w:firstLine="480" w:firstLineChars="200"/>
        <w:jc w:val="left"/>
        <w:textAlignment w:val="auto"/>
        <w:rPr>
          <w:rFonts w:hint="eastAsia" w:eastAsia="宋体"/>
          <w:highlight w:val="none"/>
          <w:lang w:val="en-US" w:eastAsia="zh-CN"/>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3.4国家相应的标准、规范。</w:t>
      </w:r>
    </w:p>
    <w:p w14:paraId="7C654607">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14:paraId="72E68887">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14:paraId="2D402590">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112CA7D9">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highlight w:val="none"/>
        </w:rPr>
        <w:t>本项目计价模式为</w:t>
      </w:r>
      <w:r>
        <w:rPr>
          <w:rFonts w:hint="eastAsia" w:ascii="宋体" w:hAnsi="宋体" w:eastAsia="宋体" w:cs="宋体"/>
          <w:color w:val="auto"/>
          <w:sz w:val="24"/>
          <w:highlight w:val="none"/>
          <w:lang w:val="en-US" w:eastAsia="zh-CN"/>
        </w:rPr>
        <w:t>固定总价</w:t>
      </w:r>
      <w:r>
        <w:rPr>
          <w:rFonts w:hint="eastAsia" w:ascii="宋体" w:hAnsi="宋体" w:eastAsia="宋体" w:cs="宋体"/>
          <w:color w:val="auto"/>
          <w:sz w:val="24"/>
          <w:highlight w:val="none"/>
        </w:rPr>
        <w:t>，磋商报价包括但不限于指项目完成并经验收合格的所有费用，包括项目费用、国家按现行税收政策征收的一切税费等</w:t>
      </w:r>
      <w:r>
        <w:rPr>
          <w:rFonts w:hint="eastAsia" w:ascii="宋体" w:hAnsi="宋体" w:eastAsia="宋体" w:cs="宋体"/>
          <w:color w:val="auto"/>
          <w:sz w:val="24"/>
          <w:highlight w:val="none"/>
          <w:lang w:eastAsia="zh-CN"/>
        </w:rPr>
        <w:t>。</w:t>
      </w:r>
    </w:p>
    <w:p w14:paraId="2FB7B675">
      <w:pPr>
        <w:keepNext w:val="0"/>
        <w:keepLines w:val="0"/>
        <w:pageBreakBefore w:val="0"/>
        <w:widowControl/>
        <w:tabs>
          <w:tab w:val="left" w:pos="426"/>
        </w:tabs>
        <w:kinsoku/>
        <w:wordWrap/>
        <w:overflowPunct/>
        <w:topLinePunct w:val="0"/>
        <w:autoSpaceDE/>
        <w:autoSpaceDN/>
        <w:bidi w:val="0"/>
        <w:adjustRightInd w:val="0"/>
        <w:snapToGrid/>
        <w:spacing w:line="348" w:lineRule="auto"/>
        <w:ind w:firstLine="480" w:firstLineChars="200"/>
        <w:jc w:val="left"/>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r>
        <w:rPr>
          <w:rFonts w:hint="eastAsia" w:ascii="宋体" w:hAnsi="宋体" w:eastAsia="宋体" w:cs="宋体"/>
          <w:bCs/>
          <w:snapToGrid w:val="0"/>
          <w:color w:val="auto"/>
          <w:kern w:val="0"/>
          <w:sz w:val="24"/>
          <w:szCs w:val="21"/>
          <w:highlight w:val="none"/>
          <w:lang w:val="en-US" w:eastAsia="zh-CN" w:bidi="ar-SA"/>
        </w:rPr>
        <w:t>：</w:t>
      </w:r>
      <w:bookmarkStart w:id="0" w:name="OLE_LINK19"/>
      <w:r>
        <w:rPr>
          <w:rFonts w:hint="eastAsia" w:ascii="宋体" w:hAnsi="宋体" w:eastAsia="宋体" w:cs="宋体"/>
          <w:bCs/>
          <w:color w:val="auto"/>
          <w:sz w:val="24"/>
          <w:highlight w:val="none"/>
          <w:lang w:val="en-US" w:eastAsia="zh-CN"/>
        </w:rPr>
        <w:t>货物（产品）按下列比例支付价款：合同签订生效后，所有货物（产品）供货安装完成，整体项目经验收合格后，且双方无争议，自验收合格之日起30日内甲方一次性支付所有合同款项；</w:t>
      </w:r>
    </w:p>
    <w:bookmarkEnd w:id="0"/>
    <w:p w14:paraId="009AC6F0">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lang w:val="en-US" w:eastAsia="zh-CN"/>
        </w:rPr>
        <w:t>付款依据：满足付款条件的情况下，乙方应向甲方出具书面付款通知（注明开户行及账户信息）以及符合国家财税规定的增值税发票，否则甲方有权延迟履行付款义务。如因乙方缘故（如开具增值税发票延误等）导致甲方无法按时付款，甲方不承担违约责任。</w:t>
      </w:r>
    </w:p>
    <w:p w14:paraId="030F1373">
      <w:pPr>
        <w:keepNext w:val="0"/>
        <w:keepLines w:val="0"/>
        <w:pageBreakBefore w:val="0"/>
        <w:widowControl/>
        <w:tabs>
          <w:tab w:val="left" w:pos="426"/>
        </w:tabs>
        <w:kinsoku/>
        <w:wordWrap/>
        <w:overflowPunct/>
        <w:topLinePunct w:val="0"/>
        <w:autoSpaceDE/>
        <w:autoSpaceDN/>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3.乙方开户银行指定账户为：</w:t>
      </w:r>
    </w:p>
    <w:p w14:paraId="1FE7FF0D">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收款人：</w:t>
      </w:r>
    </w:p>
    <w:p w14:paraId="26614D4A">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14:paraId="41601D7F">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14:paraId="450139BB">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4.甲方付款前，乙方应向甲方开具正式等额发票，否则甲方有权延迟履行付款义务。</w:t>
      </w:r>
    </w:p>
    <w:p w14:paraId="6780E8A0">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4996FD78">
      <w:pPr>
        <w:pStyle w:val="2"/>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14:paraId="3E6B376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甲方应</w:t>
      </w:r>
      <w:r>
        <w:rPr>
          <w:rFonts w:hint="eastAsia" w:ascii="宋体" w:hAnsi="宋体" w:eastAsia="宋体" w:cs="宋体"/>
          <w:sz w:val="24"/>
          <w:highlight w:val="none"/>
          <w:lang w:eastAsia="zh-CN"/>
        </w:rPr>
        <w:t>对</w:t>
      </w:r>
      <w:r>
        <w:rPr>
          <w:rFonts w:hint="eastAsia" w:ascii="宋体" w:hAnsi="宋体" w:eastAsia="宋体" w:cs="宋体"/>
          <w:sz w:val="24"/>
          <w:highlight w:val="none"/>
        </w:rPr>
        <w:t>乙方</w:t>
      </w:r>
      <w:r>
        <w:rPr>
          <w:rFonts w:hint="eastAsia" w:ascii="宋体" w:hAnsi="宋体" w:eastAsia="宋体" w:cs="宋体"/>
          <w:sz w:val="24"/>
          <w:highlight w:val="none"/>
          <w:lang w:eastAsia="zh-CN"/>
        </w:rPr>
        <w:t>交货</w:t>
      </w:r>
      <w:r>
        <w:rPr>
          <w:rFonts w:hint="eastAsia" w:ascii="宋体" w:hAnsi="宋体" w:eastAsia="宋体" w:cs="宋体"/>
          <w:sz w:val="24"/>
          <w:highlight w:val="none"/>
        </w:rPr>
        <w:t>情况进行考核。</w:t>
      </w:r>
    </w:p>
    <w:p w14:paraId="2C974907">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乙方违反甲方工作纪律，造成不良影响的,甲方可提请乙方无条件更换</w:t>
      </w:r>
      <w:r>
        <w:rPr>
          <w:rFonts w:hint="eastAsia" w:ascii="宋体" w:hAnsi="宋体" w:eastAsia="宋体" w:cs="宋体"/>
          <w:sz w:val="24"/>
          <w:highlight w:val="none"/>
          <w:lang w:eastAsia="zh-CN"/>
        </w:rPr>
        <w:t>项目工作</w:t>
      </w:r>
      <w:r>
        <w:rPr>
          <w:rFonts w:hint="eastAsia" w:ascii="宋体" w:hAnsi="宋体" w:eastAsia="宋体" w:cs="宋体"/>
          <w:sz w:val="24"/>
          <w:highlight w:val="none"/>
        </w:rPr>
        <w:t>人员,乙方应在8小时内作出响应,在不影响工作的前提下,5个工作日内补充人员到位；如经甲方研究认定造成严重影响的，除要求乙方无条件更换</w:t>
      </w:r>
      <w:r>
        <w:rPr>
          <w:rFonts w:hint="eastAsia" w:ascii="宋体" w:hAnsi="宋体" w:eastAsia="宋体" w:cs="宋体"/>
          <w:sz w:val="24"/>
          <w:highlight w:val="none"/>
          <w:lang w:eastAsia="zh-CN"/>
        </w:rPr>
        <w:t>项目工作</w:t>
      </w:r>
      <w:r>
        <w:rPr>
          <w:rFonts w:hint="eastAsia" w:ascii="宋体" w:hAnsi="宋体" w:eastAsia="宋体" w:cs="宋体"/>
          <w:sz w:val="24"/>
          <w:highlight w:val="none"/>
        </w:rPr>
        <w:t>人员外，乙方以本季度应付款项为基数，按每天3‰计算向甲方支付违约金。</w:t>
      </w:r>
    </w:p>
    <w:p w14:paraId="4868006F">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乙方在</w:t>
      </w:r>
      <w:r>
        <w:rPr>
          <w:rFonts w:hint="eastAsia" w:ascii="宋体" w:hAnsi="宋体" w:eastAsia="宋体" w:cs="宋体"/>
          <w:sz w:val="24"/>
          <w:highlight w:val="none"/>
          <w:lang w:eastAsia="zh-CN"/>
        </w:rPr>
        <w:t>响应</w:t>
      </w:r>
      <w:r>
        <w:rPr>
          <w:rFonts w:hint="eastAsia" w:ascii="宋体" w:hAnsi="宋体" w:eastAsia="宋体" w:cs="宋体"/>
          <w:sz w:val="24"/>
          <w:highlight w:val="none"/>
        </w:rPr>
        <w:t>期间出现重大失误的,甲方有权终止协议,并向乙方追索因失误造成的相关损失。</w:t>
      </w:r>
    </w:p>
    <w:p w14:paraId="0667BA5C">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5.甲方支持乙方的工作，按合同保证乙方责任和权力的统一。</w:t>
      </w:r>
    </w:p>
    <w:p w14:paraId="573D6C4B">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6.甲方有权阐述对具体问题的意见和建议。</w:t>
      </w:r>
    </w:p>
    <w:p w14:paraId="0D303F8E">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.甲方有权对</w:t>
      </w:r>
      <w:r>
        <w:rPr>
          <w:rFonts w:hint="eastAsia" w:ascii="宋体" w:hAnsi="宋体" w:eastAsia="宋体" w:cs="宋体"/>
          <w:sz w:val="24"/>
          <w:highlight w:val="none"/>
          <w:lang w:eastAsia="zh-CN"/>
        </w:rPr>
        <w:t>工作质量</w:t>
      </w:r>
      <w:r>
        <w:rPr>
          <w:rFonts w:hint="eastAsia" w:ascii="宋体" w:hAnsi="宋体" w:eastAsia="宋体" w:cs="宋体"/>
          <w:sz w:val="24"/>
          <w:highlight w:val="none"/>
        </w:rPr>
        <w:t>进行评估，若评估结果不合格，甲方有权扣除不超过10%的合同金额或终止合同。</w:t>
      </w:r>
    </w:p>
    <w:p w14:paraId="251D3D4A">
      <w:pPr>
        <w:pStyle w:val="5"/>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zh-CN" w:eastAsia="zh-CN"/>
        </w:rPr>
        <w:t>六、乙方的主要责任和权利</w:t>
      </w:r>
    </w:p>
    <w:p w14:paraId="6BE26F2B">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1.根据本合同约定,乙方应按甲方需求安排工作人员,并保持工作人员的相对稳定。</w:t>
      </w:r>
    </w:p>
    <w:p w14:paraId="6AAED97D">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2.乙方应根据甲方的要求,建立并完善内部考核管理制度。</w:t>
      </w:r>
    </w:p>
    <w:p w14:paraId="05E8C5E7">
      <w:pPr>
        <w:pStyle w:val="5"/>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14:paraId="374B3584">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在为甲方履行合同期间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258DB49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2.若乙方在为甲方履行合同期间时侵犯了第三人的权利，致使甲方受到索赔或起诉，由此给甲方造成的一切损失由乙方承担，同时甲方有权解除合同，同时乙方及时消除不良影响。</w:t>
      </w:r>
    </w:p>
    <w:p w14:paraId="120D1BE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3.若未经甲方许可，乙方擅自使用或向第三方披露或许可第三方使用在为甲方提供履行合同期间所获得的成果，甲方有权要求乙方或第三方停止侵权，并承担以此带来的所有损失，同时消除不良影响。</w:t>
      </w:r>
    </w:p>
    <w:p w14:paraId="7793E6E4">
      <w:pPr>
        <w:pStyle w:val="5"/>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14:paraId="533351D6">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Hans"/>
        </w:rPr>
        <w:t>1.</w:t>
      </w:r>
      <w:r>
        <w:rPr>
          <w:rFonts w:hint="eastAsia" w:ascii="宋体" w:hAnsi="宋体" w:eastAsia="宋体" w:cs="宋体"/>
          <w:sz w:val="24"/>
          <w:highlight w:val="none"/>
          <w:lang w:val="en-US" w:eastAsia="zh-CN"/>
        </w:rPr>
        <w:t>乙方提供的产品及质量有国家标准的应符合国家标准，无国家标准的应符合行业标准或企业标准，并满足需方要求；</w:t>
      </w:r>
    </w:p>
    <w:p w14:paraId="2F19E66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2.验收:当场验收，乙方需提供合格证、发票等有效质量证明材料。如发现产品的规格,数量,质量有任何问题，乙方需无条件更换，并承担一切责任。</w:t>
      </w:r>
    </w:p>
    <w:p w14:paraId="259BAFB8">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3.乙方向甲方提供项目履约过程中的所有资料,以便甲方日后管理和维护。</w:t>
      </w:r>
    </w:p>
    <w:p w14:paraId="475EF207">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3.1验收依据 </w:t>
      </w:r>
    </w:p>
    <w:p w14:paraId="0222CA45">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3.2磋商文件、响应文件、澄清答疑资料（如有）； </w:t>
      </w:r>
    </w:p>
    <w:p w14:paraId="1B38FCF1">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3.3本合同及附件文本； </w:t>
      </w:r>
    </w:p>
    <w:p w14:paraId="02B849E5">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3.4国家相应的标准、规范。</w:t>
      </w:r>
    </w:p>
    <w:p w14:paraId="058CE06E">
      <w:pPr>
        <w:pStyle w:val="5"/>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14:paraId="070523A3">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1.在本合同的履行期内，乙方获得与本项目相关的信息（包括获得的资料及成果等），应当采取适当有效的方式保护，不得未经授权使用、传播或公开。</w:t>
      </w:r>
    </w:p>
    <w:p w14:paraId="011BA869">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0E13FDF2">
      <w:pPr>
        <w:pStyle w:val="6"/>
        <w:keepNext w:val="0"/>
        <w:keepLines w:val="0"/>
        <w:pageBreakBefore w:val="0"/>
        <w:kinsoku/>
        <w:wordWrap/>
        <w:topLinePunct w:val="0"/>
        <w:bidi w:val="0"/>
        <w:snapToGrid/>
        <w:spacing w:line="348" w:lineRule="auto"/>
        <w:ind w:left="0" w:leftChars="0" w:firstLine="0" w:firstLineChars="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14:paraId="5FF8CE08">
      <w:pPr>
        <w:pStyle w:val="6"/>
        <w:keepNext w:val="0"/>
        <w:keepLines w:val="0"/>
        <w:pageBreakBefore w:val="0"/>
        <w:kinsoku/>
        <w:wordWrap/>
        <w:topLinePunct w:val="0"/>
        <w:bidi w:val="0"/>
        <w:snapToGrid/>
        <w:spacing w:line="348"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0789816F">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2A50534">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十一</w:t>
      </w:r>
      <w:r>
        <w:rPr>
          <w:rFonts w:hint="eastAsia" w:ascii="宋体" w:hAnsi="宋体" w:eastAsia="宋体" w:cs="宋体"/>
          <w:b/>
          <w:bCs/>
          <w:color w:val="auto"/>
          <w:sz w:val="24"/>
          <w:highlight w:val="none"/>
        </w:rPr>
        <w:t>、税费</w:t>
      </w:r>
    </w:p>
    <w:p w14:paraId="640E5F81">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1.中国政府根据现行税法对乙方征收的与本合同有关的一切税费均由乙方负担。</w:t>
      </w:r>
    </w:p>
    <w:p w14:paraId="3762091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2.在中国境外发生的与本合同执行有关的一切税费均由乙方负担。</w:t>
      </w:r>
    </w:p>
    <w:p w14:paraId="2A8A6B8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3.中国政府依据现行税法对甲方征收的与本合同有关的一切税费均由甲方负担。</w:t>
      </w:r>
    </w:p>
    <w:p w14:paraId="4489FFA0">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、破产终止合同</w:t>
      </w:r>
    </w:p>
    <w:p w14:paraId="0ED1FE34">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14:paraId="444A4FAC">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rPr>
        <w:t>、转让</w:t>
      </w:r>
    </w:p>
    <w:p w14:paraId="58E90DA8">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14:paraId="297A2F63">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lang w:val="zh-CN"/>
        </w:rPr>
        <w:t>、违约责任</w:t>
      </w:r>
    </w:p>
    <w:p w14:paraId="7DC146C8">
      <w:pPr>
        <w:pStyle w:val="5"/>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1.按《中华人民共和国民法典》中的相关条款执行。</w:t>
      </w:r>
    </w:p>
    <w:p w14:paraId="6AEEDA98">
      <w:pPr>
        <w:pStyle w:val="5"/>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2.未按合同或磋商文件要求提供服务，质量不能满足甲方技术要求，采购单位有权终止合同，甚至对供方违约行为进行追究。</w:t>
      </w:r>
    </w:p>
    <w:p w14:paraId="0A25B1FA">
      <w:pPr>
        <w:pStyle w:val="5"/>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3.乙方由于自身过错，延误按本合同规定的服务成果交付时间，每延误一天，应减收本合同总额的2‰作为延误违约金。</w:t>
      </w:r>
    </w:p>
    <w:p w14:paraId="450FF9D8">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五</w:t>
      </w:r>
      <w:r>
        <w:rPr>
          <w:rFonts w:hint="eastAsia" w:ascii="宋体" w:hAnsi="宋体" w:eastAsia="宋体" w:cs="宋体"/>
          <w:b/>
          <w:bCs/>
          <w:color w:val="auto"/>
          <w:sz w:val="24"/>
          <w:highlight w:val="none"/>
        </w:rPr>
        <w:t>、合同争议和解决办法</w:t>
      </w:r>
    </w:p>
    <w:p w14:paraId="70FBC7DE">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2A658C4A">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六</w:t>
      </w:r>
      <w:r>
        <w:rPr>
          <w:rFonts w:hint="eastAsia" w:ascii="宋体" w:hAnsi="宋体" w:eastAsia="宋体" w:cs="宋体"/>
          <w:b/>
          <w:bCs/>
          <w:color w:val="auto"/>
          <w:sz w:val="24"/>
          <w:highlight w:val="none"/>
        </w:rPr>
        <w:t>、其他事项</w:t>
      </w:r>
    </w:p>
    <w:p w14:paraId="02D689A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67860C34">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rPr>
      </w:pPr>
      <w:r>
        <w:rPr>
          <w:rFonts w:hint="eastAsia" w:ascii="宋体" w:hAnsi="宋体" w:eastAsia="宋体" w:cs="宋体"/>
          <w:b w:val="0"/>
          <w:bCs w:val="0"/>
          <w:color w:val="auto"/>
          <w:kern w:val="0"/>
          <w:sz w:val="24"/>
          <w:szCs w:val="24"/>
          <w:lang w:val="en-US" w:eastAsia="zh-CN"/>
        </w:rPr>
        <w:t>2.</w:t>
      </w:r>
      <w:r>
        <w:rPr>
          <w:rFonts w:hint="eastAsia" w:ascii="宋体" w:hAnsi="宋体" w:eastAsia="宋体" w:cs="宋体"/>
          <w:color w:val="auto"/>
          <w:sz w:val="24"/>
          <w:highlight w:val="none"/>
        </w:rPr>
        <w:t>未尽事宜，双方协商解决。在本合同履行过程中将双方达成的书面补充协议是本合同不可分割的组成部分，与本合同具有同等效力。</w:t>
      </w:r>
    </w:p>
    <w:p w14:paraId="55ED7572">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.本合同正本一式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份，均以中文书写，在双方代表签字盖章后生效，甲方执正本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份；乙方执正本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份；政府采购管理部门备案副本一份，均具有同等法律效力。</w:t>
      </w:r>
    </w:p>
    <w:p w14:paraId="1C9F9BB6">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.本合同自双方签字盖章之日起生效，合同执行完毕自动失效（合同的服务承诺长期有效）。</w:t>
      </w:r>
    </w:p>
    <w:p w14:paraId="1946E33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p>
    <w:p w14:paraId="2FE85119">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bookmarkStart w:id="1" w:name="_GoBack"/>
      <w:bookmarkEnd w:id="1"/>
    </w:p>
    <w:tbl>
      <w:tblPr>
        <w:tblStyle w:val="3"/>
        <w:tblW w:w="0" w:type="auto"/>
        <w:tblInd w:w="0" w:type="dxa"/>
        <w:tblLayout w:type="fixed"/>
        <w:tblCellMar>
          <w:top w:w="0" w:type="dxa"/>
          <w:left w:w="108" w:type="dxa"/>
          <w:bottom w:w="0" w:type="dxa"/>
          <w:right w:w="108" w:type="dxa"/>
        </w:tblCellMar>
      </w:tblPr>
      <w:tblGrid>
        <w:gridCol w:w="4201"/>
        <w:gridCol w:w="4202"/>
      </w:tblGrid>
      <w:tr w14:paraId="2E0D43BD">
        <w:tblPrEx>
          <w:tblCellMar>
            <w:top w:w="0" w:type="dxa"/>
            <w:left w:w="108" w:type="dxa"/>
            <w:bottom w:w="0" w:type="dxa"/>
            <w:right w:w="108" w:type="dxa"/>
          </w:tblCellMar>
        </w:tblPrEx>
        <w:trPr>
          <w:trHeight w:val="484" w:hRule="exact"/>
        </w:trPr>
        <w:tc>
          <w:tcPr>
            <w:tcW w:w="4201" w:type="dxa"/>
            <w:noWrap w:val="0"/>
            <w:vAlign w:val="center"/>
          </w:tcPr>
          <w:p w14:paraId="50404502">
            <w:pPr>
              <w:keepNext w:val="0"/>
              <w:keepLines w:val="0"/>
              <w:pageBreakBefore w:val="0"/>
              <w:widowControl w:val="0"/>
              <w:kinsoku/>
              <w:wordWrap/>
              <w:overflowPunct/>
              <w:topLinePunct w:val="0"/>
              <w:autoSpaceDE/>
              <w:autoSpaceDN/>
              <w:bidi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p>
        </w:tc>
        <w:tc>
          <w:tcPr>
            <w:tcW w:w="4202" w:type="dxa"/>
            <w:noWrap w:val="0"/>
            <w:vAlign w:val="center"/>
          </w:tcPr>
          <w:p w14:paraId="0DE04653">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p>
        </w:tc>
      </w:tr>
      <w:tr w14:paraId="663D2381">
        <w:tblPrEx>
          <w:tblCellMar>
            <w:top w:w="0" w:type="dxa"/>
            <w:left w:w="108" w:type="dxa"/>
            <w:bottom w:w="0" w:type="dxa"/>
            <w:right w:w="108" w:type="dxa"/>
          </w:tblCellMar>
        </w:tblPrEx>
        <w:trPr>
          <w:trHeight w:val="467" w:hRule="exact"/>
        </w:trPr>
        <w:tc>
          <w:tcPr>
            <w:tcW w:w="4201" w:type="dxa"/>
            <w:noWrap w:val="0"/>
            <w:vAlign w:val="center"/>
          </w:tcPr>
          <w:p w14:paraId="006D0645">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02" w:type="dxa"/>
            <w:noWrap w:val="0"/>
            <w:vAlign w:val="center"/>
          </w:tcPr>
          <w:p w14:paraId="246B535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14:paraId="74BE70D3">
        <w:tblPrEx>
          <w:tblCellMar>
            <w:top w:w="0" w:type="dxa"/>
            <w:left w:w="108" w:type="dxa"/>
            <w:bottom w:w="0" w:type="dxa"/>
            <w:right w:w="108" w:type="dxa"/>
          </w:tblCellMar>
        </w:tblPrEx>
        <w:trPr>
          <w:trHeight w:val="501" w:hRule="exact"/>
        </w:trPr>
        <w:tc>
          <w:tcPr>
            <w:tcW w:w="4201" w:type="dxa"/>
            <w:noWrap w:val="0"/>
            <w:vAlign w:val="center"/>
          </w:tcPr>
          <w:p w14:paraId="4BD466F6">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02" w:type="dxa"/>
            <w:noWrap w:val="0"/>
            <w:vAlign w:val="center"/>
          </w:tcPr>
          <w:p w14:paraId="0FF32D2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53B078CF">
        <w:tblPrEx>
          <w:tblCellMar>
            <w:top w:w="0" w:type="dxa"/>
            <w:left w:w="108" w:type="dxa"/>
            <w:bottom w:w="0" w:type="dxa"/>
            <w:right w:w="108" w:type="dxa"/>
          </w:tblCellMar>
        </w:tblPrEx>
        <w:trPr>
          <w:trHeight w:val="450" w:hRule="exact"/>
        </w:trPr>
        <w:tc>
          <w:tcPr>
            <w:tcW w:w="4201" w:type="dxa"/>
            <w:noWrap w:val="0"/>
            <w:vAlign w:val="center"/>
          </w:tcPr>
          <w:p w14:paraId="5B57B4A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02" w:type="dxa"/>
            <w:noWrap w:val="0"/>
            <w:vAlign w:val="center"/>
          </w:tcPr>
          <w:p w14:paraId="497DB3C1">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14:paraId="0A63024D">
        <w:tblPrEx>
          <w:tblCellMar>
            <w:top w:w="0" w:type="dxa"/>
            <w:left w:w="108" w:type="dxa"/>
            <w:bottom w:w="0" w:type="dxa"/>
            <w:right w:w="108" w:type="dxa"/>
          </w:tblCellMar>
        </w:tblPrEx>
        <w:trPr>
          <w:trHeight w:val="533" w:hRule="exact"/>
        </w:trPr>
        <w:tc>
          <w:tcPr>
            <w:tcW w:w="4201" w:type="dxa"/>
            <w:noWrap w:val="0"/>
            <w:vAlign w:val="center"/>
          </w:tcPr>
          <w:p w14:paraId="2959B38C">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4202" w:type="dxa"/>
            <w:noWrap w:val="0"/>
            <w:vAlign w:val="center"/>
          </w:tcPr>
          <w:p w14:paraId="4961BC8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14:paraId="6A602EE9">
        <w:tblPrEx>
          <w:tblCellMar>
            <w:top w:w="0" w:type="dxa"/>
            <w:left w:w="108" w:type="dxa"/>
            <w:bottom w:w="0" w:type="dxa"/>
            <w:right w:w="108" w:type="dxa"/>
          </w:tblCellMar>
        </w:tblPrEx>
        <w:trPr>
          <w:trHeight w:val="533" w:hRule="exact"/>
        </w:trPr>
        <w:tc>
          <w:tcPr>
            <w:tcW w:w="4201" w:type="dxa"/>
            <w:noWrap w:val="0"/>
            <w:vAlign w:val="center"/>
          </w:tcPr>
          <w:p w14:paraId="51299A8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4202" w:type="dxa"/>
            <w:noWrap w:val="0"/>
            <w:vAlign w:val="center"/>
          </w:tcPr>
          <w:p w14:paraId="7B8208D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r>
      <w:tr w14:paraId="56C96B9E">
        <w:tblPrEx>
          <w:tblCellMar>
            <w:top w:w="0" w:type="dxa"/>
            <w:left w:w="108" w:type="dxa"/>
            <w:bottom w:w="0" w:type="dxa"/>
            <w:right w:w="108" w:type="dxa"/>
          </w:tblCellMar>
        </w:tblPrEx>
        <w:trPr>
          <w:trHeight w:val="500" w:hRule="exact"/>
        </w:trPr>
        <w:tc>
          <w:tcPr>
            <w:tcW w:w="4201" w:type="dxa"/>
            <w:noWrap w:val="0"/>
            <w:vAlign w:val="center"/>
          </w:tcPr>
          <w:p w14:paraId="312CDCF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02" w:type="dxa"/>
            <w:noWrap w:val="0"/>
            <w:vAlign w:val="center"/>
          </w:tcPr>
          <w:p w14:paraId="3437B11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17DCB544">
        <w:tblPrEx>
          <w:tblCellMar>
            <w:top w:w="0" w:type="dxa"/>
            <w:left w:w="108" w:type="dxa"/>
            <w:bottom w:w="0" w:type="dxa"/>
            <w:right w:w="108" w:type="dxa"/>
          </w:tblCellMar>
        </w:tblPrEx>
        <w:trPr>
          <w:trHeight w:val="467" w:hRule="exact"/>
        </w:trPr>
        <w:tc>
          <w:tcPr>
            <w:tcW w:w="4201" w:type="dxa"/>
            <w:noWrap w:val="0"/>
            <w:vAlign w:val="center"/>
          </w:tcPr>
          <w:p w14:paraId="1613EB0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02" w:type="dxa"/>
            <w:noWrap w:val="0"/>
            <w:vAlign w:val="center"/>
          </w:tcPr>
          <w:p w14:paraId="7495B88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14:paraId="1883681F">
        <w:tblPrEx>
          <w:tblCellMar>
            <w:top w:w="0" w:type="dxa"/>
            <w:left w:w="108" w:type="dxa"/>
            <w:bottom w:w="0" w:type="dxa"/>
            <w:right w:w="108" w:type="dxa"/>
          </w:tblCellMar>
        </w:tblPrEx>
        <w:trPr>
          <w:trHeight w:val="567" w:hRule="exact"/>
        </w:trPr>
        <w:tc>
          <w:tcPr>
            <w:tcW w:w="4201" w:type="dxa"/>
            <w:noWrap w:val="0"/>
            <w:vAlign w:val="center"/>
          </w:tcPr>
          <w:p w14:paraId="45C1B72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c>
          <w:tcPr>
            <w:tcW w:w="4202" w:type="dxa"/>
            <w:noWrap w:val="0"/>
            <w:vAlign w:val="center"/>
          </w:tcPr>
          <w:p w14:paraId="7C574D9F">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14:paraId="06DF14C7">
        <w:tblPrEx>
          <w:tblCellMar>
            <w:top w:w="0" w:type="dxa"/>
            <w:left w:w="108" w:type="dxa"/>
            <w:bottom w:w="0" w:type="dxa"/>
            <w:right w:w="108" w:type="dxa"/>
          </w:tblCellMar>
        </w:tblPrEx>
        <w:trPr>
          <w:trHeight w:val="567" w:hRule="exact"/>
        </w:trPr>
        <w:tc>
          <w:tcPr>
            <w:tcW w:w="4201" w:type="dxa"/>
            <w:noWrap w:val="0"/>
            <w:vAlign w:val="center"/>
          </w:tcPr>
          <w:p w14:paraId="606E3B81">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c>
          <w:tcPr>
            <w:tcW w:w="4202" w:type="dxa"/>
            <w:noWrap w:val="0"/>
            <w:vAlign w:val="center"/>
          </w:tcPr>
          <w:p w14:paraId="6A4E34F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r>
    </w:tbl>
    <w:p w14:paraId="12B369F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2Yzk1ODYwZTRkYjllZTBhNGQzYTNjYWZkZjVmMDgifQ=="/>
  </w:docVars>
  <w:rsids>
    <w:rsidRoot w:val="16EB1D50"/>
    <w:rsid w:val="16EB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styleId="5">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6">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2024-09-09T06:34:00Z</dcterms:created>
  <dc:creator>我在
丶等风</dc:creator>
  <cp:lastModifiedBy>我在
丶等风</cp:lastModifiedBy>
  <dcterms:modified xsi:type="dcterms:W3CDTF">2024-09-09T06:34:27Z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83F744405FB24BA3B0F5C9DB4B767C58_11</vt:lpwstr>
  </property>
</Properties>
</file>