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西安市浐灞第三初级中学教室护眼灯改造</w:t>
      </w:r>
    </w:p>
    <w:p>
      <w:pPr>
        <w:pStyle w:val="null3"/>
        <w:jc w:val="center"/>
        <w:outlineLvl w:val="2"/>
      </w:pPr>
      <w:r>
        <w:rPr>
          <w:sz w:val="28"/>
          <w:b/>
        </w:rPr>
        <w:t>采购项目编号：</w:t>
      </w:r>
      <w:r>
        <w:rPr>
          <w:sz w:val="28"/>
          <w:b/>
        </w:rPr>
        <w:t>HSGJ2024-247</w:t>
      </w:r>
      <w:r>
        <w:br/>
      </w:r>
      <w:r>
        <w:br/>
      </w:r>
      <w:r>
        <w:br/>
      </w:r>
    </w:p>
    <w:p>
      <w:pPr>
        <w:pStyle w:val="null3"/>
        <w:jc w:val="center"/>
        <w:outlineLvl w:val="2"/>
      </w:pPr>
      <w:r>
        <w:rPr>
          <w:sz w:val="28"/>
          <w:b/>
        </w:rPr>
        <w:t>西安浐灞生态区管理委员会</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2024年09月06日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华晟国际项目管理有限公司</w:t>
      </w:r>
      <w:r>
        <w:rPr/>
        <w:t>（以下简称“代理机构”）受</w:t>
      </w:r>
      <w:r>
        <w:rPr/>
        <w:t>西安浐灞生态区管理委员会</w:t>
      </w:r>
      <w:r>
        <w:rPr/>
        <w:t>委托，拟对</w:t>
      </w:r>
      <w:r>
        <w:rPr/>
        <w:t>西安市浐灞第三初级中学教室护眼灯改造</w:t>
      </w:r>
      <w:r>
        <w:rPr/>
        <w:t>采用竞争性磋商采购方式进行采购，兹邀请供应商参加本项目的竞争性磋商。</w:t>
      </w:r>
    </w:p>
    <w:p>
      <w:pPr>
        <w:pStyle w:val="null3"/>
        <w:outlineLvl w:val="2"/>
      </w:pPr>
      <w:r>
        <w:rPr>
          <w:sz w:val="28"/>
          <w:b/>
        </w:rPr>
        <w:t>一、项目编号：</w:t>
      </w:r>
      <w:r>
        <w:rPr>
          <w:sz w:val="28"/>
          <w:b/>
        </w:rPr>
        <w:t>HSGJ2024-247</w:t>
      </w:r>
    </w:p>
    <w:p>
      <w:pPr>
        <w:pStyle w:val="null3"/>
        <w:outlineLvl w:val="2"/>
      </w:pPr>
      <w:r>
        <w:rPr>
          <w:sz w:val="28"/>
          <w:b/>
        </w:rPr>
        <w:t>二、项目名称：</w:t>
      </w:r>
      <w:r>
        <w:rPr>
          <w:sz w:val="28"/>
          <w:b/>
        </w:rPr>
        <w:t>西安市浐灞第三初级中学教室护眼灯改造</w:t>
      </w:r>
    </w:p>
    <w:p>
      <w:pPr>
        <w:pStyle w:val="null3"/>
        <w:outlineLvl w:val="2"/>
      </w:pPr>
      <w:r>
        <w:rPr>
          <w:sz w:val="28"/>
          <w:b/>
        </w:rPr>
        <w:t>三、磋商项目简介</w:t>
      </w:r>
    </w:p>
    <w:p>
      <w:pPr>
        <w:pStyle w:val="null3"/>
        <w:ind w:firstLine="480"/>
      </w:pPr>
      <w:r>
        <w:rPr/>
        <w:t>西安市浐灞第三初级中学教室护眼灯改造，LED微晶教室灯，LED微晶黑板灯，灯具安装。</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2、财务状况报告：提供2023年度的财务审计报告或开标前六个月内其基本存款账户开户银行出具的资信证明（附开户许可证或开户备案证明或基本账户信息）；</w:t>
      </w:r>
    </w:p>
    <w:p>
      <w:pPr>
        <w:pStyle w:val="null3"/>
      </w:pPr>
      <w:r>
        <w:rPr/>
        <w:t>3、税收缴纳证明：提供2024年01月01日至今已缴存的至少一个月的纳税证明或完税证明，依法免税的单位应提供相关证明材料；</w:t>
      </w:r>
    </w:p>
    <w:p>
      <w:pPr>
        <w:pStyle w:val="null3"/>
      </w:pPr>
      <w:r>
        <w:rPr/>
        <w:t>4、社会保障资金缴纳证明：提供2024年01月01日至今已缴存的至少一个月的社会保障资金缴存单据或社保机构开具的社会保险参保缴费情况证明，依法不需要缴纳社会保障资金的单位应提供相关证明材料；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5、无重大违法记录声明：参加政府采购活动前3年内，在经营活动中没有重大违法记录的书面声明；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9、关联关系：单位负责人为同一人或者存在直接控股、管理关系的不同供应商，不得参加同一合同项下的政府采购活动。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西安浐灞生态区管理委员会</w:t>
      </w:r>
    </w:p>
    <w:p>
      <w:pPr>
        <w:pStyle w:val="null3"/>
      </w:pPr>
      <w:r>
        <w:rPr/>
        <w:t xml:space="preserve"> 地址： </w:t>
      </w:r>
      <w:r>
        <w:rPr/>
        <w:t>西安浐灞生态区浐灞大道一号浐灞商务中心</w:t>
      </w:r>
    </w:p>
    <w:p>
      <w:pPr>
        <w:pStyle w:val="null3"/>
      </w:pPr>
      <w:r>
        <w:rPr/>
        <w:t xml:space="preserve"> 邮编： </w:t>
      </w:r>
      <w:r>
        <w:rPr/>
        <w:t>710024</w:t>
      </w:r>
    </w:p>
    <w:p>
      <w:pPr>
        <w:pStyle w:val="null3"/>
      </w:pPr>
      <w:r>
        <w:rPr/>
        <w:t xml:space="preserve"> 联系人： </w:t>
      </w:r>
      <w:r>
        <w:rPr/>
        <w:t>侯老师</w:t>
      </w:r>
    </w:p>
    <w:p>
      <w:pPr>
        <w:pStyle w:val="null3"/>
      </w:pPr>
      <w:r>
        <w:rPr/>
        <w:t xml:space="preserve"> 联系电话： </w:t>
      </w:r>
      <w:r>
        <w:rPr/>
        <w:t>029-83596064</w:t>
      </w:r>
    </w:p>
    <w:p>
      <w:pPr>
        <w:pStyle w:val="null3"/>
        <w:outlineLvl w:val="3"/>
      </w:pPr>
      <w:r>
        <w:rPr>
          <w:sz w:val="24"/>
          <w:b/>
        </w:rPr>
        <w:t>代理机构：</w:t>
      </w:r>
      <w:r>
        <w:rPr>
          <w:sz w:val="24"/>
          <w:b/>
        </w:rPr>
        <w:t>华晟国际项目管理有限公司</w:t>
      </w:r>
    </w:p>
    <w:p>
      <w:pPr>
        <w:pStyle w:val="null3"/>
      </w:pPr>
      <w:r>
        <w:rPr/>
        <w:t xml:space="preserve"> 地址： </w:t>
      </w:r>
      <w:r>
        <w:rPr/>
        <w:t>陕西省西安市雁塔区陕西省西安市高新区高新路88号尚品国际B幢25层</w:t>
      </w:r>
    </w:p>
    <w:p>
      <w:pPr>
        <w:pStyle w:val="null3"/>
      </w:pPr>
      <w:r>
        <w:rPr/>
        <w:t xml:space="preserve"> 邮编： </w:t>
      </w:r>
      <w:r>
        <w:rPr/>
        <w:t>710065</w:t>
      </w:r>
    </w:p>
    <w:p>
      <w:pPr>
        <w:pStyle w:val="null3"/>
      </w:pPr>
      <w:r>
        <w:rPr/>
        <w:t xml:space="preserve"> 联系人： </w:t>
      </w:r>
      <w:r>
        <w:rPr/>
        <w:t>曹美奇、杨阳</w:t>
      </w:r>
    </w:p>
    <w:p>
      <w:pPr>
        <w:pStyle w:val="null3"/>
      </w:pPr>
      <w:r>
        <w:rPr/>
        <w:t xml:space="preserve"> 联系电话： </w:t>
      </w:r>
      <w:r>
        <w:rPr/>
        <w:t>029-81779899转8013</w:t>
      </w:r>
    </w:p>
    <w:p>
      <w:pPr>
        <w:pStyle w:val="null3"/>
        <w:outlineLvl w:val="3"/>
      </w:pPr>
      <w:r>
        <w:rPr>
          <w:sz w:val="24"/>
          <w:b/>
        </w:rPr>
        <w:t>采购监督机构：</w:t>
      </w:r>
      <w:r>
        <w:rPr>
          <w:sz w:val="24"/>
          <w:b/>
        </w:rPr>
        <w:t>西安浐灞国际港财政金融局</w:t>
      </w:r>
    </w:p>
    <w:p>
      <w:pPr>
        <w:pStyle w:val="null3"/>
        <w:ind w:firstLine="480"/>
      </w:pPr>
      <w:r>
        <w:rPr/>
        <w:t>联系人：</w:t>
      </w:r>
      <w:r>
        <w:rPr/>
        <w:t>侯海平</w:t>
      </w:r>
    </w:p>
    <w:p>
      <w:pPr>
        <w:pStyle w:val="null3"/>
        <w:ind w:firstLine="480"/>
      </w:pPr>
      <w:r>
        <w:rPr/>
        <w:t>联系电话：</w:t>
      </w:r>
      <w:r>
        <w:rPr/>
        <w:t>029-83596064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采购包1：339,845.00元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代理服务费收费标准：代理服务费收费标准：按照国家计委颁布的《招标代理服务收费管理暂行办法》（计价格『2002』1980号）及发改办价格『2003』857号文规定按货物类收取代理服务费。 银行户名：华晟国际项目管理有限公司 开户银行：建设银行西安劳动路支行 账 号：610501 740015 00000 427 转账事由：HSGJ2024-247项目代理服务费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西安浐灞生态区管理委员会</w:t>
      </w:r>
      <w:r>
        <w:rPr/>
        <w:t>和</w:t>
      </w:r>
      <w:r>
        <w:rPr/>
        <w:t>华晟国际项目管理有限公司</w:t>
      </w:r>
      <w:r>
        <w:rPr/>
        <w:t>享有。对磋商文件中供应商参加本次政府采购活动应当具备的条件，磋商项目技术、服务、商务及其他要求，评审细则及标准由</w:t>
      </w:r>
      <w:r>
        <w:rPr/>
        <w:t>西安浐灞生态区管理委员会</w:t>
      </w:r>
      <w:r>
        <w:rPr/>
        <w:t>负责解释。除上述磋商文件内容，其他内容由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符合国家相关规定及标准，详见合同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华晟国际项目管理有限公司</w:t>
      </w:r>
      <w:r>
        <w:rPr/>
        <w:t xml:space="preserve"> 负责答复；供应商对采购过程的询问、质疑由</w:t>
      </w:r>
      <w:r>
        <w:rPr/>
        <w:t>华晟国际项目管理有限公司</w:t>
      </w:r>
      <w:r>
        <w:rPr/>
        <w:t xml:space="preserve"> 负责答复；供应商对采购结果的询问、质疑由 </w:t>
      </w:r>
      <w:r>
        <w:rPr/>
        <w:t>华晟国际项目管理有限公司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联系人：曹美奇、杨阳</w:t>
      </w:r>
    </w:p>
    <w:p>
      <w:pPr>
        <w:pStyle w:val="null3"/>
      </w:pPr>
      <w:r>
        <w:rPr/>
        <w:t>联系电话：029-81779899转8013</w:t>
      </w:r>
    </w:p>
    <w:p>
      <w:pPr>
        <w:pStyle w:val="null3"/>
      </w:pPr>
      <w:r>
        <w:rPr/>
        <w:t>地址：西安市高新路88号尚品国际B幢25层</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西安市浐灞第三初级中学教室护眼灯改造，LED微晶教室灯，LED微晶黑板灯，灯具安装。</w:t>
      </w:r>
    </w:p>
    <w:p>
      <w:pPr>
        <w:pStyle w:val="null3"/>
        <w:outlineLvl w:val="2"/>
      </w:pPr>
      <w:r>
        <w:rPr>
          <w:sz w:val="28"/>
          <w:b/>
        </w:rPr>
        <w:t>3.2采购内容</w:t>
      </w:r>
    </w:p>
    <w:p>
      <w:pPr>
        <w:pStyle w:val="null3"/>
      </w:pPr>
      <w:r>
        <w:rPr/>
        <w:t>采购包1：</w:t>
      </w:r>
    </w:p>
    <w:p>
      <w:pPr>
        <w:pStyle w:val="null3"/>
      </w:pPr>
      <w:r>
        <w:rPr/>
        <w:t>采购包预算金额（元）: 339,845.00</w:t>
      </w:r>
    </w:p>
    <w:p>
      <w:pPr>
        <w:pStyle w:val="null3"/>
      </w:pPr>
      <w:r>
        <w:rPr/>
        <w:t>采购包最高限价（元）: 339,845.00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西安市浐灞第三初级中学教室护眼灯改造</w:t>
            </w:r>
          </w:p>
        </w:tc>
        <w:tc>
          <w:tcPr>
            <w:tcW w:type="dxa" w:w="831"/>
          </w:tcPr>
          <w:p>
            <w:pPr>
              <w:pStyle w:val="null3"/>
              <w:jc w:val="right"/>
            </w:pPr>
            <w:r>
              <w:rPr/>
              <w:t>1.00</w:t>
            </w:r>
          </w:p>
        </w:tc>
        <w:tc>
          <w:tcPr>
            <w:tcW w:type="dxa" w:w="831"/>
          </w:tcPr>
          <w:p>
            <w:pPr>
              <w:pStyle w:val="null3"/>
              <w:jc w:val="right"/>
            </w:pPr>
            <w:r>
              <w:rPr/>
              <w:t>339,845.00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标的名称：西安市浐灞第三初级中学教室护眼灯改造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9"/>
              <w:gridCol w:w="1848"/>
              <w:gridCol w:w="215"/>
              <w:gridCol w:w="22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名称</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基本参数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LED</w:t>
                  </w:r>
                  <w:r>
                    <w:rPr>
                      <w:rFonts w:ascii="宋体" w:hAnsi="宋体" w:cs="宋体" w:eastAsia="宋体"/>
                      <w:sz w:val="24"/>
                      <w:color w:val="000000"/>
                    </w:rPr>
                    <w:t>微晶教室灯（核心产品）</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1、教室灯具应</w:t>
                  </w:r>
                  <w:r>
                    <w:rPr>
                      <w:rFonts w:ascii="宋体" w:hAnsi="宋体" w:cs="宋体" w:eastAsia="宋体"/>
                      <w:sz w:val="24"/>
                      <w:color w:val="000000"/>
                    </w:rPr>
                    <w:t>为一体式</w:t>
                  </w:r>
                  <w:r>
                    <w:rPr>
                      <w:rFonts w:ascii="宋体" w:hAnsi="宋体" w:cs="宋体" w:eastAsia="宋体"/>
                      <w:sz w:val="24"/>
                      <w:color w:val="000000"/>
                    </w:rPr>
                    <w:t>LED灯具，采用一体化铝型材边框，整体无螺丝</w:t>
                  </w:r>
                  <w:r>
                    <w:rPr>
                      <w:rFonts w:ascii="宋体" w:hAnsi="宋体" w:cs="宋体" w:eastAsia="宋体"/>
                      <w:sz w:val="24"/>
                      <w:color w:val="000000"/>
                    </w:rPr>
                    <w:t>或角码</w:t>
                  </w:r>
                  <w:r>
                    <w:rPr>
                      <w:rFonts w:ascii="宋体" w:hAnsi="宋体" w:cs="宋体" w:eastAsia="宋体"/>
                      <w:sz w:val="24"/>
                      <w:color w:val="000000"/>
                    </w:rPr>
                    <w:t>拼接</w:t>
                  </w:r>
                  <w:r>
                    <w:rPr>
                      <w:rFonts w:ascii="宋体" w:hAnsi="宋体" w:cs="宋体" w:eastAsia="宋体"/>
                      <w:sz w:val="24"/>
                      <w:color w:val="000000"/>
                    </w:rPr>
                    <w:t>，产品整灯尺寸长</w:t>
                  </w:r>
                  <w:r>
                    <w:rPr>
                      <w:rFonts w:ascii="宋体" w:hAnsi="宋体" w:cs="宋体" w:eastAsia="宋体"/>
                      <w:sz w:val="24"/>
                      <w:color w:val="000000"/>
                    </w:rPr>
                    <w:t>1200±30mm、宽300±20mm。</w:t>
                  </w:r>
                </w:p>
                <w:p>
                  <w:pPr>
                    <w:pStyle w:val="null3"/>
                    <w:jc w:val="left"/>
                  </w:pPr>
                  <w:r>
                    <w:rPr>
                      <w:rFonts w:ascii="宋体" w:hAnsi="宋体" w:cs="宋体" w:eastAsia="宋体"/>
                      <w:sz w:val="24"/>
                      <w:color w:val="000000"/>
                    </w:rPr>
                    <w:t>2</w:t>
                  </w:r>
                  <w:r>
                    <w:rPr>
                      <w:rFonts w:ascii="宋体" w:hAnsi="宋体" w:cs="宋体" w:eastAsia="宋体"/>
                      <w:sz w:val="24"/>
                      <w:color w:val="000000"/>
                    </w:rPr>
                    <w:t>、教室灯额定功率</w:t>
                  </w:r>
                  <w:r>
                    <w:rPr>
                      <w:rFonts w:ascii="宋体" w:hAnsi="宋体" w:cs="宋体" w:eastAsia="宋体"/>
                      <w:sz w:val="24"/>
                      <w:color w:val="000000"/>
                    </w:rPr>
                    <w:t>≤</w:t>
                  </w:r>
                  <w:r>
                    <w:rPr>
                      <w:rFonts w:ascii="宋体" w:hAnsi="宋体" w:cs="宋体" w:eastAsia="宋体"/>
                      <w:sz w:val="24"/>
                      <w:color w:val="000000"/>
                    </w:rPr>
                    <w:t>36</w:t>
                  </w:r>
                  <w:r>
                    <w:rPr>
                      <w:rFonts w:ascii="宋体" w:hAnsi="宋体" w:cs="宋体" w:eastAsia="宋体"/>
                      <w:sz w:val="24"/>
                      <w:color w:val="000000"/>
                    </w:rPr>
                    <w:t>W，功率因数</w:t>
                  </w:r>
                  <w:r>
                    <w:rPr>
                      <w:rFonts w:ascii="宋体" w:hAnsi="宋体" w:cs="宋体" w:eastAsia="宋体"/>
                      <w:sz w:val="24"/>
                      <w:color w:val="000000"/>
                    </w:rPr>
                    <w:t>≥</w:t>
                  </w:r>
                  <w:r>
                    <w:rPr>
                      <w:rFonts w:ascii="宋体" w:hAnsi="宋体" w:cs="宋体" w:eastAsia="宋体"/>
                      <w:sz w:val="24"/>
                      <w:color w:val="000000"/>
                    </w:rPr>
                    <w:t>0.9</w:t>
                  </w:r>
                  <w:r>
                    <w:rPr>
                      <w:rFonts w:ascii="宋体" w:hAnsi="宋体" w:cs="宋体" w:eastAsia="宋体"/>
                      <w:sz w:val="24"/>
                      <w:color w:val="000000"/>
                    </w:rPr>
                    <w:t>5</w:t>
                  </w:r>
                  <w:r>
                    <w:rPr>
                      <w:rFonts w:ascii="宋体" w:hAnsi="宋体" w:cs="宋体" w:eastAsia="宋体"/>
                      <w:sz w:val="24"/>
                      <w:color w:val="000000"/>
                    </w:rPr>
                    <w:t>。</w:t>
                  </w:r>
                </w:p>
                <w:p>
                  <w:pPr>
                    <w:pStyle w:val="null3"/>
                    <w:jc w:val="left"/>
                  </w:pPr>
                  <w:r>
                    <w:rPr>
                      <w:rFonts w:ascii="宋体" w:hAnsi="宋体" w:cs="宋体" w:eastAsia="宋体"/>
                      <w:sz w:val="24"/>
                      <w:color w:val="000000"/>
                    </w:rPr>
                    <w:t>3、灯具效能≥</w:t>
                  </w:r>
                  <w:r>
                    <w:rPr>
                      <w:rFonts w:ascii="宋体" w:hAnsi="宋体" w:cs="宋体" w:eastAsia="宋体"/>
                      <w:sz w:val="24"/>
                      <w:color w:val="000000"/>
                    </w:rPr>
                    <w:t>10</w:t>
                  </w:r>
                  <w:r>
                    <w:rPr>
                      <w:rFonts w:ascii="宋体" w:hAnsi="宋体" w:cs="宋体" w:eastAsia="宋体"/>
                      <w:sz w:val="24"/>
                      <w:color w:val="000000"/>
                    </w:rPr>
                    <w:t>0lm/W，光通量≥3</w:t>
                  </w:r>
                  <w:r>
                    <w:rPr>
                      <w:rFonts w:ascii="宋体" w:hAnsi="宋体" w:cs="宋体" w:eastAsia="宋体"/>
                      <w:sz w:val="24"/>
                      <w:color w:val="000000"/>
                    </w:rPr>
                    <w:t>6</w:t>
                  </w:r>
                  <w:r>
                    <w:rPr>
                      <w:rFonts w:ascii="宋体" w:hAnsi="宋体" w:cs="宋体" w:eastAsia="宋体"/>
                      <w:sz w:val="24"/>
                      <w:color w:val="000000"/>
                    </w:rPr>
                    <w:t>00lm。</w:t>
                  </w:r>
                </w:p>
                <w:p>
                  <w:pPr>
                    <w:pStyle w:val="null3"/>
                    <w:jc w:val="left"/>
                  </w:pPr>
                  <w:r>
                    <w:rPr>
                      <w:rFonts w:ascii="宋体" w:hAnsi="宋体" w:cs="宋体" w:eastAsia="宋体"/>
                      <w:sz w:val="24"/>
                      <w:color w:val="000000"/>
                    </w:rPr>
                    <w:t>4、教室灯色温</w:t>
                  </w:r>
                  <w:r>
                    <w:rPr>
                      <w:rFonts w:ascii="宋体" w:hAnsi="宋体" w:cs="宋体" w:eastAsia="宋体"/>
                      <w:sz w:val="24"/>
                      <w:color w:val="000000"/>
                    </w:rPr>
                    <w:t>:3300-5300</w:t>
                  </w:r>
                  <w:r>
                    <w:rPr>
                      <w:rFonts w:ascii="宋体" w:hAnsi="宋体" w:cs="宋体" w:eastAsia="宋体"/>
                      <w:sz w:val="24"/>
                      <w:color w:val="000000"/>
                    </w:rPr>
                    <w:t>K</w:t>
                  </w:r>
                  <w:r>
                    <w:rPr>
                      <w:rFonts w:ascii="宋体" w:hAnsi="宋体" w:cs="宋体" w:eastAsia="宋体"/>
                      <w:sz w:val="24"/>
                      <w:color w:val="000000"/>
                    </w:rPr>
                    <w:t>。</w:t>
                  </w:r>
                </w:p>
                <w:p>
                  <w:pPr>
                    <w:pStyle w:val="null3"/>
                    <w:jc w:val="left"/>
                  </w:pPr>
                  <w:r>
                    <w:rPr>
                      <w:rFonts w:ascii="宋体" w:hAnsi="宋体" w:cs="宋体" w:eastAsia="宋体"/>
                      <w:sz w:val="24"/>
                      <w:color w:val="000000"/>
                    </w:rPr>
                    <w:t>5、教室灯</w:t>
                  </w:r>
                  <w:r>
                    <w:rPr>
                      <w:rFonts w:ascii="宋体" w:hAnsi="宋体" w:cs="宋体" w:eastAsia="宋体"/>
                      <w:sz w:val="24"/>
                      <w:color w:val="000000"/>
                    </w:rPr>
                    <w:t>显色指数</w:t>
                  </w:r>
                  <w:r>
                    <w:rPr>
                      <w:rFonts w:ascii="宋体" w:hAnsi="宋体" w:cs="宋体" w:eastAsia="宋体"/>
                      <w:sz w:val="24"/>
                      <w:color w:val="000000"/>
                    </w:rPr>
                    <w:t>Ra≥90</w:t>
                  </w:r>
                  <w:r>
                    <w:rPr>
                      <w:rFonts w:ascii="宋体" w:hAnsi="宋体" w:cs="宋体" w:eastAsia="宋体"/>
                      <w:sz w:val="24"/>
                      <w:color w:val="000000"/>
                    </w:rPr>
                    <w:t>、</w:t>
                  </w:r>
                  <w:r>
                    <w:rPr>
                      <w:rFonts w:ascii="宋体" w:hAnsi="宋体" w:cs="宋体" w:eastAsia="宋体"/>
                      <w:sz w:val="24"/>
                      <w:color w:val="000000"/>
                    </w:rPr>
                    <w:t>R9＞50</w:t>
                  </w:r>
                  <w:r>
                    <w:rPr>
                      <w:rFonts w:ascii="宋体" w:hAnsi="宋体" w:cs="宋体" w:eastAsia="宋体"/>
                      <w:sz w:val="24"/>
                      <w:color w:val="000000"/>
                    </w:rPr>
                    <w:t>。</w:t>
                  </w:r>
                </w:p>
                <w:p>
                  <w:pPr>
                    <w:pStyle w:val="null3"/>
                    <w:jc w:val="left"/>
                  </w:pPr>
                  <w:r>
                    <w:rPr>
                      <w:rFonts w:ascii="宋体" w:hAnsi="宋体" w:cs="宋体" w:eastAsia="宋体"/>
                      <w:sz w:val="24"/>
                      <w:color w:val="000000"/>
                    </w:rPr>
                    <w:t>6、教室灯</w:t>
                  </w:r>
                  <w:r>
                    <w:rPr>
                      <w:rFonts w:ascii="宋体" w:hAnsi="宋体" w:cs="宋体" w:eastAsia="宋体"/>
                      <w:sz w:val="24"/>
                      <w:color w:val="000000"/>
                    </w:rPr>
                    <w:t>色容差</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SDCM</w:t>
                  </w:r>
                  <w:r>
                    <w:rPr>
                      <w:rFonts w:ascii="宋体" w:hAnsi="宋体" w:cs="宋体" w:eastAsia="宋体"/>
                      <w:sz w:val="24"/>
                      <w:color w:val="000000"/>
                    </w:rPr>
                    <w:t>。</w:t>
                  </w:r>
                </w:p>
                <w:p>
                  <w:pPr>
                    <w:pStyle w:val="null3"/>
                    <w:jc w:val="left"/>
                  </w:pPr>
                  <w:r>
                    <w:rPr>
                      <w:rFonts w:ascii="宋体" w:hAnsi="宋体" w:cs="宋体" w:eastAsia="宋体"/>
                      <w:sz w:val="24"/>
                      <w:color w:val="000000"/>
                    </w:rPr>
                    <w:t>7</w:t>
                  </w:r>
                  <w:r>
                    <w:rPr>
                      <w:rFonts w:ascii="宋体" w:hAnsi="宋体" w:cs="宋体" w:eastAsia="宋体"/>
                      <w:sz w:val="24"/>
                      <w:color w:val="000000"/>
                    </w:rPr>
                    <w:t>、教室灯视网膜蓝光危害组别应按</w:t>
                  </w:r>
                  <w:r>
                    <w:rPr>
                      <w:rFonts w:ascii="宋体" w:hAnsi="宋体" w:cs="宋体" w:eastAsia="宋体"/>
                      <w:sz w:val="24"/>
                      <w:color w:val="000000"/>
                    </w:rPr>
                    <w:t>IEC/TR 62778评估为</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RG0。</w:t>
                  </w:r>
                </w:p>
                <w:p>
                  <w:pPr>
                    <w:pStyle w:val="null3"/>
                    <w:jc w:val="left"/>
                  </w:pPr>
                  <w:r>
                    <w:rPr>
                      <w:rFonts w:ascii="宋体" w:hAnsi="宋体" w:cs="宋体" w:eastAsia="宋体"/>
                      <w:sz w:val="24"/>
                      <w:color w:val="000000"/>
                    </w:rPr>
                    <w:t>8</w:t>
                  </w:r>
                  <w:r>
                    <w:rPr>
                      <w:rFonts w:ascii="宋体" w:hAnsi="宋体" w:cs="宋体" w:eastAsia="宋体"/>
                      <w:sz w:val="24"/>
                      <w:color w:val="000000"/>
                    </w:rPr>
                    <w:t>、教室灯在其额定电压下工作时，其光输出波形的波动深度应不大于表</w:t>
                  </w:r>
                  <w:r>
                    <w:rPr>
                      <w:rFonts w:ascii="宋体" w:hAnsi="宋体" w:cs="宋体" w:eastAsia="宋体"/>
                      <w:sz w:val="24"/>
                      <w:color w:val="000000"/>
                    </w:rPr>
                    <w:t>1的限值要求。</w:t>
                  </w:r>
                </w:p>
                <w:p>
                  <w:pPr>
                    <w:pStyle w:val="null3"/>
                    <w:jc w:val="center"/>
                  </w:pPr>
                  <w:r>
                    <w:rPr>
                      <w:rFonts w:ascii="宋体" w:hAnsi="宋体" w:cs="宋体" w:eastAsia="宋体"/>
                      <w:sz w:val="24"/>
                      <w:color w:val="000000"/>
                    </w:rPr>
                    <w:t>表</w:t>
                  </w:r>
                  <w:r>
                    <w:rPr>
                      <w:rFonts w:ascii="宋体" w:hAnsi="宋体" w:cs="宋体" w:eastAsia="宋体"/>
                      <w:sz w:val="24"/>
                      <w:color w:val="000000"/>
                    </w:rPr>
                    <w:t>1  波动深度限值要求</w:t>
                  </w:r>
                </w:p>
                <w:tbl>
                  <w:tblPr>
                    <w:tblBorders>
                      <w:top w:val="none" w:color="000000" w:sz="4"/>
                      <w:left w:val="none" w:color="000000" w:sz="4"/>
                      <w:bottom w:val="none" w:color="000000" w:sz="4"/>
                      <w:right w:val="none" w:color="000000" w:sz="4"/>
                      <w:insideH w:val="none"/>
                      <w:insideV w:val="none"/>
                    </w:tblBorders>
                  </w:tblPr>
                  <w:tblGrid>
                    <w:gridCol w:w="387"/>
                    <w:gridCol w:w="275"/>
                    <w:gridCol w:w="323"/>
                    <w:gridCol w:w="323"/>
                    <w:gridCol w:w="315"/>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光输出波形频率（</w:t>
                        </w:r>
                        <w:r>
                          <w:rPr>
                            <w:rFonts w:ascii="宋体" w:hAnsi="宋体" w:cs="宋体" w:eastAsia="宋体"/>
                            <w:sz w:val="24"/>
                            <w:color w:val="000000"/>
                          </w:rPr>
                          <w:t>f）</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f≤10Hz</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10Hz＜f</w:t>
                        </w:r>
                      </w:p>
                      <w:p>
                        <w:pPr>
                          <w:pStyle w:val="null3"/>
                          <w:jc w:val="center"/>
                        </w:pPr>
                        <w:r>
                          <w:rPr>
                            <w:rFonts w:ascii="宋体" w:hAnsi="宋体" w:cs="宋体" w:eastAsia="宋体"/>
                            <w:sz w:val="24"/>
                            <w:color w:val="000000"/>
                          </w:rPr>
                          <w:t>≤90Hz</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90Hz＜f</w:t>
                        </w:r>
                      </w:p>
                      <w:p>
                        <w:pPr>
                          <w:pStyle w:val="null3"/>
                          <w:jc w:val="center"/>
                        </w:pPr>
                        <w:r>
                          <w:rPr>
                            <w:rFonts w:ascii="宋体" w:hAnsi="宋体" w:cs="宋体" w:eastAsia="宋体"/>
                            <w:sz w:val="24"/>
                            <w:color w:val="000000"/>
                          </w:rPr>
                          <w:t>≤3125Hz</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f＞3125Hz</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波动深度限值（</w:t>
                        </w:r>
                        <w:r>
                          <w:rPr>
                            <w:rFonts w:ascii="宋体" w:hAnsi="宋体" w:cs="宋体" w:eastAsia="宋体"/>
                            <w:sz w:val="24"/>
                            <w:color w:val="00000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f×0.01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f×0.032</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免除考核</w:t>
                        </w:r>
                      </w:p>
                    </w:tc>
                  </w:tr>
                </w:tbl>
                <w:p>
                  <w:pPr>
                    <w:pStyle w:val="null3"/>
                    <w:jc w:val="left"/>
                  </w:pPr>
                  <w:r>
                    <w:rPr>
                      <w:rFonts w:ascii="宋体" w:hAnsi="宋体" w:cs="宋体" w:eastAsia="宋体"/>
                      <w:sz w:val="24"/>
                      <w:color w:val="000000"/>
                    </w:rPr>
                    <w:t>9、</w:t>
                  </w:r>
                  <w:r>
                    <w:rPr>
                      <w:rFonts w:ascii="宋体" w:hAnsi="宋体" w:cs="宋体" w:eastAsia="宋体"/>
                      <w:sz w:val="24"/>
                      <w:color w:val="000000"/>
                    </w:rPr>
                    <w:t>教室灯光闪烁按</w:t>
                  </w:r>
                  <w:r>
                    <w:rPr>
                      <w:rFonts w:ascii="宋体" w:hAnsi="宋体" w:cs="宋体" w:eastAsia="宋体"/>
                      <w:sz w:val="24"/>
                      <w:color w:val="000000"/>
                    </w:rPr>
                    <w:t>IECTR61547-1的规定测得的PstLM≤1。</w:t>
                  </w:r>
                </w:p>
                <w:p>
                  <w:pPr>
                    <w:pStyle w:val="null3"/>
                    <w:jc w:val="left"/>
                  </w:pPr>
                  <w:r>
                    <w:rPr>
                      <w:rFonts w:ascii="宋体" w:hAnsi="宋体" w:cs="宋体" w:eastAsia="宋体"/>
                      <w:sz w:val="24"/>
                      <w:color w:val="000000"/>
                    </w:rPr>
                    <w:t>10</w:t>
                  </w:r>
                  <w:r>
                    <w:rPr>
                      <w:rFonts w:ascii="宋体" w:hAnsi="宋体" w:cs="宋体" w:eastAsia="宋体"/>
                      <w:sz w:val="24"/>
                      <w:color w:val="000000"/>
                    </w:rPr>
                    <w:t>、教室灯频闪效应可见度</w:t>
                  </w:r>
                  <w:r>
                    <w:rPr>
                      <w:rFonts w:ascii="宋体" w:hAnsi="宋体" w:cs="宋体" w:eastAsia="宋体"/>
                      <w:sz w:val="24"/>
                      <w:color w:val="000000"/>
                    </w:rPr>
                    <w:t>SVM≤1。</w:t>
                  </w:r>
                </w:p>
                <w:p>
                  <w:pPr>
                    <w:pStyle w:val="null3"/>
                    <w:jc w:val="left"/>
                  </w:pPr>
                  <w:r>
                    <w:rPr>
                      <w:rFonts w:ascii="宋体" w:hAnsi="宋体" w:cs="宋体" w:eastAsia="宋体"/>
                      <w:sz w:val="24"/>
                      <w:color w:val="000000"/>
                    </w:rPr>
                    <w:t>11、</w:t>
                  </w:r>
                  <w:r>
                    <w:rPr>
                      <w:rFonts w:ascii="宋体" w:hAnsi="宋体" w:cs="宋体" w:eastAsia="宋体"/>
                      <w:sz w:val="24"/>
                      <w:color w:val="000000"/>
                    </w:rPr>
                    <w:t>教室灯</w:t>
                  </w:r>
                  <w:r>
                    <w:rPr>
                      <w:rFonts w:ascii="宋体" w:hAnsi="宋体" w:cs="宋体" w:eastAsia="宋体"/>
                      <w:sz w:val="24"/>
                      <w:color w:val="000000"/>
                    </w:rPr>
                    <w:t>感应电流密度测量值</w:t>
                  </w:r>
                  <w:r>
                    <w:rPr>
                      <w:rFonts w:ascii="宋体" w:hAnsi="宋体" w:cs="宋体" w:eastAsia="宋体"/>
                      <w:sz w:val="24"/>
                      <w:color w:val="000000"/>
                    </w:rPr>
                    <w:t>(因数)≤</w:t>
                  </w:r>
                  <w:r>
                    <w:rPr>
                      <w:rFonts w:ascii="宋体" w:hAnsi="宋体" w:cs="宋体" w:eastAsia="宋体"/>
                      <w:sz w:val="24"/>
                      <w:color w:val="000000"/>
                    </w:rPr>
                    <w:t>1</w:t>
                  </w:r>
                  <w:r>
                    <w:rPr>
                      <w:rFonts w:ascii="宋体" w:hAnsi="宋体" w:cs="宋体" w:eastAsia="宋体"/>
                      <w:sz w:val="24"/>
                      <w:color w:val="000000"/>
                    </w:rPr>
                    <w:t>。</w:t>
                  </w:r>
                </w:p>
                <w:p>
                  <w:pPr>
                    <w:pStyle w:val="null3"/>
                    <w:jc w:val="left"/>
                  </w:pPr>
                  <w:r>
                    <w:rPr>
                      <w:rFonts w:ascii="宋体" w:hAnsi="宋体" w:cs="宋体" w:eastAsia="宋体"/>
                      <w:sz w:val="24"/>
                      <w:color w:val="000000"/>
                    </w:rPr>
                    <w:t>12、噪声≤ 25dB。</w:t>
                  </w:r>
                </w:p>
                <w:p>
                  <w:pPr>
                    <w:pStyle w:val="null3"/>
                    <w:jc w:val="left"/>
                  </w:pPr>
                  <w:r>
                    <w:rPr>
                      <w:rFonts w:ascii="宋体" w:hAnsi="宋体" w:cs="宋体" w:eastAsia="宋体"/>
                      <w:sz w:val="24"/>
                    </w:rPr>
                    <w:t>13、教室照明维持平均照度≥300lx，照度均匀度≥0.8</w:t>
                  </w:r>
                </w:p>
                <w:p>
                  <w:pPr>
                    <w:pStyle w:val="null3"/>
                    <w:ind w:left="240"/>
                    <w:jc w:val="left"/>
                  </w:pPr>
                  <w:r>
                    <w:rPr>
                      <w:rFonts w:ascii="宋体" w:hAnsi="宋体" w:cs="宋体" w:eastAsia="宋体"/>
                      <w:sz w:val="24"/>
                      <w:color w:val="000000"/>
                    </w:rPr>
                    <w:t>14、教室灯符合国家强制性CCC认证要求。</w:t>
                  </w:r>
                </w:p>
                <w:p>
                  <w:pPr>
                    <w:pStyle w:val="null3"/>
                    <w:jc w:val="left"/>
                  </w:pPr>
                  <w:r>
                    <w:rPr>
                      <w:rFonts w:ascii="宋体" w:hAnsi="宋体" w:cs="宋体" w:eastAsia="宋体"/>
                      <w:sz w:val="24"/>
                    </w:rPr>
                    <w:t>15、教室灯应符合儿童青少年学习用灯具近视防控卫生要求。</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盏</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333</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LED</w:t>
                  </w:r>
                  <w:r>
                    <w:rPr>
                      <w:rFonts w:ascii="宋体" w:hAnsi="宋体" w:cs="宋体" w:eastAsia="宋体"/>
                      <w:sz w:val="24"/>
                      <w:color w:val="000000"/>
                    </w:rPr>
                    <w:t>微晶黑板灯</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1、黑板灯应为</w:t>
                  </w:r>
                  <w:r>
                    <w:rPr>
                      <w:rFonts w:ascii="宋体" w:hAnsi="宋体" w:cs="宋体" w:eastAsia="宋体"/>
                      <w:sz w:val="24"/>
                      <w:color w:val="000000"/>
                    </w:rPr>
                    <w:t>一体式</w:t>
                  </w:r>
                  <w:r>
                    <w:rPr>
                      <w:rFonts w:ascii="宋体" w:hAnsi="宋体" w:cs="宋体" w:eastAsia="宋体"/>
                      <w:sz w:val="24"/>
                      <w:color w:val="000000"/>
                    </w:rPr>
                    <w:t>LED</w:t>
                  </w:r>
                  <w:r>
                    <w:rPr>
                      <w:rFonts w:ascii="宋体" w:hAnsi="宋体" w:cs="宋体" w:eastAsia="宋体"/>
                      <w:sz w:val="24"/>
                      <w:color w:val="000000"/>
                    </w:rPr>
                    <w:t>格栅</w:t>
                  </w:r>
                  <w:r>
                    <w:rPr>
                      <w:rFonts w:ascii="宋体" w:hAnsi="宋体" w:cs="宋体" w:eastAsia="宋体"/>
                      <w:sz w:val="24"/>
                      <w:color w:val="000000"/>
                    </w:rPr>
                    <w:t>灯具，产品整灯长</w:t>
                  </w:r>
                  <w:r>
                    <w:rPr>
                      <w:rFonts w:ascii="宋体" w:hAnsi="宋体" w:cs="宋体" w:eastAsia="宋体"/>
                      <w:sz w:val="24"/>
                      <w:color w:val="000000"/>
                    </w:rPr>
                    <w:t>：</w:t>
                  </w:r>
                  <w:r>
                    <w:rPr>
                      <w:rFonts w:ascii="宋体" w:hAnsi="宋体" w:cs="宋体" w:eastAsia="宋体"/>
                      <w:sz w:val="24"/>
                      <w:color w:val="000000"/>
                    </w:rPr>
                    <w:t>1100-1300mm。</w:t>
                  </w:r>
                </w:p>
                <w:p>
                  <w:pPr>
                    <w:pStyle w:val="null3"/>
                    <w:jc w:val="left"/>
                  </w:pPr>
                  <w:r>
                    <w:rPr>
                      <w:rFonts w:ascii="宋体" w:hAnsi="宋体" w:cs="宋体" w:eastAsia="宋体"/>
                      <w:sz w:val="24"/>
                      <w:color w:val="000000"/>
                    </w:rPr>
                    <w:t>2、黑板灯额定功率</w:t>
                  </w:r>
                  <w:r>
                    <w:rPr>
                      <w:rFonts w:ascii="宋体" w:hAnsi="宋体" w:cs="宋体" w:eastAsia="宋体"/>
                      <w:sz w:val="24"/>
                      <w:color w:val="000000"/>
                    </w:rPr>
                    <w:t>≤</w:t>
                  </w:r>
                  <w:r>
                    <w:rPr>
                      <w:rFonts w:ascii="宋体" w:hAnsi="宋体" w:cs="宋体" w:eastAsia="宋体"/>
                      <w:sz w:val="24"/>
                      <w:color w:val="000000"/>
                    </w:rPr>
                    <w:t>36</w:t>
                  </w:r>
                  <w:r>
                    <w:rPr>
                      <w:rFonts w:ascii="宋体" w:hAnsi="宋体" w:cs="宋体" w:eastAsia="宋体"/>
                      <w:sz w:val="24"/>
                      <w:color w:val="000000"/>
                    </w:rPr>
                    <w:t>W，功率因数</w:t>
                  </w:r>
                  <w:r>
                    <w:rPr>
                      <w:rFonts w:ascii="宋体" w:hAnsi="宋体" w:cs="宋体" w:eastAsia="宋体"/>
                      <w:sz w:val="24"/>
                      <w:color w:val="000000"/>
                    </w:rPr>
                    <w:t>≥</w:t>
                  </w:r>
                  <w:r>
                    <w:rPr>
                      <w:rFonts w:ascii="宋体" w:hAnsi="宋体" w:cs="宋体" w:eastAsia="宋体"/>
                      <w:sz w:val="24"/>
                      <w:color w:val="000000"/>
                    </w:rPr>
                    <w:t>0.9</w:t>
                  </w:r>
                  <w:r>
                    <w:rPr>
                      <w:rFonts w:ascii="宋体" w:hAnsi="宋体" w:cs="宋体" w:eastAsia="宋体"/>
                      <w:sz w:val="24"/>
                      <w:color w:val="000000"/>
                    </w:rPr>
                    <w:t>5</w:t>
                  </w:r>
                  <w:r>
                    <w:rPr>
                      <w:rFonts w:ascii="宋体" w:hAnsi="宋体" w:cs="宋体" w:eastAsia="宋体"/>
                      <w:sz w:val="24"/>
                      <w:color w:val="000000"/>
                    </w:rPr>
                    <w:t>。</w:t>
                  </w:r>
                </w:p>
                <w:p>
                  <w:pPr>
                    <w:pStyle w:val="null3"/>
                    <w:jc w:val="left"/>
                  </w:pPr>
                  <w:r>
                    <w:rPr>
                      <w:rFonts w:ascii="宋体" w:hAnsi="宋体" w:cs="宋体" w:eastAsia="宋体"/>
                      <w:sz w:val="24"/>
                      <w:color w:val="000000"/>
                    </w:rPr>
                    <w:t>3、黑板灯灯具效能≥</w:t>
                  </w:r>
                  <w:r>
                    <w:rPr>
                      <w:rFonts w:ascii="宋体" w:hAnsi="宋体" w:cs="宋体" w:eastAsia="宋体"/>
                      <w:sz w:val="24"/>
                      <w:color w:val="000000"/>
                    </w:rPr>
                    <w:t>10</w:t>
                  </w:r>
                  <w:r>
                    <w:rPr>
                      <w:rFonts w:ascii="宋体" w:hAnsi="宋体" w:cs="宋体" w:eastAsia="宋体"/>
                      <w:sz w:val="24"/>
                      <w:color w:val="000000"/>
                    </w:rPr>
                    <w:t>0lm/W，光通量≥3</w:t>
                  </w:r>
                  <w:r>
                    <w:rPr>
                      <w:rFonts w:ascii="宋体" w:hAnsi="宋体" w:cs="宋体" w:eastAsia="宋体"/>
                      <w:sz w:val="24"/>
                      <w:color w:val="000000"/>
                    </w:rPr>
                    <w:t>6</w:t>
                  </w:r>
                  <w:r>
                    <w:rPr>
                      <w:rFonts w:ascii="宋体" w:hAnsi="宋体" w:cs="宋体" w:eastAsia="宋体"/>
                      <w:sz w:val="24"/>
                      <w:color w:val="000000"/>
                    </w:rPr>
                    <w:t>00lm。</w:t>
                  </w:r>
                </w:p>
                <w:p>
                  <w:pPr>
                    <w:pStyle w:val="null3"/>
                    <w:jc w:val="left"/>
                  </w:pPr>
                  <w:r>
                    <w:rPr>
                      <w:rFonts w:ascii="宋体" w:hAnsi="宋体" w:cs="宋体" w:eastAsia="宋体"/>
                      <w:sz w:val="24"/>
                      <w:color w:val="000000"/>
                    </w:rPr>
                    <w:t>4、黑板灯色温额定5000±200K</w:t>
                  </w:r>
                  <w:r>
                    <w:rPr>
                      <w:rFonts w:ascii="宋体" w:hAnsi="宋体" w:cs="宋体" w:eastAsia="宋体"/>
                      <w:sz w:val="24"/>
                      <w:color w:val="000000"/>
                    </w:rPr>
                    <w:t>。</w:t>
                  </w:r>
                </w:p>
                <w:p>
                  <w:pPr>
                    <w:pStyle w:val="null3"/>
                    <w:jc w:val="left"/>
                  </w:pPr>
                  <w:r>
                    <w:rPr>
                      <w:rFonts w:ascii="宋体" w:hAnsi="宋体" w:cs="宋体" w:eastAsia="宋体"/>
                      <w:sz w:val="24"/>
                      <w:color w:val="000000"/>
                    </w:rPr>
                    <w:t>5、</w:t>
                  </w:r>
                  <w:r>
                    <w:rPr>
                      <w:rFonts w:ascii="宋体" w:hAnsi="宋体" w:cs="宋体" w:eastAsia="宋体"/>
                      <w:sz w:val="24"/>
                      <w:color w:val="000000"/>
                    </w:rPr>
                    <w:t>黑板灯显色指数</w:t>
                  </w:r>
                  <w:r>
                    <w:rPr>
                      <w:rFonts w:ascii="宋体" w:hAnsi="宋体" w:cs="宋体" w:eastAsia="宋体"/>
                      <w:sz w:val="24"/>
                      <w:color w:val="000000"/>
                    </w:rPr>
                    <w:t>Ra≥90，R9＞50</w:t>
                  </w:r>
                  <w:r>
                    <w:rPr>
                      <w:rFonts w:ascii="宋体" w:hAnsi="宋体" w:cs="宋体" w:eastAsia="宋体"/>
                      <w:sz w:val="24"/>
                      <w:color w:val="000000"/>
                    </w:rPr>
                    <w:t>。</w:t>
                  </w:r>
                </w:p>
                <w:p>
                  <w:pPr>
                    <w:pStyle w:val="null3"/>
                    <w:jc w:val="left"/>
                  </w:pPr>
                  <w:r>
                    <w:rPr>
                      <w:rFonts w:ascii="宋体" w:hAnsi="宋体" w:cs="宋体" w:eastAsia="宋体"/>
                      <w:sz w:val="24"/>
                      <w:color w:val="000000"/>
                    </w:rPr>
                    <w:t>6、</w:t>
                  </w:r>
                  <w:r>
                    <w:rPr>
                      <w:rFonts w:ascii="宋体" w:hAnsi="宋体" w:cs="宋体" w:eastAsia="宋体"/>
                      <w:sz w:val="24"/>
                      <w:color w:val="000000"/>
                    </w:rPr>
                    <w:t>黑板灯色容差</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 xml:space="preserve"> </w:t>
                  </w:r>
                  <w:r>
                    <w:rPr>
                      <w:rFonts w:ascii="宋体" w:hAnsi="宋体" w:cs="宋体" w:eastAsia="宋体"/>
                      <w:sz w:val="24"/>
                      <w:color w:val="000000"/>
                    </w:rPr>
                    <w:t>SDCM</w:t>
                  </w:r>
                  <w:r>
                    <w:rPr>
                      <w:rFonts w:ascii="宋体" w:hAnsi="宋体" w:cs="宋体" w:eastAsia="宋体"/>
                      <w:sz w:val="24"/>
                      <w:color w:val="000000"/>
                    </w:rPr>
                    <w:t>。</w:t>
                  </w:r>
                </w:p>
                <w:p>
                  <w:pPr>
                    <w:pStyle w:val="null3"/>
                    <w:jc w:val="left"/>
                  </w:pPr>
                  <w:r>
                    <w:rPr>
                      <w:rFonts w:ascii="宋体" w:hAnsi="宋体" w:cs="宋体" w:eastAsia="宋体"/>
                      <w:sz w:val="24"/>
                      <w:color w:val="000000"/>
                    </w:rPr>
                    <w:t>7</w:t>
                  </w:r>
                  <w:r>
                    <w:rPr>
                      <w:rFonts w:ascii="宋体" w:hAnsi="宋体" w:cs="宋体" w:eastAsia="宋体"/>
                      <w:sz w:val="24"/>
                      <w:color w:val="000000"/>
                    </w:rPr>
                    <w:t>、黑板灯视网膜蓝光危害组别应按</w:t>
                  </w:r>
                  <w:r>
                    <w:rPr>
                      <w:rFonts w:ascii="宋体" w:hAnsi="宋体" w:cs="宋体" w:eastAsia="宋体"/>
                      <w:sz w:val="24"/>
                      <w:color w:val="000000"/>
                    </w:rPr>
                    <w:t>IEC/TR 62778评估为</w:t>
                  </w:r>
                  <w:r>
                    <w:rPr>
                      <w:rFonts w:ascii="宋体" w:hAnsi="宋体" w:cs="宋体" w:eastAsia="宋体"/>
                      <w:sz w:val="24"/>
                      <w:color w:val="000000"/>
                    </w:rPr>
                    <w:t>：</w:t>
                  </w:r>
                  <w:r>
                    <w:rPr>
                      <w:rFonts w:ascii="宋体" w:hAnsi="宋体" w:cs="宋体" w:eastAsia="宋体"/>
                      <w:sz w:val="24"/>
                      <w:color w:val="000000"/>
                    </w:rPr>
                    <w:t xml:space="preserve"> </w:t>
                  </w:r>
                  <w:r>
                    <w:rPr>
                      <w:rFonts w:ascii="宋体" w:hAnsi="宋体" w:cs="宋体" w:eastAsia="宋体"/>
                      <w:sz w:val="24"/>
                      <w:color w:val="000000"/>
                    </w:rPr>
                    <w:t>RG0。</w:t>
                  </w:r>
                </w:p>
                <w:p>
                  <w:pPr>
                    <w:pStyle w:val="null3"/>
                    <w:jc w:val="left"/>
                  </w:pPr>
                  <w:r>
                    <w:rPr>
                      <w:rFonts w:ascii="宋体" w:hAnsi="宋体" w:cs="宋体" w:eastAsia="宋体"/>
                      <w:sz w:val="24"/>
                      <w:color w:val="000000"/>
                    </w:rPr>
                    <w:t>8</w:t>
                  </w:r>
                  <w:r>
                    <w:rPr>
                      <w:rFonts w:ascii="宋体" w:hAnsi="宋体" w:cs="宋体" w:eastAsia="宋体"/>
                      <w:sz w:val="24"/>
                      <w:color w:val="000000"/>
                    </w:rPr>
                    <w:t>、黑板灯在其额定电压下工作时，其光输出波形的波动深度应不大于表</w:t>
                  </w:r>
                  <w:r>
                    <w:rPr>
                      <w:rFonts w:ascii="宋体" w:hAnsi="宋体" w:cs="宋体" w:eastAsia="宋体"/>
                      <w:sz w:val="24"/>
                      <w:color w:val="000000"/>
                    </w:rPr>
                    <w:t>2的限值要求。</w:t>
                  </w:r>
                </w:p>
                <w:p>
                  <w:pPr>
                    <w:pStyle w:val="null3"/>
                    <w:jc w:val="center"/>
                  </w:pPr>
                  <w:r>
                    <w:rPr>
                      <w:rFonts w:ascii="宋体" w:hAnsi="宋体" w:cs="宋体" w:eastAsia="宋体"/>
                      <w:sz w:val="24"/>
                      <w:color w:val="000000"/>
                    </w:rPr>
                    <w:t>表</w:t>
                  </w:r>
                  <w:r>
                    <w:rPr>
                      <w:rFonts w:ascii="宋体" w:hAnsi="宋体" w:cs="宋体" w:eastAsia="宋体"/>
                      <w:sz w:val="24"/>
                      <w:color w:val="000000"/>
                    </w:rPr>
                    <w:t>2  波动深度限值要求</w:t>
                  </w:r>
                </w:p>
                <w:tbl>
                  <w:tblPr>
                    <w:tblBorders>
                      <w:top w:val="none" w:color="000000" w:sz="4"/>
                      <w:left w:val="none" w:color="000000" w:sz="4"/>
                      <w:bottom w:val="none" w:color="000000" w:sz="4"/>
                      <w:right w:val="none" w:color="000000" w:sz="4"/>
                      <w:insideH w:val="none"/>
                      <w:insideV w:val="none"/>
                    </w:tblBorders>
                  </w:tblPr>
                  <w:tblGrid>
                    <w:gridCol w:w="372"/>
                    <w:gridCol w:w="277"/>
                    <w:gridCol w:w="314"/>
                    <w:gridCol w:w="323"/>
                    <w:gridCol w:w="339"/>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光输出波形频率（</w:t>
                        </w:r>
                        <w:r>
                          <w:rPr>
                            <w:rFonts w:ascii="宋体" w:hAnsi="宋体" w:cs="宋体" w:eastAsia="宋体"/>
                            <w:sz w:val="24"/>
                            <w:color w:val="000000"/>
                          </w:rPr>
                          <w:t>f）</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f≤10Hz</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10Hz＜f</w:t>
                        </w:r>
                      </w:p>
                      <w:p>
                        <w:pPr>
                          <w:pStyle w:val="null3"/>
                          <w:jc w:val="center"/>
                        </w:pPr>
                        <w:r>
                          <w:rPr>
                            <w:rFonts w:ascii="宋体" w:hAnsi="宋体" w:cs="宋体" w:eastAsia="宋体"/>
                            <w:sz w:val="24"/>
                            <w:color w:val="000000"/>
                          </w:rPr>
                          <w:t>≤90Hz</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90Hz＜f</w:t>
                        </w:r>
                      </w:p>
                      <w:p>
                        <w:pPr>
                          <w:pStyle w:val="null3"/>
                          <w:jc w:val="center"/>
                        </w:pPr>
                        <w:r>
                          <w:rPr>
                            <w:rFonts w:ascii="宋体" w:hAnsi="宋体" w:cs="宋体" w:eastAsia="宋体"/>
                            <w:sz w:val="24"/>
                            <w:color w:val="000000"/>
                          </w:rPr>
                          <w:t>≤3125Hz</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f＞3125Hz</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波动深度限值（</w:t>
                        </w:r>
                        <w:r>
                          <w:rPr>
                            <w:rFonts w:ascii="宋体" w:hAnsi="宋体" w:cs="宋体" w:eastAsia="宋体"/>
                            <w:sz w:val="24"/>
                            <w:color w:val="000000"/>
                          </w:rPr>
                          <w:t>%）</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f×0.01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f×0.032</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免除考核</w:t>
                        </w:r>
                      </w:p>
                    </w:tc>
                  </w:tr>
                </w:tbl>
                <w:p>
                  <w:pPr>
                    <w:pStyle w:val="null3"/>
                    <w:jc w:val="left"/>
                  </w:pPr>
                  <w:r>
                    <w:rPr>
                      <w:rFonts w:ascii="宋体" w:hAnsi="宋体" w:cs="宋体" w:eastAsia="宋体"/>
                      <w:sz w:val="24"/>
                      <w:color w:val="000000"/>
                    </w:rPr>
                    <w:t>9</w:t>
                  </w:r>
                  <w:r>
                    <w:rPr>
                      <w:rFonts w:ascii="宋体" w:hAnsi="宋体" w:cs="宋体" w:eastAsia="宋体"/>
                      <w:sz w:val="24"/>
                      <w:color w:val="000000"/>
                    </w:rPr>
                    <w:t>、黑板灯光闪烁按</w:t>
                  </w:r>
                  <w:r>
                    <w:rPr>
                      <w:rFonts w:ascii="宋体" w:hAnsi="宋体" w:cs="宋体" w:eastAsia="宋体"/>
                      <w:sz w:val="24"/>
                      <w:color w:val="000000"/>
                    </w:rPr>
                    <w:t>IECTR61547-1的规定测得的PstLM≤1。</w:t>
                  </w:r>
                </w:p>
                <w:p>
                  <w:pPr>
                    <w:pStyle w:val="null3"/>
                    <w:jc w:val="left"/>
                  </w:pPr>
                  <w:r>
                    <w:rPr>
                      <w:rFonts w:ascii="宋体" w:hAnsi="宋体" w:cs="宋体" w:eastAsia="宋体"/>
                      <w:sz w:val="24"/>
                      <w:color w:val="000000"/>
                    </w:rPr>
                    <w:t>10</w:t>
                  </w:r>
                  <w:r>
                    <w:rPr>
                      <w:rFonts w:ascii="宋体" w:hAnsi="宋体" w:cs="宋体" w:eastAsia="宋体"/>
                      <w:sz w:val="24"/>
                      <w:color w:val="000000"/>
                    </w:rPr>
                    <w:t>、黑板灯频闪效应可见度</w:t>
                  </w:r>
                  <w:r>
                    <w:rPr>
                      <w:rFonts w:ascii="宋体" w:hAnsi="宋体" w:cs="宋体" w:eastAsia="宋体"/>
                      <w:sz w:val="24"/>
                      <w:color w:val="000000"/>
                    </w:rPr>
                    <w:t>SVM≤1。</w:t>
                  </w:r>
                </w:p>
                <w:p>
                  <w:pPr>
                    <w:pStyle w:val="null3"/>
                    <w:jc w:val="left"/>
                  </w:pPr>
                  <w:r>
                    <w:rPr>
                      <w:rFonts w:ascii="宋体" w:hAnsi="宋体" w:cs="宋体" w:eastAsia="宋体"/>
                      <w:sz w:val="24"/>
                      <w:color w:val="000000"/>
                    </w:rPr>
                    <w:t>1</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黑板灯</w:t>
                  </w:r>
                  <w:r>
                    <w:rPr>
                      <w:rFonts w:ascii="宋体" w:hAnsi="宋体" w:cs="宋体" w:eastAsia="宋体"/>
                      <w:sz w:val="24"/>
                      <w:color w:val="000000"/>
                    </w:rPr>
                    <w:t>感应电流密度测量值</w:t>
                  </w:r>
                  <w:r>
                    <w:rPr>
                      <w:rFonts w:ascii="宋体" w:hAnsi="宋体" w:cs="宋体" w:eastAsia="宋体"/>
                      <w:sz w:val="24"/>
                      <w:color w:val="000000"/>
                    </w:rPr>
                    <w:t>(因数)≤</w:t>
                  </w:r>
                  <w:r>
                    <w:rPr>
                      <w:rFonts w:ascii="宋体" w:hAnsi="宋体" w:cs="宋体" w:eastAsia="宋体"/>
                      <w:sz w:val="24"/>
                      <w:color w:val="000000"/>
                    </w:rPr>
                    <w:t>1</w:t>
                  </w:r>
                  <w:r>
                    <w:rPr>
                      <w:rFonts w:ascii="宋体" w:hAnsi="宋体" w:cs="宋体" w:eastAsia="宋体"/>
                      <w:sz w:val="24"/>
                      <w:color w:val="000000"/>
                    </w:rPr>
                    <w:t>。</w:t>
                  </w:r>
                </w:p>
                <w:p>
                  <w:pPr>
                    <w:pStyle w:val="null3"/>
                    <w:jc w:val="left"/>
                  </w:pPr>
                  <w:r>
                    <w:rPr>
                      <w:rFonts w:ascii="宋体" w:hAnsi="宋体" w:cs="宋体" w:eastAsia="宋体"/>
                      <w:sz w:val="24"/>
                      <w:color w:val="000000"/>
                    </w:rPr>
                    <w:t>1</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书写板照明</w:t>
                  </w:r>
                  <w:r>
                    <w:rPr>
                      <w:rFonts w:ascii="宋体" w:hAnsi="宋体" w:cs="宋体" w:eastAsia="宋体"/>
                      <w:sz w:val="24"/>
                      <w:color w:val="000000"/>
                    </w:rPr>
                    <w:t>维持平均照度</w:t>
                  </w:r>
                  <w:r>
                    <w:rPr>
                      <w:rFonts w:ascii="宋体" w:hAnsi="宋体" w:cs="宋体" w:eastAsia="宋体"/>
                      <w:sz w:val="24"/>
                      <w:color w:val="000000"/>
                    </w:rPr>
                    <w:t>≥500lx</w:t>
                  </w:r>
                  <w:r>
                    <w:rPr>
                      <w:rFonts w:ascii="宋体" w:hAnsi="宋体" w:cs="宋体" w:eastAsia="宋体"/>
                      <w:sz w:val="24"/>
                      <w:color w:val="000000"/>
                    </w:rPr>
                    <w:t>，</w:t>
                  </w:r>
                  <w:r>
                    <w:rPr>
                      <w:rFonts w:ascii="宋体" w:hAnsi="宋体" w:cs="宋体" w:eastAsia="宋体"/>
                      <w:sz w:val="24"/>
                      <w:color w:val="000000"/>
                    </w:rPr>
                    <w:t>照度均匀度</w:t>
                  </w:r>
                  <w:r>
                    <w:rPr>
                      <w:rFonts w:ascii="宋体" w:hAnsi="宋体" w:cs="宋体" w:eastAsia="宋体"/>
                      <w:sz w:val="24"/>
                      <w:color w:val="000000"/>
                    </w:rPr>
                    <w:t>≥0.8。</w:t>
                  </w:r>
                </w:p>
                <w:p>
                  <w:pPr>
                    <w:pStyle w:val="null3"/>
                    <w:ind w:left="240"/>
                    <w:jc w:val="left"/>
                  </w:pPr>
                  <w:r>
                    <w:rPr>
                      <w:rFonts w:ascii="宋体" w:hAnsi="宋体" w:cs="宋体" w:eastAsia="宋体"/>
                      <w:sz w:val="24"/>
                      <w:color w:val="000000"/>
                    </w:rPr>
                    <w:t>13、黑板灯符合国家强制性CCC认证要求</w:t>
                  </w:r>
                </w:p>
                <w:p>
                  <w:pPr>
                    <w:pStyle w:val="null3"/>
                    <w:jc w:val="left"/>
                  </w:pPr>
                  <w:r>
                    <w:rPr>
                      <w:rFonts w:ascii="宋体" w:hAnsi="宋体" w:cs="宋体" w:eastAsia="宋体"/>
                      <w:sz w:val="24"/>
                    </w:rPr>
                    <w:t>14、黑板灯应符合儿童青少年学习用灯具近视防控卫生要求。</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盏</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74</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灯具安装</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包括辅材、拆除、设计、安装、线路改造等</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407</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自合同签订后15天内交付</w:t>
      </w:r>
    </w:p>
    <w:p>
      <w:pPr>
        <w:pStyle w:val="null3"/>
        <w:outlineLvl w:val="3"/>
      </w:pPr>
      <w:r>
        <w:rPr>
          <w:sz w:val="24"/>
          <w:b/>
        </w:rPr>
        <w:t>3.4.2交货地点和方式</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合同签订生效后，所有货物（产品）供货安装完成，整体项目经验收合格后，且双方无争议，自验收合格之日起30日内甲方一次性支付所有合同款项</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1.乙方提供的产品及质量有国家标准的应符合国家标准，无国家标准的应符合行业标准或企业标准，并满足需方要求； 2.验收:当场验收，乙方需提供合格证、发票等有效质量证明材料。如发现产品的规格,数量,质量有任何问题，乙方需无条件更换，并承担一切责任。 3.乙方向甲方提供项目履约过程中的所有资料,以便甲方日后管理和维护。 3.1验收依据 3.2招标文件、投标文件、澄清答疑资料（如有）； 3.3本合同及附件文本； 3.4国家相应的标准、规范。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质保期3年。</w:t>
      </w:r>
    </w:p>
    <w:p>
      <w:pPr>
        <w:pStyle w:val="null3"/>
        <w:outlineLvl w:val="3"/>
      </w:pPr>
      <w:r>
        <w:rPr>
          <w:sz w:val="24"/>
          <w:b/>
        </w:rPr>
        <w:t>3.4.8违约责任与解决争议的方法</w:t>
      </w:r>
    </w:p>
    <w:p>
      <w:pPr>
        <w:pStyle w:val="null3"/>
      </w:pPr>
      <w:r>
        <w:rPr/>
        <w:t>采购包1：</w:t>
      </w:r>
    </w:p>
    <w:p>
      <w:pPr>
        <w:pStyle w:val="null3"/>
      </w:pPr>
      <w:r>
        <w:rPr/>
        <w:t>按照合同约定执行，详见合同附件</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提供2023年度的财务审计报告或开标前六个月内其基本存款账户开户银行出具的资信证明（附开户许可证或开户备案证明或基本账户信息）；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提供2024年01月01日至今已缴存的至少一个月的纳税证明或完税证明，依法免税的单位应提供相关证明材料；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tc>
        <w:tc>
          <w:tcPr>
            <w:tcW w:type="dxa" w:w="1661"/>
          </w:tcPr>
          <w:p>
            <w:pPr>
              <w:pStyle w:val="null3"/>
            </w:pPr>
            <w:r>
              <w:rPr/>
              <w:t>法定代表人证明书及法定代表人授权书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技术偏离表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技术偏离表 中小企业声明函 报价表 分项报价明细表 法定代表人证明书及法定代表人授权书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磋商响应文件按有效期达到磋商文件的要求；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1.在磋商过程中，磋商小组认为供应商报价明显低于其他通过符合性审查供应商的报价，有可能影响产品质量或者不能诚信履约的，磋商小组应当要求其在评审现场合理的时间内提供成 本构成书面说明，并提交相关证明材料。书面说明应当按照国家财务会计制度的规定要求，逐项就供应商提供的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分项报价明细表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报价未超过磋商文件中规定的最高限价的</w:t>
            </w:r>
          </w:p>
        </w:tc>
        <w:tc>
          <w:tcPr>
            <w:tcW w:type="dxa" w:w="1661"/>
          </w:tcPr>
          <w:p>
            <w:pPr>
              <w:pStyle w:val="null3"/>
            </w:pPr>
            <w:r>
              <w:rPr/>
              <w:t>标的清单 报价表 分项报价明细表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技术参数评审</w:t>
            </w:r>
          </w:p>
        </w:tc>
        <w:tc>
          <w:tcPr>
            <w:tcW w:type="dxa" w:w="2492"/>
          </w:tcPr>
          <w:p>
            <w:pPr>
              <w:pStyle w:val="null3"/>
            </w:pPr>
            <w:r>
              <w:rPr/>
              <w:t>产品描述详细、完整，设备选型合理、功能齐全，完全满足磋商文件中所有技术参数要求的计15分。技术参数有低于磋商文件要求的，每一项扣1分，扣完为止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技术偏离表</w:t>
            </w:r>
          </w:p>
          <w:p>
            <w:pPr>
              <w:pStyle w:val="null3"/>
            </w:pPr>
            <w:r>
              <w:rPr/>
              <w:t>磋商响应方案说明</w:t>
            </w:r>
          </w:p>
        </w:tc>
      </w:tr>
      <w:tr>
        <w:tc>
          <w:tcPr>
            <w:tcW w:type="dxa" w:w="831"/>
            <w:vMerge/>
          </w:tcPr>
          <w:p/>
        </w:tc>
        <w:tc>
          <w:tcPr>
            <w:tcW w:type="dxa" w:w="1661"/>
          </w:tcPr>
          <w:p>
            <w:pPr>
              <w:pStyle w:val="null3"/>
            </w:pPr>
            <w:r>
              <w:rPr/>
              <w:t>产品相关资料</w:t>
            </w:r>
          </w:p>
        </w:tc>
        <w:tc>
          <w:tcPr>
            <w:tcW w:type="dxa" w:w="2492"/>
          </w:tcPr>
          <w:p>
            <w:pPr>
              <w:pStyle w:val="null3"/>
            </w:pPr>
            <w:r>
              <w:rPr/>
              <w:t>产品相关资料：所投产品附有详细的产品技术资料（包括但不限于产品宣传彩页或检测报告或官网功能截图等） 所投产品规格指标、功能较好，技术资料齐全计（4～7]分。 所投产品规格指标、功能内容简单，技术资料相对齐全计（0～4]分。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项目实施方案</w:t>
            </w:r>
          </w:p>
        </w:tc>
        <w:tc>
          <w:tcPr>
            <w:tcW w:type="dxa" w:w="2492"/>
          </w:tcPr>
          <w:p>
            <w:pPr>
              <w:pStyle w:val="null3"/>
            </w:pPr>
            <w:r>
              <w:rPr/>
              <w:t>实施方案完整全面、明确可行、有针对性、细节考虑到位计（4～9]分。 实施方案简单片面，相关描述不完整，可行性、针对性低计（0～4]分。 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项目团队人员</w:t>
            </w:r>
          </w:p>
        </w:tc>
        <w:tc>
          <w:tcPr>
            <w:tcW w:type="dxa" w:w="2492"/>
          </w:tcPr>
          <w:p>
            <w:pPr>
              <w:pStyle w:val="null3"/>
            </w:pPr>
            <w:r>
              <w:rPr/>
              <w:t>根据投入项目组成人员安排，项目组织机构健全，人员经验丰富、配备合理，根据响应程度计（0～5]分。本项满分5分。未提供不计分。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确保质量技术组织措施</w:t>
            </w:r>
          </w:p>
        </w:tc>
        <w:tc>
          <w:tcPr>
            <w:tcW w:type="dxa" w:w="2492"/>
          </w:tcPr>
          <w:p>
            <w:pPr>
              <w:pStyle w:val="null3"/>
            </w:pPr>
            <w:r>
              <w:rPr/>
              <w:t>确保质量的技术组织措施，包括进货渠道、质量保证等相关证明材料（包括但不限于产品的合法来源渠道、授权书、产品合格证等） 货源渠道正规，具备相关质量证明文件，质量保障措施完整、详尽，根据响应程度计（4～8]分。 对产品质量保障描述含糊，证明文件缺失，措施简单不够完备计（0～4]分。 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应急方案</w:t>
            </w:r>
          </w:p>
        </w:tc>
        <w:tc>
          <w:tcPr>
            <w:tcW w:type="dxa" w:w="2492"/>
          </w:tcPr>
          <w:p>
            <w:pPr>
              <w:pStyle w:val="null3"/>
            </w:pPr>
            <w:r>
              <w:rPr/>
              <w:t>针对本项目可能出现的各类突发情况提供应急解决方案，根据响应程度计（0～5]分。本项满分5分。未提供不计分。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培训措施</w:t>
            </w:r>
          </w:p>
        </w:tc>
        <w:tc>
          <w:tcPr>
            <w:tcW w:type="dxa" w:w="2492"/>
          </w:tcPr>
          <w:p>
            <w:pPr>
              <w:pStyle w:val="null3"/>
            </w:pPr>
            <w:r>
              <w:rPr/>
              <w:t>供应商针对本项目有详细可行的技术培训措施：培训计划完善，内容充实，安排合理，保证使用单位能熟练操作维护和正常使用，根据响应程度计（0～5]分；本项满分5分。未提供不计分。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售后服务</w:t>
            </w:r>
          </w:p>
        </w:tc>
        <w:tc>
          <w:tcPr>
            <w:tcW w:type="dxa" w:w="2492"/>
          </w:tcPr>
          <w:p>
            <w:pPr>
              <w:pStyle w:val="null3"/>
            </w:pPr>
            <w:r>
              <w:rPr/>
              <w:t>具有完善的售后服务保障体系，对交付期内人员到位情况、质保期的长短及质保期内的响应时间以及备品、备件供应计划（方案还应当包含不能完全履行售后服务时愿意接受相关处罚的承诺） 售后服务方案合理、及时有效与实际需求相符合,内容详细完整计（7～10]分，售后服务方案较为合理、内容较为详细完整计（4～7]分，售后服务方案基本合理、与实际需求基本符合计（0～4]分。未提供不计分。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节能环保产品</w:t>
            </w:r>
          </w:p>
        </w:tc>
        <w:tc>
          <w:tcPr>
            <w:tcW w:type="dxa" w:w="2492"/>
          </w:tcPr>
          <w:p>
            <w:pPr>
              <w:pStyle w:val="null3"/>
            </w:pPr>
            <w:r>
              <w:rPr/>
              <w:t>提供产品为节能产品或环境标志产品，并提供相关材料的，每提供一项得0.5分，本项最高得1分。未提供不计分。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磋商响应方案说明</w:t>
            </w:r>
          </w:p>
        </w:tc>
      </w:tr>
      <w:tr>
        <w:tc>
          <w:tcPr>
            <w:tcW w:type="dxa" w:w="831"/>
            <w:vMerge/>
          </w:tcPr>
          <w:p/>
        </w:tc>
        <w:tc>
          <w:tcPr>
            <w:tcW w:type="dxa" w:w="1661"/>
          </w:tcPr>
          <w:p>
            <w:pPr>
              <w:pStyle w:val="null3"/>
            </w:pPr>
            <w:r>
              <w:rPr/>
              <w:t>类似业绩</w:t>
            </w:r>
          </w:p>
        </w:tc>
        <w:tc>
          <w:tcPr>
            <w:tcW w:type="dxa" w:w="2492"/>
          </w:tcPr>
          <w:p>
            <w:pPr>
              <w:pStyle w:val="null3"/>
            </w:pPr>
            <w:r>
              <w:rPr/>
              <w:t>提供2021年01月01日以来类似项目业绩合同（以合同签订时间为准），每份计1分，满分5分。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价格分采用低价优先法计算，即满足招标文件要求且投标价格最低的投标报价为评标基准价，其价格分为满分。其他供应商的价格分统一按照下列公式计算： 投标报价得分=（评标基准价/有效报价）×价格权重（30%）×100 符合招标文件规定的小型或微型企业或监狱企业或残疾人福利性单位优惠条件的投标人，价格给予10%的扣除，用扣除后的价格参与评审。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中小企业声明函</w:t>
            </w:r>
          </w:p>
          <w:p>
            <w:pPr>
              <w:pStyle w:val="null3"/>
            </w:pPr>
            <w:r>
              <w:rPr/>
              <w:t>残疾人福利性单位声明函</w:t>
            </w:r>
          </w:p>
          <w:p>
            <w:pPr>
              <w:pStyle w:val="null3"/>
            </w:pPr>
            <w:r>
              <w:rPr/>
              <w:t>监狱企业的证明文件</w:t>
            </w:r>
          </w:p>
          <w:p>
            <w:pPr>
              <w:pStyle w:val="null3"/>
            </w:pPr>
            <w:r>
              <w:rPr/>
              <w:t>报价表</w:t>
            </w:r>
          </w:p>
          <w:p>
            <w:pPr>
              <w:pStyle w:val="null3"/>
            </w:pPr>
            <w:r>
              <w:rPr/>
              <w:t>标的清单</w:t>
            </w:r>
          </w:p>
          <w:p>
            <w:pPr>
              <w:pStyle w:val="null3"/>
            </w:pPr>
            <w:r>
              <w:rPr/>
              <w:t>分项报价明细表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详见附件：分项报价明细表</w:t>
      </w:r>
    </w:p>
    <w:p>
      <w:pPr>
        <w:pStyle w:val="null3"/>
        <w:ind w:firstLine="960"/>
      </w:pPr>
      <w:r>
        <w:rPr/>
        <w:t>详见附件：法定代表人证明书及法定代表人授权书</w:t>
      </w:r>
    </w:p>
    <w:p>
      <w:pPr>
        <w:pStyle w:val="null3"/>
        <w:ind w:firstLine="960"/>
      </w:pPr>
      <w:r>
        <w:rPr/>
        <w:t>详见附件：商务偏离表</w:t>
      </w:r>
    </w:p>
    <w:p>
      <w:pPr>
        <w:pStyle w:val="null3"/>
        <w:ind w:firstLine="960"/>
      </w:pPr>
      <w:r>
        <w:rPr/>
        <w:t>详见附件：技术偏离表</w:t>
      </w:r>
    </w:p>
    <w:p>
      <w:pPr>
        <w:pStyle w:val="null3"/>
        <w:ind w:firstLine="960"/>
      </w:pPr>
      <w:r>
        <w:rPr/>
        <w:t>详见附件：资格证明文件</w:t>
      </w:r>
    </w:p>
    <w:p>
      <w:pPr>
        <w:pStyle w:val="null3"/>
        <w:ind w:firstLine="960"/>
      </w:pPr>
      <w:r>
        <w:rPr/>
        <w:t>详见附件：类似项目业绩</w:t>
      </w:r>
    </w:p>
    <w:p>
      <w:pPr>
        <w:pStyle w:val="null3"/>
        <w:ind w:firstLine="960"/>
      </w:pPr>
      <w:r>
        <w:rPr/>
        <w:t>详见附件：磋商响应方案说明</w:t>
      </w:r>
    </w:p>
    <w:p>
      <w:pPr>
        <w:pStyle w:val="null3"/>
        <w:ind w:firstLine="960"/>
      </w:pPr>
      <w:r>
        <w:rPr/>
        <w:t>详见附件：磋商响应单位承诺书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